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70584" w14:textId="4909C3BE" w:rsidR="009B058F" w:rsidRPr="00E05745" w:rsidRDefault="007004BD" w:rsidP="007A5A02">
      <w:pPr>
        <w:ind w:right="-4686"/>
        <w:rPr>
          <w:rFonts w:ascii="Arial" w:hAnsi="Arial" w:cs="Arial"/>
          <w:b/>
          <w:bCs/>
          <w:sz w:val="32"/>
          <w:szCs w:val="32"/>
          <w:lang w:val="en-GB"/>
        </w:rPr>
      </w:pPr>
      <w:r w:rsidRPr="00E05745">
        <w:rPr>
          <w:rFonts w:ascii="Arial" w:hAnsi="Arial" w:cs="Arial"/>
          <w:b/>
          <w:bCs/>
          <w:sz w:val="32"/>
          <w:szCs w:val="32"/>
          <w:lang w:val="en-GB"/>
        </w:rPr>
        <w:t>Strategy, Finance &amp;</w:t>
      </w:r>
      <w:r w:rsidR="007A5A02" w:rsidRPr="00E05745">
        <w:rPr>
          <w:rFonts w:ascii="Arial" w:hAnsi="Arial" w:cs="Arial"/>
          <w:b/>
          <w:bCs/>
          <w:sz w:val="32"/>
          <w:szCs w:val="32"/>
          <w:lang w:val="en-GB"/>
        </w:rPr>
        <w:t xml:space="preserve"> </w:t>
      </w:r>
      <w:r w:rsidRPr="00E05745">
        <w:rPr>
          <w:rFonts w:ascii="Arial" w:hAnsi="Arial" w:cs="Arial"/>
          <w:b/>
          <w:bCs/>
          <w:sz w:val="32"/>
          <w:szCs w:val="32"/>
          <w:lang w:val="en-GB"/>
        </w:rPr>
        <w:t>City</w:t>
      </w:r>
      <w:r w:rsidR="007A5A02" w:rsidRPr="00E05745">
        <w:rPr>
          <w:rFonts w:ascii="Arial" w:hAnsi="Arial" w:cs="Arial"/>
          <w:b/>
          <w:bCs/>
          <w:sz w:val="32"/>
          <w:szCs w:val="32"/>
          <w:lang w:val="en-GB"/>
        </w:rPr>
        <w:tab/>
      </w:r>
      <w:r w:rsidR="007A5A02" w:rsidRPr="00E05745">
        <w:rPr>
          <w:rFonts w:ascii="Arial" w:hAnsi="Arial" w:cs="Arial"/>
          <w:b/>
          <w:bCs/>
          <w:sz w:val="32"/>
          <w:szCs w:val="32"/>
          <w:lang w:val="en-GB"/>
        </w:rPr>
        <w:tab/>
      </w:r>
      <w:r w:rsidR="007A5A02" w:rsidRPr="00E05745">
        <w:rPr>
          <w:rFonts w:ascii="Arial" w:hAnsi="Arial" w:cs="Arial"/>
          <w:b/>
          <w:bCs/>
          <w:sz w:val="32"/>
          <w:szCs w:val="32"/>
          <w:lang w:val="en-GB"/>
        </w:rPr>
        <w:tab/>
      </w:r>
      <w:r w:rsidR="007A5A02" w:rsidRPr="00E05745">
        <w:rPr>
          <w:rFonts w:ascii="Arial" w:hAnsi="Arial" w:cs="Arial"/>
          <w:b/>
          <w:bCs/>
          <w:sz w:val="32"/>
          <w:szCs w:val="32"/>
          <w:lang w:val="en-GB"/>
        </w:rPr>
        <w:tab/>
      </w:r>
      <w:r w:rsidR="007A5A02" w:rsidRPr="00E05745">
        <w:rPr>
          <w:rFonts w:ascii="Arial" w:hAnsi="Arial" w:cs="Arial"/>
          <w:b/>
          <w:bCs/>
          <w:sz w:val="32"/>
          <w:szCs w:val="32"/>
          <w:lang w:val="en-GB"/>
        </w:rPr>
        <w:tab/>
      </w:r>
      <w:r w:rsidR="007A5A02" w:rsidRPr="00E05745">
        <w:rPr>
          <w:rFonts w:ascii="Arial" w:hAnsi="Arial" w:cs="Arial"/>
          <w:b/>
          <w:bCs/>
          <w:sz w:val="32"/>
          <w:szCs w:val="32"/>
          <w:lang w:val="en-GB"/>
        </w:rPr>
        <w:tab/>
        <w:t>Item xxx</w:t>
      </w:r>
    </w:p>
    <w:p w14:paraId="397604BB" w14:textId="77D47569" w:rsidR="0070180B" w:rsidRPr="00E05745" w:rsidRDefault="007004BD" w:rsidP="007A5A02">
      <w:pPr>
        <w:ind w:right="-4686"/>
        <w:rPr>
          <w:rFonts w:ascii="Arial" w:hAnsi="Arial" w:cs="Arial"/>
          <w:b/>
          <w:bCs/>
          <w:sz w:val="32"/>
          <w:szCs w:val="32"/>
          <w:lang w:val="en-GB"/>
        </w:rPr>
      </w:pPr>
      <w:bookmarkStart w:id="0" w:name="_Hlk88810143"/>
      <w:r w:rsidRPr="00E05745">
        <w:rPr>
          <w:rFonts w:ascii="Arial" w:hAnsi="Arial" w:cs="Arial"/>
          <w:b/>
          <w:bCs/>
          <w:sz w:val="32"/>
          <w:szCs w:val="32"/>
          <w:lang w:val="en-GB"/>
        </w:rPr>
        <w:t>Regeneration Committee</w:t>
      </w:r>
    </w:p>
    <w:p w14:paraId="0D8E7E11" w14:textId="744870A3" w:rsidR="009B058F" w:rsidRPr="00E05745" w:rsidRDefault="007004BD" w:rsidP="009B058F">
      <w:pPr>
        <w:tabs>
          <w:tab w:val="left" w:pos="2127"/>
        </w:tabs>
        <w:spacing w:before="240"/>
        <w:ind w:left="2127" w:hanging="2127"/>
        <w:rPr>
          <w:rFonts w:ascii="Arial" w:hAnsi="Arial" w:cs="Arial"/>
          <w:b/>
          <w:bCs/>
          <w:sz w:val="24"/>
          <w:szCs w:val="24"/>
          <w:lang w:val="en-GB"/>
        </w:rPr>
      </w:pPr>
      <w:r w:rsidRPr="00E05745">
        <w:rPr>
          <w:rFonts w:ascii="Arial" w:hAnsi="Arial" w:cs="Arial"/>
          <w:b/>
          <w:bCs/>
          <w:sz w:val="24"/>
          <w:szCs w:val="24"/>
          <w:lang w:val="en-GB"/>
        </w:rPr>
        <w:t>Subject:</w:t>
      </w:r>
      <w:r w:rsidRPr="00E05745">
        <w:rPr>
          <w:rFonts w:ascii="Arial" w:hAnsi="Arial" w:cs="Arial"/>
          <w:b/>
          <w:bCs/>
          <w:sz w:val="24"/>
          <w:szCs w:val="24"/>
          <w:lang w:val="en-GB"/>
        </w:rPr>
        <w:tab/>
        <w:t xml:space="preserve">General Fund Revenue Budget, Capital &amp; Treasury Management Strategy </w:t>
      </w:r>
      <w:r w:rsidR="00103BF5">
        <w:rPr>
          <w:rFonts w:ascii="Arial" w:hAnsi="Arial" w:cs="Arial"/>
          <w:b/>
          <w:bCs/>
          <w:sz w:val="24"/>
          <w:szCs w:val="24"/>
          <w:lang w:val="en-GB"/>
        </w:rPr>
        <w:t>2024/25</w:t>
      </w:r>
    </w:p>
    <w:p w14:paraId="2E8703B4" w14:textId="77777777" w:rsidR="009B058F" w:rsidRPr="00E05745" w:rsidRDefault="009B058F" w:rsidP="009B058F">
      <w:pPr>
        <w:tabs>
          <w:tab w:val="left" w:pos="2127"/>
        </w:tabs>
        <w:rPr>
          <w:rFonts w:ascii="Arial" w:hAnsi="Arial" w:cs="Arial"/>
          <w:b/>
          <w:bCs/>
          <w:sz w:val="24"/>
          <w:szCs w:val="24"/>
          <w:lang w:val="en-GB"/>
        </w:rPr>
      </w:pPr>
    </w:p>
    <w:p w14:paraId="0CA5ECB5" w14:textId="6744FFDA" w:rsidR="009B058F" w:rsidRPr="00E05745" w:rsidRDefault="007004BD" w:rsidP="008A49D1">
      <w:pPr>
        <w:tabs>
          <w:tab w:val="left" w:pos="2127"/>
        </w:tabs>
        <w:ind w:left="2127" w:hanging="2127"/>
        <w:rPr>
          <w:rFonts w:ascii="Arial" w:hAnsi="Arial" w:cs="Arial"/>
          <w:b/>
          <w:sz w:val="24"/>
          <w:szCs w:val="24"/>
          <w:lang w:val="en-GB"/>
        </w:rPr>
      </w:pPr>
      <w:r w:rsidRPr="00E05745">
        <w:rPr>
          <w:rFonts w:ascii="Arial" w:hAnsi="Arial" w:cs="Arial"/>
          <w:b/>
          <w:bCs/>
          <w:sz w:val="24"/>
          <w:szCs w:val="24"/>
          <w:lang w:val="en-GB"/>
        </w:rPr>
        <w:t>Date of meeting:</w:t>
      </w:r>
      <w:r w:rsidRPr="00E05745">
        <w:rPr>
          <w:rFonts w:ascii="Arial" w:hAnsi="Arial" w:cs="Arial"/>
          <w:b/>
          <w:bCs/>
          <w:sz w:val="24"/>
          <w:szCs w:val="24"/>
          <w:lang w:val="en-GB"/>
        </w:rPr>
        <w:tab/>
      </w:r>
      <w:r w:rsidR="008A49D1">
        <w:rPr>
          <w:rFonts w:ascii="Arial" w:hAnsi="Arial" w:cs="Arial"/>
          <w:b/>
          <w:sz w:val="24"/>
          <w:szCs w:val="24"/>
          <w:lang w:val="en-GB"/>
        </w:rPr>
        <w:t>Strategy, Finance &amp; City Regeneration Committee</w:t>
      </w:r>
      <w:r w:rsidRPr="00E05745">
        <w:rPr>
          <w:rFonts w:ascii="Arial" w:hAnsi="Arial" w:cs="Arial"/>
          <w:b/>
          <w:sz w:val="24"/>
          <w:szCs w:val="24"/>
          <w:lang w:val="en-GB"/>
        </w:rPr>
        <w:t xml:space="preserve">: </w:t>
      </w:r>
      <w:r w:rsidR="006127B2">
        <w:rPr>
          <w:rFonts w:ascii="Arial" w:hAnsi="Arial" w:cs="Arial"/>
          <w:b/>
          <w:sz w:val="24"/>
          <w:szCs w:val="24"/>
          <w:lang w:val="en-GB"/>
        </w:rPr>
        <w:t>8</w:t>
      </w:r>
      <w:r w:rsidRPr="00E05745">
        <w:rPr>
          <w:rFonts w:ascii="Arial" w:hAnsi="Arial" w:cs="Arial"/>
          <w:b/>
          <w:sz w:val="24"/>
          <w:szCs w:val="24"/>
          <w:lang w:val="en-GB"/>
        </w:rPr>
        <w:t xml:space="preserve"> Feb 202</w:t>
      </w:r>
      <w:r w:rsidR="006127B2">
        <w:rPr>
          <w:rFonts w:ascii="Arial" w:hAnsi="Arial" w:cs="Arial"/>
          <w:b/>
          <w:sz w:val="24"/>
          <w:szCs w:val="24"/>
          <w:lang w:val="en-GB"/>
        </w:rPr>
        <w:t>4</w:t>
      </w:r>
    </w:p>
    <w:p w14:paraId="547686D6" w14:textId="272A13F0" w:rsidR="009B058F" w:rsidRPr="00E05745" w:rsidRDefault="007004BD" w:rsidP="009B058F">
      <w:pPr>
        <w:ind w:left="2127"/>
        <w:rPr>
          <w:rFonts w:ascii="Arial" w:hAnsi="Arial" w:cs="Arial"/>
          <w:b/>
          <w:sz w:val="24"/>
          <w:szCs w:val="24"/>
          <w:lang w:val="en-GB"/>
        </w:rPr>
      </w:pPr>
      <w:r w:rsidRPr="00E05745">
        <w:rPr>
          <w:rFonts w:ascii="Arial" w:hAnsi="Arial" w:cs="Arial"/>
          <w:b/>
          <w:sz w:val="24"/>
          <w:szCs w:val="24"/>
          <w:lang w:val="en-GB"/>
        </w:rPr>
        <w:t>Budget Council: 2</w:t>
      </w:r>
      <w:r w:rsidR="006127B2">
        <w:rPr>
          <w:rFonts w:ascii="Arial" w:hAnsi="Arial" w:cs="Arial"/>
          <w:b/>
          <w:sz w:val="24"/>
          <w:szCs w:val="24"/>
          <w:lang w:val="en-GB"/>
        </w:rPr>
        <w:t>2</w:t>
      </w:r>
      <w:r w:rsidRPr="00E05745">
        <w:rPr>
          <w:rFonts w:ascii="Arial" w:hAnsi="Arial" w:cs="Arial"/>
          <w:b/>
          <w:sz w:val="24"/>
          <w:szCs w:val="24"/>
          <w:lang w:val="en-GB"/>
        </w:rPr>
        <w:t xml:space="preserve"> Feb 202</w:t>
      </w:r>
      <w:r w:rsidR="006127B2">
        <w:rPr>
          <w:rFonts w:ascii="Arial" w:hAnsi="Arial" w:cs="Arial"/>
          <w:b/>
          <w:sz w:val="24"/>
          <w:szCs w:val="24"/>
          <w:lang w:val="en-GB"/>
        </w:rPr>
        <w:t>4</w:t>
      </w:r>
    </w:p>
    <w:p w14:paraId="621FAA97" w14:textId="77777777" w:rsidR="009B058F" w:rsidRPr="00E05745" w:rsidRDefault="009B058F" w:rsidP="009B058F">
      <w:pPr>
        <w:tabs>
          <w:tab w:val="left" w:pos="2127"/>
        </w:tabs>
        <w:ind w:left="2127"/>
        <w:rPr>
          <w:rFonts w:ascii="Arial" w:hAnsi="Arial" w:cs="Arial"/>
          <w:b/>
          <w:bCs/>
          <w:sz w:val="24"/>
          <w:szCs w:val="24"/>
          <w:lang w:val="en-GB"/>
        </w:rPr>
      </w:pPr>
    </w:p>
    <w:p w14:paraId="73E03D71" w14:textId="77777777" w:rsidR="009B058F" w:rsidRPr="00E05745" w:rsidRDefault="007004BD" w:rsidP="009B058F">
      <w:pPr>
        <w:tabs>
          <w:tab w:val="left" w:pos="2127"/>
        </w:tabs>
        <w:rPr>
          <w:rFonts w:ascii="Arial" w:hAnsi="Arial" w:cs="Arial"/>
          <w:b/>
          <w:bCs/>
          <w:sz w:val="24"/>
          <w:szCs w:val="24"/>
          <w:lang w:val="en-GB"/>
        </w:rPr>
      </w:pPr>
      <w:r w:rsidRPr="00E05745">
        <w:rPr>
          <w:rFonts w:ascii="Arial" w:hAnsi="Arial" w:cs="Arial"/>
          <w:b/>
          <w:bCs/>
          <w:sz w:val="24"/>
          <w:szCs w:val="24"/>
          <w:lang w:val="en-GB"/>
        </w:rPr>
        <w:t>Report of:</w:t>
      </w:r>
      <w:r w:rsidRPr="00E05745">
        <w:rPr>
          <w:rFonts w:ascii="Arial" w:hAnsi="Arial" w:cs="Arial"/>
          <w:b/>
          <w:bCs/>
          <w:sz w:val="24"/>
          <w:szCs w:val="24"/>
          <w:lang w:val="en-GB"/>
        </w:rPr>
        <w:tab/>
        <w:t>Chief Finance Officer</w:t>
      </w:r>
    </w:p>
    <w:p w14:paraId="7CA2090A" w14:textId="77777777" w:rsidR="009B058F" w:rsidRPr="00E05745" w:rsidRDefault="009B058F" w:rsidP="009B058F">
      <w:pPr>
        <w:tabs>
          <w:tab w:val="left" w:pos="2127"/>
        </w:tabs>
        <w:rPr>
          <w:rFonts w:ascii="Arial" w:hAnsi="Arial" w:cs="Arial"/>
          <w:b/>
          <w:bCs/>
          <w:sz w:val="24"/>
          <w:szCs w:val="24"/>
          <w:lang w:val="en-GB"/>
        </w:rPr>
      </w:pPr>
    </w:p>
    <w:p w14:paraId="6F41C189" w14:textId="1D55A634" w:rsidR="009B058F" w:rsidRPr="00E05745" w:rsidRDefault="007004BD" w:rsidP="009B058F">
      <w:pPr>
        <w:tabs>
          <w:tab w:val="left" w:pos="2127"/>
        </w:tabs>
        <w:rPr>
          <w:rFonts w:ascii="Arial" w:hAnsi="Arial" w:cs="Arial"/>
          <w:b/>
          <w:bCs/>
          <w:sz w:val="24"/>
          <w:szCs w:val="24"/>
          <w:lang w:val="en-GB"/>
        </w:rPr>
      </w:pPr>
      <w:r w:rsidRPr="00E05745">
        <w:rPr>
          <w:rFonts w:ascii="Arial" w:hAnsi="Arial" w:cs="Arial"/>
          <w:b/>
          <w:bCs/>
          <w:sz w:val="24"/>
          <w:szCs w:val="24"/>
          <w:lang w:val="en-GB"/>
        </w:rPr>
        <w:t>Contact Officer:</w:t>
      </w:r>
      <w:r w:rsidRPr="00E05745">
        <w:rPr>
          <w:rFonts w:ascii="Arial" w:hAnsi="Arial" w:cs="Arial"/>
          <w:b/>
          <w:bCs/>
          <w:sz w:val="24"/>
          <w:szCs w:val="24"/>
          <w:lang w:val="en-GB"/>
        </w:rPr>
        <w:tab/>
        <w:t>Name: Nigel Manvell</w:t>
      </w:r>
      <w:r w:rsidRPr="00E05745">
        <w:rPr>
          <w:rFonts w:ascii="Arial" w:hAnsi="Arial" w:cs="Arial"/>
          <w:b/>
          <w:bCs/>
          <w:sz w:val="24"/>
          <w:szCs w:val="24"/>
          <w:lang w:val="en-GB"/>
        </w:rPr>
        <w:tab/>
      </w:r>
      <w:r w:rsidRPr="00E05745">
        <w:rPr>
          <w:rFonts w:ascii="Arial" w:hAnsi="Arial" w:cs="Arial"/>
          <w:b/>
          <w:bCs/>
          <w:sz w:val="24"/>
          <w:szCs w:val="24"/>
          <w:lang w:val="en-GB"/>
        </w:rPr>
        <w:tab/>
        <w:t>Tel: 01273 29</w:t>
      </w:r>
      <w:r w:rsidR="007A4595">
        <w:rPr>
          <w:rFonts w:ascii="Arial" w:hAnsi="Arial" w:cs="Arial"/>
          <w:b/>
          <w:bCs/>
          <w:sz w:val="24"/>
          <w:szCs w:val="24"/>
          <w:lang w:val="en-GB"/>
        </w:rPr>
        <w:t>1233</w:t>
      </w:r>
    </w:p>
    <w:p w14:paraId="48AA9D2E" w14:textId="77777777" w:rsidR="009B058F" w:rsidRPr="00E05745" w:rsidRDefault="007004BD" w:rsidP="009B058F">
      <w:pPr>
        <w:tabs>
          <w:tab w:val="left" w:pos="2127"/>
        </w:tabs>
        <w:rPr>
          <w:rFonts w:ascii="Arial" w:hAnsi="Arial" w:cs="Arial"/>
          <w:b/>
          <w:bCs/>
          <w:sz w:val="24"/>
          <w:szCs w:val="24"/>
          <w:lang w:val="en-GB"/>
        </w:rPr>
      </w:pPr>
      <w:r w:rsidRPr="00E05745">
        <w:rPr>
          <w:rFonts w:ascii="Arial" w:hAnsi="Arial" w:cs="Arial"/>
          <w:b/>
          <w:bCs/>
          <w:sz w:val="24"/>
          <w:szCs w:val="24"/>
          <w:lang w:val="en-GB"/>
        </w:rPr>
        <w:tab/>
      </w:r>
      <w:r w:rsidRPr="00E05745">
        <w:rPr>
          <w:rFonts w:ascii="Arial" w:hAnsi="Arial" w:cs="Arial"/>
          <w:b/>
          <w:bCs/>
          <w:sz w:val="24"/>
          <w:szCs w:val="24"/>
          <w:lang w:val="en-GB"/>
        </w:rPr>
        <w:tab/>
      </w:r>
      <w:r w:rsidRPr="00E05745">
        <w:rPr>
          <w:rFonts w:ascii="Arial" w:hAnsi="Arial" w:cs="Arial"/>
          <w:b/>
          <w:bCs/>
          <w:sz w:val="24"/>
          <w:szCs w:val="24"/>
          <w:lang w:val="en-GB"/>
        </w:rPr>
        <w:tab/>
        <w:t>James Hengeveld</w:t>
      </w:r>
      <w:r w:rsidRPr="00E05745">
        <w:rPr>
          <w:rFonts w:ascii="Arial" w:hAnsi="Arial" w:cs="Arial"/>
          <w:b/>
          <w:bCs/>
          <w:sz w:val="24"/>
          <w:szCs w:val="24"/>
          <w:lang w:val="en-GB"/>
        </w:rPr>
        <w:tab/>
      </w:r>
      <w:r w:rsidRPr="00E05745">
        <w:rPr>
          <w:rFonts w:ascii="Arial" w:hAnsi="Arial" w:cs="Arial"/>
          <w:b/>
          <w:bCs/>
          <w:sz w:val="24"/>
          <w:szCs w:val="24"/>
          <w:lang w:val="en-GB"/>
        </w:rPr>
        <w:tab/>
        <w:t>Tel: 01273 291242</w:t>
      </w:r>
    </w:p>
    <w:p w14:paraId="545CC3A7" w14:textId="77777777" w:rsidR="009B058F" w:rsidRPr="00E05745" w:rsidRDefault="009B058F" w:rsidP="009B058F">
      <w:pPr>
        <w:tabs>
          <w:tab w:val="left" w:pos="2127"/>
        </w:tabs>
        <w:rPr>
          <w:rFonts w:ascii="Arial" w:hAnsi="Arial" w:cs="Arial"/>
          <w:b/>
          <w:bCs/>
          <w:sz w:val="24"/>
          <w:szCs w:val="24"/>
          <w:lang w:val="en-GB"/>
        </w:rPr>
      </w:pPr>
    </w:p>
    <w:p w14:paraId="05CAC4A0" w14:textId="77777777" w:rsidR="009B058F" w:rsidRPr="00E05745" w:rsidRDefault="007004BD" w:rsidP="009B058F">
      <w:pPr>
        <w:rPr>
          <w:rFonts w:ascii="Arial" w:hAnsi="Arial" w:cs="Arial"/>
          <w:sz w:val="24"/>
          <w:szCs w:val="24"/>
          <w:lang w:val="en-GB"/>
        </w:rPr>
      </w:pPr>
      <w:r w:rsidRPr="00E05745">
        <w:rPr>
          <w:rFonts w:ascii="Arial" w:hAnsi="Arial" w:cs="Arial"/>
          <w:b/>
          <w:bCs/>
          <w:sz w:val="24"/>
          <w:szCs w:val="24"/>
          <w:lang w:val="en-GB"/>
        </w:rPr>
        <w:tab/>
      </w:r>
      <w:r w:rsidRPr="00E05745">
        <w:rPr>
          <w:rFonts w:ascii="Arial" w:hAnsi="Arial" w:cs="Arial"/>
          <w:b/>
          <w:bCs/>
          <w:sz w:val="24"/>
          <w:szCs w:val="24"/>
          <w:lang w:val="en-GB"/>
        </w:rPr>
        <w:tab/>
      </w:r>
      <w:r w:rsidRPr="00E05745">
        <w:rPr>
          <w:rFonts w:ascii="Arial" w:hAnsi="Arial" w:cs="Arial"/>
          <w:b/>
          <w:bCs/>
          <w:sz w:val="24"/>
          <w:szCs w:val="24"/>
          <w:lang w:val="en-GB"/>
        </w:rPr>
        <w:tab/>
        <w:t xml:space="preserve">Email: </w:t>
      </w:r>
      <w:hyperlink r:id="rId8" w:history="1">
        <w:r w:rsidRPr="00E05745">
          <w:rPr>
            <w:rFonts w:ascii="Arial" w:hAnsi="Arial" w:cs="Arial"/>
            <w:color w:val="0000FF"/>
            <w:sz w:val="24"/>
            <w:szCs w:val="24"/>
            <w:u w:val="single"/>
            <w:lang w:val="en-GB"/>
          </w:rPr>
          <w:t>nigel.manvell@brighton-hove.gov.uk</w:t>
        </w:r>
      </w:hyperlink>
    </w:p>
    <w:p w14:paraId="4EE5D144" w14:textId="77777777" w:rsidR="009B058F" w:rsidRPr="00E05745" w:rsidRDefault="007004BD" w:rsidP="009B058F">
      <w:pPr>
        <w:tabs>
          <w:tab w:val="left" w:pos="2127"/>
        </w:tabs>
        <w:rPr>
          <w:rFonts w:ascii="Arial" w:hAnsi="Arial" w:cs="Arial"/>
          <w:b/>
          <w:bCs/>
          <w:sz w:val="24"/>
          <w:szCs w:val="24"/>
          <w:lang w:val="en-GB"/>
        </w:rPr>
      </w:pPr>
      <w:r w:rsidRPr="00E05745">
        <w:rPr>
          <w:rFonts w:ascii="Arial" w:hAnsi="Arial" w:cs="Arial"/>
          <w:sz w:val="24"/>
          <w:szCs w:val="24"/>
          <w:lang w:val="en-GB"/>
        </w:rPr>
        <w:tab/>
      </w:r>
      <w:r w:rsidRPr="00E05745">
        <w:rPr>
          <w:rFonts w:ascii="Arial" w:hAnsi="Arial" w:cs="Arial"/>
          <w:sz w:val="24"/>
          <w:szCs w:val="24"/>
          <w:lang w:val="en-GB"/>
        </w:rPr>
        <w:tab/>
      </w:r>
      <w:r w:rsidRPr="00E05745">
        <w:rPr>
          <w:rFonts w:ascii="Arial" w:hAnsi="Arial" w:cs="Arial"/>
          <w:sz w:val="24"/>
          <w:szCs w:val="24"/>
          <w:lang w:val="en-GB"/>
        </w:rPr>
        <w:tab/>
        <w:t xml:space="preserve"> </w:t>
      </w:r>
      <w:hyperlink r:id="rId9" w:history="1">
        <w:r w:rsidRPr="00E05745">
          <w:rPr>
            <w:rStyle w:val="Hyperlink"/>
            <w:rFonts w:ascii="Arial" w:eastAsiaTheme="minorEastAsia" w:hAnsi="Arial" w:cs="Arial"/>
            <w:sz w:val="24"/>
            <w:szCs w:val="24"/>
            <w:lang w:val="en-GB"/>
          </w:rPr>
          <w:t>james.hengeveld@brighton-hove.gov.uk</w:t>
        </w:r>
      </w:hyperlink>
    </w:p>
    <w:p w14:paraId="6199FECF" w14:textId="77777777" w:rsidR="009B058F" w:rsidRPr="00E05745" w:rsidRDefault="007004BD" w:rsidP="009B058F">
      <w:pPr>
        <w:tabs>
          <w:tab w:val="left" w:pos="2127"/>
        </w:tabs>
        <w:rPr>
          <w:rFonts w:ascii="Arial" w:hAnsi="Arial" w:cs="Arial"/>
          <w:b/>
          <w:bCs/>
          <w:sz w:val="24"/>
          <w:szCs w:val="24"/>
          <w:lang w:val="en-GB"/>
        </w:rPr>
      </w:pPr>
      <w:r w:rsidRPr="00E05745">
        <w:rPr>
          <w:rFonts w:ascii="Arial" w:hAnsi="Arial" w:cs="Arial"/>
          <w:b/>
          <w:bCs/>
          <w:sz w:val="24"/>
          <w:szCs w:val="24"/>
          <w:lang w:val="en-GB"/>
        </w:rPr>
        <w:tab/>
      </w:r>
    </w:p>
    <w:p w14:paraId="6BD1349F" w14:textId="77777777" w:rsidR="009B058F" w:rsidRPr="00E05745" w:rsidRDefault="007004BD" w:rsidP="009B058F">
      <w:pPr>
        <w:tabs>
          <w:tab w:val="left" w:pos="2127"/>
        </w:tabs>
        <w:rPr>
          <w:rFonts w:ascii="Arial" w:hAnsi="Arial" w:cs="Arial"/>
          <w:b/>
          <w:bCs/>
          <w:sz w:val="24"/>
          <w:szCs w:val="24"/>
          <w:lang w:val="en-GB"/>
        </w:rPr>
      </w:pPr>
      <w:r w:rsidRPr="00E05745">
        <w:rPr>
          <w:rFonts w:ascii="Arial" w:hAnsi="Arial" w:cs="Arial"/>
          <w:b/>
          <w:bCs/>
          <w:sz w:val="24"/>
          <w:szCs w:val="24"/>
          <w:lang w:val="en-GB"/>
        </w:rPr>
        <w:t>Ward(s) affected:</w:t>
      </w:r>
      <w:r w:rsidRPr="00E05745">
        <w:rPr>
          <w:rFonts w:ascii="Arial" w:hAnsi="Arial" w:cs="Arial"/>
          <w:b/>
          <w:bCs/>
          <w:sz w:val="24"/>
          <w:szCs w:val="24"/>
          <w:lang w:val="en-GB"/>
        </w:rPr>
        <w:tab/>
        <w:t xml:space="preserve">All </w:t>
      </w:r>
    </w:p>
    <w:bookmarkEnd w:id="0"/>
    <w:p w14:paraId="53DCA767" w14:textId="77777777" w:rsidR="009B058F" w:rsidRPr="00E05745" w:rsidRDefault="009B058F" w:rsidP="009B058F">
      <w:pPr>
        <w:rPr>
          <w:rFonts w:ascii="Arial" w:hAnsi="Arial" w:cs="Arial"/>
          <w:b/>
          <w:sz w:val="24"/>
          <w:szCs w:val="24"/>
          <w:lang w:val="en-GB"/>
        </w:rPr>
      </w:pPr>
    </w:p>
    <w:p w14:paraId="530F0D22" w14:textId="77777777" w:rsidR="009B058F" w:rsidRPr="00E05745" w:rsidRDefault="009B058F" w:rsidP="009B058F">
      <w:pPr>
        <w:rPr>
          <w:rFonts w:ascii="Arial" w:hAnsi="Arial" w:cs="Arial"/>
          <w:b/>
          <w:sz w:val="24"/>
          <w:szCs w:val="24"/>
          <w:lang w:val="en-GB"/>
        </w:rPr>
      </w:pPr>
    </w:p>
    <w:p w14:paraId="0377AEB7" w14:textId="77777777" w:rsidR="009B058F" w:rsidRPr="00E05745" w:rsidRDefault="007004BD" w:rsidP="009B058F">
      <w:pPr>
        <w:rPr>
          <w:rFonts w:ascii="Arial" w:hAnsi="Arial" w:cs="Arial"/>
          <w:b/>
          <w:sz w:val="24"/>
          <w:szCs w:val="24"/>
          <w:lang w:val="en-GB"/>
        </w:rPr>
      </w:pPr>
      <w:r w:rsidRPr="00E05745">
        <w:rPr>
          <w:rFonts w:ascii="Arial" w:hAnsi="Arial" w:cs="Arial"/>
          <w:b/>
          <w:sz w:val="24"/>
          <w:szCs w:val="24"/>
          <w:lang w:val="en-GB"/>
        </w:rPr>
        <w:t xml:space="preserve">FOR GENERAL RELEASE </w:t>
      </w:r>
    </w:p>
    <w:p w14:paraId="21766266" w14:textId="77777777" w:rsidR="009B058F" w:rsidRPr="00E05745" w:rsidRDefault="009B058F" w:rsidP="009B058F">
      <w:pPr>
        <w:rPr>
          <w:rFonts w:ascii="Arial" w:hAnsi="Arial" w:cs="Arial"/>
          <w:i/>
          <w:sz w:val="24"/>
          <w:szCs w:val="24"/>
          <w:lang w:val="en-GB"/>
        </w:rPr>
      </w:pPr>
    </w:p>
    <w:p w14:paraId="55A99435" w14:textId="77777777" w:rsidR="009B058F" w:rsidRPr="00E05745" w:rsidRDefault="007004BD" w:rsidP="0057041E">
      <w:pPr>
        <w:pStyle w:val="Heading1"/>
        <w:rPr>
          <w:lang w:val="en-GB"/>
        </w:rPr>
      </w:pPr>
      <w:r w:rsidRPr="00E05745">
        <w:rPr>
          <w:lang w:val="en-GB"/>
        </w:rPr>
        <w:t>PURPOSE OF REPORT AND POLICY CONTEXT</w:t>
      </w:r>
    </w:p>
    <w:p w14:paraId="65A79516" w14:textId="75527645" w:rsidR="009B058F" w:rsidRPr="00E05745" w:rsidRDefault="007004BD" w:rsidP="00E945CB">
      <w:pPr>
        <w:pStyle w:val="Heading2"/>
      </w:pPr>
      <w:r w:rsidRPr="00E05745">
        <w:t>This report includes the proposed General Fund Revenue and Capital Budget 202</w:t>
      </w:r>
      <w:r w:rsidR="0057041E" w:rsidRPr="00E05745">
        <w:t>4</w:t>
      </w:r>
      <w:r w:rsidRPr="00E05745">
        <w:t>/2</w:t>
      </w:r>
      <w:r w:rsidR="0057041E" w:rsidRPr="00E05745">
        <w:t>5</w:t>
      </w:r>
      <w:r w:rsidRPr="00E05745">
        <w:t xml:space="preserve"> including the latest estimated resource position for </w:t>
      </w:r>
      <w:r w:rsidR="0057041E" w:rsidRPr="00E05745">
        <w:t>the Medium</w:t>
      </w:r>
      <w:r w:rsidR="00505CFB" w:rsidRPr="00E05745">
        <w:t>-</w:t>
      </w:r>
      <w:r w:rsidR="0057041E" w:rsidRPr="00E05745">
        <w:t xml:space="preserve">Term Financial Strategy </w:t>
      </w:r>
      <w:r w:rsidR="00A41AE0">
        <w:t xml:space="preserve">(MTFS) </w:t>
      </w:r>
      <w:r w:rsidR="0057041E" w:rsidRPr="00E05745">
        <w:t xml:space="preserve">covering </w:t>
      </w:r>
      <w:r w:rsidRPr="00E05745">
        <w:t>202</w:t>
      </w:r>
      <w:r w:rsidR="0057041E" w:rsidRPr="00E05745">
        <w:t>4</w:t>
      </w:r>
      <w:r w:rsidRPr="00E05745">
        <w:t>/2</w:t>
      </w:r>
      <w:r w:rsidR="0057041E" w:rsidRPr="00E05745">
        <w:t>5</w:t>
      </w:r>
      <w:r w:rsidRPr="00E05745">
        <w:t xml:space="preserve"> to 202</w:t>
      </w:r>
      <w:r w:rsidR="0057041E" w:rsidRPr="00E05745">
        <w:t>7</w:t>
      </w:r>
      <w:r w:rsidRPr="00E05745">
        <w:t>/2</w:t>
      </w:r>
      <w:r w:rsidR="0057041E" w:rsidRPr="00E05745">
        <w:t>8</w:t>
      </w:r>
      <w:r w:rsidRPr="00E05745">
        <w:t>, including changes in assumptions arising from the key impacts of the Autumn Statement 202</w:t>
      </w:r>
      <w:r w:rsidR="0057041E" w:rsidRPr="00E05745">
        <w:t>3</w:t>
      </w:r>
      <w:r w:rsidRPr="00E05745">
        <w:t xml:space="preserve"> and the subsequent provisional Local Government Financial Settlement. It also includes revised estimates of demographic and cost trends based on the latest information and forecasts. This includes updated </w:t>
      </w:r>
      <w:r w:rsidR="00505CFB" w:rsidRPr="00E05745">
        <w:t xml:space="preserve">Council Tax and Business Rate </w:t>
      </w:r>
      <w:r w:rsidRPr="00E05745">
        <w:t xml:space="preserve">tax base forecasts as received by </w:t>
      </w:r>
      <w:r w:rsidR="0057041E" w:rsidRPr="00E05745">
        <w:t>Strategy, Finance &amp; City Regeneration</w:t>
      </w:r>
      <w:r w:rsidRPr="00E05745">
        <w:t xml:space="preserve"> Committee at its January 202</w:t>
      </w:r>
      <w:r w:rsidR="0057041E" w:rsidRPr="00E05745">
        <w:t>4</w:t>
      </w:r>
      <w:r w:rsidRPr="00E05745">
        <w:t xml:space="preserve"> meeting.</w:t>
      </w:r>
    </w:p>
    <w:p w14:paraId="124AE210" w14:textId="132F6E71" w:rsidR="00104749" w:rsidRPr="00E05745" w:rsidRDefault="007004BD" w:rsidP="00E945CB">
      <w:pPr>
        <w:pStyle w:val="Heading2"/>
      </w:pPr>
      <w:r w:rsidRPr="00E05745">
        <w:t>The Autumn Statement 202</w:t>
      </w:r>
      <w:r w:rsidR="0057041E" w:rsidRPr="00E05745">
        <w:t>3</w:t>
      </w:r>
      <w:r w:rsidRPr="00E05745">
        <w:t xml:space="preserve"> </w:t>
      </w:r>
      <w:r w:rsidR="001C0AFD">
        <w:t xml:space="preserve">and recent additional funding announcement </w:t>
      </w:r>
      <w:r w:rsidRPr="00E05745">
        <w:t xml:space="preserve">purport to increase Local Government Spending Power by </w:t>
      </w:r>
      <w:r w:rsidR="001C0AFD">
        <w:t>7</w:t>
      </w:r>
      <w:r w:rsidR="0057041E" w:rsidRPr="00E05745">
        <w:t>.5</w:t>
      </w:r>
      <w:r w:rsidRPr="00E05745">
        <w:t xml:space="preserve">% </w:t>
      </w:r>
      <w:r w:rsidR="0057041E" w:rsidRPr="00E05745">
        <w:t>for</w:t>
      </w:r>
      <w:r w:rsidRPr="00E05745">
        <w:t xml:space="preserve"> 202</w:t>
      </w:r>
      <w:r w:rsidR="0057041E" w:rsidRPr="00E05745">
        <w:t>4</w:t>
      </w:r>
      <w:r w:rsidRPr="00E05745">
        <w:t>/2</w:t>
      </w:r>
      <w:r w:rsidR="0057041E" w:rsidRPr="00E05745">
        <w:t>5</w:t>
      </w:r>
      <w:r w:rsidRPr="00E05745">
        <w:t>. However, this includes</w:t>
      </w:r>
      <w:r w:rsidR="0057041E" w:rsidRPr="00E05745">
        <w:t xml:space="preserve"> assumed maximum</w:t>
      </w:r>
      <w:r w:rsidRPr="00E05745">
        <w:t xml:space="preserve"> Council Tax increases of up to 4.99%, including an Adult Social Care precept of 2%</w:t>
      </w:r>
      <w:r w:rsidR="0057041E" w:rsidRPr="00E05745">
        <w:t>, and a Business Rates increase of 6.7% in line with September 2023 CPI</w:t>
      </w:r>
      <w:r w:rsidRPr="00E05745">
        <w:t>.</w:t>
      </w:r>
      <w:r w:rsidR="0057041E" w:rsidRPr="00E05745">
        <w:t xml:space="preserve"> Therefore, a substantial element of the increase will fall on local businesses and council tax</w:t>
      </w:r>
      <w:r w:rsidRPr="00E05745">
        <w:t>-</w:t>
      </w:r>
      <w:r w:rsidR="0057041E" w:rsidRPr="00E05745">
        <w:t>payers.</w:t>
      </w:r>
    </w:p>
    <w:p w14:paraId="3B76B3AF" w14:textId="1F2D7796" w:rsidR="00060D61" w:rsidRPr="00E05745" w:rsidRDefault="007004BD" w:rsidP="00E945CB">
      <w:pPr>
        <w:pStyle w:val="Heading2"/>
      </w:pPr>
      <w:r w:rsidRPr="00E05745">
        <w:t xml:space="preserve">Real Terms inflation being experienced by the council is closer to </w:t>
      </w:r>
      <w:r w:rsidR="00104749" w:rsidRPr="00E05745">
        <w:t>8</w:t>
      </w:r>
      <w:r w:rsidRPr="00E05745">
        <w:t xml:space="preserve">% due to increases in the costs of social care provision, most of which is externally provided, together with energy cost uplifts, increased interest rates driving up capital financing costs, and </w:t>
      </w:r>
      <w:r w:rsidR="00104749" w:rsidRPr="00E05745">
        <w:t xml:space="preserve">increased external contract costs. </w:t>
      </w:r>
      <w:r w:rsidR="001C0AFD">
        <w:t>However, th</w:t>
      </w:r>
      <w:r w:rsidR="00104749" w:rsidRPr="00E05745">
        <w:t>is is before significant increase</w:t>
      </w:r>
      <w:r w:rsidR="00874C7B" w:rsidRPr="00E05745">
        <w:t>s</w:t>
      </w:r>
      <w:r w:rsidR="00104749" w:rsidRPr="00E05745">
        <w:t xml:space="preserve"> in demands </w:t>
      </w:r>
      <w:r w:rsidR="00874C7B" w:rsidRPr="00E05745">
        <w:t>are</w:t>
      </w:r>
      <w:r w:rsidR="00104749" w:rsidRPr="00E05745">
        <w:t xml:space="preserve"> added including, for example, significant growth in adult and children’s social care, home to school transport, and homelessness. </w:t>
      </w:r>
      <w:r w:rsidRPr="00E05745">
        <w:t xml:space="preserve">A further impact that is compounding funding pressures is the impact of the cost of living crisis on council incomes including everything from reduced planning </w:t>
      </w:r>
      <w:r w:rsidR="00874C7B" w:rsidRPr="00E05745">
        <w:t>fees</w:t>
      </w:r>
      <w:r w:rsidRPr="00E05745">
        <w:t xml:space="preserve"> to lower commercial rent incomes to </w:t>
      </w:r>
      <w:r w:rsidR="00874C7B" w:rsidRPr="00E05745">
        <w:t>lower than expected</w:t>
      </w:r>
      <w:r w:rsidRPr="00E05745">
        <w:t xml:space="preserve"> parking and permit income.</w:t>
      </w:r>
    </w:p>
    <w:p w14:paraId="690F530B" w14:textId="023B1E68" w:rsidR="009B058F" w:rsidRPr="00E05745" w:rsidRDefault="007004BD" w:rsidP="00E945CB">
      <w:pPr>
        <w:pStyle w:val="Heading2"/>
      </w:pPr>
      <w:r w:rsidRPr="00E05745">
        <w:t>As the Local Government Association</w:t>
      </w:r>
      <w:r w:rsidR="00476205">
        <w:t xml:space="preserve"> (LGA)</w:t>
      </w:r>
      <w:r w:rsidRPr="00E05745">
        <w:t xml:space="preserve"> has noted, the Autumn Statement 2023 falls far short of the funding needed to meet demand and cost pressures </w:t>
      </w:r>
      <w:r w:rsidRPr="00E05745">
        <w:lastRenderedPageBreak/>
        <w:t xml:space="preserve">across local government. The LGA estimates a £4 billion funding gap over the next two years, likely to require large cuts to local services and the use of at least £2.3 </w:t>
      </w:r>
      <w:bookmarkStart w:id="1" w:name="_Hlk157521166"/>
      <w:r w:rsidRPr="00E05745">
        <w:t>billion council reserves to avoid sector-wide Section 114 ‘bankruptcy’ notices. A highly unsustainable position.</w:t>
      </w:r>
      <w:r w:rsidR="001C0AFD">
        <w:t xml:space="preserve"> The additional funding announcement on 24 January</w:t>
      </w:r>
      <w:r w:rsidR="00103BF5">
        <w:t xml:space="preserve"> 2024</w:t>
      </w:r>
      <w:r w:rsidR="001C0AFD">
        <w:t xml:space="preserve"> is welcomed by the sector but does not address the scale of the overall situation.</w:t>
      </w:r>
    </w:p>
    <w:p w14:paraId="0FBAF3FA" w14:textId="1AF89140" w:rsidR="00104749" w:rsidRPr="00E05745" w:rsidRDefault="007004BD" w:rsidP="00E945CB">
      <w:pPr>
        <w:pStyle w:val="Heading2"/>
      </w:pPr>
      <w:r w:rsidRPr="00E05745">
        <w:t xml:space="preserve">In this council, the conservative estimate of the growth in costs and demands </w:t>
      </w:r>
      <w:r w:rsidR="00060D61" w:rsidRPr="00E05745">
        <w:t xml:space="preserve">in 2024/25 is approximately </w:t>
      </w:r>
      <w:r w:rsidR="00060D61" w:rsidRPr="00476205">
        <w:t>£</w:t>
      </w:r>
      <w:r w:rsidR="000830AF" w:rsidRPr="00476205">
        <w:t>48</w:t>
      </w:r>
      <w:r w:rsidR="00060D61" w:rsidRPr="00476205">
        <w:t xml:space="preserve"> million, an unprecedented increase of over 2</w:t>
      </w:r>
      <w:r w:rsidR="000830AF" w:rsidRPr="00476205">
        <w:t>0</w:t>
      </w:r>
      <w:r w:rsidR="00060D61" w:rsidRPr="00476205">
        <w:t>%</w:t>
      </w:r>
      <w:r w:rsidR="00060D61" w:rsidRPr="00E05745">
        <w:t xml:space="preserve"> of the council’s net budget. This includes the </w:t>
      </w:r>
      <w:r w:rsidR="00874C7B" w:rsidRPr="00E05745">
        <w:t>combined</w:t>
      </w:r>
      <w:r w:rsidR="00060D61" w:rsidRPr="00E05745">
        <w:t xml:space="preserve"> impact of inflation, </w:t>
      </w:r>
      <w:r w:rsidR="00874C7B" w:rsidRPr="00E05745">
        <w:t xml:space="preserve">increased </w:t>
      </w:r>
      <w:r w:rsidR="00060D61" w:rsidRPr="00E05745">
        <w:t>demand</w:t>
      </w:r>
      <w:r w:rsidR="00874C7B" w:rsidRPr="00E05745">
        <w:t>s</w:t>
      </w:r>
      <w:r w:rsidR="00060D61" w:rsidRPr="00E05745">
        <w:t xml:space="preserve"> and reduced incomes </w:t>
      </w:r>
      <w:r w:rsidR="00874C7B" w:rsidRPr="00E05745">
        <w:t xml:space="preserve">as </w:t>
      </w:r>
      <w:r w:rsidR="00060D61" w:rsidRPr="00E05745">
        <w:t>referred to above. It also</w:t>
      </w:r>
      <w:r w:rsidR="00874C7B" w:rsidRPr="00E05745">
        <w:t xml:space="preserve"> includes an assumption of 3% for the</w:t>
      </w:r>
      <w:r w:rsidR="00060D61" w:rsidRPr="00E05745">
        <w:t xml:space="preserve"> nationally </w:t>
      </w:r>
      <w:r w:rsidR="00874C7B" w:rsidRPr="00E05745">
        <w:t xml:space="preserve">set </w:t>
      </w:r>
      <w:r w:rsidR="00060D61" w:rsidRPr="00E05745">
        <w:t>Local Government pay award</w:t>
      </w:r>
      <w:r w:rsidR="00874C7B" w:rsidRPr="00E05745">
        <w:t>, yet to be negotiated</w:t>
      </w:r>
      <w:r w:rsidR="00060D61" w:rsidRPr="00E05745">
        <w:t>.</w:t>
      </w:r>
    </w:p>
    <w:p w14:paraId="7C0D83B9" w14:textId="3AE15B64" w:rsidR="00CD4D9E" w:rsidRPr="00E05745" w:rsidRDefault="007004BD" w:rsidP="00E945CB">
      <w:pPr>
        <w:pStyle w:val="Heading2"/>
      </w:pPr>
      <w:r w:rsidRPr="00E05745">
        <w:t xml:space="preserve">The combination of unprecedented cost pressures and an Autumn Statement that offered nothing </w:t>
      </w:r>
      <w:r w:rsidR="00D76B8F">
        <w:t>above</w:t>
      </w:r>
      <w:r w:rsidRPr="00E05745">
        <w:t xml:space="preserve"> the 2-year announcement made</w:t>
      </w:r>
      <w:r w:rsidR="00476205">
        <w:t xml:space="preserve"> in</w:t>
      </w:r>
      <w:r w:rsidRPr="00E05745">
        <w:t xml:space="preserve"> 2022, despite inflation continuing to be much higher than forecast by the Office of Budget Responsibility together with increased interest rates and an ongoing cost of living crisis, has, unsurprisingly, resulted in the biggest financial challenge this council has ever faced. A budget shortfall (gap) of </w:t>
      </w:r>
      <w:r w:rsidR="00A35BFB">
        <w:t>over</w:t>
      </w:r>
      <w:r w:rsidRPr="00E05745">
        <w:t xml:space="preserve"> </w:t>
      </w:r>
      <w:r w:rsidRPr="008B3D71">
        <w:t>£3</w:t>
      </w:r>
      <w:r w:rsidR="00A35BFB" w:rsidRPr="008B3D71">
        <w:t>0</w:t>
      </w:r>
      <w:r w:rsidRPr="008B3D71">
        <w:t xml:space="preserve"> million</w:t>
      </w:r>
      <w:r w:rsidRPr="00E05745">
        <w:t xml:space="preserve"> is estimated for 2024/25 and this inevitably result</w:t>
      </w:r>
      <w:r w:rsidR="00D76B8F">
        <w:t>s</w:t>
      </w:r>
      <w:r w:rsidRPr="00E05745">
        <w:t xml:space="preserve"> in some very difficult choices given that the council has no unallocated provisions or risk reserves to help the position in the short term. This is due to cumulative savings </w:t>
      </w:r>
      <w:r w:rsidR="00A35550" w:rsidRPr="00E05745">
        <w:t xml:space="preserve">and cuts </w:t>
      </w:r>
      <w:r w:rsidRPr="00E05745">
        <w:t>of over £2</w:t>
      </w:r>
      <w:r w:rsidR="00A35550" w:rsidRPr="00E05745">
        <w:t>40</w:t>
      </w:r>
      <w:r w:rsidRPr="00E05745">
        <w:t xml:space="preserve"> million having been </w:t>
      </w:r>
      <w:r w:rsidR="00A35550" w:rsidRPr="00E05745">
        <w:t>required</w:t>
      </w:r>
      <w:r w:rsidRPr="00E05745">
        <w:t xml:space="preserve"> since 2010 in the context of a loss of government grant of over £120 million in real terms</w:t>
      </w:r>
      <w:r w:rsidR="00A35550" w:rsidRPr="00E05745">
        <w:t>, the capping of Council Tax increases,</w:t>
      </w:r>
      <w:r w:rsidRPr="00E05745">
        <w:t xml:space="preserve"> and </w:t>
      </w:r>
      <w:r w:rsidR="00A35550" w:rsidRPr="00E05745">
        <w:t>very significant increases in demands and needs for statutory services such as social care over the same period.</w:t>
      </w:r>
    </w:p>
    <w:p w14:paraId="2A59C537" w14:textId="2F3F4530" w:rsidR="00DC62BB" w:rsidRPr="00E05745" w:rsidRDefault="007004BD" w:rsidP="00E945CB">
      <w:pPr>
        <w:pStyle w:val="Heading2"/>
      </w:pPr>
      <w:r w:rsidRPr="00E05745">
        <w:t>As before, the government continues to issue very late, short term (one year) funding settlements</w:t>
      </w:r>
      <w:r w:rsidR="008B3D71">
        <w:t>;</w:t>
      </w:r>
      <w:r w:rsidRPr="00E05745">
        <w:t xml:space="preserve"> 2024/25 being the sixth one-year settlement in succession. It has also failed to review or resolve any of the long-term funding issues that it set out to address including Adult Social Care, the Fair Funding review, and the review of Business Rates. This adds to the challenge of councils being able to develop viable, sustainable </w:t>
      </w:r>
      <w:r w:rsidR="009B058F" w:rsidRPr="00E05745">
        <w:t xml:space="preserve">medium term </w:t>
      </w:r>
      <w:r w:rsidRPr="00E05745">
        <w:t xml:space="preserve">financial plans and it remains to be seen how many councils will </w:t>
      </w:r>
      <w:r w:rsidR="00874C7B" w:rsidRPr="00E05745">
        <w:t>continue to be</w:t>
      </w:r>
      <w:r w:rsidRPr="00E05745">
        <w:t xml:space="preserve"> </w:t>
      </w:r>
      <w:r w:rsidR="0070180B" w:rsidRPr="00E05745">
        <w:t xml:space="preserve">financially </w:t>
      </w:r>
      <w:r w:rsidRPr="00E05745">
        <w:t>viable over the next 2 years</w:t>
      </w:r>
      <w:r w:rsidR="0070180B" w:rsidRPr="00E05745">
        <w:t xml:space="preserve"> without resorting to unsustainable, short-term measures including using up emergency reserves (Working Balances) or selling off public assets</w:t>
      </w:r>
      <w:r w:rsidRPr="00E05745">
        <w:t>.</w:t>
      </w:r>
    </w:p>
    <w:p w14:paraId="3EBD5C39" w14:textId="77777777" w:rsidR="009B058F" w:rsidRPr="00E05745" w:rsidRDefault="007004BD" w:rsidP="0057041E">
      <w:pPr>
        <w:pStyle w:val="Heading1"/>
        <w:rPr>
          <w:lang w:val="en-GB"/>
        </w:rPr>
      </w:pPr>
      <w:r w:rsidRPr="00E05745">
        <w:rPr>
          <w:lang w:val="en-GB"/>
        </w:rPr>
        <w:t>RECOMMENDATIONS:</w:t>
      </w:r>
    </w:p>
    <w:p w14:paraId="0187DDDA" w14:textId="52074BBC" w:rsidR="009B058F" w:rsidRPr="00E05745" w:rsidRDefault="007004BD" w:rsidP="00E945CB">
      <w:pPr>
        <w:pStyle w:val="Heading2"/>
        <w:numPr>
          <w:ilvl w:val="0"/>
          <w:numId w:val="0"/>
        </w:numPr>
        <w:ind w:left="709"/>
      </w:pPr>
      <w:r w:rsidRPr="00E05745">
        <w:t xml:space="preserve">That </w:t>
      </w:r>
      <w:r w:rsidR="0070180B" w:rsidRPr="00E05745">
        <w:t>Strategy, Finance &amp; City Regeneration</w:t>
      </w:r>
      <w:r w:rsidRPr="00E05745">
        <w:t xml:space="preserve"> Committee recommends to Council:</w:t>
      </w:r>
    </w:p>
    <w:p w14:paraId="5456959D" w14:textId="618A58DC" w:rsidR="009B058F" w:rsidRPr="00E05745" w:rsidRDefault="007004BD" w:rsidP="00E945CB">
      <w:pPr>
        <w:pStyle w:val="Heading2"/>
      </w:pPr>
      <w:r w:rsidRPr="00E05745">
        <w:t xml:space="preserve">The Administration’s proposed budget and Council Tax increase on the Brighton </w:t>
      </w:r>
      <w:r w:rsidR="00EB0033">
        <w:t>and</w:t>
      </w:r>
      <w:r w:rsidRPr="00E05745">
        <w:t xml:space="preserve"> Hove element of the council tax, comprising:</w:t>
      </w:r>
    </w:p>
    <w:p w14:paraId="18B68254" w14:textId="77777777" w:rsidR="009B058F" w:rsidRPr="00E05745" w:rsidRDefault="007004BD" w:rsidP="00E945CB">
      <w:pPr>
        <w:pStyle w:val="Heading2"/>
        <w:numPr>
          <w:ilvl w:val="2"/>
          <w:numId w:val="7"/>
        </w:numPr>
        <w:ind w:left="1134" w:hanging="414"/>
      </w:pPr>
      <w:r w:rsidRPr="00E05745">
        <w:t>A general Council Tax increase of 2.99%;</w:t>
      </w:r>
    </w:p>
    <w:p w14:paraId="2CB28ABD" w14:textId="77777777" w:rsidR="009B058F" w:rsidRPr="00E05745" w:rsidRDefault="007004BD" w:rsidP="00E945CB">
      <w:pPr>
        <w:pStyle w:val="Heading2"/>
        <w:numPr>
          <w:ilvl w:val="2"/>
          <w:numId w:val="7"/>
        </w:numPr>
        <w:ind w:left="1134" w:hanging="414"/>
      </w:pPr>
      <w:r w:rsidRPr="00E05745">
        <w:t>An Adult Social Care Precept increase of 2.00%;</w:t>
      </w:r>
    </w:p>
    <w:p w14:paraId="58812D4E" w14:textId="08AB48D1" w:rsidR="009B058F" w:rsidRPr="00E05745" w:rsidRDefault="007004BD" w:rsidP="00E945CB">
      <w:pPr>
        <w:pStyle w:val="Heading2"/>
        <w:numPr>
          <w:ilvl w:val="2"/>
          <w:numId w:val="7"/>
        </w:numPr>
        <w:ind w:left="1134" w:hanging="414"/>
      </w:pPr>
      <w:r w:rsidRPr="00E05745">
        <w:t>The council’s net General Fund budget requirement for 202</w:t>
      </w:r>
      <w:r w:rsidR="00874C7B" w:rsidRPr="00E05745">
        <w:t>4</w:t>
      </w:r>
      <w:r w:rsidRPr="00E05745">
        <w:t>/2</w:t>
      </w:r>
      <w:r w:rsidR="00874C7B" w:rsidRPr="00E05745">
        <w:t>5</w:t>
      </w:r>
      <w:r w:rsidRPr="00E05745">
        <w:t xml:space="preserve"> of </w:t>
      </w:r>
      <w:r w:rsidRPr="008B3D71">
        <w:t>£</w:t>
      </w:r>
      <w:r w:rsidR="000830AF" w:rsidRPr="008B3D71">
        <w:t>246.353</w:t>
      </w:r>
      <w:r w:rsidRPr="008B3D71">
        <w:t>m;</w:t>
      </w:r>
    </w:p>
    <w:p w14:paraId="6EB3EF76" w14:textId="255CEE66" w:rsidR="009B058F" w:rsidRPr="00E05745" w:rsidRDefault="007004BD" w:rsidP="00E945CB">
      <w:pPr>
        <w:pStyle w:val="Heading2"/>
        <w:numPr>
          <w:ilvl w:val="2"/>
          <w:numId w:val="7"/>
        </w:numPr>
        <w:ind w:left="1134" w:hanging="414"/>
      </w:pPr>
      <w:r w:rsidRPr="00E05745">
        <w:t>The 202</w:t>
      </w:r>
      <w:r w:rsidR="00874C7B" w:rsidRPr="00E05745">
        <w:t>4</w:t>
      </w:r>
      <w:r w:rsidRPr="00E05745">
        <w:t>/2</w:t>
      </w:r>
      <w:r w:rsidR="00874C7B" w:rsidRPr="00E05745">
        <w:t>5</w:t>
      </w:r>
      <w:r w:rsidRPr="00E05745">
        <w:t xml:space="preserve"> budget allocations to services as set out in Appendix 1;</w:t>
      </w:r>
    </w:p>
    <w:p w14:paraId="07F671D0" w14:textId="2832921A" w:rsidR="009B058F" w:rsidRPr="00E05745" w:rsidRDefault="007004BD" w:rsidP="00E945CB">
      <w:pPr>
        <w:pStyle w:val="Heading2"/>
        <w:numPr>
          <w:ilvl w:val="2"/>
          <w:numId w:val="7"/>
        </w:numPr>
        <w:ind w:left="1134" w:hanging="414"/>
      </w:pPr>
      <w:r w:rsidRPr="00E05745">
        <w:t>The Budget Strategies and proposed savings as set out in Appendix 1</w:t>
      </w:r>
      <w:r w:rsidR="00EB0033">
        <w:t>;</w:t>
      </w:r>
    </w:p>
    <w:p w14:paraId="1478FA6D" w14:textId="64FF7FBD" w:rsidR="009B058F" w:rsidRPr="00E05745" w:rsidRDefault="007004BD" w:rsidP="00E945CB">
      <w:pPr>
        <w:pStyle w:val="Heading2"/>
        <w:numPr>
          <w:ilvl w:val="2"/>
          <w:numId w:val="7"/>
        </w:numPr>
        <w:ind w:left="1134" w:hanging="414"/>
      </w:pPr>
      <w:r w:rsidRPr="00E05745">
        <w:t xml:space="preserve">The one-off resource allocations as set out in the table at paragraph </w:t>
      </w:r>
      <w:r w:rsidR="00103BF5">
        <w:t>5.8</w:t>
      </w:r>
      <w:r w:rsidRPr="00E05745">
        <w:t>.</w:t>
      </w:r>
    </w:p>
    <w:p w14:paraId="002BF47A" w14:textId="143097E0" w:rsidR="009B058F" w:rsidRPr="00E05745" w:rsidRDefault="007004BD" w:rsidP="00E945CB">
      <w:pPr>
        <w:pStyle w:val="Heading2"/>
        <w:numPr>
          <w:ilvl w:val="2"/>
          <w:numId w:val="7"/>
        </w:numPr>
        <w:ind w:left="1134" w:hanging="414"/>
      </w:pPr>
      <w:r w:rsidRPr="00E05745">
        <w:t>A recommended working balance of £9.000m (approximately 3.</w:t>
      </w:r>
      <w:r w:rsidR="00FE6912">
        <w:t>7</w:t>
      </w:r>
      <w:r w:rsidRPr="00E05745">
        <w:t xml:space="preserve">% of the net budget) to be maintained </w:t>
      </w:r>
      <w:r w:rsidR="00856FDA" w:rsidRPr="00E05745">
        <w:t xml:space="preserve">or replenished </w:t>
      </w:r>
      <w:r w:rsidRPr="00E05745">
        <w:t>over the period of the Medium Term Financial Strategy.</w:t>
      </w:r>
    </w:p>
    <w:p w14:paraId="326BCEBB" w14:textId="38D46322" w:rsidR="009B058F" w:rsidRPr="00E05745" w:rsidRDefault="007004BD" w:rsidP="00E945CB">
      <w:pPr>
        <w:pStyle w:val="Heading2"/>
      </w:pPr>
      <w:r w:rsidRPr="00E05745">
        <w:t xml:space="preserve">That Council notes the updated 4-Year Medium Term Financial Strategy included </w:t>
      </w:r>
      <w:r w:rsidR="008B3D71">
        <w:t xml:space="preserve">at paragraph </w:t>
      </w:r>
      <w:r w:rsidR="00103BF5">
        <w:t>10.3</w:t>
      </w:r>
      <w:r w:rsidRPr="00E05745">
        <w:t xml:space="preserve"> including predicted budget shortfalls </w:t>
      </w:r>
      <w:r w:rsidRPr="008B3D71">
        <w:t>of £</w:t>
      </w:r>
      <w:r w:rsidR="000830AF" w:rsidRPr="008B3D71">
        <w:t>73</w:t>
      </w:r>
      <w:r w:rsidRPr="008B3D71">
        <w:t>m</w:t>
      </w:r>
      <w:r w:rsidRPr="00E05745">
        <w:t xml:space="preserve"> over the 4-year period.</w:t>
      </w:r>
    </w:p>
    <w:p w14:paraId="6CE69E18" w14:textId="5BAFE6B7" w:rsidR="009B058F" w:rsidRPr="00E05745" w:rsidRDefault="007004BD" w:rsidP="00E945CB">
      <w:pPr>
        <w:pStyle w:val="Heading2"/>
      </w:pPr>
      <w:r w:rsidRPr="00E05745">
        <w:t>That Council approves the Capital Strategy for 202</w:t>
      </w:r>
      <w:r w:rsidR="00856FDA" w:rsidRPr="00E05745">
        <w:t>4</w:t>
      </w:r>
      <w:r w:rsidRPr="00E05745">
        <w:t>/2</w:t>
      </w:r>
      <w:r w:rsidR="00856FDA" w:rsidRPr="00E05745">
        <w:t>5</w:t>
      </w:r>
      <w:r w:rsidRPr="00E05745">
        <w:t xml:space="preserve"> at Appendix 2 comprising:</w:t>
      </w:r>
    </w:p>
    <w:p w14:paraId="664BE777" w14:textId="46EBD14A" w:rsidR="009B058F" w:rsidRPr="00E05745" w:rsidRDefault="007004BD" w:rsidP="00E945CB">
      <w:pPr>
        <w:pStyle w:val="Heading2"/>
        <w:numPr>
          <w:ilvl w:val="2"/>
          <w:numId w:val="9"/>
        </w:numPr>
      </w:pPr>
      <w:r w:rsidRPr="00E05745">
        <w:t>The strategy for funding the investment in change, including the flexible use of capital receipts as set out in sectio</w:t>
      </w:r>
      <w:r w:rsidRPr="008B3D71">
        <w:t xml:space="preserve">n </w:t>
      </w:r>
      <w:r w:rsidR="00103BF5">
        <w:t>8</w:t>
      </w:r>
      <w:r w:rsidRPr="008B3D71">
        <w:t>;</w:t>
      </w:r>
    </w:p>
    <w:p w14:paraId="08FBBE0A" w14:textId="77777777" w:rsidR="009B058F" w:rsidRPr="00E05745" w:rsidRDefault="007004BD" w:rsidP="00E945CB">
      <w:pPr>
        <w:pStyle w:val="Heading2"/>
        <w:numPr>
          <w:ilvl w:val="2"/>
          <w:numId w:val="9"/>
        </w:numPr>
      </w:pPr>
      <w:r w:rsidRPr="00E05745">
        <w:t>The capital resources and proposed borrowing included at Annex A of the Capital Strategy;</w:t>
      </w:r>
    </w:p>
    <w:p w14:paraId="3CB63823" w14:textId="19146293" w:rsidR="009B058F" w:rsidRPr="00E05745" w:rsidRDefault="007004BD" w:rsidP="00E945CB">
      <w:pPr>
        <w:pStyle w:val="Heading2"/>
        <w:numPr>
          <w:ilvl w:val="2"/>
          <w:numId w:val="9"/>
        </w:numPr>
      </w:pPr>
      <w:r w:rsidRPr="00F450B7">
        <w:t>The Capital Investment Programme for 202</w:t>
      </w:r>
      <w:r w:rsidR="00856FDA" w:rsidRPr="00F450B7">
        <w:t>4</w:t>
      </w:r>
      <w:r w:rsidRPr="00F450B7">
        <w:t>/2</w:t>
      </w:r>
      <w:r w:rsidR="00856FDA" w:rsidRPr="00F450B7">
        <w:t>5</w:t>
      </w:r>
      <w:r w:rsidRPr="00F450B7">
        <w:t xml:space="preserve"> of £</w:t>
      </w:r>
      <w:r w:rsidR="00F450B7" w:rsidRPr="00F450B7">
        <w:t>211</w:t>
      </w:r>
      <w:r w:rsidR="00856FDA" w:rsidRPr="00F450B7">
        <w:t>.</w:t>
      </w:r>
      <w:r w:rsidR="00F450B7" w:rsidRPr="00F450B7">
        <w:t>470</w:t>
      </w:r>
      <w:r w:rsidRPr="00F450B7">
        <w:t>m</w:t>
      </w:r>
      <w:r w:rsidRPr="00E05745">
        <w:t xml:space="preserve"> included at Appendix 1 and incorporating allocations to strategic funds.</w:t>
      </w:r>
    </w:p>
    <w:p w14:paraId="35945A87" w14:textId="77777777" w:rsidR="009B058F" w:rsidRPr="00E05745" w:rsidRDefault="007004BD" w:rsidP="00E945CB">
      <w:pPr>
        <w:pStyle w:val="Heading2"/>
      </w:pPr>
      <w:r w:rsidRPr="00E05745">
        <w:t>That Council notes the Equalities Impact Assessments to cover all relevant budget options as set out in Appendix 6.</w:t>
      </w:r>
    </w:p>
    <w:p w14:paraId="1761AF48" w14:textId="5324A884" w:rsidR="009B058F" w:rsidRPr="00E05745" w:rsidRDefault="007004BD" w:rsidP="00E945CB">
      <w:pPr>
        <w:pStyle w:val="Heading2"/>
      </w:pPr>
      <w:r w:rsidRPr="00E05745">
        <w:t xml:space="preserve">That Council further notes that approval of the budget is an indicative resourcing decision to be taken in the context of the explanation given in the Legal Implications </w:t>
      </w:r>
      <w:r w:rsidR="00EB0033">
        <w:t xml:space="preserve">at </w:t>
      </w:r>
      <w:r w:rsidRPr="00E05745">
        <w:t>paragraph</w:t>
      </w:r>
      <w:r w:rsidR="008B3D71">
        <w:t xml:space="preserve"> </w:t>
      </w:r>
      <w:r w:rsidR="00A41AE0">
        <w:t>18.2</w:t>
      </w:r>
      <w:r w:rsidRPr="00E05745">
        <w:t>.</w:t>
      </w:r>
    </w:p>
    <w:p w14:paraId="198E2684" w14:textId="77777777" w:rsidR="009B058F" w:rsidRPr="00E05745" w:rsidRDefault="007004BD" w:rsidP="00E945CB">
      <w:pPr>
        <w:pStyle w:val="Heading2"/>
      </w:pPr>
      <w:r w:rsidRPr="00E05745">
        <w:t>That Council approves the Treasury Management Strategy Statement as set out in Appendix 3 comprising:</w:t>
      </w:r>
    </w:p>
    <w:p w14:paraId="7D6842C2" w14:textId="77777777" w:rsidR="009B058F" w:rsidRPr="00E05745" w:rsidRDefault="007004BD" w:rsidP="00E945CB">
      <w:pPr>
        <w:pStyle w:val="Heading2"/>
        <w:numPr>
          <w:ilvl w:val="0"/>
          <w:numId w:val="8"/>
        </w:numPr>
      </w:pPr>
      <w:r w:rsidRPr="00E05745">
        <w:t>The Annual Investment Strategy;</w:t>
      </w:r>
    </w:p>
    <w:p w14:paraId="23D5FE25" w14:textId="77777777" w:rsidR="009B058F" w:rsidRPr="00E05745" w:rsidRDefault="007004BD" w:rsidP="00E945CB">
      <w:pPr>
        <w:pStyle w:val="Heading2"/>
        <w:numPr>
          <w:ilvl w:val="0"/>
          <w:numId w:val="8"/>
        </w:numPr>
      </w:pPr>
      <w:r w:rsidRPr="00E05745">
        <w:t>The Prudential and Treasury Indicators;</w:t>
      </w:r>
    </w:p>
    <w:p w14:paraId="63839A0C" w14:textId="77777777" w:rsidR="009B058F" w:rsidRPr="00E05745" w:rsidRDefault="007004BD" w:rsidP="00E945CB">
      <w:pPr>
        <w:pStyle w:val="Heading2"/>
        <w:numPr>
          <w:ilvl w:val="0"/>
          <w:numId w:val="8"/>
        </w:numPr>
      </w:pPr>
      <w:r w:rsidRPr="00E05745">
        <w:t>The Minimum Revenue Provision policy;</w:t>
      </w:r>
    </w:p>
    <w:p w14:paraId="4AB99893" w14:textId="4061B867" w:rsidR="009B058F" w:rsidRPr="00E05745" w:rsidRDefault="007004BD" w:rsidP="00F375AA">
      <w:pPr>
        <w:pStyle w:val="ListParagraph"/>
        <w:numPr>
          <w:ilvl w:val="0"/>
          <w:numId w:val="8"/>
        </w:numPr>
        <w:ind w:left="1134" w:hanging="414"/>
        <w:rPr>
          <w:rFonts w:ascii="Arial" w:eastAsiaTheme="majorEastAsia" w:hAnsi="Arial" w:cs="Arial"/>
          <w:kern w:val="32"/>
          <w:sz w:val="24"/>
          <w:szCs w:val="24"/>
          <w:lang w:val="en-GB"/>
        </w:rPr>
      </w:pPr>
      <w:r w:rsidRPr="00E05745">
        <w:rPr>
          <w:rFonts w:ascii="Arial" w:hAnsi="Arial" w:cs="Arial"/>
          <w:sz w:val="24"/>
          <w:szCs w:val="24"/>
          <w:lang w:val="en-GB"/>
        </w:rPr>
        <w:t>T</w:t>
      </w:r>
      <w:r w:rsidRPr="00E05745">
        <w:rPr>
          <w:rFonts w:ascii="Arial" w:eastAsiaTheme="majorEastAsia" w:hAnsi="Arial" w:cs="Arial"/>
          <w:kern w:val="32"/>
          <w:sz w:val="24"/>
          <w:szCs w:val="24"/>
          <w:lang w:val="en-GB"/>
        </w:rPr>
        <w:t>he authorised borrowing limit for the year commencing 1 April 202</w:t>
      </w:r>
      <w:r w:rsidR="00E702EB">
        <w:rPr>
          <w:rFonts w:ascii="Arial" w:eastAsiaTheme="majorEastAsia" w:hAnsi="Arial" w:cs="Arial"/>
          <w:kern w:val="32"/>
          <w:sz w:val="24"/>
          <w:szCs w:val="24"/>
          <w:lang w:val="en-GB"/>
        </w:rPr>
        <w:t>4</w:t>
      </w:r>
      <w:r w:rsidRPr="00E702EB">
        <w:rPr>
          <w:rFonts w:ascii="Arial" w:eastAsiaTheme="majorEastAsia" w:hAnsi="Arial" w:cs="Arial"/>
          <w:kern w:val="32"/>
          <w:sz w:val="24"/>
          <w:szCs w:val="24"/>
          <w:lang w:val="en-GB"/>
        </w:rPr>
        <w:t>.</w:t>
      </w:r>
    </w:p>
    <w:p w14:paraId="4D1F0D8D" w14:textId="5E2E3C1A" w:rsidR="009B058F" w:rsidRPr="00E05745" w:rsidRDefault="007004BD" w:rsidP="00E945CB">
      <w:pPr>
        <w:pStyle w:val="Heading2"/>
      </w:pPr>
      <w:r w:rsidRPr="00E05745">
        <w:t xml:space="preserve">That Council notes that supplementary information needed to set the overall council tax, including a detailed Budget Book, will be provided for the </w:t>
      </w:r>
      <w:r w:rsidR="00EB0033">
        <w:t>B</w:t>
      </w:r>
      <w:r w:rsidRPr="00E05745">
        <w:t>udget Council meeting as listed in paragraph</w:t>
      </w:r>
      <w:r w:rsidR="008B3D71">
        <w:t xml:space="preserve"> </w:t>
      </w:r>
      <w:r w:rsidR="00A41AE0">
        <w:t>12.3</w:t>
      </w:r>
      <w:r w:rsidRPr="00E05745">
        <w:t>.</w:t>
      </w:r>
    </w:p>
    <w:bookmarkEnd w:id="1"/>
    <w:p w14:paraId="3B57C55F" w14:textId="511568F2" w:rsidR="009B058F" w:rsidRPr="00E05745" w:rsidRDefault="007004BD" w:rsidP="00E945CB">
      <w:pPr>
        <w:pStyle w:val="Heading2"/>
        <w:numPr>
          <w:ilvl w:val="0"/>
          <w:numId w:val="0"/>
        </w:numPr>
        <w:ind w:left="720"/>
      </w:pPr>
      <w:r w:rsidRPr="00E05745">
        <w:t xml:space="preserve">That </w:t>
      </w:r>
      <w:r w:rsidR="0070180B" w:rsidRPr="00E05745">
        <w:t>Strategy, Finance &amp; City Regeneration</w:t>
      </w:r>
      <w:r w:rsidRPr="00E05745">
        <w:t xml:space="preserve"> Committee:</w:t>
      </w:r>
    </w:p>
    <w:p w14:paraId="313B9D9C" w14:textId="31EA03DA" w:rsidR="009B058F" w:rsidRPr="00E05745" w:rsidRDefault="007004BD" w:rsidP="00E945CB">
      <w:pPr>
        <w:pStyle w:val="Heading2"/>
      </w:pPr>
      <w:r w:rsidRPr="00E05745">
        <w:t>Agrees that the council’s Chief Finance Officer be authorised to make any necessary technical, presentational or consequential amendments to this report before submission to Budget Council.</w:t>
      </w:r>
    </w:p>
    <w:p w14:paraId="269C9EC1" w14:textId="77777777" w:rsidR="009B058F" w:rsidRPr="00E05745" w:rsidRDefault="007004BD" w:rsidP="0057041E">
      <w:pPr>
        <w:pStyle w:val="Heading1"/>
        <w:rPr>
          <w:lang w:val="en-GB"/>
        </w:rPr>
      </w:pPr>
      <w:r w:rsidRPr="00E05745">
        <w:rPr>
          <w:lang w:val="en-GB"/>
        </w:rPr>
        <w:t>Context and background information</w:t>
      </w:r>
    </w:p>
    <w:p w14:paraId="7455C64B" w14:textId="29FF9443" w:rsidR="009B779B" w:rsidRPr="00E05745" w:rsidRDefault="007004BD" w:rsidP="00E945CB">
      <w:pPr>
        <w:pStyle w:val="Heading2"/>
      </w:pPr>
      <w:r w:rsidRPr="00E05745">
        <w:t xml:space="preserve">Whilst inflation appears to have peaked, it has been slower to level out than the Office of Budget Responsibility </w:t>
      </w:r>
      <w:r w:rsidR="00A41AE0">
        <w:t xml:space="preserve">(OBR) </w:t>
      </w:r>
      <w:r w:rsidRPr="00E05745">
        <w:t>had predicted which has led to ongoing cost pressures across all areas of spend including higher than anticipated pay award settlements. The high uplift of the National Living Wage this year and next (around 10%) is also driving up costs across a number of sectors, most notably for councils across private and independent sector adult and children’s social care providers from whom the council purchases the great majority of its statutory care services.</w:t>
      </w:r>
    </w:p>
    <w:p w14:paraId="618315FF" w14:textId="7CFB252C" w:rsidR="009B058F" w:rsidRPr="00E05745" w:rsidRDefault="007004BD" w:rsidP="00E945CB">
      <w:pPr>
        <w:pStyle w:val="Heading2"/>
      </w:pPr>
      <w:r w:rsidRPr="00E05745">
        <w:t xml:space="preserve">The continuing impact of inflation and </w:t>
      </w:r>
      <w:r w:rsidR="0035386B" w:rsidRPr="00E05745">
        <w:t xml:space="preserve">subsequently </w:t>
      </w:r>
      <w:r w:rsidRPr="00E05745">
        <w:t xml:space="preserve">high interest rates </w:t>
      </w:r>
      <w:r w:rsidR="0035386B" w:rsidRPr="00E05745">
        <w:t xml:space="preserve">on the economy is also a key factor, resulting in increased demands due to the cost of living crisis and the continued suppression of income from fees, charges and commercial rents, key sources of funding for most councils. Latest OBR forecasts indicate inflation falling to 2% by </w:t>
      </w:r>
      <w:r w:rsidR="001E266E">
        <w:t>quarter four</w:t>
      </w:r>
      <w:r w:rsidR="0035386B" w:rsidRPr="00E05745">
        <w:t xml:space="preserve"> of 2024 but it remains to be seen if this is realistic given the backdrop of ongoing global and domestic events. </w:t>
      </w:r>
    </w:p>
    <w:p w14:paraId="0D169772" w14:textId="65F7C2B4" w:rsidR="0035386B" w:rsidRPr="00E05745" w:rsidRDefault="007004BD" w:rsidP="00E945CB">
      <w:pPr>
        <w:pStyle w:val="Heading2"/>
      </w:pPr>
      <w:r w:rsidRPr="00722F31">
        <w:t>As noted above</w:t>
      </w:r>
      <w:r w:rsidR="001E266E">
        <w:t>,</w:t>
      </w:r>
      <w:r w:rsidRPr="00722F31">
        <w:t xml:space="preserve"> the corollary of this is a very large projected budget shortfall of </w:t>
      </w:r>
      <w:r w:rsidR="00A35BFB" w:rsidRPr="00722F31">
        <w:t xml:space="preserve">over </w:t>
      </w:r>
      <w:r w:rsidRPr="00722F31">
        <w:t>£</w:t>
      </w:r>
      <w:r w:rsidR="00952BCF" w:rsidRPr="00722F31">
        <w:t>3</w:t>
      </w:r>
      <w:r w:rsidR="00A35BFB" w:rsidRPr="00722F31">
        <w:t>0</w:t>
      </w:r>
      <w:r w:rsidR="00952BCF" w:rsidRPr="00722F31">
        <w:t xml:space="preserve"> million in 2024/25, the largest in the authority's history. This comprises increased costs, demands and income pressures of approximately £</w:t>
      </w:r>
      <w:r w:rsidR="000830AF" w:rsidRPr="00722F31">
        <w:t>48</w:t>
      </w:r>
      <w:r w:rsidR="00952BCF" w:rsidRPr="00722F31">
        <w:t xml:space="preserve"> million offset by additional funding from Council Tax increases and growth, Business Rates increases, and Adult Social Care grant of £</w:t>
      </w:r>
      <w:r w:rsidR="000830AF" w:rsidRPr="00722F31">
        <w:t>18</w:t>
      </w:r>
      <w:r w:rsidR="00952BCF" w:rsidRPr="00722F31">
        <w:t xml:space="preserve"> million.</w:t>
      </w:r>
      <w:r w:rsidR="00952BCF" w:rsidRPr="00E05745">
        <w:t xml:space="preserve"> This clearly demonstrates the failings of the Local Government system of funding, both nationally and locally, and is being replicated across every council in the country. The ability of councils to manage this will come down to the strength of their Council Tax and Business Rate tax bases, their ability to raise other incomes, and the level of </w:t>
      </w:r>
      <w:r w:rsidR="00F375AA" w:rsidRPr="00E05745">
        <w:t xml:space="preserve">their </w:t>
      </w:r>
      <w:r w:rsidR="00952BCF" w:rsidRPr="00E05745">
        <w:t xml:space="preserve">reserves. However, many councils are already struggling and at least </w:t>
      </w:r>
      <w:r w:rsidR="00F375AA" w:rsidRPr="00E05745">
        <w:t>16</w:t>
      </w:r>
      <w:r w:rsidR="00952BCF" w:rsidRPr="00E05745">
        <w:t xml:space="preserve"> councils </w:t>
      </w:r>
      <w:r w:rsidR="001E266E">
        <w:t xml:space="preserve">of all political colours </w:t>
      </w:r>
      <w:r w:rsidR="00952BCF" w:rsidRPr="00E05745">
        <w:t xml:space="preserve">are known to have </w:t>
      </w:r>
      <w:r w:rsidR="00F375AA" w:rsidRPr="00E05745">
        <w:t xml:space="preserve">formally </w:t>
      </w:r>
      <w:r w:rsidR="00952BCF" w:rsidRPr="00E05745">
        <w:t xml:space="preserve">approached the Secretary of State for Levelling Up, Housing &amp; Communities (DLUHC) </w:t>
      </w:r>
      <w:r w:rsidR="00F375AA" w:rsidRPr="00E05745">
        <w:t>for exceptional financial support including the ability to sell public assets or borrow to fund annual revenue costs.</w:t>
      </w:r>
    </w:p>
    <w:p w14:paraId="2C5CA5D2" w14:textId="25EC34C9" w:rsidR="009B058F" w:rsidRPr="00E05745" w:rsidRDefault="007004BD" w:rsidP="00E945CB">
      <w:pPr>
        <w:pStyle w:val="Heading2"/>
      </w:pPr>
      <w:r w:rsidRPr="00E05745">
        <w:t xml:space="preserve">This authority has navigated through substantial budget shortfalls over a long period of years, particularly since 2010, including managing its finances through the pandemic, albeit with the help of substantial government Covid grant funding. This report presents a balanced budget for the Authority </w:t>
      </w:r>
      <w:r w:rsidR="00B62A04" w:rsidRPr="00E05745">
        <w:t xml:space="preserve">for 2024/25 </w:t>
      </w:r>
      <w:r w:rsidRPr="00E05745">
        <w:t xml:space="preserve">but, given the scale and cumulative impact of the </w:t>
      </w:r>
      <w:r w:rsidR="00B62A04" w:rsidRPr="00E05745">
        <w:t xml:space="preserve">projected </w:t>
      </w:r>
      <w:r w:rsidRPr="00E05745">
        <w:t>budget ga</w:t>
      </w:r>
      <w:r w:rsidR="00B62A04" w:rsidRPr="00E05745">
        <w:t>p next financial year</w:t>
      </w:r>
      <w:r w:rsidRPr="00E05745">
        <w:t>, this inevitably comes with c</w:t>
      </w:r>
      <w:r w:rsidR="00B62A04" w:rsidRPr="00E05745">
        <w:t>onsequences</w:t>
      </w:r>
      <w:r w:rsidRPr="00E05745">
        <w:t xml:space="preserve"> including:</w:t>
      </w:r>
    </w:p>
    <w:p w14:paraId="7293A427" w14:textId="612669DF" w:rsidR="00516221" w:rsidRPr="00E05745" w:rsidRDefault="007004BD" w:rsidP="00E945CB">
      <w:pPr>
        <w:pStyle w:val="Heading2"/>
        <w:numPr>
          <w:ilvl w:val="0"/>
          <w:numId w:val="6"/>
        </w:numPr>
      </w:pPr>
      <w:r w:rsidRPr="00E05745">
        <w:t xml:space="preserve">The need to prioritise resources to ensure that core statutory services such as social care </w:t>
      </w:r>
      <w:r w:rsidR="00E05745">
        <w:t xml:space="preserve">and child protection </w:t>
      </w:r>
      <w:r w:rsidRPr="00E05745">
        <w:t>can be maintained to adequate and safe standards;</w:t>
      </w:r>
    </w:p>
    <w:p w14:paraId="55DD1D09" w14:textId="3B514B07" w:rsidR="00B62A04" w:rsidRPr="00E05745" w:rsidRDefault="007004BD" w:rsidP="00E945CB">
      <w:pPr>
        <w:pStyle w:val="Heading2"/>
        <w:numPr>
          <w:ilvl w:val="0"/>
          <w:numId w:val="6"/>
        </w:numPr>
      </w:pPr>
      <w:r w:rsidRPr="00E05745">
        <w:t xml:space="preserve">As a result, </w:t>
      </w:r>
      <w:r w:rsidR="00E05745">
        <w:t xml:space="preserve">there are </w:t>
      </w:r>
      <w:r w:rsidRPr="00E05745">
        <w:t>u</w:t>
      </w:r>
      <w:r w:rsidR="00EC365B" w:rsidRPr="00E05745">
        <w:t>navoidable</w:t>
      </w:r>
      <w:r w:rsidRPr="00E05745">
        <w:t xml:space="preserve"> cuts to some local services, </w:t>
      </w:r>
      <w:r w:rsidR="00E05745">
        <w:t xml:space="preserve">council </w:t>
      </w:r>
      <w:r w:rsidRPr="00E05745">
        <w:t>staffing</w:t>
      </w:r>
      <w:r w:rsidR="00E05745">
        <w:t>,</w:t>
      </w:r>
      <w:r w:rsidRPr="00E05745">
        <w:t xml:space="preserve"> and support to other organisations</w:t>
      </w:r>
      <w:r w:rsidR="00EC365B" w:rsidRPr="00E05745">
        <w:t xml:space="preserve"> including the Community &amp; Voluntary Sector</w:t>
      </w:r>
      <w:r w:rsidRPr="00E05745">
        <w:t>;</w:t>
      </w:r>
    </w:p>
    <w:p w14:paraId="762C4C97" w14:textId="77777777" w:rsidR="00B62A04" w:rsidRPr="00E05745" w:rsidRDefault="007004BD" w:rsidP="00E945CB">
      <w:pPr>
        <w:pStyle w:val="Heading2"/>
        <w:numPr>
          <w:ilvl w:val="0"/>
          <w:numId w:val="6"/>
        </w:numPr>
      </w:pPr>
      <w:r w:rsidRPr="00E05745">
        <w:t>Significantly increased risks of delivering all budget savings measures successfully;</w:t>
      </w:r>
    </w:p>
    <w:p w14:paraId="08B80E60" w14:textId="5481E5BE" w:rsidR="003E1951" w:rsidRDefault="007004BD" w:rsidP="00E945CB">
      <w:pPr>
        <w:pStyle w:val="Heading2"/>
        <w:numPr>
          <w:ilvl w:val="0"/>
          <w:numId w:val="6"/>
        </w:numPr>
      </w:pPr>
      <w:r>
        <w:t>A</w:t>
      </w:r>
      <w:r w:rsidRPr="003E1951">
        <w:t>n inability to address the entirety of the forecast medium-term pressures</w:t>
      </w:r>
      <w:r>
        <w:t>;</w:t>
      </w:r>
    </w:p>
    <w:p w14:paraId="41A99BF7" w14:textId="0AFFFAA0" w:rsidR="00B62A04" w:rsidRPr="00E05745" w:rsidRDefault="007004BD" w:rsidP="00E945CB">
      <w:pPr>
        <w:pStyle w:val="Heading2"/>
        <w:numPr>
          <w:ilvl w:val="0"/>
          <w:numId w:val="6"/>
        </w:numPr>
      </w:pPr>
      <w:r w:rsidRPr="00E05745">
        <w:t>Impacts on the council’s ability to invest for the future due to challenges to the affordability of future capital investment programmes;</w:t>
      </w:r>
    </w:p>
    <w:p w14:paraId="42FCE92B" w14:textId="0A03B55A" w:rsidR="00B62A04" w:rsidRPr="00E05745" w:rsidRDefault="007004BD" w:rsidP="00E945CB">
      <w:pPr>
        <w:pStyle w:val="Heading2"/>
        <w:numPr>
          <w:ilvl w:val="0"/>
          <w:numId w:val="6"/>
        </w:numPr>
      </w:pPr>
      <w:r w:rsidRPr="00E05745">
        <w:t>Impacts on the council’s strategic partnerships due to funding constraints on both the council and its partners, including the NHS.</w:t>
      </w:r>
    </w:p>
    <w:p w14:paraId="7240C582" w14:textId="72FA69AE" w:rsidR="00EC365B" w:rsidRPr="00E05745" w:rsidRDefault="007004BD" w:rsidP="00E945CB">
      <w:pPr>
        <w:pStyle w:val="Heading2"/>
      </w:pPr>
      <w:r w:rsidRPr="00E05745">
        <w:t xml:space="preserve">However, producing </w:t>
      </w:r>
      <w:r w:rsidR="006A08CE" w:rsidRPr="00E05745">
        <w:t xml:space="preserve">a set of </w:t>
      </w:r>
      <w:r w:rsidRPr="00E05745">
        <w:t>balanced budget proposals in the extreme context set out earlier in the report demonstrates that the council continues to do everything possible to manage the position through effective financial management</w:t>
      </w:r>
      <w:r w:rsidR="00B65F3A">
        <w:t xml:space="preserve"> and planning,</w:t>
      </w:r>
      <w:r w:rsidRPr="00E05745">
        <w:t xml:space="preserve"> and without resorting to a further depletion of </w:t>
      </w:r>
      <w:r w:rsidR="006A08CE" w:rsidRPr="00E05745">
        <w:t xml:space="preserve">emergency </w:t>
      </w:r>
      <w:r w:rsidRPr="00E05745">
        <w:t xml:space="preserve">reserves or applying to government for exceptional financial support. </w:t>
      </w:r>
      <w:r w:rsidR="006A08CE" w:rsidRPr="00E05745">
        <w:t xml:space="preserve">As set out in the budget planning reporting to the July </w:t>
      </w:r>
      <w:r w:rsidR="00B65F3A">
        <w:t xml:space="preserve">2023 </w:t>
      </w:r>
      <w:r w:rsidR="006A08CE" w:rsidRPr="00E05745">
        <w:t xml:space="preserve">meeting of the Strategy, Finance &amp; City Regeneration Committee, this has been achieved through a wide range of </w:t>
      </w:r>
      <w:r w:rsidR="00B65F3A">
        <w:t xml:space="preserve">planned </w:t>
      </w:r>
      <w:r w:rsidR="006A08CE" w:rsidRPr="00E05745">
        <w:t>measures including:</w:t>
      </w:r>
    </w:p>
    <w:p w14:paraId="18103A58" w14:textId="0B658625" w:rsidR="00984A3C" w:rsidRPr="00E05745" w:rsidRDefault="007004BD" w:rsidP="00CE70A3">
      <w:pPr>
        <w:pStyle w:val="Heading2"/>
        <w:numPr>
          <w:ilvl w:val="2"/>
          <w:numId w:val="13"/>
        </w:numPr>
      </w:pPr>
      <w:r w:rsidRPr="00E05745">
        <w:t>Working with the Administration on a regular basis throughout the budget setting process to test out proposals and ensure alignment with Council Plan priorities as far as possible, including a Star Chamber process with each Directorate to test out final proposals</w:t>
      </w:r>
      <w:r w:rsidR="006D562D">
        <w:t xml:space="preserve"> and options</w:t>
      </w:r>
      <w:r w:rsidRPr="00E05745">
        <w:t>;</w:t>
      </w:r>
    </w:p>
    <w:p w14:paraId="02EDC976" w14:textId="5C315C29" w:rsidR="00984A3C" w:rsidRPr="00E05745" w:rsidRDefault="007004BD" w:rsidP="00CE70A3">
      <w:pPr>
        <w:pStyle w:val="Heading2"/>
        <w:numPr>
          <w:ilvl w:val="2"/>
          <w:numId w:val="13"/>
        </w:numPr>
      </w:pPr>
      <w:r>
        <w:t>Identifying</w:t>
      </w:r>
      <w:r w:rsidRPr="00E05745">
        <w:t xml:space="preserve"> </w:t>
      </w:r>
      <w:r w:rsidR="00123363" w:rsidRPr="00E05745">
        <w:t xml:space="preserve">and investing in </w:t>
      </w:r>
      <w:r w:rsidRPr="00E05745">
        <w:t xml:space="preserve">longer term </w:t>
      </w:r>
      <w:r w:rsidR="008B45A7" w:rsidRPr="00E05745">
        <w:t xml:space="preserve">MTFS </w:t>
      </w:r>
      <w:r w:rsidRPr="00E05745">
        <w:t xml:space="preserve">workstreams that will </w:t>
      </w:r>
      <w:r w:rsidR="00123363" w:rsidRPr="00E05745">
        <w:t xml:space="preserve">continue or </w:t>
      </w:r>
      <w:r w:rsidRPr="00E05745">
        <w:t>start in 2024/25 but will aim for medium term savings and efficiencies</w:t>
      </w:r>
      <w:r w:rsidR="008B45A7" w:rsidRPr="00E05745">
        <w:t xml:space="preserve">. There are many workstreams and examples </w:t>
      </w:r>
      <w:r w:rsidRPr="00E05745">
        <w:t>includ</w:t>
      </w:r>
      <w:r w:rsidR="00D47626">
        <w:t>e</w:t>
      </w:r>
      <w:r w:rsidRPr="00E05745">
        <w:t>:</w:t>
      </w:r>
    </w:p>
    <w:p w14:paraId="4F6AC22B" w14:textId="77E4F61F" w:rsidR="00984A3C" w:rsidRPr="00E05745" w:rsidRDefault="007004BD" w:rsidP="00CE70A3">
      <w:pPr>
        <w:pStyle w:val="Heading2"/>
        <w:numPr>
          <w:ilvl w:val="3"/>
          <w:numId w:val="14"/>
        </w:numPr>
      </w:pPr>
      <w:r w:rsidRPr="00E05745">
        <w:t>a strategic review of parking across the city;</w:t>
      </w:r>
    </w:p>
    <w:p w14:paraId="42876306" w14:textId="2A096818" w:rsidR="00984A3C" w:rsidRPr="00E05745" w:rsidRDefault="007004BD" w:rsidP="00CE70A3">
      <w:pPr>
        <w:pStyle w:val="Heading2"/>
        <w:numPr>
          <w:ilvl w:val="3"/>
          <w:numId w:val="14"/>
        </w:numPr>
      </w:pPr>
      <w:r w:rsidRPr="00E05745">
        <w:t>developing the Foster Care Plus incentive scheme to grow the number of foster carers locally;</w:t>
      </w:r>
    </w:p>
    <w:p w14:paraId="4415B669" w14:textId="764E8659" w:rsidR="00123363" w:rsidRPr="00E05745" w:rsidRDefault="007004BD" w:rsidP="00CE70A3">
      <w:pPr>
        <w:pStyle w:val="Heading2"/>
        <w:numPr>
          <w:ilvl w:val="3"/>
          <w:numId w:val="14"/>
        </w:numPr>
      </w:pPr>
      <w:r w:rsidRPr="00E05745">
        <w:t>developing a new Housing Strategy to optimi</w:t>
      </w:r>
      <w:r w:rsidR="00722F31">
        <w:t>s</w:t>
      </w:r>
      <w:r w:rsidRPr="00E05745">
        <w:t xml:space="preserve">e the use of the wide range of temporary accommodation and affordable </w:t>
      </w:r>
      <w:r w:rsidR="008B45A7" w:rsidRPr="00E05745">
        <w:t xml:space="preserve">and social </w:t>
      </w:r>
      <w:r w:rsidRPr="00E05745">
        <w:t>housing investments to prevent homelessness and reduce long</w:t>
      </w:r>
      <w:r w:rsidR="006D562D">
        <w:t>er</w:t>
      </w:r>
      <w:r w:rsidRPr="00E05745">
        <w:t xml:space="preserve"> term costs;</w:t>
      </w:r>
    </w:p>
    <w:p w14:paraId="4C74B9AB" w14:textId="3BBB9B8B" w:rsidR="00123363" w:rsidRPr="00E05745" w:rsidRDefault="007004BD" w:rsidP="00CE70A3">
      <w:pPr>
        <w:pStyle w:val="Heading2"/>
        <w:numPr>
          <w:ilvl w:val="3"/>
          <w:numId w:val="14"/>
        </w:numPr>
      </w:pPr>
      <w:r w:rsidRPr="00E05745">
        <w:t xml:space="preserve">developing the </w:t>
      </w:r>
      <w:r w:rsidR="008B45A7" w:rsidRPr="00E05745">
        <w:t xml:space="preserve">new </w:t>
      </w:r>
      <w:r w:rsidRPr="00E05745">
        <w:t xml:space="preserve">Family Hub model to improve prevention and support for </w:t>
      </w:r>
      <w:r w:rsidR="006D562D">
        <w:t xml:space="preserve">vulnerable </w:t>
      </w:r>
      <w:r w:rsidRPr="00E05745">
        <w:t>families and children;</w:t>
      </w:r>
    </w:p>
    <w:p w14:paraId="4708FFB1" w14:textId="1F8ED933" w:rsidR="00123363" w:rsidRPr="00E05745" w:rsidRDefault="007004BD" w:rsidP="00CE70A3">
      <w:pPr>
        <w:pStyle w:val="Heading2"/>
        <w:numPr>
          <w:ilvl w:val="3"/>
          <w:numId w:val="14"/>
        </w:numPr>
      </w:pPr>
      <w:r>
        <w:t>u</w:t>
      </w:r>
      <w:r w:rsidRPr="00E05745">
        <w:t xml:space="preserve">ndertaking a review of organisational design and </w:t>
      </w:r>
      <w:r>
        <w:t xml:space="preserve">staffing </w:t>
      </w:r>
      <w:r w:rsidRPr="00E05745">
        <w:t xml:space="preserve">structures to ensure that management and administrative costs are optimal, particularly in light of technological investments, and that functionally similar areas are </w:t>
      </w:r>
      <w:r w:rsidR="001C7D72" w:rsidRPr="00E05745">
        <w:t>organi</w:t>
      </w:r>
      <w:r w:rsidR="001C7D72">
        <w:t>s</w:t>
      </w:r>
      <w:r w:rsidR="001C7D72" w:rsidRPr="00E05745">
        <w:t xml:space="preserve">ed </w:t>
      </w:r>
      <w:r w:rsidRPr="00E05745">
        <w:t>as efficiently as possible, eliminating any duplication of effort;</w:t>
      </w:r>
    </w:p>
    <w:p w14:paraId="14926A79" w14:textId="5F212C46" w:rsidR="008B45A7" w:rsidRPr="00E05745" w:rsidRDefault="007004BD" w:rsidP="00CE70A3">
      <w:pPr>
        <w:pStyle w:val="Heading2"/>
        <w:numPr>
          <w:ilvl w:val="3"/>
          <w:numId w:val="14"/>
        </w:numPr>
      </w:pPr>
      <w:r w:rsidRPr="00E05745">
        <w:t>continuing to optimi</w:t>
      </w:r>
      <w:r w:rsidR="00722F31">
        <w:t>s</w:t>
      </w:r>
      <w:r w:rsidRPr="00E05745">
        <w:t xml:space="preserve">e (reduce) the use of </w:t>
      </w:r>
      <w:r w:rsidR="00D47626">
        <w:t>a</w:t>
      </w:r>
      <w:r w:rsidRPr="00E05745">
        <w:t xml:space="preserve">dministrative </w:t>
      </w:r>
      <w:r w:rsidR="00D47626">
        <w:t>offices</w:t>
      </w:r>
      <w:r w:rsidRPr="00E05745">
        <w:t xml:space="preserve"> through adopting new ways of working, making the best use of new technologies and computing devices, and maximising the layout and use of floor space;</w:t>
      </w:r>
    </w:p>
    <w:p w14:paraId="1F5B1F4D" w14:textId="174129EF" w:rsidR="008B45A7" w:rsidRPr="00E05745" w:rsidRDefault="007004BD" w:rsidP="00CE70A3">
      <w:pPr>
        <w:pStyle w:val="Heading2"/>
        <w:numPr>
          <w:ilvl w:val="3"/>
          <w:numId w:val="14"/>
        </w:numPr>
      </w:pPr>
      <w:r w:rsidRPr="00E05745">
        <w:t xml:space="preserve">continuing to identify opportunities </w:t>
      </w:r>
      <w:r w:rsidR="006D562D">
        <w:t xml:space="preserve">(business cases) </w:t>
      </w:r>
      <w:r w:rsidRPr="00E05745">
        <w:t>to moderni</w:t>
      </w:r>
      <w:r w:rsidR="00722F31">
        <w:t>s</w:t>
      </w:r>
      <w:r w:rsidRPr="00E05745">
        <w:t>e services to ensure they are cost effective, deliver services to appropriate standards, and minimi</w:t>
      </w:r>
      <w:r w:rsidR="00722F31">
        <w:t>s</w:t>
      </w:r>
      <w:r w:rsidRPr="00E05745">
        <w:t>e waste;</w:t>
      </w:r>
    </w:p>
    <w:p w14:paraId="48F4F432" w14:textId="6E16E5D2" w:rsidR="00D22772" w:rsidRPr="00E05745" w:rsidRDefault="007004BD" w:rsidP="00CE70A3">
      <w:pPr>
        <w:pStyle w:val="Heading2"/>
        <w:numPr>
          <w:ilvl w:val="2"/>
          <w:numId w:val="13"/>
        </w:numPr>
      </w:pPr>
      <w:r>
        <w:t>Ongoing scrutiny of</w:t>
      </w:r>
      <w:r w:rsidRPr="00E05745">
        <w:t xml:space="preserve"> the value for money of services including reviewing the balance of provision between in-house and externally commissioned and procured services to ensure the most appropriate option is utili</w:t>
      </w:r>
      <w:r w:rsidR="00722F31">
        <w:t>s</w:t>
      </w:r>
      <w:r w:rsidRPr="00E05745">
        <w:t xml:space="preserve">ed, as evidenced by a number of </w:t>
      </w:r>
      <w:r w:rsidR="00D47626">
        <w:t xml:space="preserve">the </w:t>
      </w:r>
      <w:r w:rsidRPr="00E05745">
        <w:t>budget savings proposals</w:t>
      </w:r>
      <w:r w:rsidR="00E05745">
        <w:t>;</w:t>
      </w:r>
    </w:p>
    <w:p w14:paraId="2DC064E2" w14:textId="19DE70A8" w:rsidR="008B45A7" w:rsidRPr="00E05745" w:rsidRDefault="007004BD" w:rsidP="00CE70A3">
      <w:pPr>
        <w:pStyle w:val="Heading2"/>
        <w:numPr>
          <w:ilvl w:val="2"/>
          <w:numId w:val="13"/>
        </w:numPr>
      </w:pPr>
      <w:r w:rsidRPr="00E05745">
        <w:t>R</w:t>
      </w:r>
      <w:r w:rsidR="00984A3C" w:rsidRPr="00E05745">
        <w:t xml:space="preserve">eviewing the affordability and financing of the </w:t>
      </w:r>
      <w:r w:rsidR="00D47626">
        <w:t xml:space="preserve">5-year </w:t>
      </w:r>
      <w:r w:rsidR="00984A3C" w:rsidRPr="00E05745">
        <w:t>Capital Investment Programme</w:t>
      </w:r>
      <w:r w:rsidRPr="00E05745">
        <w:t>;</w:t>
      </w:r>
    </w:p>
    <w:p w14:paraId="26EB1C16" w14:textId="7580AEF9" w:rsidR="006A08CE" w:rsidRPr="00E05745" w:rsidRDefault="007004BD" w:rsidP="00CE70A3">
      <w:pPr>
        <w:pStyle w:val="Heading2"/>
        <w:numPr>
          <w:ilvl w:val="2"/>
          <w:numId w:val="13"/>
        </w:numPr>
      </w:pPr>
      <w:r w:rsidRPr="00E05745">
        <w:t xml:space="preserve">Ensuring that fees &amp; charges keep pace with corporate inflation assumptions as a minimum. However, this has proved </w:t>
      </w:r>
      <w:r w:rsidR="00D47626">
        <w:t xml:space="preserve">to be </w:t>
      </w:r>
      <w:r w:rsidRPr="00E05745">
        <w:t>one of the most challenging areas to address due to ongoing unfavourable economic conditions.</w:t>
      </w:r>
    </w:p>
    <w:p w14:paraId="4919006E" w14:textId="6137F31B" w:rsidR="006D562D" w:rsidRDefault="007004BD" w:rsidP="00E945CB">
      <w:pPr>
        <w:pStyle w:val="Heading2"/>
      </w:pPr>
      <w:r>
        <w:t xml:space="preserve">Delivering </w:t>
      </w:r>
      <w:r w:rsidR="009B058F" w:rsidRPr="00E05745">
        <w:t>the budget</w:t>
      </w:r>
      <w:r>
        <w:t xml:space="preserve"> proposals</w:t>
      </w:r>
      <w:r w:rsidR="009B058F" w:rsidRPr="00E05745">
        <w:t xml:space="preserve"> for 202</w:t>
      </w:r>
      <w:r>
        <w:t>4</w:t>
      </w:r>
      <w:r w:rsidR="009B058F" w:rsidRPr="00E05745">
        <w:t>/2</w:t>
      </w:r>
      <w:r>
        <w:t>5</w:t>
      </w:r>
      <w:r w:rsidR="009B058F" w:rsidRPr="00E05745">
        <w:t xml:space="preserve"> </w:t>
      </w:r>
      <w:r>
        <w:t>will undoubtedly present a major challenge to the organisation and a key risk remains any worsening of the cost of living crisis or any deepening of local or national economic challenges</w:t>
      </w:r>
      <w:r w:rsidR="00391F99">
        <w:t xml:space="preserve">. The projections for later years of the </w:t>
      </w:r>
      <w:r w:rsidR="001C7D72">
        <w:t>MTFS</w:t>
      </w:r>
      <w:r w:rsidR="00391F99">
        <w:t>, while very difficult to predict with great accuracy given the short term funding settlement and a forthcoming General Election, suggest that there will almost certainly be ongoing financial challenges for the council in future. Therefore, proposals and initiatives that can contribute to longer term financial sustainability through economies, efficiencies or improved prevention and demand management should be a key priority for focusing resources and/or investment.</w:t>
      </w:r>
    </w:p>
    <w:p w14:paraId="22BB270D" w14:textId="428479A4" w:rsidR="00391F99" w:rsidRDefault="007004BD" w:rsidP="00E945CB">
      <w:pPr>
        <w:pStyle w:val="Heading2"/>
      </w:pPr>
      <w:r>
        <w:t>This report covers the full scope of the General Fund budget for 2024/25 and sets out in the main report and appendices the projections, strategies and proposals for the following:</w:t>
      </w:r>
    </w:p>
    <w:p w14:paraId="37DA8A45" w14:textId="12523624" w:rsidR="00391F99" w:rsidRDefault="007004BD" w:rsidP="00E945CB">
      <w:pPr>
        <w:pStyle w:val="Heading2"/>
        <w:numPr>
          <w:ilvl w:val="0"/>
          <w:numId w:val="6"/>
        </w:numPr>
      </w:pPr>
      <w:r>
        <w:t xml:space="preserve">Resources </w:t>
      </w:r>
      <w:r w:rsidR="00B964C5">
        <w:t xml:space="preserve">(funding) </w:t>
      </w:r>
      <w:r>
        <w:t xml:space="preserve">and </w:t>
      </w:r>
      <w:r w:rsidR="00B964C5">
        <w:t xml:space="preserve">financial </w:t>
      </w:r>
      <w:r>
        <w:t>planning assumptions;</w:t>
      </w:r>
    </w:p>
    <w:p w14:paraId="1FF9CCDD" w14:textId="4894E18F" w:rsidR="00B964C5" w:rsidRDefault="007004BD" w:rsidP="00E945CB">
      <w:pPr>
        <w:pStyle w:val="Heading2"/>
        <w:numPr>
          <w:ilvl w:val="0"/>
          <w:numId w:val="6"/>
        </w:numPr>
      </w:pPr>
      <w:r>
        <w:t>The prioritisation of resources (‘Service Pressure Funding’) to protect core statutory services, meet unavoidable commitments and support key priorities;</w:t>
      </w:r>
    </w:p>
    <w:p w14:paraId="7AE7BF74" w14:textId="13D49216" w:rsidR="00B964C5" w:rsidRDefault="007004BD" w:rsidP="00E945CB">
      <w:pPr>
        <w:pStyle w:val="Heading2"/>
        <w:numPr>
          <w:ilvl w:val="0"/>
          <w:numId w:val="6"/>
        </w:numPr>
      </w:pPr>
      <w:r>
        <w:t>Savings proposals (in Appendix 1) to contribute to addressing the projected budget gap;</w:t>
      </w:r>
    </w:p>
    <w:p w14:paraId="499695DF" w14:textId="611860FF" w:rsidR="00B964C5" w:rsidRDefault="007004BD" w:rsidP="00E945CB">
      <w:pPr>
        <w:pStyle w:val="Heading2"/>
        <w:numPr>
          <w:ilvl w:val="0"/>
          <w:numId w:val="6"/>
        </w:numPr>
      </w:pPr>
      <w:r>
        <w:t>Estimates of one-off resourcing requirements and funding;</w:t>
      </w:r>
    </w:p>
    <w:p w14:paraId="27CE29B2" w14:textId="06E4D57F" w:rsidR="00B964C5" w:rsidRDefault="007004BD" w:rsidP="00E945CB">
      <w:pPr>
        <w:pStyle w:val="Heading2"/>
        <w:numPr>
          <w:ilvl w:val="0"/>
          <w:numId w:val="6"/>
        </w:numPr>
      </w:pPr>
      <w:r>
        <w:t xml:space="preserve">A Capital Strategy including a proposed </w:t>
      </w:r>
      <w:r w:rsidR="002B5AFF">
        <w:t xml:space="preserve">5-Year </w:t>
      </w:r>
      <w:r>
        <w:t>Capital Investment Programme and the proposed use of capital receipt flexibilities (Modernisation Funding);</w:t>
      </w:r>
    </w:p>
    <w:p w14:paraId="55463A80" w14:textId="3A762A7A" w:rsidR="00B964C5" w:rsidRDefault="007004BD" w:rsidP="00E945CB">
      <w:pPr>
        <w:pStyle w:val="Heading2"/>
        <w:numPr>
          <w:ilvl w:val="0"/>
          <w:numId w:val="6"/>
        </w:numPr>
      </w:pPr>
      <w:r>
        <w:t xml:space="preserve">Projections for the </w:t>
      </w:r>
      <w:r w:rsidR="001C7D72">
        <w:t>MTFS</w:t>
      </w:r>
      <w:r>
        <w:t xml:space="preserve"> 2024/25 to 2027/28</w:t>
      </w:r>
      <w:r w:rsidR="00DA6D29">
        <w:t>, and</w:t>
      </w:r>
      <w:r>
        <w:t>;</w:t>
      </w:r>
    </w:p>
    <w:p w14:paraId="57F9CB4F" w14:textId="4D204B76" w:rsidR="00391F99" w:rsidRPr="00E05745" w:rsidRDefault="007004BD" w:rsidP="00E945CB">
      <w:pPr>
        <w:pStyle w:val="Heading2"/>
        <w:numPr>
          <w:ilvl w:val="0"/>
          <w:numId w:val="6"/>
        </w:numPr>
      </w:pPr>
      <w:r>
        <w:t>Implications of the budget proposals for council staffing.</w:t>
      </w:r>
    </w:p>
    <w:p w14:paraId="3702C878" w14:textId="77777777" w:rsidR="009B058F" w:rsidRPr="00E05745" w:rsidRDefault="007004BD" w:rsidP="00E945CB">
      <w:pPr>
        <w:pStyle w:val="Heading2"/>
      </w:pPr>
      <w:r w:rsidRPr="00E05745">
        <w:t>The following section details the outcome of the Autumn Statement and subsequent provisional Local Government Financial Settlement alongside updated estimates of other costs and resources.</w:t>
      </w:r>
    </w:p>
    <w:p w14:paraId="00D17E7C" w14:textId="4E8EBC54" w:rsidR="009B058F" w:rsidRPr="00F85891" w:rsidRDefault="007004BD" w:rsidP="0057041E">
      <w:pPr>
        <w:pStyle w:val="Heading1"/>
        <w:rPr>
          <w:lang w:val="en-GB"/>
        </w:rPr>
      </w:pPr>
      <w:r w:rsidRPr="00F85891">
        <w:rPr>
          <w:lang w:val="en-GB"/>
        </w:rPr>
        <w:t>RESOURCES AND PLANNING ASSUMPTIONS 202</w:t>
      </w:r>
      <w:r w:rsidR="006127B2" w:rsidRPr="00F85891">
        <w:rPr>
          <w:lang w:val="en-GB"/>
        </w:rPr>
        <w:t>4/25</w:t>
      </w:r>
      <w:r w:rsidRPr="00F85891">
        <w:rPr>
          <w:lang w:val="en-GB"/>
        </w:rPr>
        <w:t xml:space="preserve"> </w:t>
      </w:r>
    </w:p>
    <w:p w14:paraId="7FEE1B2F" w14:textId="77777777" w:rsidR="009B058F" w:rsidRPr="00E945CB" w:rsidRDefault="007004BD" w:rsidP="00E945CB">
      <w:pPr>
        <w:keepNext/>
        <w:spacing w:before="120" w:after="120"/>
        <w:ind w:left="709"/>
        <w:rPr>
          <w:rFonts w:ascii="Arial" w:hAnsi="Arial" w:cs="Arial"/>
          <w:b/>
          <w:bCs/>
          <w:i/>
          <w:iCs/>
          <w:sz w:val="24"/>
          <w:szCs w:val="24"/>
        </w:rPr>
      </w:pPr>
      <w:r w:rsidRPr="00E945CB">
        <w:rPr>
          <w:rFonts w:ascii="Arial" w:hAnsi="Arial" w:cs="Arial"/>
          <w:b/>
          <w:bCs/>
          <w:i/>
          <w:iCs/>
          <w:sz w:val="24"/>
          <w:szCs w:val="24"/>
        </w:rPr>
        <w:t>Provisional Local Government Financial Settlement (LGFS)</w:t>
      </w:r>
    </w:p>
    <w:p w14:paraId="6C95C67F" w14:textId="624851BA" w:rsidR="009B058F" w:rsidRPr="00F85891" w:rsidRDefault="007004BD" w:rsidP="00E945CB">
      <w:pPr>
        <w:pStyle w:val="Heading2"/>
      </w:pPr>
      <w:r w:rsidRPr="00F85891">
        <w:rPr>
          <w:rFonts w:eastAsia="Times New Roman"/>
        </w:rPr>
        <w:t xml:space="preserve">The provisional </w:t>
      </w:r>
      <w:r w:rsidR="001C7D72">
        <w:rPr>
          <w:rFonts w:eastAsia="Times New Roman"/>
        </w:rPr>
        <w:t>LGFS</w:t>
      </w:r>
      <w:r w:rsidRPr="00F85891">
        <w:rPr>
          <w:rFonts w:eastAsia="Times New Roman"/>
        </w:rPr>
        <w:t xml:space="preserve"> for 202</w:t>
      </w:r>
      <w:r w:rsidR="00F85891" w:rsidRPr="00F85891">
        <w:rPr>
          <w:rFonts w:eastAsia="Times New Roman"/>
        </w:rPr>
        <w:t>4</w:t>
      </w:r>
      <w:r w:rsidRPr="00F85891">
        <w:rPr>
          <w:rFonts w:eastAsia="Times New Roman"/>
        </w:rPr>
        <w:t>/2</w:t>
      </w:r>
      <w:r w:rsidR="00F85891" w:rsidRPr="00F85891">
        <w:rPr>
          <w:rFonts w:eastAsia="Times New Roman"/>
        </w:rPr>
        <w:t>5</w:t>
      </w:r>
      <w:r w:rsidRPr="00F85891">
        <w:rPr>
          <w:rFonts w:eastAsia="Times New Roman"/>
        </w:rPr>
        <w:t xml:space="preserve"> was announced on 1</w:t>
      </w:r>
      <w:r w:rsidR="00F85891" w:rsidRPr="00F85891">
        <w:rPr>
          <w:rFonts w:eastAsia="Times New Roman"/>
        </w:rPr>
        <w:t>8</w:t>
      </w:r>
      <w:r w:rsidRPr="00F85891">
        <w:rPr>
          <w:rFonts w:eastAsia="Times New Roman"/>
        </w:rPr>
        <w:t xml:space="preserve"> December 202</w:t>
      </w:r>
      <w:r w:rsidR="00F85891" w:rsidRPr="00F85891">
        <w:rPr>
          <w:rFonts w:eastAsia="Times New Roman"/>
        </w:rPr>
        <w:t>3</w:t>
      </w:r>
      <w:r w:rsidRPr="00F85891">
        <w:rPr>
          <w:rFonts w:eastAsia="Times New Roman"/>
        </w:rPr>
        <w:t xml:space="preserve"> and reflected the headline funding announcements for </w:t>
      </w:r>
      <w:r w:rsidR="008A49D1">
        <w:rPr>
          <w:rFonts w:eastAsia="Times New Roman"/>
        </w:rPr>
        <w:t xml:space="preserve">the second </w:t>
      </w:r>
      <w:r w:rsidRPr="00F85891">
        <w:rPr>
          <w:rFonts w:eastAsia="Times New Roman"/>
        </w:rPr>
        <w:t xml:space="preserve">year of the 2-year Autumn Statement </w:t>
      </w:r>
      <w:r w:rsidR="00F85891" w:rsidRPr="00F85891">
        <w:rPr>
          <w:rFonts w:eastAsia="Times New Roman"/>
        </w:rPr>
        <w:t xml:space="preserve">originally </w:t>
      </w:r>
      <w:r w:rsidRPr="00F85891">
        <w:rPr>
          <w:rFonts w:eastAsia="Times New Roman"/>
        </w:rPr>
        <w:t>announce</w:t>
      </w:r>
      <w:r w:rsidR="00F85891" w:rsidRPr="00F85891">
        <w:rPr>
          <w:rFonts w:eastAsia="Times New Roman"/>
        </w:rPr>
        <w:t>d</w:t>
      </w:r>
      <w:r w:rsidRPr="00F85891">
        <w:rPr>
          <w:rFonts w:eastAsia="Times New Roman"/>
        </w:rPr>
        <w:t xml:space="preserve"> on 17 November </w:t>
      </w:r>
      <w:r w:rsidR="00F85891" w:rsidRPr="00F85891">
        <w:rPr>
          <w:rFonts w:eastAsia="Times New Roman"/>
        </w:rPr>
        <w:t xml:space="preserve">2022 </w:t>
      </w:r>
      <w:r w:rsidRPr="00F85891">
        <w:rPr>
          <w:rFonts w:eastAsia="Times New Roman"/>
        </w:rPr>
        <w:t>which included:</w:t>
      </w:r>
    </w:p>
    <w:p w14:paraId="48ECD538" w14:textId="5E51C71D" w:rsidR="009B058F" w:rsidRPr="00722F31" w:rsidRDefault="007004BD" w:rsidP="00722F31">
      <w:pPr>
        <w:pStyle w:val="ListParagraph"/>
        <w:numPr>
          <w:ilvl w:val="0"/>
          <w:numId w:val="6"/>
        </w:numPr>
        <w:spacing w:before="40" w:after="40"/>
        <w:ind w:left="1276" w:hanging="567"/>
        <w:contextualSpacing w:val="0"/>
        <w:rPr>
          <w:rFonts w:ascii="Arial" w:hAnsi="Arial" w:cs="Arial"/>
          <w:sz w:val="24"/>
          <w:szCs w:val="24"/>
          <w:lang w:val="en-GB"/>
        </w:rPr>
      </w:pPr>
      <w:r w:rsidRPr="00722F31">
        <w:rPr>
          <w:rFonts w:ascii="Arial" w:hAnsi="Arial" w:cs="Arial"/>
          <w:sz w:val="24"/>
          <w:szCs w:val="24"/>
          <w:lang w:val="en-GB"/>
        </w:rPr>
        <w:t>Confirmation of an allowable 2% Adult Social Care precept which would provide an additional £3.</w:t>
      </w:r>
      <w:r w:rsidR="00F85891" w:rsidRPr="00722F31">
        <w:rPr>
          <w:rFonts w:ascii="Arial" w:hAnsi="Arial" w:cs="Arial"/>
          <w:sz w:val="24"/>
          <w:szCs w:val="24"/>
          <w:lang w:val="en-GB"/>
        </w:rPr>
        <w:t>524</w:t>
      </w:r>
      <w:r w:rsidRPr="00722F31">
        <w:rPr>
          <w:rFonts w:ascii="Arial" w:hAnsi="Arial" w:cs="Arial"/>
          <w:sz w:val="24"/>
          <w:szCs w:val="24"/>
          <w:lang w:val="en-GB"/>
        </w:rPr>
        <w:t>m if agreed;</w:t>
      </w:r>
    </w:p>
    <w:p w14:paraId="40BCB284" w14:textId="7086F704" w:rsidR="009B058F" w:rsidRPr="00F85891" w:rsidRDefault="007004BD" w:rsidP="00A35550">
      <w:pPr>
        <w:pStyle w:val="ListParagraph"/>
        <w:numPr>
          <w:ilvl w:val="0"/>
          <w:numId w:val="6"/>
        </w:numPr>
        <w:spacing w:before="40" w:after="40"/>
        <w:ind w:left="1276" w:hanging="567"/>
        <w:contextualSpacing w:val="0"/>
        <w:rPr>
          <w:rFonts w:ascii="Arial" w:hAnsi="Arial" w:cs="Arial"/>
          <w:sz w:val="24"/>
          <w:szCs w:val="24"/>
          <w:lang w:val="en-GB"/>
        </w:rPr>
      </w:pPr>
      <w:r w:rsidRPr="00F85891">
        <w:rPr>
          <w:rFonts w:ascii="Arial" w:hAnsi="Arial" w:cs="Arial"/>
          <w:sz w:val="24"/>
          <w:szCs w:val="24"/>
          <w:lang w:val="en-GB"/>
        </w:rPr>
        <w:t>Confirmation</w:t>
      </w:r>
      <w:bookmarkStart w:id="2" w:name="_Ref347495962"/>
      <w:r w:rsidRPr="00F85891">
        <w:rPr>
          <w:rFonts w:ascii="Arial" w:hAnsi="Arial" w:cs="Arial"/>
          <w:sz w:val="24"/>
          <w:szCs w:val="24"/>
          <w:lang w:val="en-GB"/>
        </w:rPr>
        <w:t xml:space="preserve"> that the threshold at which an increase in Council Tax requires a local referendum will be 5% including a 2% Adult Social Care (ASC) precept. </w:t>
      </w:r>
      <w:bookmarkEnd w:id="2"/>
      <w:r w:rsidRPr="00F85891">
        <w:rPr>
          <w:rFonts w:ascii="Arial" w:hAnsi="Arial" w:cs="Arial"/>
          <w:sz w:val="24"/>
          <w:szCs w:val="24"/>
          <w:lang w:val="en-GB"/>
        </w:rPr>
        <w:t xml:space="preserve">Any proposal to increase </w:t>
      </w:r>
      <w:r w:rsidR="002B5AFF">
        <w:rPr>
          <w:rFonts w:ascii="Arial" w:hAnsi="Arial" w:cs="Arial"/>
          <w:sz w:val="24"/>
          <w:szCs w:val="24"/>
          <w:lang w:val="en-GB"/>
        </w:rPr>
        <w:t xml:space="preserve">core </w:t>
      </w:r>
      <w:r w:rsidR="008A49D1">
        <w:rPr>
          <w:rFonts w:ascii="Arial" w:hAnsi="Arial" w:cs="Arial"/>
          <w:sz w:val="24"/>
          <w:szCs w:val="24"/>
          <w:lang w:val="en-GB"/>
        </w:rPr>
        <w:t>C</w:t>
      </w:r>
      <w:r w:rsidRPr="00F85891">
        <w:rPr>
          <w:rFonts w:ascii="Arial" w:hAnsi="Arial" w:cs="Arial"/>
          <w:sz w:val="24"/>
          <w:szCs w:val="24"/>
          <w:lang w:val="en-GB"/>
        </w:rPr>
        <w:t xml:space="preserve">ouncil </w:t>
      </w:r>
      <w:r w:rsidR="008A49D1">
        <w:rPr>
          <w:rFonts w:ascii="Arial" w:hAnsi="Arial" w:cs="Arial"/>
          <w:sz w:val="24"/>
          <w:szCs w:val="24"/>
          <w:lang w:val="en-GB"/>
        </w:rPr>
        <w:t>T</w:t>
      </w:r>
      <w:r w:rsidRPr="00F85891">
        <w:rPr>
          <w:rFonts w:ascii="Arial" w:hAnsi="Arial" w:cs="Arial"/>
          <w:sz w:val="24"/>
          <w:szCs w:val="24"/>
          <w:lang w:val="en-GB"/>
        </w:rPr>
        <w:t>ax by 3% or more would therefore need to be accompanied by an agreed substitute budget, which would need to be implemented if the increase were voted down by the electorate;</w:t>
      </w:r>
    </w:p>
    <w:p w14:paraId="3D7AF391" w14:textId="52FC40FA" w:rsidR="009B058F" w:rsidRPr="00104BE3" w:rsidRDefault="007004BD" w:rsidP="00A35550">
      <w:pPr>
        <w:pStyle w:val="ListParagraph"/>
        <w:numPr>
          <w:ilvl w:val="0"/>
          <w:numId w:val="6"/>
        </w:numPr>
        <w:spacing w:before="40" w:after="40"/>
        <w:ind w:left="1276" w:hanging="567"/>
        <w:contextualSpacing w:val="0"/>
        <w:rPr>
          <w:rFonts w:ascii="Arial" w:hAnsi="Arial" w:cs="Arial"/>
          <w:sz w:val="24"/>
          <w:szCs w:val="24"/>
          <w:lang w:val="en-GB"/>
        </w:rPr>
      </w:pPr>
      <w:r w:rsidRPr="00104BE3">
        <w:rPr>
          <w:rFonts w:ascii="Arial" w:hAnsi="Arial" w:cs="Arial"/>
          <w:sz w:val="24"/>
          <w:szCs w:val="24"/>
          <w:lang w:val="en-GB"/>
        </w:rPr>
        <w:t>Additional Social Care funding as part of the 2-year Autumn Statement which is reflected in table 1 below</w:t>
      </w:r>
      <w:r w:rsidR="00A019BD">
        <w:rPr>
          <w:rFonts w:ascii="Arial" w:hAnsi="Arial" w:cs="Arial"/>
          <w:sz w:val="24"/>
          <w:szCs w:val="24"/>
          <w:lang w:val="en-GB"/>
        </w:rPr>
        <w:t>;</w:t>
      </w:r>
    </w:p>
    <w:p w14:paraId="19FCABA4" w14:textId="3D36E118" w:rsidR="00104BE3" w:rsidRPr="00104BE3" w:rsidRDefault="007004BD" w:rsidP="00A35550">
      <w:pPr>
        <w:pStyle w:val="ListParagraph"/>
        <w:numPr>
          <w:ilvl w:val="0"/>
          <w:numId w:val="6"/>
        </w:numPr>
        <w:spacing w:before="40" w:after="40"/>
        <w:ind w:left="1276" w:hanging="567"/>
        <w:contextualSpacing w:val="0"/>
        <w:rPr>
          <w:rFonts w:ascii="Arial" w:hAnsi="Arial" w:cs="Arial"/>
          <w:sz w:val="24"/>
          <w:szCs w:val="24"/>
          <w:lang w:val="en-GB"/>
        </w:rPr>
      </w:pPr>
      <w:r w:rsidRPr="00104BE3">
        <w:rPr>
          <w:rFonts w:ascii="Arial" w:hAnsi="Arial" w:cs="Arial"/>
          <w:sz w:val="24"/>
          <w:szCs w:val="24"/>
          <w:lang w:val="en-GB"/>
        </w:rPr>
        <w:t xml:space="preserve">A reduction in Services Grant of £2.015m to £0.376m. The scale of reduction was much higher than expected as this grant was used to provide minimum funding guarantees to </w:t>
      </w:r>
      <w:r w:rsidR="00A019BD" w:rsidRPr="00104BE3">
        <w:rPr>
          <w:rFonts w:ascii="Arial" w:hAnsi="Arial" w:cs="Arial"/>
          <w:sz w:val="24"/>
          <w:szCs w:val="24"/>
          <w:lang w:val="en-GB"/>
        </w:rPr>
        <w:t>non-Social</w:t>
      </w:r>
      <w:r w:rsidRPr="00104BE3">
        <w:rPr>
          <w:rFonts w:ascii="Arial" w:hAnsi="Arial" w:cs="Arial"/>
          <w:sz w:val="24"/>
          <w:szCs w:val="24"/>
          <w:lang w:val="en-GB"/>
        </w:rPr>
        <w:t xml:space="preserve"> Care authorities</w:t>
      </w:r>
      <w:r w:rsidR="00A019BD">
        <w:rPr>
          <w:rFonts w:ascii="Arial" w:hAnsi="Arial" w:cs="Arial"/>
          <w:sz w:val="24"/>
          <w:szCs w:val="24"/>
          <w:lang w:val="en-GB"/>
        </w:rPr>
        <w:t>;</w:t>
      </w:r>
      <w:r w:rsidRPr="00104BE3">
        <w:rPr>
          <w:rFonts w:ascii="Arial" w:hAnsi="Arial" w:cs="Arial"/>
          <w:sz w:val="24"/>
          <w:szCs w:val="24"/>
          <w:lang w:val="en-GB"/>
        </w:rPr>
        <w:t xml:space="preserve"> </w:t>
      </w:r>
    </w:p>
    <w:p w14:paraId="30DEE3D5" w14:textId="58CB0708" w:rsidR="009B058F" w:rsidRPr="003215E7" w:rsidRDefault="007004BD" w:rsidP="00A35550">
      <w:pPr>
        <w:pStyle w:val="ListParagraph"/>
        <w:numPr>
          <w:ilvl w:val="0"/>
          <w:numId w:val="6"/>
        </w:numPr>
        <w:spacing w:before="40" w:after="40"/>
        <w:ind w:left="1276" w:hanging="567"/>
        <w:contextualSpacing w:val="0"/>
        <w:rPr>
          <w:rFonts w:ascii="Arial" w:hAnsi="Arial" w:cs="Arial"/>
          <w:sz w:val="24"/>
          <w:szCs w:val="24"/>
          <w:lang w:val="en-GB"/>
        </w:rPr>
      </w:pPr>
      <w:r w:rsidRPr="003215E7">
        <w:rPr>
          <w:rFonts w:ascii="Arial" w:hAnsi="Arial" w:cs="Arial"/>
          <w:sz w:val="24"/>
          <w:szCs w:val="24"/>
          <w:lang w:val="en-GB"/>
        </w:rPr>
        <w:t>The council</w:t>
      </w:r>
      <w:r w:rsidR="008A49D1">
        <w:rPr>
          <w:rFonts w:ascii="Arial" w:hAnsi="Arial" w:cs="Arial"/>
          <w:sz w:val="24"/>
          <w:szCs w:val="24"/>
          <w:lang w:val="en-GB"/>
        </w:rPr>
        <w:t>’</w:t>
      </w:r>
      <w:r w:rsidRPr="003215E7">
        <w:rPr>
          <w:rFonts w:ascii="Arial" w:hAnsi="Arial" w:cs="Arial"/>
          <w:sz w:val="24"/>
          <w:szCs w:val="24"/>
          <w:lang w:val="en-GB"/>
        </w:rPr>
        <w:t xml:space="preserve">s income from Business Rates and section 31 </w:t>
      </w:r>
      <w:r w:rsidR="001C7D72">
        <w:rPr>
          <w:rFonts w:ascii="Arial" w:hAnsi="Arial" w:cs="Arial"/>
          <w:sz w:val="24"/>
          <w:szCs w:val="24"/>
          <w:lang w:val="en-GB"/>
        </w:rPr>
        <w:t>g</w:t>
      </w:r>
      <w:r w:rsidR="001C7D72" w:rsidRPr="003215E7">
        <w:rPr>
          <w:rFonts w:ascii="Arial" w:hAnsi="Arial" w:cs="Arial"/>
          <w:sz w:val="24"/>
          <w:szCs w:val="24"/>
          <w:lang w:val="en-GB"/>
        </w:rPr>
        <w:t xml:space="preserve">rants </w:t>
      </w:r>
      <w:r w:rsidRPr="003215E7">
        <w:rPr>
          <w:rFonts w:ascii="Arial" w:hAnsi="Arial" w:cs="Arial"/>
          <w:sz w:val="24"/>
          <w:szCs w:val="24"/>
          <w:lang w:val="en-GB"/>
        </w:rPr>
        <w:t>increased</w:t>
      </w:r>
      <w:r w:rsidR="00104BE3" w:rsidRPr="003215E7">
        <w:rPr>
          <w:rFonts w:ascii="Arial" w:hAnsi="Arial" w:cs="Arial"/>
          <w:sz w:val="24"/>
          <w:szCs w:val="24"/>
          <w:lang w:val="en-GB"/>
        </w:rPr>
        <w:t xml:space="preserve"> by Sept</w:t>
      </w:r>
      <w:r w:rsidR="002B5AFF">
        <w:rPr>
          <w:rFonts w:ascii="Arial" w:hAnsi="Arial" w:cs="Arial"/>
          <w:sz w:val="24"/>
          <w:szCs w:val="24"/>
          <w:lang w:val="en-GB"/>
        </w:rPr>
        <w:t>ember</w:t>
      </w:r>
      <w:r w:rsidR="00104BE3" w:rsidRPr="003215E7">
        <w:rPr>
          <w:rFonts w:ascii="Arial" w:hAnsi="Arial" w:cs="Arial"/>
          <w:sz w:val="24"/>
          <w:szCs w:val="24"/>
          <w:lang w:val="en-GB"/>
        </w:rPr>
        <w:t xml:space="preserve"> 2023 CPI of 6.7</w:t>
      </w:r>
      <w:r w:rsidRPr="003215E7">
        <w:rPr>
          <w:rFonts w:ascii="Arial" w:hAnsi="Arial" w:cs="Arial"/>
          <w:sz w:val="24"/>
          <w:szCs w:val="24"/>
          <w:lang w:val="en-GB"/>
        </w:rPr>
        <w:t>%;</w:t>
      </w:r>
    </w:p>
    <w:p w14:paraId="68E34560" w14:textId="2CE20E86" w:rsidR="009B058F" w:rsidRPr="003215E7" w:rsidRDefault="007004BD" w:rsidP="00A35550">
      <w:pPr>
        <w:pStyle w:val="ListParagraph"/>
        <w:numPr>
          <w:ilvl w:val="0"/>
          <w:numId w:val="6"/>
        </w:numPr>
        <w:spacing w:before="40" w:after="40"/>
        <w:ind w:left="1276" w:hanging="567"/>
        <w:contextualSpacing w:val="0"/>
        <w:rPr>
          <w:rFonts w:ascii="Arial" w:hAnsi="Arial" w:cs="Arial"/>
          <w:sz w:val="24"/>
          <w:szCs w:val="24"/>
          <w:lang w:val="en-GB"/>
        </w:rPr>
      </w:pPr>
      <w:r>
        <w:rPr>
          <w:rFonts w:ascii="Arial" w:hAnsi="Arial" w:cs="Arial"/>
          <w:sz w:val="24"/>
          <w:szCs w:val="24"/>
          <w:lang w:val="en-GB"/>
        </w:rPr>
        <w:t>An i</w:t>
      </w:r>
      <w:r w:rsidRPr="003215E7">
        <w:rPr>
          <w:rFonts w:ascii="Arial" w:hAnsi="Arial" w:cs="Arial"/>
          <w:sz w:val="24"/>
          <w:szCs w:val="24"/>
          <w:lang w:val="en-GB"/>
        </w:rPr>
        <w:t>ncrease in the Revenue Support Grant (RSG) of £0.</w:t>
      </w:r>
      <w:r w:rsidR="00A019BD" w:rsidRPr="003215E7">
        <w:rPr>
          <w:rFonts w:ascii="Arial" w:hAnsi="Arial" w:cs="Arial"/>
          <w:sz w:val="24"/>
          <w:szCs w:val="24"/>
          <w:lang w:val="en-GB"/>
        </w:rPr>
        <w:t>526</w:t>
      </w:r>
      <w:r w:rsidRPr="003215E7">
        <w:rPr>
          <w:rFonts w:ascii="Arial" w:hAnsi="Arial" w:cs="Arial"/>
          <w:sz w:val="24"/>
          <w:szCs w:val="24"/>
          <w:lang w:val="en-GB"/>
        </w:rPr>
        <w:t>m reflecting the application of a CPI inflationary increase</w:t>
      </w:r>
      <w:r w:rsidR="00A019BD" w:rsidRPr="003215E7">
        <w:rPr>
          <w:rFonts w:ascii="Arial" w:hAnsi="Arial" w:cs="Arial"/>
          <w:sz w:val="24"/>
          <w:szCs w:val="24"/>
          <w:lang w:val="en-GB"/>
        </w:rPr>
        <w:t xml:space="preserve"> of 6.7%</w:t>
      </w:r>
      <w:r w:rsidRPr="003215E7">
        <w:rPr>
          <w:rFonts w:ascii="Arial" w:hAnsi="Arial" w:cs="Arial"/>
          <w:sz w:val="24"/>
          <w:szCs w:val="24"/>
          <w:lang w:val="en-GB"/>
        </w:rPr>
        <w:t>;</w:t>
      </w:r>
    </w:p>
    <w:p w14:paraId="71E96BAF" w14:textId="15910DE6" w:rsidR="009B058F" w:rsidRPr="003215E7" w:rsidRDefault="007004BD" w:rsidP="00A35550">
      <w:pPr>
        <w:pStyle w:val="ListParagraph"/>
        <w:numPr>
          <w:ilvl w:val="0"/>
          <w:numId w:val="6"/>
        </w:numPr>
        <w:spacing w:before="40" w:after="40"/>
        <w:ind w:left="1276" w:hanging="567"/>
        <w:contextualSpacing w:val="0"/>
        <w:rPr>
          <w:rFonts w:ascii="Arial" w:hAnsi="Arial" w:cs="Arial"/>
          <w:sz w:val="24"/>
          <w:szCs w:val="24"/>
          <w:lang w:val="en-GB"/>
        </w:rPr>
      </w:pPr>
      <w:r w:rsidRPr="003215E7">
        <w:rPr>
          <w:rFonts w:ascii="Arial" w:hAnsi="Arial" w:cs="Arial"/>
          <w:sz w:val="24"/>
          <w:szCs w:val="24"/>
          <w:lang w:val="en-GB"/>
        </w:rPr>
        <w:t>A further one year extension of the New Homes Bonus grant of £2.627m which is once again provided on a one-off basis as the government has said over a number of years it intends to replace the mechanism for distributing this funding in the future.</w:t>
      </w:r>
    </w:p>
    <w:p w14:paraId="22D5036D" w14:textId="72DD5E3F" w:rsidR="009B058F" w:rsidRPr="003215E7" w:rsidRDefault="007004BD" w:rsidP="00A35550">
      <w:pPr>
        <w:pStyle w:val="ListParagraph"/>
        <w:numPr>
          <w:ilvl w:val="0"/>
          <w:numId w:val="6"/>
        </w:numPr>
        <w:spacing w:before="40" w:after="40"/>
        <w:ind w:left="1276" w:hanging="567"/>
        <w:contextualSpacing w:val="0"/>
        <w:rPr>
          <w:rFonts w:ascii="Arial" w:hAnsi="Arial" w:cs="Arial"/>
          <w:sz w:val="24"/>
          <w:szCs w:val="24"/>
          <w:lang w:val="en-GB"/>
        </w:rPr>
      </w:pPr>
      <w:r>
        <w:rPr>
          <w:rFonts w:ascii="Arial" w:hAnsi="Arial" w:cs="Arial"/>
          <w:sz w:val="24"/>
          <w:szCs w:val="24"/>
          <w:lang w:val="en-GB"/>
        </w:rPr>
        <w:t>N</w:t>
      </w:r>
      <w:r w:rsidR="00A019BD" w:rsidRPr="003215E7">
        <w:rPr>
          <w:rFonts w:ascii="Arial" w:hAnsi="Arial" w:cs="Arial"/>
          <w:sz w:val="24"/>
          <w:szCs w:val="24"/>
          <w:lang w:val="en-GB"/>
        </w:rPr>
        <w:t>o funding announce</w:t>
      </w:r>
      <w:r>
        <w:rPr>
          <w:rFonts w:ascii="Arial" w:hAnsi="Arial" w:cs="Arial"/>
          <w:sz w:val="24"/>
          <w:szCs w:val="24"/>
          <w:lang w:val="en-GB"/>
        </w:rPr>
        <w:t>ment</w:t>
      </w:r>
      <w:r w:rsidR="00A019BD" w:rsidRPr="003215E7">
        <w:rPr>
          <w:rFonts w:ascii="Arial" w:hAnsi="Arial" w:cs="Arial"/>
          <w:sz w:val="24"/>
          <w:szCs w:val="24"/>
          <w:lang w:val="en-GB"/>
        </w:rPr>
        <w:t xml:space="preserve"> for the </w:t>
      </w:r>
      <w:r w:rsidR="008A49D1">
        <w:rPr>
          <w:rFonts w:ascii="Arial" w:hAnsi="Arial" w:cs="Arial"/>
          <w:sz w:val="24"/>
          <w:szCs w:val="24"/>
          <w:lang w:val="en-GB"/>
        </w:rPr>
        <w:t>H</w:t>
      </w:r>
      <w:r w:rsidR="00A019BD" w:rsidRPr="003215E7">
        <w:rPr>
          <w:rFonts w:ascii="Arial" w:hAnsi="Arial" w:cs="Arial"/>
          <w:sz w:val="24"/>
          <w:szCs w:val="24"/>
          <w:lang w:val="en-GB"/>
        </w:rPr>
        <w:t xml:space="preserve">ousehold Support Fund beyond the current allocation which ends </w:t>
      </w:r>
      <w:r w:rsidR="008A49D1">
        <w:rPr>
          <w:rFonts w:ascii="Arial" w:hAnsi="Arial" w:cs="Arial"/>
          <w:sz w:val="24"/>
          <w:szCs w:val="24"/>
          <w:lang w:val="en-GB"/>
        </w:rPr>
        <w:t xml:space="preserve">on </w:t>
      </w:r>
      <w:r w:rsidR="00A019BD" w:rsidRPr="003215E7">
        <w:rPr>
          <w:rFonts w:ascii="Arial" w:hAnsi="Arial" w:cs="Arial"/>
          <w:sz w:val="24"/>
          <w:szCs w:val="24"/>
          <w:lang w:val="en-GB"/>
        </w:rPr>
        <w:t>31</w:t>
      </w:r>
      <w:r w:rsidR="00722F31">
        <w:rPr>
          <w:rFonts w:ascii="Arial" w:hAnsi="Arial" w:cs="Arial"/>
          <w:sz w:val="24"/>
          <w:szCs w:val="24"/>
          <w:lang w:val="en-GB"/>
        </w:rPr>
        <w:t xml:space="preserve"> March </w:t>
      </w:r>
      <w:r w:rsidR="00A019BD" w:rsidRPr="003215E7">
        <w:rPr>
          <w:rFonts w:ascii="Arial" w:hAnsi="Arial" w:cs="Arial"/>
          <w:sz w:val="24"/>
          <w:szCs w:val="24"/>
          <w:lang w:val="en-GB"/>
        </w:rPr>
        <w:t>2024. During 2023/24 the council received £4.281m.</w:t>
      </w:r>
    </w:p>
    <w:p w14:paraId="1D8AC906" w14:textId="76385FF9" w:rsidR="009B058F" w:rsidRPr="003215E7" w:rsidRDefault="007004BD" w:rsidP="00E945CB">
      <w:pPr>
        <w:pStyle w:val="Heading2"/>
      </w:pPr>
      <w:bookmarkStart w:id="3" w:name="_Ref157069855"/>
      <w:r w:rsidRPr="003215E7">
        <w:rPr>
          <w:rFonts w:eastAsia="Times New Roman"/>
        </w:rPr>
        <w:t xml:space="preserve">On 24 January 2024, the </w:t>
      </w:r>
      <w:r w:rsidR="003215E7" w:rsidRPr="003215E7">
        <w:rPr>
          <w:rFonts w:eastAsia="Times New Roman"/>
        </w:rPr>
        <w:t>Secretary of State for Levelling Up, Housing and Communities announced additional measures to support local authorities worth £600m nationally. This includes £500m to be distributed through the Social Care Grant. It is estimated this council will receive additional resources of £2.25</w:t>
      </w:r>
      <w:r w:rsidR="008A49D1">
        <w:rPr>
          <w:rFonts w:eastAsia="Times New Roman"/>
        </w:rPr>
        <w:t>0</w:t>
      </w:r>
      <w:r w:rsidR="003215E7" w:rsidRPr="003215E7">
        <w:rPr>
          <w:rFonts w:eastAsia="Times New Roman"/>
        </w:rPr>
        <w:t xml:space="preserve">m from this change which is included in the overall Budget for 2024/25 however the actual amount will not be confirmed until the </w:t>
      </w:r>
      <w:r w:rsidRPr="003215E7">
        <w:rPr>
          <w:rFonts w:eastAsia="Times New Roman"/>
        </w:rPr>
        <w:t>final L</w:t>
      </w:r>
      <w:r w:rsidR="002161F8">
        <w:rPr>
          <w:rFonts w:eastAsia="Times New Roman"/>
        </w:rPr>
        <w:t>GFS</w:t>
      </w:r>
      <w:r w:rsidRPr="003215E7">
        <w:rPr>
          <w:rFonts w:eastAsia="Times New Roman"/>
        </w:rPr>
        <w:t xml:space="preserve"> </w:t>
      </w:r>
      <w:r w:rsidR="003215E7" w:rsidRPr="003215E7">
        <w:rPr>
          <w:rFonts w:eastAsia="Times New Roman"/>
        </w:rPr>
        <w:t xml:space="preserve">which </w:t>
      </w:r>
      <w:r w:rsidRPr="003215E7">
        <w:rPr>
          <w:rFonts w:eastAsia="Times New Roman"/>
        </w:rPr>
        <w:t>is expected to be announced in</w:t>
      </w:r>
      <w:r w:rsidR="003215E7" w:rsidRPr="003215E7">
        <w:rPr>
          <w:rFonts w:eastAsia="Times New Roman"/>
        </w:rPr>
        <w:t xml:space="preserve"> early</w:t>
      </w:r>
      <w:r w:rsidRPr="003215E7">
        <w:rPr>
          <w:rFonts w:eastAsia="Times New Roman"/>
        </w:rPr>
        <w:t xml:space="preserve"> February 202</w:t>
      </w:r>
      <w:r w:rsidR="003215E7" w:rsidRPr="003215E7">
        <w:rPr>
          <w:rFonts w:eastAsia="Times New Roman"/>
        </w:rPr>
        <w:t>4</w:t>
      </w:r>
      <w:r w:rsidRPr="003215E7">
        <w:rPr>
          <w:rFonts w:eastAsia="Times New Roman"/>
        </w:rPr>
        <w:t>.</w:t>
      </w:r>
      <w:bookmarkEnd w:id="3"/>
    </w:p>
    <w:p w14:paraId="704EB97A" w14:textId="77777777" w:rsidR="009B058F" w:rsidRPr="00E945CB" w:rsidRDefault="007004BD" w:rsidP="00E945CB">
      <w:pPr>
        <w:keepNext/>
        <w:spacing w:before="120" w:after="120"/>
        <w:ind w:left="709"/>
        <w:rPr>
          <w:rFonts w:ascii="Arial" w:hAnsi="Arial" w:cs="Arial"/>
          <w:b/>
          <w:bCs/>
          <w:i/>
          <w:iCs/>
          <w:sz w:val="24"/>
          <w:szCs w:val="24"/>
        </w:rPr>
      </w:pPr>
      <w:r w:rsidRPr="00E945CB">
        <w:rPr>
          <w:rFonts w:ascii="Arial" w:hAnsi="Arial" w:cs="Arial"/>
          <w:b/>
          <w:bCs/>
          <w:i/>
          <w:iCs/>
          <w:sz w:val="24"/>
          <w:szCs w:val="24"/>
        </w:rPr>
        <w:t xml:space="preserve">Social Care and Better Care Funding (BCF) </w:t>
      </w:r>
    </w:p>
    <w:p w14:paraId="6C813BA3" w14:textId="7D7BA892" w:rsidR="009B058F" w:rsidRPr="002161F8" w:rsidRDefault="007004BD" w:rsidP="00E945CB">
      <w:pPr>
        <w:pStyle w:val="Heading2"/>
      </w:pPr>
      <w:r w:rsidRPr="002161F8">
        <w:t xml:space="preserve">In November 2022 the government announced it would delay the introduction of the care reforms from October 2023 to October 2025 and re-purpose this funding to support councils with the increasing costs of social care although there has been no further information on how the care reforms will be funded from October 2025. </w:t>
      </w:r>
    </w:p>
    <w:p w14:paraId="49A92BBF" w14:textId="6BC6C51F" w:rsidR="002161F8" w:rsidRPr="002161F8" w:rsidRDefault="007004BD" w:rsidP="00E945CB">
      <w:pPr>
        <w:pStyle w:val="Heading2"/>
      </w:pPr>
      <w:r w:rsidRPr="002161F8">
        <w:t>The government confirmed a further 2% Adult Social Care precept for 2024/25.</w:t>
      </w:r>
    </w:p>
    <w:p w14:paraId="25A0BEA7" w14:textId="1E4D2686" w:rsidR="002161F8" w:rsidRPr="002161F8" w:rsidRDefault="007004BD" w:rsidP="00E945CB">
      <w:pPr>
        <w:pStyle w:val="Heading2"/>
      </w:pPr>
      <w:r w:rsidRPr="002161F8">
        <w:t>In addition</w:t>
      </w:r>
      <w:r w:rsidR="008A49D1">
        <w:t>,</w:t>
      </w:r>
      <w:r w:rsidRPr="002161F8">
        <w:t xml:space="preserve"> the government made a further announcement of additional </w:t>
      </w:r>
      <w:r w:rsidR="001C7D72">
        <w:t>S</w:t>
      </w:r>
      <w:r w:rsidR="001C7D72" w:rsidRPr="002161F8">
        <w:t xml:space="preserve">ocial </w:t>
      </w:r>
      <w:r w:rsidR="001C7D72">
        <w:t>C</w:t>
      </w:r>
      <w:r w:rsidR="001C7D72" w:rsidRPr="002161F8">
        <w:t xml:space="preserve">are </w:t>
      </w:r>
      <w:r w:rsidRPr="002161F8">
        <w:t xml:space="preserve">grant funding as described in paragraph </w:t>
      </w:r>
      <w:r w:rsidRPr="002161F8">
        <w:fldChar w:fldCharType="begin"/>
      </w:r>
      <w:r w:rsidRPr="002161F8">
        <w:instrText xml:space="preserve"> REF _Ref157069855 \r \h </w:instrText>
      </w:r>
      <w:r w:rsidRPr="002161F8">
        <w:fldChar w:fldCharType="separate"/>
      </w:r>
      <w:r w:rsidR="008A49D1">
        <w:t>4.2</w:t>
      </w:r>
      <w:r w:rsidRPr="002161F8">
        <w:fldChar w:fldCharType="end"/>
      </w:r>
      <w:r w:rsidRPr="002161F8">
        <w:t xml:space="preserve">. </w:t>
      </w:r>
    </w:p>
    <w:p w14:paraId="4FDF86C8" w14:textId="2A1F9F2E" w:rsidR="009B058F" w:rsidRPr="002161F8" w:rsidRDefault="007004BD" w:rsidP="00E945CB">
      <w:pPr>
        <w:pStyle w:val="Heading2"/>
      </w:pPr>
      <w:r w:rsidRPr="002161F8">
        <w:t>All additional funding for Social Care has been directed towards supporting the demand and cost pressures within Social Care services. The table below summarises the resources available to support Social Care pressures in 2024/25.</w:t>
      </w:r>
    </w:p>
    <w:p w14:paraId="4D4291BA" w14:textId="77777777" w:rsidR="009B058F" w:rsidRPr="00DA6D29" w:rsidRDefault="009B058F" w:rsidP="009B058F">
      <w:pPr>
        <w:spacing w:before="120"/>
        <w:ind w:left="720"/>
        <w:rPr>
          <w:rFonts w:ascii="Arial" w:hAnsi="Arial" w:cs="Arial"/>
          <w:color w:val="FF0000"/>
          <w:sz w:val="24"/>
          <w:szCs w:val="24"/>
          <w:lang w:val="en-GB"/>
        </w:rPr>
      </w:pPr>
    </w:p>
    <w:tbl>
      <w:tblPr>
        <w:tblW w:w="893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6"/>
        <w:gridCol w:w="1464"/>
        <w:gridCol w:w="1465"/>
        <w:gridCol w:w="1465"/>
      </w:tblGrid>
      <w:tr w:rsidR="00A53B77" w14:paraId="5B7C4B0F" w14:textId="77777777" w:rsidTr="002B5AFF">
        <w:tc>
          <w:tcPr>
            <w:tcW w:w="4536" w:type="dxa"/>
            <w:shd w:val="clear" w:color="auto" w:fill="auto"/>
          </w:tcPr>
          <w:p w14:paraId="0DDD7C11" w14:textId="77777777" w:rsidR="009B058F" w:rsidRPr="00104BE3" w:rsidRDefault="007004BD" w:rsidP="00BF5B70">
            <w:pPr>
              <w:spacing w:before="20" w:after="20"/>
              <w:outlineLvl w:val="1"/>
              <w:rPr>
                <w:rFonts w:ascii="Arial" w:hAnsi="Arial" w:cs="Arial"/>
                <w:b/>
                <w:sz w:val="24"/>
                <w:szCs w:val="24"/>
                <w:lang w:val="en-GB"/>
              </w:rPr>
            </w:pPr>
            <w:r w:rsidRPr="00104BE3">
              <w:rPr>
                <w:rFonts w:ascii="Arial" w:hAnsi="Arial" w:cs="Arial"/>
                <w:b/>
                <w:sz w:val="24"/>
                <w:szCs w:val="24"/>
                <w:lang w:val="en-GB"/>
              </w:rPr>
              <w:t>Table 1: Social Care Resources</w:t>
            </w:r>
          </w:p>
        </w:tc>
        <w:tc>
          <w:tcPr>
            <w:tcW w:w="1464" w:type="dxa"/>
            <w:shd w:val="clear" w:color="auto" w:fill="auto"/>
          </w:tcPr>
          <w:p w14:paraId="04ED5672" w14:textId="496EEF38" w:rsidR="009B058F" w:rsidRPr="00104BE3" w:rsidRDefault="007004BD" w:rsidP="00BF5B70">
            <w:pPr>
              <w:spacing w:before="20" w:after="20"/>
              <w:jc w:val="center"/>
              <w:outlineLvl w:val="1"/>
              <w:rPr>
                <w:rFonts w:ascii="Arial" w:hAnsi="Arial" w:cs="Arial"/>
                <w:b/>
                <w:sz w:val="24"/>
                <w:szCs w:val="24"/>
                <w:lang w:val="en-GB"/>
              </w:rPr>
            </w:pPr>
            <w:r w:rsidRPr="00104BE3">
              <w:rPr>
                <w:rFonts w:ascii="Arial" w:hAnsi="Arial" w:cs="Arial"/>
                <w:b/>
                <w:sz w:val="24"/>
                <w:szCs w:val="24"/>
                <w:lang w:val="en-GB"/>
              </w:rPr>
              <w:t>202</w:t>
            </w:r>
            <w:r w:rsidR="00F85891" w:rsidRPr="00104BE3">
              <w:rPr>
                <w:rFonts w:ascii="Arial" w:hAnsi="Arial" w:cs="Arial"/>
                <w:b/>
                <w:sz w:val="24"/>
                <w:szCs w:val="24"/>
                <w:lang w:val="en-GB"/>
              </w:rPr>
              <w:t>2</w:t>
            </w:r>
            <w:r w:rsidRPr="00104BE3">
              <w:rPr>
                <w:rFonts w:ascii="Arial" w:hAnsi="Arial" w:cs="Arial"/>
                <w:b/>
                <w:sz w:val="24"/>
                <w:szCs w:val="24"/>
                <w:lang w:val="en-GB"/>
              </w:rPr>
              <w:t>/2</w:t>
            </w:r>
            <w:r w:rsidR="00F85891" w:rsidRPr="00104BE3">
              <w:rPr>
                <w:rFonts w:ascii="Arial" w:hAnsi="Arial" w:cs="Arial"/>
                <w:b/>
                <w:sz w:val="24"/>
                <w:szCs w:val="24"/>
                <w:lang w:val="en-GB"/>
              </w:rPr>
              <w:t>3</w:t>
            </w:r>
          </w:p>
        </w:tc>
        <w:tc>
          <w:tcPr>
            <w:tcW w:w="1465" w:type="dxa"/>
            <w:shd w:val="clear" w:color="auto" w:fill="auto"/>
          </w:tcPr>
          <w:p w14:paraId="201A04B8" w14:textId="5733583A" w:rsidR="009B058F" w:rsidRPr="00104BE3" w:rsidRDefault="007004BD" w:rsidP="00BF5B70">
            <w:pPr>
              <w:spacing w:before="20" w:after="20"/>
              <w:jc w:val="center"/>
              <w:outlineLvl w:val="1"/>
              <w:rPr>
                <w:rFonts w:ascii="Arial" w:hAnsi="Arial" w:cs="Arial"/>
                <w:b/>
                <w:sz w:val="24"/>
                <w:szCs w:val="24"/>
                <w:lang w:val="en-GB"/>
              </w:rPr>
            </w:pPr>
            <w:r w:rsidRPr="00104BE3">
              <w:rPr>
                <w:rFonts w:ascii="Arial" w:hAnsi="Arial" w:cs="Arial"/>
                <w:b/>
                <w:sz w:val="24"/>
                <w:szCs w:val="24"/>
                <w:lang w:val="en-GB"/>
              </w:rPr>
              <w:t>202</w:t>
            </w:r>
            <w:r w:rsidR="00F85891" w:rsidRPr="00104BE3">
              <w:rPr>
                <w:rFonts w:ascii="Arial" w:hAnsi="Arial" w:cs="Arial"/>
                <w:b/>
                <w:sz w:val="24"/>
                <w:szCs w:val="24"/>
                <w:lang w:val="en-GB"/>
              </w:rPr>
              <w:t>3</w:t>
            </w:r>
            <w:r w:rsidRPr="00104BE3">
              <w:rPr>
                <w:rFonts w:ascii="Arial" w:hAnsi="Arial" w:cs="Arial"/>
                <w:b/>
                <w:sz w:val="24"/>
                <w:szCs w:val="24"/>
                <w:lang w:val="en-GB"/>
              </w:rPr>
              <w:t>/2</w:t>
            </w:r>
            <w:r w:rsidR="00F85891" w:rsidRPr="00104BE3">
              <w:rPr>
                <w:rFonts w:ascii="Arial" w:hAnsi="Arial" w:cs="Arial"/>
                <w:b/>
                <w:sz w:val="24"/>
                <w:szCs w:val="24"/>
                <w:lang w:val="en-GB"/>
              </w:rPr>
              <w:t>4</w:t>
            </w:r>
          </w:p>
        </w:tc>
        <w:tc>
          <w:tcPr>
            <w:tcW w:w="1465" w:type="dxa"/>
          </w:tcPr>
          <w:p w14:paraId="2133CE41" w14:textId="15814AF2" w:rsidR="009B058F" w:rsidRPr="00104BE3" w:rsidRDefault="007004BD" w:rsidP="00BF5B70">
            <w:pPr>
              <w:spacing w:before="20" w:after="20"/>
              <w:jc w:val="center"/>
              <w:outlineLvl w:val="1"/>
              <w:rPr>
                <w:rFonts w:ascii="Arial" w:hAnsi="Arial" w:cs="Arial"/>
                <w:b/>
                <w:sz w:val="24"/>
                <w:szCs w:val="24"/>
                <w:lang w:val="en-GB"/>
              </w:rPr>
            </w:pPr>
            <w:r w:rsidRPr="00104BE3">
              <w:rPr>
                <w:rFonts w:ascii="Arial" w:hAnsi="Arial" w:cs="Arial"/>
                <w:b/>
                <w:sz w:val="24"/>
                <w:szCs w:val="24"/>
                <w:lang w:val="en-GB"/>
              </w:rPr>
              <w:t>202</w:t>
            </w:r>
            <w:r w:rsidR="00F85891" w:rsidRPr="00104BE3">
              <w:rPr>
                <w:rFonts w:ascii="Arial" w:hAnsi="Arial" w:cs="Arial"/>
                <w:b/>
                <w:sz w:val="24"/>
                <w:szCs w:val="24"/>
                <w:lang w:val="en-GB"/>
              </w:rPr>
              <w:t>4</w:t>
            </w:r>
            <w:r w:rsidRPr="00104BE3">
              <w:rPr>
                <w:rFonts w:ascii="Arial" w:hAnsi="Arial" w:cs="Arial"/>
                <w:b/>
                <w:sz w:val="24"/>
                <w:szCs w:val="24"/>
                <w:lang w:val="en-GB"/>
              </w:rPr>
              <w:t>/2</w:t>
            </w:r>
            <w:r w:rsidR="00F85891" w:rsidRPr="00104BE3">
              <w:rPr>
                <w:rFonts w:ascii="Arial" w:hAnsi="Arial" w:cs="Arial"/>
                <w:b/>
                <w:sz w:val="24"/>
                <w:szCs w:val="24"/>
                <w:lang w:val="en-GB"/>
              </w:rPr>
              <w:t>5</w:t>
            </w:r>
            <w:r w:rsidRPr="00104BE3">
              <w:rPr>
                <w:rFonts w:ascii="Arial" w:hAnsi="Arial" w:cs="Arial"/>
                <w:b/>
                <w:sz w:val="24"/>
                <w:szCs w:val="24"/>
                <w:lang w:val="en-GB"/>
              </w:rPr>
              <w:t xml:space="preserve"> </w:t>
            </w:r>
          </w:p>
        </w:tc>
      </w:tr>
      <w:tr w:rsidR="00A53B77" w14:paraId="5E6F34EA" w14:textId="77777777" w:rsidTr="002B5AFF">
        <w:tc>
          <w:tcPr>
            <w:tcW w:w="4536" w:type="dxa"/>
            <w:shd w:val="clear" w:color="auto" w:fill="auto"/>
          </w:tcPr>
          <w:p w14:paraId="4A58682C" w14:textId="77777777" w:rsidR="00F85891" w:rsidRPr="00104BE3" w:rsidRDefault="007004BD" w:rsidP="00F85891">
            <w:pPr>
              <w:spacing w:before="20" w:after="20"/>
              <w:outlineLvl w:val="1"/>
              <w:rPr>
                <w:rFonts w:ascii="Arial" w:hAnsi="Arial" w:cs="Arial"/>
                <w:sz w:val="24"/>
                <w:szCs w:val="24"/>
                <w:lang w:val="en-GB"/>
              </w:rPr>
            </w:pPr>
            <w:r w:rsidRPr="00104BE3">
              <w:rPr>
                <w:rFonts w:ascii="Arial" w:hAnsi="Arial" w:cs="Arial"/>
                <w:sz w:val="24"/>
                <w:szCs w:val="24"/>
                <w:lang w:val="en-GB"/>
              </w:rPr>
              <w:t>ASC Precepting *</w:t>
            </w:r>
          </w:p>
        </w:tc>
        <w:tc>
          <w:tcPr>
            <w:tcW w:w="1464" w:type="dxa"/>
            <w:shd w:val="clear" w:color="auto" w:fill="auto"/>
            <w:vAlign w:val="center"/>
          </w:tcPr>
          <w:p w14:paraId="3ACE4135" w14:textId="77777777" w:rsidR="00F85891" w:rsidRPr="00104BE3" w:rsidRDefault="007004BD" w:rsidP="00F85891">
            <w:pPr>
              <w:spacing w:before="20" w:after="20"/>
              <w:jc w:val="right"/>
              <w:outlineLvl w:val="1"/>
              <w:rPr>
                <w:rFonts w:ascii="Arial" w:hAnsi="Arial" w:cs="Arial"/>
                <w:sz w:val="24"/>
                <w:szCs w:val="24"/>
                <w:lang w:val="en-GB"/>
              </w:rPr>
            </w:pPr>
            <w:r w:rsidRPr="00104BE3">
              <w:rPr>
                <w:rFonts w:ascii="Arial" w:hAnsi="Arial" w:cs="Arial"/>
                <w:sz w:val="24"/>
                <w:szCs w:val="24"/>
                <w:lang w:val="en-GB"/>
              </w:rPr>
              <w:t>1%</w:t>
            </w:r>
          </w:p>
          <w:p w14:paraId="11E631CD" w14:textId="15A8525E" w:rsidR="00F85891" w:rsidRPr="00104BE3" w:rsidRDefault="007004BD" w:rsidP="00F85891">
            <w:pPr>
              <w:spacing w:before="20" w:after="20"/>
              <w:jc w:val="right"/>
              <w:outlineLvl w:val="1"/>
              <w:rPr>
                <w:rFonts w:ascii="Arial" w:hAnsi="Arial" w:cs="Arial"/>
                <w:sz w:val="24"/>
                <w:szCs w:val="24"/>
                <w:lang w:val="en-GB"/>
              </w:rPr>
            </w:pPr>
            <w:r w:rsidRPr="00104BE3">
              <w:rPr>
                <w:rFonts w:ascii="Arial" w:hAnsi="Arial" w:cs="Arial"/>
                <w:sz w:val="24"/>
                <w:szCs w:val="24"/>
                <w:lang w:val="en-GB"/>
              </w:rPr>
              <w:t>£1.588m</w:t>
            </w:r>
          </w:p>
        </w:tc>
        <w:tc>
          <w:tcPr>
            <w:tcW w:w="1465" w:type="dxa"/>
            <w:shd w:val="clear" w:color="auto" w:fill="auto"/>
            <w:vAlign w:val="center"/>
          </w:tcPr>
          <w:p w14:paraId="620C0B6C" w14:textId="77777777" w:rsidR="00F85891" w:rsidRPr="00104BE3" w:rsidRDefault="007004BD" w:rsidP="00F85891">
            <w:pPr>
              <w:spacing w:before="20" w:after="20"/>
              <w:jc w:val="right"/>
              <w:outlineLvl w:val="1"/>
              <w:rPr>
                <w:rFonts w:ascii="Arial" w:hAnsi="Arial" w:cs="Arial"/>
                <w:sz w:val="24"/>
                <w:szCs w:val="24"/>
                <w:lang w:val="en-GB"/>
              </w:rPr>
            </w:pPr>
            <w:r w:rsidRPr="00104BE3">
              <w:rPr>
                <w:rFonts w:ascii="Arial" w:hAnsi="Arial" w:cs="Arial"/>
                <w:sz w:val="24"/>
                <w:szCs w:val="24"/>
                <w:lang w:val="en-GB"/>
              </w:rPr>
              <w:t>2%</w:t>
            </w:r>
          </w:p>
          <w:p w14:paraId="796C8356" w14:textId="031F2958" w:rsidR="00F85891" w:rsidRPr="00104BE3" w:rsidRDefault="007004BD" w:rsidP="00F85891">
            <w:pPr>
              <w:spacing w:before="20" w:after="20"/>
              <w:jc w:val="right"/>
              <w:outlineLvl w:val="1"/>
              <w:rPr>
                <w:rFonts w:ascii="Arial" w:hAnsi="Arial" w:cs="Arial"/>
                <w:sz w:val="24"/>
                <w:szCs w:val="24"/>
                <w:lang w:val="en-GB"/>
              </w:rPr>
            </w:pPr>
            <w:r w:rsidRPr="00104BE3">
              <w:rPr>
                <w:rFonts w:ascii="Arial" w:hAnsi="Arial" w:cs="Arial"/>
                <w:sz w:val="24"/>
                <w:szCs w:val="24"/>
                <w:lang w:val="en-GB"/>
              </w:rPr>
              <w:t>£3.295m</w:t>
            </w:r>
          </w:p>
        </w:tc>
        <w:tc>
          <w:tcPr>
            <w:tcW w:w="1465" w:type="dxa"/>
            <w:vAlign w:val="center"/>
          </w:tcPr>
          <w:p w14:paraId="52F771AD" w14:textId="77777777" w:rsidR="00F85891" w:rsidRPr="00104BE3" w:rsidRDefault="007004BD" w:rsidP="00F85891">
            <w:pPr>
              <w:spacing w:before="20" w:after="20"/>
              <w:jc w:val="right"/>
              <w:outlineLvl w:val="1"/>
              <w:rPr>
                <w:rFonts w:ascii="Arial" w:hAnsi="Arial" w:cs="Arial"/>
                <w:sz w:val="24"/>
                <w:szCs w:val="24"/>
                <w:lang w:val="en-GB"/>
              </w:rPr>
            </w:pPr>
            <w:r w:rsidRPr="00104BE3">
              <w:rPr>
                <w:rFonts w:ascii="Arial" w:hAnsi="Arial" w:cs="Arial"/>
                <w:sz w:val="24"/>
                <w:szCs w:val="24"/>
                <w:lang w:val="en-GB"/>
              </w:rPr>
              <w:t>2%</w:t>
            </w:r>
          </w:p>
          <w:p w14:paraId="79D0E85D" w14:textId="72CAB500" w:rsidR="00F85891" w:rsidRPr="00104BE3" w:rsidRDefault="007004BD" w:rsidP="00F85891">
            <w:pPr>
              <w:spacing w:before="20" w:after="20"/>
              <w:jc w:val="right"/>
              <w:outlineLvl w:val="1"/>
              <w:rPr>
                <w:rFonts w:ascii="Arial" w:hAnsi="Arial" w:cs="Arial"/>
                <w:sz w:val="24"/>
                <w:szCs w:val="24"/>
                <w:lang w:val="en-GB"/>
              </w:rPr>
            </w:pPr>
            <w:r w:rsidRPr="00104BE3">
              <w:rPr>
                <w:rFonts w:ascii="Arial" w:hAnsi="Arial" w:cs="Arial"/>
                <w:sz w:val="24"/>
                <w:szCs w:val="24"/>
                <w:lang w:val="en-GB"/>
              </w:rPr>
              <w:t>£3.524m</w:t>
            </w:r>
          </w:p>
        </w:tc>
      </w:tr>
      <w:tr w:rsidR="00A53B77" w14:paraId="13D46196" w14:textId="77777777" w:rsidTr="002B5AFF">
        <w:tc>
          <w:tcPr>
            <w:tcW w:w="4536" w:type="dxa"/>
            <w:shd w:val="clear" w:color="auto" w:fill="auto"/>
          </w:tcPr>
          <w:p w14:paraId="6B4DDC08" w14:textId="77777777" w:rsidR="00F85891" w:rsidRPr="00104BE3" w:rsidRDefault="007004BD" w:rsidP="00F85891">
            <w:pPr>
              <w:spacing w:before="20" w:after="20"/>
              <w:outlineLvl w:val="1"/>
              <w:rPr>
                <w:rFonts w:ascii="Arial" w:hAnsi="Arial" w:cs="Arial"/>
                <w:sz w:val="24"/>
                <w:szCs w:val="24"/>
                <w:lang w:val="en-GB"/>
              </w:rPr>
            </w:pPr>
            <w:r w:rsidRPr="00104BE3">
              <w:rPr>
                <w:rFonts w:ascii="Arial" w:hAnsi="Arial" w:cs="Arial"/>
                <w:sz w:val="24"/>
                <w:szCs w:val="24"/>
                <w:lang w:val="en-GB"/>
              </w:rPr>
              <w:t xml:space="preserve">Improved BCF </w:t>
            </w:r>
          </w:p>
        </w:tc>
        <w:tc>
          <w:tcPr>
            <w:tcW w:w="1464" w:type="dxa"/>
            <w:shd w:val="clear" w:color="auto" w:fill="auto"/>
            <w:vAlign w:val="center"/>
          </w:tcPr>
          <w:p w14:paraId="24FF15BF" w14:textId="0C51E593" w:rsidR="00F85891" w:rsidRPr="00104BE3" w:rsidRDefault="007004BD" w:rsidP="00F85891">
            <w:pPr>
              <w:spacing w:before="20" w:after="20"/>
              <w:jc w:val="right"/>
              <w:outlineLvl w:val="1"/>
              <w:rPr>
                <w:rFonts w:ascii="Arial" w:hAnsi="Arial" w:cs="Arial"/>
                <w:sz w:val="24"/>
                <w:szCs w:val="24"/>
                <w:lang w:val="en-GB"/>
              </w:rPr>
            </w:pPr>
            <w:r w:rsidRPr="00104BE3">
              <w:rPr>
                <w:rFonts w:ascii="Arial" w:hAnsi="Arial" w:cs="Arial"/>
                <w:sz w:val="24"/>
                <w:szCs w:val="24"/>
                <w:lang w:val="en-GB"/>
              </w:rPr>
              <w:t>£9.459m</w:t>
            </w:r>
          </w:p>
        </w:tc>
        <w:tc>
          <w:tcPr>
            <w:tcW w:w="1465" w:type="dxa"/>
            <w:shd w:val="clear" w:color="auto" w:fill="auto"/>
            <w:vAlign w:val="center"/>
          </w:tcPr>
          <w:p w14:paraId="68F1F728" w14:textId="1B97EA7B" w:rsidR="00F85891" w:rsidRPr="00104BE3" w:rsidRDefault="007004BD" w:rsidP="00F85891">
            <w:pPr>
              <w:spacing w:before="20" w:after="20"/>
              <w:jc w:val="right"/>
              <w:outlineLvl w:val="1"/>
              <w:rPr>
                <w:rFonts w:ascii="Arial" w:hAnsi="Arial" w:cs="Arial"/>
                <w:sz w:val="24"/>
                <w:szCs w:val="24"/>
                <w:lang w:val="en-GB"/>
              </w:rPr>
            </w:pPr>
            <w:r w:rsidRPr="00104BE3">
              <w:rPr>
                <w:rFonts w:ascii="Arial" w:hAnsi="Arial" w:cs="Arial"/>
                <w:sz w:val="24"/>
                <w:szCs w:val="24"/>
                <w:lang w:val="en-GB"/>
              </w:rPr>
              <w:t>£9.459m</w:t>
            </w:r>
          </w:p>
        </w:tc>
        <w:tc>
          <w:tcPr>
            <w:tcW w:w="1465" w:type="dxa"/>
            <w:vAlign w:val="center"/>
          </w:tcPr>
          <w:p w14:paraId="25A3B145" w14:textId="06D560FA" w:rsidR="00F85891" w:rsidRPr="00104BE3" w:rsidRDefault="007004BD" w:rsidP="00F85891">
            <w:pPr>
              <w:spacing w:before="20" w:after="20"/>
              <w:jc w:val="right"/>
              <w:outlineLvl w:val="1"/>
              <w:rPr>
                <w:rFonts w:ascii="Arial" w:hAnsi="Arial" w:cs="Arial"/>
                <w:sz w:val="24"/>
                <w:szCs w:val="24"/>
                <w:lang w:val="en-GB"/>
              </w:rPr>
            </w:pPr>
            <w:r w:rsidRPr="00104BE3">
              <w:rPr>
                <w:rFonts w:ascii="Arial" w:hAnsi="Arial" w:cs="Arial"/>
                <w:sz w:val="24"/>
                <w:szCs w:val="24"/>
                <w:lang w:val="en-GB"/>
              </w:rPr>
              <w:t>£9.459m</w:t>
            </w:r>
          </w:p>
        </w:tc>
      </w:tr>
      <w:tr w:rsidR="00A53B77" w14:paraId="5A41D9E5" w14:textId="77777777" w:rsidTr="002B5AFF">
        <w:tc>
          <w:tcPr>
            <w:tcW w:w="4536" w:type="dxa"/>
            <w:shd w:val="clear" w:color="auto" w:fill="auto"/>
          </w:tcPr>
          <w:p w14:paraId="55B06FD6" w14:textId="4A3F7F26" w:rsidR="00F85891" w:rsidRPr="00104BE3" w:rsidRDefault="007004BD" w:rsidP="00F85891">
            <w:pPr>
              <w:spacing w:before="20" w:after="20"/>
              <w:outlineLvl w:val="1"/>
              <w:rPr>
                <w:rFonts w:ascii="Arial" w:hAnsi="Arial" w:cs="Arial"/>
                <w:sz w:val="24"/>
                <w:szCs w:val="24"/>
                <w:lang w:val="en-GB"/>
              </w:rPr>
            </w:pPr>
            <w:r w:rsidRPr="00104BE3">
              <w:rPr>
                <w:rFonts w:ascii="Arial" w:hAnsi="Arial" w:cs="Arial"/>
                <w:sz w:val="24"/>
                <w:szCs w:val="24"/>
                <w:lang w:val="en-GB"/>
              </w:rPr>
              <w:t xml:space="preserve">Social Care Grant </w:t>
            </w:r>
          </w:p>
        </w:tc>
        <w:tc>
          <w:tcPr>
            <w:tcW w:w="1464" w:type="dxa"/>
            <w:shd w:val="clear" w:color="auto" w:fill="auto"/>
            <w:vAlign w:val="center"/>
          </w:tcPr>
          <w:p w14:paraId="6CBF555B" w14:textId="61388243" w:rsidR="00F85891" w:rsidRPr="00104BE3" w:rsidRDefault="007004BD" w:rsidP="00F85891">
            <w:pPr>
              <w:spacing w:before="20" w:after="20"/>
              <w:jc w:val="right"/>
              <w:outlineLvl w:val="1"/>
              <w:rPr>
                <w:rFonts w:ascii="Arial" w:hAnsi="Arial" w:cs="Arial"/>
                <w:sz w:val="24"/>
                <w:szCs w:val="24"/>
                <w:lang w:val="en-GB"/>
              </w:rPr>
            </w:pPr>
            <w:r w:rsidRPr="00104BE3">
              <w:rPr>
                <w:rFonts w:ascii="Arial" w:hAnsi="Arial" w:cs="Arial"/>
                <w:sz w:val="24"/>
                <w:szCs w:val="24"/>
                <w:lang w:val="en-GB"/>
              </w:rPr>
              <w:t>£10.815m</w:t>
            </w:r>
          </w:p>
        </w:tc>
        <w:tc>
          <w:tcPr>
            <w:tcW w:w="1465" w:type="dxa"/>
            <w:shd w:val="clear" w:color="auto" w:fill="auto"/>
            <w:vAlign w:val="center"/>
          </w:tcPr>
          <w:p w14:paraId="033A847D" w14:textId="637D9D6A" w:rsidR="00F85891" w:rsidRPr="00104BE3" w:rsidRDefault="007004BD" w:rsidP="00F85891">
            <w:pPr>
              <w:spacing w:before="20" w:after="20"/>
              <w:jc w:val="right"/>
              <w:outlineLvl w:val="1"/>
              <w:rPr>
                <w:rFonts w:ascii="Arial" w:hAnsi="Arial" w:cs="Arial"/>
                <w:sz w:val="24"/>
                <w:szCs w:val="24"/>
                <w:lang w:val="en-GB"/>
              </w:rPr>
            </w:pPr>
            <w:r w:rsidRPr="00104BE3">
              <w:rPr>
                <w:rFonts w:ascii="Arial" w:hAnsi="Arial" w:cs="Arial"/>
                <w:sz w:val="24"/>
                <w:szCs w:val="24"/>
                <w:lang w:val="en-GB"/>
              </w:rPr>
              <w:t>£17.856m</w:t>
            </w:r>
          </w:p>
        </w:tc>
        <w:tc>
          <w:tcPr>
            <w:tcW w:w="1465" w:type="dxa"/>
            <w:vAlign w:val="center"/>
          </w:tcPr>
          <w:p w14:paraId="76F96FC5" w14:textId="51E98083" w:rsidR="00F85891" w:rsidRPr="00104BE3" w:rsidRDefault="007004BD" w:rsidP="00F85891">
            <w:pPr>
              <w:spacing w:before="20" w:after="20"/>
              <w:jc w:val="right"/>
              <w:outlineLvl w:val="1"/>
              <w:rPr>
                <w:rFonts w:ascii="Arial" w:hAnsi="Arial" w:cs="Arial"/>
                <w:sz w:val="24"/>
                <w:szCs w:val="24"/>
                <w:lang w:val="en-GB"/>
              </w:rPr>
            </w:pPr>
            <w:r w:rsidRPr="00104BE3">
              <w:rPr>
                <w:rFonts w:ascii="Arial" w:hAnsi="Arial" w:cs="Arial"/>
                <w:sz w:val="24"/>
                <w:szCs w:val="24"/>
                <w:lang w:val="en-GB"/>
              </w:rPr>
              <w:t>£20.976m</w:t>
            </w:r>
          </w:p>
        </w:tc>
      </w:tr>
      <w:tr w:rsidR="00A53B77" w14:paraId="59E958A1" w14:textId="77777777" w:rsidTr="002B5AFF">
        <w:tc>
          <w:tcPr>
            <w:tcW w:w="4536" w:type="dxa"/>
            <w:shd w:val="clear" w:color="auto" w:fill="auto"/>
          </w:tcPr>
          <w:p w14:paraId="2B510461" w14:textId="77777777" w:rsidR="00F85891" w:rsidRPr="00104BE3" w:rsidRDefault="007004BD" w:rsidP="00F85891">
            <w:pPr>
              <w:spacing w:before="20" w:after="20"/>
              <w:outlineLvl w:val="1"/>
              <w:rPr>
                <w:rFonts w:ascii="Arial" w:hAnsi="Arial" w:cs="Arial"/>
                <w:sz w:val="24"/>
                <w:szCs w:val="24"/>
                <w:lang w:val="en-GB"/>
              </w:rPr>
            </w:pPr>
            <w:r w:rsidRPr="00104BE3">
              <w:rPr>
                <w:rFonts w:ascii="Arial" w:hAnsi="Arial" w:cs="Arial"/>
                <w:sz w:val="24"/>
                <w:szCs w:val="24"/>
                <w:lang w:val="en-GB"/>
              </w:rPr>
              <w:t>ASC Discharge Grant</w:t>
            </w:r>
          </w:p>
        </w:tc>
        <w:tc>
          <w:tcPr>
            <w:tcW w:w="1464" w:type="dxa"/>
            <w:shd w:val="clear" w:color="auto" w:fill="auto"/>
            <w:vAlign w:val="center"/>
          </w:tcPr>
          <w:p w14:paraId="5E21BD13" w14:textId="77777777" w:rsidR="00F85891" w:rsidRPr="00104BE3" w:rsidRDefault="00F85891" w:rsidP="00F85891">
            <w:pPr>
              <w:spacing w:before="20" w:after="20"/>
              <w:jc w:val="right"/>
              <w:outlineLvl w:val="1"/>
              <w:rPr>
                <w:rFonts w:ascii="Arial" w:hAnsi="Arial" w:cs="Arial"/>
                <w:sz w:val="24"/>
                <w:szCs w:val="24"/>
                <w:lang w:val="en-GB"/>
              </w:rPr>
            </w:pPr>
          </w:p>
        </w:tc>
        <w:tc>
          <w:tcPr>
            <w:tcW w:w="1465" w:type="dxa"/>
            <w:shd w:val="clear" w:color="auto" w:fill="auto"/>
            <w:vAlign w:val="center"/>
          </w:tcPr>
          <w:p w14:paraId="4F5F78D0" w14:textId="650CE5DD" w:rsidR="00F85891" w:rsidRPr="00104BE3" w:rsidRDefault="007004BD" w:rsidP="00F85891">
            <w:pPr>
              <w:spacing w:before="20" w:after="20"/>
              <w:jc w:val="right"/>
              <w:outlineLvl w:val="1"/>
              <w:rPr>
                <w:rFonts w:ascii="Arial" w:hAnsi="Arial" w:cs="Arial"/>
                <w:sz w:val="24"/>
                <w:szCs w:val="24"/>
                <w:lang w:val="en-GB"/>
              </w:rPr>
            </w:pPr>
            <w:r w:rsidRPr="00104BE3">
              <w:rPr>
                <w:rFonts w:ascii="Arial" w:hAnsi="Arial" w:cs="Arial"/>
                <w:sz w:val="24"/>
                <w:szCs w:val="24"/>
                <w:lang w:val="en-GB"/>
              </w:rPr>
              <w:t>£1.326m</w:t>
            </w:r>
          </w:p>
        </w:tc>
        <w:tc>
          <w:tcPr>
            <w:tcW w:w="1465" w:type="dxa"/>
            <w:vAlign w:val="center"/>
          </w:tcPr>
          <w:p w14:paraId="1CAAA785" w14:textId="1673012B" w:rsidR="00F85891" w:rsidRPr="00104BE3" w:rsidRDefault="007004BD" w:rsidP="00F85891">
            <w:pPr>
              <w:spacing w:before="20" w:after="20"/>
              <w:jc w:val="right"/>
              <w:outlineLvl w:val="1"/>
              <w:rPr>
                <w:rFonts w:ascii="Arial" w:hAnsi="Arial" w:cs="Arial"/>
                <w:sz w:val="24"/>
                <w:szCs w:val="24"/>
                <w:lang w:val="en-GB"/>
              </w:rPr>
            </w:pPr>
            <w:r w:rsidRPr="00104BE3">
              <w:rPr>
                <w:rFonts w:ascii="Arial" w:hAnsi="Arial" w:cs="Arial"/>
                <w:sz w:val="24"/>
                <w:szCs w:val="24"/>
                <w:lang w:val="en-GB"/>
              </w:rPr>
              <w:t>£2.210m</w:t>
            </w:r>
          </w:p>
        </w:tc>
      </w:tr>
      <w:tr w:rsidR="00A53B77" w14:paraId="5ADA2BE5" w14:textId="77777777" w:rsidTr="002B5AFF">
        <w:tc>
          <w:tcPr>
            <w:tcW w:w="4536" w:type="dxa"/>
            <w:shd w:val="clear" w:color="auto" w:fill="auto"/>
          </w:tcPr>
          <w:p w14:paraId="67FA04FB" w14:textId="6F47EB81" w:rsidR="00F85891" w:rsidRPr="00104BE3" w:rsidRDefault="007004BD" w:rsidP="00F85891">
            <w:pPr>
              <w:spacing w:before="20" w:after="20"/>
              <w:outlineLvl w:val="1"/>
              <w:rPr>
                <w:rFonts w:ascii="Arial" w:hAnsi="Arial" w:cs="Arial"/>
                <w:sz w:val="24"/>
                <w:szCs w:val="24"/>
                <w:lang w:val="en-GB"/>
              </w:rPr>
            </w:pPr>
            <w:r w:rsidRPr="00104BE3">
              <w:rPr>
                <w:rFonts w:ascii="Arial" w:hAnsi="Arial" w:cs="Arial"/>
                <w:sz w:val="24"/>
                <w:szCs w:val="24"/>
                <w:lang w:val="en-GB"/>
              </w:rPr>
              <w:t xml:space="preserve">ASC Market Sustainability and Improvement Fund and </w:t>
            </w:r>
            <w:r w:rsidR="00104BE3">
              <w:rPr>
                <w:rFonts w:ascii="Arial" w:hAnsi="Arial" w:cs="Arial"/>
                <w:sz w:val="24"/>
                <w:szCs w:val="24"/>
                <w:lang w:val="en-GB"/>
              </w:rPr>
              <w:t>W</w:t>
            </w:r>
            <w:r w:rsidRPr="00104BE3">
              <w:rPr>
                <w:rFonts w:ascii="Arial" w:hAnsi="Arial" w:cs="Arial"/>
                <w:sz w:val="24"/>
                <w:szCs w:val="24"/>
                <w:lang w:val="en-GB"/>
              </w:rPr>
              <w:t>orkforce Fund</w:t>
            </w:r>
          </w:p>
        </w:tc>
        <w:tc>
          <w:tcPr>
            <w:tcW w:w="1464" w:type="dxa"/>
            <w:shd w:val="clear" w:color="auto" w:fill="auto"/>
            <w:vAlign w:val="center"/>
          </w:tcPr>
          <w:p w14:paraId="7D9E11FB" w14:textId="77777777" w:rsidR="00F85891" w:rsidRPr="00104BE3" w:rsidRDefault="00F85891" w:rsidP="00F85891">
            <w:pPr>
              <w:spacing w:before="20" w:after="20"/>
              <w:jc w:val="right"/>
              <w:outlineLvl w:val="1"/>
              <w:rPr>
                <w:rFonts w:ascii="Arial" w:hAnsi="Arial" w:cs="Arial"/>
                <w:sz w:val="24"/>
                <w:szCs w:val="24"/>
                <w:lang w:val="en-GB"/>
              </w:rPr>
            </w:pPr>
          </w:p>
        </w:tc>
        <w:tc>
          <w:tcPr>
            <w:tcW w:w="1465" w:type="dxa"/>
            <w:shd w:val="clear" w:color="auto" w:fill="auto"/>
            <w:vAlign w:val="center"/>
          </w:tcPr>
          <w:p w14:paraId="3424D39A" w14:textId="40A35B7A" w:rsidR="00F85891" w:rsidRPr="00104BE3" w:rsidRDefault="007004BD" w:rsidP="00F85891">
            <w:pPr>
              <w:spacing w:before="20" w:after="20"/>
              <w:jc w:val="right"/>
              <w:outlineLvl w:val="1"/>
              <w:rPr>
                <w:rFonts w:ascii="Arial" w:hAnsi="Arial" w:cs="Arial"/>
                <w:sz w:val="24"/>
                <w:szCs w:val="24"/>
                <w:lang w:val="en-GB"/>
              </w:rPr>
            </w:pPr>
            <w:r w:rsidRPr="00104BE3">
              <w:rPr>
                <w:rFonts w:ascii="Arial" w:hAnsi="Arial" w:cs="Arial"/>
                <w:sz w:val="24"/>
                <w:szCs w:val="24"/>
                <w:lang w:val="en-GB"/>
              </w:rPr>
              <w:t>£4.746m</w:t>
            </w:r>
          </w:p>
        </w:tc>
        <w:tc>
          <w:tcPr>
            <w:tcW w:w="1465" w:type="dxa"/>
            <w:vAlign w:val="center"/>
          </w:tcPr>
          <w:p w14:paraId="03D699E2" w14:textId="778E74F3" w:rsidR="00F85891" w:rsidRPr="00104BE3" w:rsidRDefault="007004BD" w:rsidP="00F85891">
            <w:pPr>
              <w:spacing w:before="20" w:after="20"/>
              <w:jc w:val="right"/>
              <w:outlineLvl w:val="1"/>
              <w:rPr>
                <w:rFonts w:ascii="Arial" w:hAnsi="Arial" w:cs="Arial"/>
                <w:sz w:val="24"/>
                <w:szCs w:val="24"/>
                <w:lang w:val="en-GB"/>
              </w:rPr>
            </w:pPr>
            <w:r w:rsidRPr="00104BE3">
              <w:rPr>
                <w:rFonts w:ascii="Arial" w:hAnsi="Arial" w:cs="Arial"/>
                <w:sz w:val="24"/>
                <w:szCs w:val="24"/>
                <w:lang w:val="en-GB"/>
              </w:rPr>
              <w:t>£5.375m</w:t>
            </w:r>
          </w:p>
        </w:tc>
      </w:tr>
      <w:tr w:rsidR="00A53B77" w14:paraId="751C1332" w14:textId="77777777" w:rsidTr="002B5AFF">
        <w:tc>
          <w:tcPr>
            <w:tcW w:w="4536" w:type="dxa"/>
            <w:shd w:val="clear" w:color="auto" w:fill="auto"/>
          </w:tcPr>
          <w:p w14:paraId="5E25BFE8" w14:textId="669A4F5C" w:rsidR="00F85891" w:rsidRPr="002161F8" w:rsidRDefault="007004BD" w:rsidP="00F85891">
            <w:pPr>
              <w:spacing w:before="20" w:after="20"/>
              <w:outlineLvl w:val="1"/>
              <w:rPr>
                <w:rFonts w:ascii="Arial" w:hAnsi="Arial" w:cs="Arial"/>
                <w:sz w:val="24"/>
                <w:szCs w:val="24"/>
                <w:lang w:val="en-GB"/>
              </w:rPr>
            </w:pPr>
            <w:r w:rsidRPr="002161F8">
              <w:rPr>
                <w:rFonts w:ascii="Arial" w:hAnsi="Arial" w:cs="Arial"/>
                <w:sz w:val="24"/>
                <w:szCs w:val="24"/>
                <w:lang w:val="en-GB"/>
              </w:rPr>
              <w:t>Social Care Grant announced 24/1/24 (Estimated share of £500m)</w:t>
            </w:r>
          </w:p>
        </w:tc>
        <w:tc>
          <w:tcPr>
            <w:tcW w:w="1464" w:type="dxa"/>
            <w:shd w:val="clear" w:color="auto" w:fill="auto"/>
            <w:vAlign w:val="center"/>
          </w:tcPr>
          <w:p w14:paraId="6940168C" w14:textId="77777777" w:rsidR="00F85891" w:rsidRPr="002161F8" w:rsidRDefault="00F85891" w:rsidP="00F85891">
            <w:pPr>
              <w:spacing w:before="20" w:after="20"/>
              <w:jc w:val="right"/>
              <w:outlineLvl w:val="1"/>
              <w:rPr>
                <w:rFonts w:ascii="Arial" w:hAnsi="Arial" w:cs="Arial"/>
                <w:sz w:val="24"/>
                <w:szCs w:val="24"/>
                <w:lang w:val="en-GB"/>
              </w:rPr>
            </w:pPr>
          </w:p>
        </w:tc>
        <w:tc>
          <w:tcPr>
            <w:tcW w:w="1465" w:type="dxa"/>
            <w:shd w:val="clear" w:color="auto" w:fill="auto"/>
            <w:vAlign w:val="center"/>
          </w:tcPr>
          <w:p w14:paraId="5AADEEF2" w14:textId="77777777" w:rsidR="00F85891" w:rsidRPr="002161F8" w:rsidRDefault="00F85891" w:rsidP="00F85891">
            <w:pPr>
              <w:spacing w:before="20" w:after="20"/>
              <w:jc w:val="right"/>
              <w:outlineLvl w:val="1"/>
              <w:rPr>
                <w:rFonts w:ascii="Arial" w:hAnsi="Arial" w:cs="Arial"/>
                <w:sz w:val="24"/>
                <w:szCs w:val="24"/>
                <w:lang w:val="en-GB"/>
              </w:rPr>
            </w:pPr>
          </w:p>
        </w:tc>
        <w:tc>
          <w:tcPr>
            <w:tcW w:w="1465" w:type="dxa"/>
            <w:vAlign w:val="center"/>
          </w:tcPr>
          <w:p w14:paraId="5DB49DF1" w14:textId="6C88DB62" w:rsidR="00F85891" w:rsidRPr="002161F8" w:rsidRDefault="007004BD" w:rsidP="00F85891">
            <w:pPr>
              <w:spacing w:before="20" w:after="20"/>
              <w:jc w:val="right"/>
              <w:outlineLvl w:val="1"/>
              <w:rPr>
                <w:rFonts w:ascii="Arial" w:hAnsi="Arial" w:cs="Arial"/>
                <w:sz w:val="24"/>
                <w:szCs w:val="24"/>
                <w:lang w:val="en-GB"/>
              </w:rPr>
            </w:pPr>
            <w:r w:rsidRPr="00722F31">
              <w:rPr>
                <w:rFonts w:ascii="Arial" w:hAnsi="Arial" w:cs="Arial"/>
                <w:sz w:val="24"/>
                <w:szCs w:val="24"/>
                <w:lang w:val="en-GB"/>
              </w:rPr>
              <w:t>£2.250m</w:t>
            </w:r>
          </w:p>
        </w:tc>
      </w:tr>
    </w:tbl>
    <w:p w14:paraId="7ED2E440" w14:textId="52D644B8" w:rsidR="009B058F" w:rsidRPr="00DA6D29" w:rsidRDefault="007004BD" w:rsidP="00EA5CA5">
      <w:pPr>
        <w:pStyle w:val="Heading2"/>
        <w:numPr>
          <w:ilvl w:val="0"/>
          <w:numId w:val="0"/>
        </w:numPr>
        <w:ind w:left="993" w:hanging="284"/>
        <w:rPr>
          <w:color w:val="FF0000"/>
        </w:rPr>
      </w:pPr>
      <w:r w:rsidRPr="002161F8">
        <w:t>*</w:t>
      </w:r>
      <w:r w:rsidRPr="002161F8">
        <w:tab/>
        <w:t xml:space="preserve">Subject to full Council approval </w:t>
      </w:r>
      <w:r w:rsidRPr="00104BE3">
        <w:t>for 202</w:t>
      </w:r>
      <w:r w:rsidR="00104BE3" w:rsidRPr="00104BE3">
        <w:t>4</w:t>
      </w:r>
      <w:r w:rsidRPr="00104BE3">
        <w:t>/2</w:t>
      </w:r>
      <w:r w:rsidR="00104BE3" w:rsidRPr="00104BE3">
        <w:t>5</w:t>
      </w:r>
    </w:p>
    <w:p w14:paraId="650F14CC" w14:textId="77777777" w:rsidR="009B058F" w:rsidRPr="00E945CB" w:rsidRDefault="007004BD" w:rsidP="00E945CB">
      <w:pPr>
        <w:keepNext/>
        <w:spacing w:before="120" w:after="120"/>
        <w:ind w:left="709"/>
        <w:rPr>
          <w:rFonts w:ascii="Arial" w:hAnsi="Arial" w:cs="Arial"/>
          <w:b/>
          <w:bCs/>
          <w:i/>
          <w:iCs/>
          <w:sz w:val="24"/>
          <w:szCs w:val="24"/>
        </w:rPr>
      </w:pPr>
      <w:r w:rsidRPr="00E945CB">
        <w:rPr>
          <w:rFonts w:ascii="Arial" w:hAnsi="Arial" w:cs="Arial"/>
          <w:b/>
          <w:bCs/>
          <w:i/>
          <w:iCs/>
          <w:sz w:val="24"/>
          <w:szCs w:val="24"/>
        </w:rPr>
        <w:t>Business Rate Retention and Council Tax Income</w:t>
      </w:r>
    </w:p>
    <w:p w14:paraId="0E9DCA40" w14:textId="05429083" w:rsidR="009B058F" w:rsidRPr="00E11B8C" w:rsidRDefault="007004BD" w:rsidP="00E945CB">
      <w:pPr>
        <w:pStyle w:val="Heading2"/>
      </w:pPr>
      <w:r w:rsidRPr="00E11B8C">
        <w:t>Details of the expected business rate retention income forecasts were set out in the report to the January 202</w:t>
      </w:r>
      <w:r w:rsidR="002161F8" w:rsidRPr="00E11B8C">
        <w:t>4</w:t>
      </w:r>
      <w:r w:rsidRPr="00E11B8C">
        <w:t xml:space="preserve"> </w:t>
      </w:r>
      <w:r w:rsidR="0070180B" w:rsidRPr="00E11B8C">
        <w:t>Strategy, Finance &amp; City Regeneration</w:t>
      </w:r>
      <w:r w:rsidRPr="00E11B8C">
        <w:t xml:space="preserve"> Committee. The council is forecast to receive £</w:t>
      </w:r>
      <w:r w:rsidR="002161F8" w:rsidRPr="00E11B8C">
        <w:t>84.911m</w:t>
      </w:r>
      <w:r w:rsidRPr="00E11B8C">
        <w:t xml:space="preserve"> from its locally retained share of business rates and Section 31 compensation grants in 202</w:t>
      </w:r>
      <w:r w:rsidR="002161F8" w:rsidRPr="00E11B8C">
        <w:t>4</w:t>
      </w:r>
      <w:r w:rsidRPr="00E11B8C">
        <w:t>/2</w:t>
      </w:r>
      <w:r w:rsidR="002161F8" w:rsidRPr="00E11B8C">
        <w:t>5</w:t>
      </w:r>
      <w:r w:rsidRPr="00E11B8C">
        <w:t>, which is an increase of £</w:t>
      </w:r>
      <w:r w:rsidR="002161F8" w:rsidRPr="00E11B8C">
        <w:t>5.</w:t>
      </w:r>
      <w:r w:rsidR="00E11B8C" w:rsidRPr="00E11B8C">
        <w:t>0</w:t>
      </w:r>
      <w:r w:rsidR="002161F8" w:rsidRPr="00E11B8C">
        <w:t>45</w:t>
      </w:r>
      <w:r w:rsidR="00E11B8C" w:rsidRPr="00E11B8C">
        <w:t>m</w:t>
      </w:r>
      <w:r w:rsidRPr="00E11B8C">
        <w:t xml:space="preserve"> compared to 202</w:t>
      </w:r>
      <w:r w:rsidR="00E11B8C" w:rsidRPr="00E11B8C">
        <w:t>3</w:t>
      </w:r>
      <w:r w:rsidRPr="00E11B8C">
        <w:t>/2</w:t>
      </w:r>
      <w:r w:rsidR="00E11B8C" w:rsidRPr="00E11B8C">
        <w:t>4</w:t>
      </w:r>
      <w:r w:rsidRPr="00E11B8C">
        <w:t xml:space="preserve">. This increase includes </w:t>
      </w:r>
      <w:r w:rsidR="00E11B8C" w:rsidRPr="00E11B8C">
        <w:t>6.7</w:t>
      </w:r>
      <w:r w:rsidRPr="00E11B8C">
        <w:t>% inflation</w:t>
      </w:r>
      <w:r w:rsidR="00E11B8C" w:rsidRPr="00E11B8C">
        <w:t>,</w:t>
      </w:r>
      <w:r w:rsidRPr="00E11B8C">
        <w:t xml:space="preserve"> anticipated growth in business space in the city and a</w:t>
      </w:r>
      <w:r w:rsidR="00E11B8C" w:rsidRPr="00E11B8C">
        <w:t>n estimate of the expected</w:t>
      </w:r>
      <w:r w:rsidRPr="00E11B8C">
        <w:t xml:space="preserve"> </w:t>
      </w:r>
      <w:r w:rsidR="00E11B8C" w:rsidRPr="00E11B8C">
        <w:t xml:space="preserve">impact of </w:t>
      </w:r>
      <w:r w:rsidRPr="00E11B8C">
        <w:t>successful appeals against business rates rateable value</w:t>
      </w:r>
      <w:r w:rsidR="008A49D1">
        <w:t>s</w:t>
      </w:r>
      <w:r w:rsidRPr="00E11B8C">
        <w:t>.</w:t>
      </w:r>
      <w:r w:rsidR="002B5AFF">
        <w:t xml:space="preserve"> Note, </w:t>
      </w:r>
      <w:r w:rsidR="0022151D">
        <w:t xml:space="preserve">the council has no control over </w:t>
      </w:r>
      <w:r w:rsidR="002B5AFF">
        <w:t>business rate multipliers</w:t>
      </w:r>
      <w:r w:rsidR="0022151D">
        <w:t xml:space="preserve"> which</w:t>
      </w:r>
      <w:r w:rsidR="002B5AFF">
        <w:t xml:space="preserve"> are set by government.</w:t>
      </w:r>
    </w:p>
    <w:p w14:paraId="5664C18E" w14:textId="251A536E" w:rsidR="009B058F" w:rsidRPr="00E11B8C" w:rsidRDefault="007004BD" w:rsidP="00E945CB">
      <w:pPr>
        <w:pStyle w:val="Heading2"/>
      </w:pPr>
      <w:r w:rsidRPr="00E11B8C">
        <w:t xml:space="preserve">The Council Tax taxbase report was also agreed by </w:t>
      </w:r>
      <w:r w:rsidR="0070180B" w:rsidRPr="00E11B8C">
        <w:t>Strategy, Finance &amp; City Regeneration</w:t>
      </w:r>
      <w:r w:rsidRPr="00E11B8C">
        <w:t xml:space="preserve"> Committee in January 202</w:t>
      </w:r>
      <w:r w:rsidR="00E11B8C" w:rsidRPr="00E11B8C">
        <w:t>4</w:t>
      </w:r>
      <w:r w:rsidRPr="00E11B8C">
        <w:t>. Assuming a Council Tax increase of 4.99% and taking into account changes to the tax base, the total projected Council Tax income in 202</w:t>
      </w:r>
      <w:r w:rsidR="00E11B8C" w:rsidRPr="00E11B8C">
        <w:t>4</w:t>
      </w:r>
      <w:r w:rsidRPr="00E11B8C">
        <w:t>/2</w:t>
      </w:r>
      <w:r w:rsidR="00E11B8C" w:rsidRPr="00E11B8C">
        <w:t>5</w:t>
      </w:r>
      <w:r w:rsidRPr="00E11B8C">
        <w:t xml:space="preserve"> is £1</w:t>
      </w:r>
      <w:r w:rsidR="00E11B8C" w:rsidRPr="00E11B8C">
        <w:t>85</w:t>
      </w:r>
      <w:r w:rsidRPr="00E11B8C">
        <w:t>.</w:t>
      </w:r>
      <w:r w:rsidR="00E11B8C" w:rsidRPr="00E11B8C">
        <w:t>090</w:t>
      </w:r>
      <w:r w:rsidRPr="00E11B8C">
        <w:t>m. This is an increase of £</w:t>
      </w:r>
      <w:r w:rsidR="00E11B8C" w:rsidRPr="00E11B8C">
        <w:t>11</w:t>
      </w:r>
      <w:r w:rsidRPr="00E11B8C">
        <w:t>.</w:t>
      </w:r>
      <w:r w:rsidR="00E11B8C" w:rsidRPr="00E11B8C">
        <w:t>792</w:t>
      </w:r>
      <w:r w:rsidRPr="00E11B8C">
        <w:t>m compared with 202</w:t>
      </w:r>
      <w:r w:rsidR="00E11B8C" w:rsidRPr="00E11B8C">
        <w:t>3</w:t>
      </w:r>
      <w:r w:rsidRPr="00E11B8C">
        <w:t>/2</w:t>
      </w:r>
      <w:r w:rsidR="00E11B8C" w:rsidRPr="00E11B8C">
        <w:t>4</w:t>
      </w:r>
      <w:r w:rsidRPr="00E11B8C">
        <w:t xml:space="preserve">. </w:t>
      </w:r>
    </w:p>
    <w:p w14:paraId="32265EA8" w14:textId="77777777" w:rsidR="009B058F" w:rsidRPr="00E945CB" w:rsidRDefault="007004BD" w:rsidP="00E945CB">
      <w:pPr>
        <w:keepNext/>
        <w:spacing w:before="120" w:after="120"/>
        <w:ind w:left="709"/>
        <w:rPr>
          <w:rFonts w:ascii="Arial" w:hAnsi="Arial" w:cs="Arial"/>
          <w:b/>
          <w:bCs/>
          <w:i/>
          <w:iCs/>
          <w:sz w:val="24"/>
          <w:szCs w:val="24"/>
        </w:rPr>
      </w:pPr>
      <w:r w:rsidRPr="00E945CB">
        <w:rPr>
          <w:rFonts w:ascii="Arial" w:hAnsi="Arial" w:cs="Arial"/>
          <w:b/>
          <w:bCs/>
          <w:i/>
          <w:iCs/>
          <w:sz w:val="24"/>
          <w:szCs w:val="24"/>
        </w:rPr>
        <w:t>Other Government Grants</w:t>
      </w:r>
    </w:p>
    <w:p w14:paraId="050A241C" w14:textId="33EF0A63" w:rsidR="009B058F" w:rsidRPr="00E11B8C" w:rsidRDefault="007004BD" w:rsidP="00E945CB">
      <w:pPr>
        <w:pStyle w:val="Heading2"/>
      </w:pPr>
      <w:r w:rsidRPr="00E11B8C">
        <w:t>The grant allocations for 202</w:t>
      </w:r>
      <w:r w:rsidR="00E11B8C" w:rsidRPr="00E11B8C">
        <w:t>4</w:t>
      </w:r>
      <w:r w:rsidRPr="00E11B8C">
        <w:t>/2</w:t>
      </w:r>
      <w:r w:rsidR="00E11B8C" w:rsidRPr="00E11B8C">
        <w:t>5</w:t>
      </w:r>
      <w:r w:rsidRPr="00E11B8C">
        <w:t xml:space="preserve"> have been included within the summary budget at Appendix 1. Some grant allocations for next year have not yet been announced, in particular, homelessness</w:t>
      </w:r>
      <w:r w:rsidR="00BD70A2">
        <w:t>,</w:t>
      </w:r>
      <w:r w:rsidRPr="00E11B8C">
        <w:t xml:space="preserve"> rough sleep</w:t>
      </w:r>
      <w:r w:rsidR="00BD70A2">
        <w:t>ing</w:t>
      </w:r>
      <w:r w:rsidRPr="00E11B8C">
        <w:t xml:space="preserve"> funding and Public Health Grant. However, where these are critical to the setting of the 202</w:t>
      </w:r>
      <w:r w:rsidR="00E11B8C" w:rsidRPr="00E11B8C">
        <w:t>4</w:t>
      </w:r>
      <w:r w:rsidRPr="00E11B8C">
        <w:t>/2</w:t>
      </w:r>
      <w:r w:rsidR="00E11B8C" w:rsidRPr="00E11B8C">
        <w:t>5</w:t>
      </w:r>
      <w:r w:rsidRPr="00E11B8C">
        <w:t xml:space="preserve"> budget, as in the case of those named, a rolled-forward estimate has been included. </w:t>
      </w:r>
    </w:p>
    <w:p w14:paraId="7117E7D0" w14:textId="77777777" w:rsidR="009B058F" w:rsidRPr="00E945CB" w:rsidRDefault="007004BD" w:rsidP="00E945CB">
      <w:pPr>
        <w:keepNext/>
        <w:spacing w:before="120" w:after="120"/>
        <w:ind w:left="709"/>
        <w:rPr>
          <w:rFonts w:ascii="Arial" w:hAnsi="Arial" w:cs="Arial"/>
          <w:b/>
          <w:bCs/>
          <w:i/>
          <w:iCs/>
          <w:sz w:val="24"/>
          <w:szCs w:val="24"/>
        </w:rPr>
      </w:pPr>
      <w:r w:rsidRPr="00E945CB">
        <w:rPr>
          <w:rFonts w:ascii="Arial" w:hAnsi="Arial" w:cs="Arial"/>
          <w:b/>
          <w:bCs/>
          <w:i/>
          <w:iCs/>
          <w:sz w:val="24"/>
          <w:szCs w:val="24"/>
        </w:rPr>
        <w:t>Fees and Charges</w:t>
      </w:r>
    </w:p>
    <w:p w14:paraId="3D2505C2" w14:textId="77777777" w:rsidR="009B058F" w:rsidRPr="00DA6D29" w:rsidRDefault="007004BD" w:rsidP="00E945CB">
      <w:pPr>
        <w:pStyle w:val="Heading2"/>
      </w:pPr>
      <w:r w:rsidRPr="00DA6D29">
        <w:t>The council’s Corporate Fees &amp; Charges Policy requires that all fees and charges are reviewed at least annually and should normally be increased by a minimum of either the corporate standard inflation rate, statutory increases, or actual increases in the costs of providing a service to reflect cost inflation.</w:t>
      </w:r>
    </w:p>
    <w:p w14:paraId="505AAC3B" w14:textId="244EF10C" w:rsidR="009B058F" w:rsidRPr="00DA6D29" w:rsidRDefault="007004BD" w:rsidP="00E945CB">
      <w:pPr>
        <w:pStyle w:val="Heading2"/>
      </w:pPr>
      <w:r w:rsidRPr="00DA6D29">
        <w:t xml:space="preserve">Over recent years, fees &amp; charges have become an increasingly important element of the council’s financial sustainability following real terms </w:t>
      </w:r>
      <w:r w:rsidR="00BD70A2">
        <w:t xml:space="preserve">government </w:t>
      </w:r>
      <w:r w:rsidRPr="00DA6D29">
        <w:t xml:space="preserve">grant reductions of over £100 million since 2010. Services therefore benchmark non-statutory fees and charges with other providers and councils to ensure that charges are comparable and competitive within the local context and can maximise discretionary income to protect essential services wherever feasible. However, fees &amp; charges must normally be set to recover costs. </w:t>
      </w:r>
      <w:r w:rsidR="008A49D1">
        <w:t>Costs</w:t>
      </w:r>
      <w:r w:rsidRPr="00DA6D29">
        <w:t xml:space="preserve"> have increased substantially during </w:t>
      </w:r>
      <w:r w:rsidR="008A49D1">
        <w:t xml:space="preserve">the last two years </w:t>
      </w:r>
      <w:r w:rsidRPr="00DA6D29">
        <w:t xml:space="preserve">but the ability to successfully increase fees &amp; charges </w:t>
      </w:r>
      <w:r w:rsidR="008A49D1">
        <w:t>in-line with costs</w:t>
      </w:r>
      <w:r w:rsidR="00B11E69">
        <w:t xml:space="preserve"> depends on the impact on</w:t>
      </w:r>
      <w:r w:rsidRPr="00DA6D29">
        <w:t xml:space="preserve"> demand (price elasticity)</w:t>
      </w:r>
      <w:r w:rsidR="00B11E69">
        <w:t xml:space="preserve"> and, where commercial, market conditions</w:t>
      </w:r>
      <w:r w:rsidRPr="00DA6D29">
        <w:t>.</w:t>
      </w:r>
    </w:p>
    <w:p w14:paraId="418E3B96" w14:textId="094138E9" w:rsidR="009B058F" w:rsidRPr="00DA6D29" w:rsidRDefault="007004BD" w:rsidP="00E945CB">
      <w:pPr>
        <w:pStyle w:val="Heading2"/>
      </w:pPr>
      <w:bookmarkStart w:id="4" w:name="_Ref410852042"/>
      <w:r w:rsidRPr="00DA6D29">
        <w:t xml:space="preserve">As always, increases to discretionary fees &amp; charges above the standard rate of inflation and changes to concessions or subsidies are normally considered by the relevant service committee in advance of budget proposals. Increases in fees and charges above the standard inflation rate </w:t>
      </w:r>
      <w:r w:rsidR="00B11E69">
        <w:t xml:space="preserve">(assumed at 3.5% for 2024/25) </w:t>
      </w:r>
      <w:r w:rsidRPr="00DA6D29">
        <w:t>may generate budget savings and, where this is the case, are reflected in savings proposals set out in Appendix 1.</w:t>
      </w:r>
    </w:p>
    <w:bookmarkEnd w:id="4"/>
    <w:p w14:paraId="0890AF67" w14:textId="42A12474" w:rsidR="009B058F" w:rsidRPr="00621640" w:rsidRDefault="007004BD" w:rsidP="0057041E">
      <w:pPr>
        <w:pStyle w:val="Heading1"/>
        <w:rPr>
          <w:lang w:val="en-GB"/>
        </w:rPr>
      </w:pPr>
      <w:r w:rsidRPr="00621640">
        <w:rPr>
          <w:lang w:val="en-GB"/>
        </w:rPr>
        <w:t>CO</w:t>
      </w:r>
      <w:r w:rsidR="00621640">
        <w:rPr>
          <w:lang w:val="en-GB"/>
        </w:rPr>
        <w:t>UNCIL</w:t>
      </w:r>
      <w:r w:rsidRPr="00621640">
        <w:rPr>
          <w:lang w:val="en-GB"/>
        </w:rPr>
        <w:t xml:space="preserve"> PLAN INVESTMENTS &amp; PRIORITY SERVICE PRESSURE FUNDING</w:t>
      </w:r>
    </w:p>
    <w:p w14:paraId="6FF5C8F4" w14:textId="0777D54B" w:rsidR="00B11E69" w:rsidRDefault="007004BD" w:rsidP="00E945CB">
      <w:pPr>
        <w:pStyle w:val="Heading2"/>
      </w:pPr>
      <w:r>
        <w:t>The Council Plan 2023 to 2027 sets out a vision for Brighton &amp; Hove to be a city to be proud of, a healthy, fair and inclusive city where everyone thrives. To deliver the vision the council aims to be a responsive council with well-run services and will focus on four outcomes over the next four years. For each of these, the Council Plan describes what the council will do and how it will measure progress.</w:t>
      </w:r>
    </w:p>
    <w:p w14:paraId="31A5C7F4" w14:textId="0517B1DE" w:rsidR="009B058F" w:rsidRDefault="007004BD" w:rsidP="00E945CB">
      <w:pPr>
        <w:pStyle w:val="Heading2"/>
      </w:pPr>
      <w:r>
        <w:t>The four outcomes are as follows:</w:t>
      </w:r>
    </w:p>
    <w:p w14:paraId="436DA8D8" w14:textId="584FBF45" w:rsidR="00B11E69" w:rsidRPr="000D604C" w:rsidRDefault="007004BD" w:rsidP="00CE70A3">
      <w:pPr>
        <w:pStyle w:val="ListParagraph"/>
        <w:numPr>
          <w:ilvl w:val="0"/>
          <w:numId w:val="15"/>
        </w:numPr>
        <w:spacing w:before="80" w:after="80"/>
        <w:ind w:left="1134" w:hanging="425"/>
        <w:contextualSpacing w:val="0"/>
        <w:rPr>
          <w:rFonts w:ascii="Arial" w:hAnsi="Arial" w:cs="Arial"/>
          <w:b/>
          <w:bCs/>
          <w:sz w:val="24"/>
          <w:szCs w:val="24"/>
          <w:lang w:val="en-GB"/>
        </w:rPr>
      </w:pPr>
      <w:r w:rsidRPr="000D604C">
        <w:rPr>
          <w:rFonts w:ascii="Arial" w:hAnsi="Arial" w:cs="Arial"/>
          <w:b/>
          <w:bCs/>
          <w:sz w:val="24"/>
          <w:szCs w:val="24"/>
          <w:lang w:val="en-GB"/>
        </w:rPr>
        <w:t>A city to be proud of:</w:t>
      </w:r>
    </w:p>
    <w:p w14:paraId="5B5FBCD6" w14:textId="6FCE5984" w:rsidR="00B11E69" w:rsidRPr="000D604C" w:rsidRDefault="007004BD" w:rsidP="006C3BD2">
      <w:pPr>
        <w:pStyle w:val="ListParagraph"/>
        <w:numPr>
          <w:ilvl w:val="0"/>
          <w:numId w:val="6"/>
        </w:numPr>
        <w:spacing w:before="40" w:after="40"/>
        <w:ind w:left="1418" w:hanging="284"/>
        <w:contextualSpacing w:val="0"/>
        <w:rPr>
          <w:rFonts w:ascii="Arial" w:hAnsi="Arial" w:cs="Arial"/>
          <w:sz w:val="24"/>
          <w:szCs w:val="24"/>
          <w:lang w:val="en-GB"/>
        </w:rPr>
      </w:pPr>
      <w:r w:rsidRPr="000D604C">
        <w:rPr>
          <w:rFonts w:ascii="Arial" w:hAnsi="Arial" w:cs="Arial"/>
          <w:sz w:val="24"/>
          <w:szCs w:val="24"/>
          <w:lang w:val="en-GB"/>
        </w:rPr>
        <w:t xml:space="preserve">Investing in </w:t>
      </w:r>
      <w:r w:rsidR="000D604C">
        <w:rPr>
          <w:rFonts w:ascii="Arial" w:hAnsi="Arial" w:cs="Arial"/>
          <w:sz w:val="24"/>
          <w:szCs w:val="24"/>
          <w:lang w:val="en-GB"/>
        </w:rPr>
        <w:t>the</w:t>
      </w:r>
      <w:r w:rsidRPr="000D604C">
        <w:rPr>
          <w:rFonts w:ascii="Arial" w:hAnsi="Arial" w:cs="Arial"/>
          <w:sz w:val="24"/>
          <w:szCs w:val="24"/>
          <w:lang w:val="en-GB"/>
        </w:rPr>
        <w:t xml:space="preserve"> city</w:t>
      </w:r>
      <w:r w:rsidR="000D604C" w:rsidRPr="000D604C">
        <w:rPr>
          <w:rFonts w:ascii="Arial" w:hAnsi="Arial" w:cs="Arial"/>
          <w:sz w:val="24"/>
          <w:szCs w:val="24"/>
          <w:lang w:val="en-GB"/>
        </w:rPr>
        <w:t xml:space="preserve"> </w:t>
      </w:r>
      <w:r w:rsidR="000D604C">
        <w:rPr>
          <w:rFonts w:ascii="Arial" w:hAnsi="Arial" w:cs="Arial"/>
          <w:sz w:val="24"/>
          <w:szCs w:val="24"/>
          <w:lang w:val="en-GB"/>
        </w:rPr>
        <w:t>and supporting</w:t>
      </w:r>
      <w:r w:rsidRPr="000D604C">
        <w:rPr>
          <w:rFonts w:ascii="Arial" w:hAnsi="Arial" w:cs="Arial"/>
          <w:sz w:val="24"/>
          <w:szCs w:val="24"/>
          <w:lang w:val="en-GB"/>
        </w:rPr>
        <w:t xml:space="preserve"> a flourishing and inclusive local economy that attracts and nurtures businesses and talent.</w:t>
      </w:r>
    </w:p>
    <w:p w14:paraId="4D45CCBB" w14:textId="5EEB2B9A" w:rsidR="00B11E69" w:rsidRPr="000D604C" w:rsidRDefault="007004BD" w:rsidP="00530619">
      <w:pPr>
        <w:pStyle w:val="ListParagraph"/>
        <w:numPr>
          <w:ilvl w:val="0"/>
          <w:numId w:val="6"/>
        </w:numPr>
        <w:spacing w:before="40" w:after="40"/>
        <w:ind w:left="1418" w:hanging="284"/>
        <w:contextualSpacing w:val="0"/>
        <w:rPr>
          <w:rFonts w:ascii="Arial" w:hAnsi="Arial" w:cs="Arial"/>
          <w:sz w:val="24"/>
          <w:szCs w:val="24"/>
          <w:lang w:val="en-GB"/>
        </w:rPr>
      </w:pPr>
      <w:r>
        <w:rPr>
          <w:rFonts w:ascii="Arial" w:hAnsi="Arial" w:cs="Arial"/>
          <w:sz w:val="24"/>
          <w:szCs w:val="24"/>
          <w:lang w:val="en-GB"/>
        </w:rPr>
        <w:t>Creating a</w:t>
      </w:r>
      <w:r w:rsidRPr="000D604C">
        <w:rPr>
          <w:rFonts w:ascii="Arial" w:hAnsi="Arial" w:cs="Arial"/>
          <w:sz w:val="24"/>
          <w:szCs w:val="24"/>
          <w:lang w:val="en-GB"/>
        </w:rPr>
        <w:t>n accessible, clean, and sustainable city that we can all be proud of.</w:t>
      </w:r>
    </w:p>
    <w:p w14:paraId="0AFB497F" w14:textId="6F23A31E" w:rsidR="00B11E69" w:rsidRPr="000D604C" w:rsidRDefault="007004BD" w:rsidP="00CE70A3">
      <w:pPr>
        <w:pStyle w:val="ListParagraph"/>
        <w:numPr>
          <w:ilvl w:val="0"/>
          <w:numId w:val="15"/>
        </w:numPr>
        <w:spacing w:before="80" w:after="80"/>
        <w:ind w:left="1134" w:hanging="425"/>
        <w:contextualSpacing w:val="0"/>
        <w:rPr>
          <w:rFonts w:ascii="Arial" w:hAnsi="Arial" w:cs="Arial"/>
          <w:b/>
          <w:bCs/>
          <w:sz w:val="24"/>
          <w:szCs w:val="24"/>
          <w:lang w:val="en-GB"/>
        </w:rPr>
      </w:pPr>
      <w:r w:rsidRPr="000D604C">
        <w:rPr>
          <w:rFonts w:ascii="Arial" w:hAnsi="Arial" w:cs="Arial"/>
          <w:b/>
          <w:bCs/>
          <w:sz w:val="24"/>
          <w:szCs w:val="24"/>
          <w:lang w:val="en-GB"/>
        </w:rPr>
        <w:t>An inclusive and fairer city</w:t>
      </w:r>
      <w:r w:rsidR="000D604C" w:rsidRPr="000D604C">
        <w:rPr>
          <w:rFonts w:ascii="Arial" w:hAnsi="Arial" w:cs="Arial"/>
          <w:b/>
          <w:bCs/>
          <w:sz w:val="24"/>
          <w:szCs w:val="24"/>
          <w:lang w:val="en-GB"/>
        </w:rPr>
        <w:t>:</w:t>
      </w:r>
    </w:p>
    <w:p w14:paraId="743B30B2" w14:textId="4535BBB8" w:rsidR="00B11E69" w:rsidRPr="00B11E69" w:rsidRDefault="007004BD" w:rsidP="00B11E69">
      <w:pPr>
        <w:pStyle w:val="ListParagraph"/>
        <w:numPr>
          <w:ilvl w:val="0"/>
          <w:numId w:val="6"/>
        </w:numPr>
        <w:spacing w:before="40" w:after="40"/>
        <w:ind w:left="1418" w:hanging="284"/>
        <w:contextualSpacing w:val="0"/>
        <w:rPr>
          <w:rFonts w:ascii="Arial" w:hAnsi="Arial" w:cs="Arial"/>
          <w:sz w:val="24"/>
          <w:szCs w:val="24"/>
          <w:lang w:val="en-GB"/>
        </w:rPr>
      </w:pPr>
      <w:r w:rsidRPr="00B11E69">
        <w:rPr>
          <w:rFonts w:ascii="Arial" w:hAnsi="Arial" w:cs="Arial"/>
          <w:sz w:val="24"/>
          <w:szCs w:val="24"/>
          <w:lang w:val="en-GB"/>
        </w:rPr>
        <w:t>A city where people feel safe and welcome</w:t>
      </w:r>
      <w:r w:rsidR="000D604C">
        <w:rPr>
          <w:rFonts w:ascii="Arial" w:hAnsi="Arial" w:cs="Arial"/>
          <w:sz w:val="24"/>
          <w:szCs w:val="24"/>
          <w:lang w:val="en-GB"/>
        </w:rPr>
        <w:t>.</w:t>
      </w:r>
    </w:p>
    <w:p w14:paraId="41669FFC" w14:textId="66E6B05F" w:rsidR="00B11E69" w:rsidRPr="000D604C" w:rsidRDefault="007004BD" w:rsidP="001B2326">
      <w:pPr>
        <w:pStyle w:val="ListParagraph"/>
        <w:numPr>
          <w:ilvl w:val="0"/>
          <w:numId w:val="6"/>
        </w:numPr>
        <w:spacing w:before="40" w:after="40"/>
        <w:ind w:left="1418" w:hanging="284"/>
        <w:contextualSpacing w:val="0"/>
        <w:rPr>
          <w:rFonts w:ascii="Arial" w:hAnsi="Arial" w:cs="Arial"/>
          <w:sz w:val="24"/>
          <w:szCs w:val="24"/>
          <w:lang w:val="en-GB"/>
        </w:rPr>
      </w:pPr>
      <w:r w:rsidRPr="000D604C">
        <w:rPr>
          <w:rFonts w:ascii="Arial" w:hAnsi="Arial" w:cs="Arial"/>
          <w:sz w:val="24"/>
          <w:szCs w:val="24"/>
          <w:lang w:val="en-GB"/>
        </w:rPr>
        <w:t>Homes for everyone</w:t>
      </w:r>
      <w:r w:rsidR="000D604C" w:rsidRPr="000D604C">
        <w:rPr>
          <w:rFonts w:ascii="Arial" w:hAnsi="Arial" w:cs="Arial"/>
          <w:sz w:val="24"/>
          <w:szCs w:val="24"/>
          <w:lang w:val="en-GB"/>
        </w:rPr>
        <w:t xml:space="preserve"> through </w:t>
      </w:r>
      <w:r w:rsidRPr="000D604C">
        <w:rPr>
          <w:rFonts w:ascii="Arial" w:hAnsi="Arial" w:cs="Arial"/>
          <w:sz w:val="24"/>
          <w:szCs w:val="24"/>
          <w:lang w:val="en-GB"/>
        </w:rPr>
        <w:t>deliver</w:t>
      </w:r>
      <w:r w:rsidR="000D604C">
        <w:rPr>
          <w:rFonts w:ascii="Arial" w:hAnsi="Arial" w:cs="Arial"/>
          <w:sz w:val="24"/>
          <w:szCs w:val="24"/>
          <w:lang w:val="en-GB"/>
        </w:rPr>
        <w:t>y of</w:t>
      </w:r>
      <w:r w:rsidRPr="000D604C">
        <w:rPr>
          <w:rFonts w:ascii="Arial" w:hAnsi="Arial" w:cs="Arial"/>
          <w:sz w:val="24"/>
          <w:szCs w:val="24"/>
          <w:lang w:val="en-GB"/>
        </w:rPr>
        <w:t xml:space="preserve"> accessible, affordable, and high-quality homes for all residents of Brighton &amp; Hove.</w:t>
      </w:r>
    </w:p>
    <w:p w14:paraId="2F91AB1F" w14:textId="3B091809" w:rsidR="00B11E69" w:rsidRPr="000D604C" w:rsidRDefault="007004BD" w:rsidP="00CE70A3">
      <w:pPr>
        <w:pStyle w:val="ListParagraph"/>
        <w:numPr>
          <w:ilvl w:val="0"/>
          <w:numId w:val="15"/>
        </w:numPr>
        <w:spacing w:before="80" w:after="80"/>
        <w:ind w:left="1134" w:hanging="425"/>
        <w:contextualSpacing w:val="0"/>
        <w:rPr>
          <w:rFonts w:ascii="Arial" w:hAnsi="Arial" w:cs="Arial"/>
          <w:b/>
          <w:bCs/>
          <w:sz w:val="24"/>
          <w:szCs w:val="24"/>
          <w:lang w:val="en-GB"/>
        </w:rPr>
      </w:pPr>
      <w:r w:rsidRPr="000D604C">
        <w:rPr>
          <w:rFonts w:ascii="Arial" w:hAnsi="Arial" w:cs="Arial"/>
          <w:b/>
          <w:bCs/>
          <w:sz w:val="24"/>
          <w:szCs w:val="24"/>
          <w:lang w:val="en-GB"/>
        </w:rPr>
        <w:t>A healthy city where people thrive</w:t>
      </w:r>
      <w:r w:rsidR="000D604C" w:rsidRPr="000D604C">
        <w:rPr>
          <w:rFonts w:ascii="Arial" w:hAnsi="Arial" w:cs="Arial"/>
          <w:b/>
          <w:bCs/>
          <w:sz w:val="24"/>
          <w:szCs w:val="24"/>
          <w:lang w:val="en-GB"/>
        </w:rPr>
        <w:t>:</w:t>
      </w:r>
    </w:p>
    <w:p w14:paraId="53A61F2F" w14:textId="206BC9F3" w:rsidR="00B11E69" w:rsidRPr="000D604C" w:rsidRDefault="007004BD" w:rsidP="00D87F66">
      <w:pPr>
        <w:pStyle w:val="ListParagraph"/>
        <w:numPr>
          <w:ilvl w:val="0"/>
          <w:numId w:val="6"/>
        </w:numPr>
        <w:spacing w:before="40" w:after="40"/>
        <w:ind w:left="1418" w:hanging="284"/>
        <w:contextualSpacing w:val="0"/>
        <w:rPr>
          <w:rFonts w:ascii="Arial" w:hAnsi="Arial" w:cs="Arial"/>
          <w:sz w:val="24"/>
          <w:szCs w:val="24"/>
          <w:lang w:val="en-GB"/>
        </w:rPr>
      </w:pPr>
      <w:r w:rsidRPr="000D604C">
        <w:rPr>
          <w:rFonts w:ascii="Arial" w:hAnsi="Arial" w:cs="Arial"/>
          <w:sz w:val="24"/>
          <w:szCs w:val="24"/>
          <w:lang w:val="en-GB"/>
        </w:rPr>
        <w:t>Supporting a better future for children and young people</w:t>
      </w:r>
      <w:r>
        <w:rPr>
          <w:rFonts w:ascii="Arial" w:hAnsi="Arial" w:cs="Arial"/>
          <w:sz w:val="24"/>
          <w:szCs w:val="24"/>
          <w:lang w:val="en-GB"/>
        </w:rPr>
        <w:t xml:space="preserve"> by </w:t>
      </w:r>
      <w:r w:rsidRPr="000D604C">
        <w:rPr>
          <w:rFonts w:ascii="Arial" w:hAnsi="Arial" w:cs="Arial"/>
          <w:sz w:val="24"/>
          <w:szCs w:val="24"/>
          <w:lang w:val="en-GB"/>
        </w:rPr>
        <w:t>keep</w:t>
      </w:r>
      <w:r>
        <w:rPr>
          <w:rFonts w:ascii="Arial" w:hAnsi="Arial" w:cs="Arial"/>
          <w:sz w:val="24"/>
          <w:szCs w:val="24"/>
          <w:lang w:val="en-GB"/>
        </w:rPr>
        <w:t>ing</w:t>
      </w:r>
      <w:r w:rsidRPr="000D604C">
        <w:rPr>
          <w:rFonts w:ascii="Arial" w:hAnsi="Arial" w:cs="Arial"/>
          <w:sz w:val="24"/>
          <w:szCs w:val="24"/>
          <w:lang w:val="en-GB"/>
        </w:rPr>
        <w:t xml:space="preserve"> children safe, for no child, young person or family to be left behind, and </w:t>
      </w:r>
      <w:r>
        <w:rPr>
          <w:rFonts w:ascii="Arial" w:hAnsi="Arial" w:cs="Arial"/>
          <w:sz w:val="24"/>
          <w:szCs w:val="24"/>
          <w:lang w:val="en-GB"/>
        </w:rPr>
        <w:t>by</w:t>
      </w:r>
      <w:r w:rsidRPr="000D604C">
        <w:rPr>
          <w:rFonts w:ascii="Arial" w:hAnsi="Arial" w:cs="Arial"/>
          <w:sz w:val="24"/>
          <w:szCs w:val="24"/>
          <w:lang w:val="en-GB"/>
        </w:rPr>
        <w:t xml:space="preserve"> provid</w:t>
      </w:r>
      <w:r>
        <w:rPr>
          <w:rFonts w:ascii="Arial" w:hAnsi="Arial" w:cs="Arial"/>
          <w:sz w:val="24"/>
          <w:szCs w:val="24"/>
          <w:lang w:val="en-GB"/>
        </w:rPr>
        <w:t>ing</w:t>
      </w:r>
      <w:r w:rsidRPr="000D604C">
        <w:rPr>
          <w:rFonts w:ascii="Arial" w:hAnsi="Arial" w:cs="Arial"/>
          <w:sz w:val="24"/>
          <w:szCs w:val="24"/>
          <w:lang w:val="en-GB"/>
        </w:rPr>
        <w:t xml:space="preserve"> high quality, inclusive, and accessible services</w:t>
      </w:r>
      <w:r>
        <w:rPr>
          <w:rFonts w:ascii="Arial" w:hAnsi="Arial" w:cs="Arial"/>
          <w:sz w:val="24"/>
          <w:szCs w:val="24"/>
          <w:lang w:val="en-GB"/>
        </w:rPr>
        <w:t>.</w:t>
      </w:r>
    </w:p>
    <w:p w14:paraId="02CFFE07" w14:textId="1C4CF95D" w:rsidR="00B11E69" w:rsidRPr="000D604C" w:rsidRDefault="007004BD" w:rsidP="00954A8F">
      <w:pPr>
        <w:pStyle w:val="ListParagraph"/>
        <w:numPr>
          <w:ilvl w:val="0"/>
          <w:numId w:val="6"/>
        </w:numPr>
        <w:spacing w:before="40" w:after="40"/>
        <w:ind w:left="1418" w:hanging="284"/>
        <w:contextualSpacing w:val="0"/>
        <w:rPr>
          <w:rFonts w:ascii="Arial" w:hAnsi="Arial" w:cs="Arial"/>
          <w:sz w:val="24"/>
          <w:szCs w:val="24"/>
          <w:lang w:val="en-GB"/>
        </w:rPr>
      </w:pPr>
      <w:r>
        <w:rPr>
          <w:rFonts w:ascii="Arial" w:hAnsi="Arial" w:cs="Arial"/>
          <w:sz w:val="24"/>
          <w:szCs w:val="24"/>
          <w:lang w:val="en-GB"/>
        </w:rPr>
        <w:t>Supporting l</w:t>
      </w:r>
      <w:r w:rsidRPr="000D604C">
        <w:rPr>
          <w:rFonts w:ascii="Arial" w:hAnsi="Arial" w:cs="Arial"/>
          <w:sz w:val="24"/>
          <w:szCs w:val="24"/>
          <w:lang w:val="en-GB"/>
        </w:rPr>
        <w:t xml:space="preserve">iving and ageing well </w:t>
      </w:r>
      <w:r>
        <w:rPr>
          <w:rFonts w:ascii="Arial" w:hAnsi="Arial" w:cs="Arial"/>
          <w:sz w:val="24"/>
          <w:szCs w:val="24"/>
          <w:lang w:val="en-GB"/>
        </w:rPr>
        <w:t xml:space="preserve">by </w:t>
      </w:r>
      <w:r w:rsidRPr="000D604C">
        <w:rPr>
          <w:rFonts w:ascii="Arial" w:hAnsi="Arial" w:cs="Arial"/>
          <w:sz w:val="24"/>
          <w:szCs w:val="24"/>
          <w:lang w:val="en-GB"/>
        </w:rPr>
        <w:t>promot</w:t>
      </w:r>
      <w:r>
        <w:rPr>
          <w:rFonts w:ascii="Arial" w:hAnsi="Arial" w:cs="Arial"/>
          <w:sz w:val="24"/>
          <w:szCs w:val="24"/>
          <w:lang w:val="en-GB"/>
        </w:rPr>
        <w:t>ing</w:t>
      </w:r>
      <w:r w:rsidRPr="000D604C">
        <w:rPr>
          <w:rFonts w:ascii="Arial" w:hAnsi="Arial" w:cs="Arial"/>
          <w:sz w:val="24"/>
          <w:szCs w:val="24"/>
          <w:lang w:val="en-GB"/>
        </w:rPr>
        <w:t xml:space="preserve"> and improv</w:t>
      </w:r>
      <w:r>
        <w:rPr>
          <w:rFonts w:ascii="Arial" w:hAnsi="Arial" w:cs="Arial"/>
          <w:sz w:val="24"/>
          <w:szCs w:val="24"/>
          <w:lang w:val="en-GB"/>
        </w:rPr>
        <w:t>ing</w:t>
      </w:r>
      <w:r w:rsidRPr="000D604C">
        <w:rPr>
          <w:rFonts w:ascii="Arial" w:hAnsi="Arial" w:cs="Arial"/>
          <w:sz w:val="24"/>
          <w:szCs w:val="24"/>
          <w:lang w:val="en-GB"/>
        </w:rPr>
        <w:t xml:space="preserve"> health and wellbeing to reduce health </w:t>
      </w:r>
      <w:r w:rsidR="00EA5CA5" w:rsidRPr="000D604C">
        <w:rPr>
          <w:rFonts w:ascii="Arial" w:hAnsi="Arial" w:cs="Arial"/>
          <w:sz w:val="24"/>
          <w:szCs w:val="24"/>
          <w:lang w:val="en-GB"/>
        </w:rPr>
        <w:t>inequalities and</w:t>
      </w:r>
      <w:r w:rsidRPr="000D604C">
        <w:rPr>
          <w:rFonts w:ascii="Arial" w:hAnsi="Arial" w:cs="Arial"/>
          <w:sz w:val="24"/>
          <w:szCs w:val="24"/>
          <w:lang w:val="en-GB"/>
        </w:rPr>
        <w:t xml:space="preserve"> support</w:t>
      </w:r>
      <w:r>
        <w:rPr>
          <w:rFonts w:ascii="Arial" w:hAnsi="Arial" w:cs="Arial"/>
          <w:sz w:val="24"/>
          <w:szCs w:val="24"/>
          <w:lang w:val="en-GB"/>
        </w:rPr>
        <w:t>ing</w:t>
      </w:r>
      <w:r w:rsidRPr="000D604C">
        <w:rPr>
          <w:rFonts w:ascii="Arial" w:hAnsi="Arial" w:cs="Arial"/>
          <w:sz w:val="24"/>
          <w:szCs w:val="24"/>
          <w:lang w:val="en-GB"/>
        </w:rPr>
        <w:t xml:space="preserve"> people to live independent and fulfilling lives.</w:t>
      </w:r>
    </w:p>
    <w:p w14:paraId="4B82B632" w14:textId="13C1E12C" w:rsidR="00B11E69" w:rsidRPr="000D604C" w:rsidRDefault="007004BD" w:rsidP="00CE70A3">
      <w:pPr>
        <w:pStyle w:val="ListParagraph"/>
        <w:numPr>
          <w:ilvl w:val="0"/>
          <w:numId w:val="15"/>
        </w:numPr>
        <w:spacing w:before="80" w:after="80"/>
        <w:ind w:left="1134" w:hanging="425"/>
        <w:contextualSpacing w:val="0"/>
        <w:rPr>
          <w:rFonts w:ascii="Arial" w:hAnsi="Arial" w:cs="Arial"/>
          <w:b/>
          <w:bCs/>
          <w:sz w:val="24"/>
          <w:szCs w:val="24"/>
          <w:lang w:val="en-GB"/>
        </w:rPr>
      </w:pPr>
      <w:r w:rsidRPr="000D604C">
        <w:rPr>
          <w:rFonts w:ascii="Arial" w:hAnsi="Arial" w:cs="Arial"/>
          <w:b/>
          <w:bCs/>
          <w:sz w:val="24"/>
          <w:szCs w:val="24"/>
          <w:lang w:val="en-GB"/>
        </w:rPr>
        <w:t>A responsive council with well-run services</w:t>
      </w:r>
      <w:r w:rsidR="000D604C" w:rsidRPr="000D604C">
        <w:rPr>
          <w:rFonts w:ascii="Arial" w:hAnsi="Arial" w:cs="Arial"/>
          <w:b/>
          <w:bCs/>
          <w:sz w:val="24"/>
          <w:szCs w:val="24"/>
          <w:lang w:val="en-GB"/>
        </w:rPr>
        <w:t>:</w:t>
      </w:r>
    </w:p>
    <w:p w14:paraId="4A32C394" w14:textId="0689F8F3" w:rsidR="00B11E69" w:rsidRPr="00B11E69" w:rsidRDefault="007004BD" w:rsidP="000D604C">
      <w:pPr>
        <w:pStyle w:val="ListParagraph"/>
        <w:numPr>
          <w:ilvl w:val="0"/>
          <w:numId w:val="6"/>
        </w:numPr>
        <w:spacing w:before="40" w:after="40"/>
        <w:ind w:left="1418" w:hanging="284"/>
        <w:contextualSpacing w:val="0"/>
        <w:rPr>
          <w:rFonts w:ascii="Arial" w:hAnsi="Arial" w:cs="Arial"/>
          <w:sz w:val="24"/>
          <w:szCs w:val="24"/>
          <w:lang w:val="en-GB"/>
        </w:rPr>
      </w:pPr>
      <w:r w:rsidRPr="00B11E69">
        <w:rPr>
          <w:rFonts w:ascii="Arial" w:hAnsi="Arial" w:cs="Arial"/>
          <w:sz w:val="24"/>
          <w:szCs w:val="24"/>
          <w:lang w:val="en-GB"/>
        </w:rPr>
        <w:t xml:space="preserve">Our goal is to be a responsive council that listens to </w:t>
      </w:r>
      <w:r w:rsidR="000D604C">
        <w:rPr>
          <w:rFonts w:ascii="Arial" w:hAnsi="Arial" w:cs="Arial"/>
          <w:sz w:val="24"/>
          <w:szCs w:val="24"/>
          <w:lang w:val="en-GB"/>
        </w:rPr>
        <w:t xml:space="preserve">and engages with </w:t>
      </w:r>
      <w:r w:rsidRPr="00B11E69">
        <w:rPr>
          <w:rFonts w:ascii="Arial" w:hAnsi="Arial" w:cs="Arial"/>
          <w:sz w:val="24"/>
          <w:szCs w:val="24"/>
          <w:lang w:val="en-GB"/>
        </w:rPr>
        <w:t>its communities and delivers positive results for the city.</w:t>
      </w:r>
    </w:p>
    <w:p w14:paraId="58EB8ECF" w14:textId="10CB9E67" w:rsidR="009B058F" w:rsidRPr="00DA6D29" w:rsidRDefault="007004BD" w:rsidP="00E945CB">
      <w:pPr>
        <w:pStyle w:val="Heading2"/>
      </w:pPr>
      <w:r w:rsidRPr="00DA6D29">
        <w:t xml:space="preserve">The investments to support these outcomes are continually developing as </w:t>
      </w:r>
      <w:r w:rsidR="000D604C">
        <w:t>many</w:t>
      </w:r>
      <w:r w:rsidRPr="00DA6D29">
        <w:t xml:space="preserve"> are informed by local demographic and economic trends, ongoing research and policy development, and consultation and engagement with residents, communities, partners and other stakeholders. As the investment requirements become more certain they are built into both the annual budget setting process and, for longer term objectives, into the </w:t>
      </w:r>
      <w:r w:rsidR="009524A1">
        <w:t>MTFS</w:t>
      </w:r>
      <w:r w:rsidRPr="00DA6D29">
        <w:t>, so far as they can be estimated and afforded.</w:t>
      </w:r>
    </w:p>
    <w:p w14:paraId="5FD27676" w14:textId="1D928EE3" w:rsidR="009B058F" w:rsidRPr="00DA6D29" w:rsidRDefault="007004BD" w:rsidP="00E945CB">
      <w:pPr>
        <w:pStyle w:val="Heading2"/>
      </w:pPr>
      <w:r w:rsidRPr="00DA6D29">
        <w:t>A major investment area for the Co</w:t>
      </w:r>
      <w:r w:rsidR="000D604C">
        <w:t>uncil</w:t>
      </w:r>
      <w:r w:rsidRPr="00DA6D29">
        <w:t xml:space="preserve"> Plan </w:t>
      </w:r>
      <w:r w:rsidR="000D604C">
        <w:t>continues to be</w:t>
      </w:r>
      <w:r w:rsidRPr="00DA6D29">
        <w:t xml:space="preserve"> housing and homelessness including further capital investment plans of </w:t>
      </w:r>
      <w:r w:rsidRPr="00EB614A">
        <w:t>over £</w:t>
      </w:r>
      <w:r w:rsidR="00EB614A" w:rsidRPr="00EB614A">
        <w:t>78</w:t>
      </w:r>
      <w:r w:rsidRPr="00EB614A">
        <w:t xml:space="preserve"> million</w:t>
      </w:r>
      <w:r w:rsidRPr="00DA6D29">
        <w:t xml:space="preserve"> to deliver new build or purchased, affordable housing and temporary and emergency accommodation through the self-financing Housing Revenue Account (HRA) and other innovative schemes including the Housing Joint Venture. These plans are set out in detail in the HRA Revenue and Capital Budget also reported to the February </w:t>
      </w:r>
      <w:r w:rsidR="0070180B" w:rsidRPr="00DA6D29">
        <w:t>Strategy, Finance &amp; City Regeneration</w:t>
      </w:r>
      <w:r w:rsidRPr="00DA6D29">
        <w:t xml:space="preserve"> Committee and Budget Council.</w:t>
      </w:r>
    </w:p>
    <w:p w14:paraId="281786DA" w14:textId="0D4E10AA" w:rsidR="009B058F" w:rsidRPr="00DA6D29" w:rsidRDefault="007004BD" w:rsidP="00E945CB">
      <w:pPr>
        <w:pStyle w:val="Heading2"/>
      </w:pPr>
      <w:r w:rsidRPr="00DA6D29">
        <w:t>Another important area requiring substantial investment concerns services that can help to support a healthy city. Demands on Social Care services continue to increase</w:t>
      </w:r>
      <w:r w:rsidR="00BD70A2">
        <w:t>,</w:t>
      </w:r>
      <w:r w:rsidRPr="00DA6D29">
        <w:t xml:space="preserve"> reflecting the continuing trend for people to live longer but increasingly with limiting illnesses, disabilities, mental health illnesses or dementia that require increasing social care support to help them </w:t>
      </w:r>
      <w:r w:rsidR="00BD70A2">
        <w:t>remain</w:t>
      </w:r>
      <w:r w:rsidRPr="00DA6D29">
        <w:t xml:space="preserve"> in their homes and communities. The </w:t>
      </w:r>
      <w:r w:rsidR="00D81DDB">
        <w:t xml:space="preserve">government has recognised some of the increased </w:t>
      </w:r>
      <w:r w:rsidRPr="00DA6D29">
        <w:t>cost</w:t>
      </w:r>
      <w:r w:rsidR="00D81DDB">
        <w:t xml:space="preserve">s of Adult Social Care through the Autumn Statement in terms of additional grant, an allowable Adult Social Care precept and, belatedly, additional funding through the </w:t>
      </w:r>
      <w:r w:rsidR="009524A1">
        <w:t>LGFS</w:t>
      </w:r>
      <w:r w:rsidR="00D81DDB">
        <w:t>. However, these fall significantly short of the actual costs and demands being experienced by councils.</w:t>
      </w:r>
    </w:p>
    <w:p w14:paraId="4F0E8E90" w14:textId="7CC055CF" w:rsidR="00D81DDB" w:rsidRDefault="007004BD" w:rsidP="00E945CB">
      <w:pPr>
        <w:pStyle w:val="Heading2"/>
      </w:pPr>
      <w:r>
        <w:t>Significantly more investment is required in 2024/25 than in previous years to simply maintain effective and well-run services for the city. This is due to a range of factors including the continuing impacts of inflation, the impact of market conditions on suppliers and providers, and the impact of a weakened economy on many income streams such as planning fees, parking revenues and commercial rent incomes which are an important source of funding to protect service delivery.</w:t>
      </w:r>
    </w:p>
    <w:p w14:paraId="0D124516" w14:textId="084FAB6E" w:rsidR="009B058F" w:rsidRPr="00DA6D29" w:rsidRDefault="007004BD" w:rsidP="00E945CB">
      <w:pPr>
        <w:pStyle w:val="Heading2"/>
      </w:pPr>
      <w:r w:rsidRPr="00DA6D29">
        <w:t xml:space="preserve">In total, there </w:t>
      </w:r>
      <w:r w:rsidRPr="00EB614A">
        <w:t>are proposed ongoing investments of £</w:t>
      </w:r>
      <w:r w:rsidR="00621640" w:rsidRPr="00EB614A">
        <w:t>27</w:t>
      </w:r>
      <w:r w:rsidRPr="00EB614A">
        <w:t>.</w:t>
      </w:r>
      <w:r w:rsidR="00621640" w:rsidRPr="00EB614A">
        <w:t>229</w:t>
      </w:r>
      <w:r w:rsidRPr="00EB614A">
        <w:t xml:space="preserve">m and </w:t>
      </w:r>
      <w:r w:rsidR="00A35BFB" w:rsidRPr="00EB614A">
        <w:t xml:space="preserve">provisional </w:t>
      </w:r>
      <w:r w:rsidRPr="00EB614A">
        <w:t>one-off investments of £</w:t>
      </w:r>
      <w:r w:rsidR="00A35BFB" w:rsidRPr="00EB614A">
        <w:t>0.9</w:t>
      </w:r>
      <w:r w:rsidR="00EB614A" w:rsidRPr="00EB614A">
        <w:t>56</w:t>
      </w:r>
      <w:r w:rsidRPr="00EB614A">
        <w:t>m to</w:t>
      </w:r>
      <w:r w:rsidRPr="00DA6D29">
        <w:t xml:space="preserve"> support services that contribute to C</w:t>
      </w:r>
      <w:r w:rsidR="00D81DDB">
        <w:t xml:space="preserve">ouncil </w:t>
      </w:r>
      <w:r w:rsidRPr="00DA6D29">
        <w:t xml:space="preserve">Plan outcomes. These revenue investments are enabled by proposed local taxation increases (4.99%), including the 2% Adult Social Care precept, increased government grant support, </w:t>
      </w:r>
      <w:r w:rsidR="00CB7E5E">
        <w:t xml:space="preserve">additional </w:t>
      </w:r>
      <w:r w:rsidRPr="00DA6D29">
        <w:t xml:space="preserve">retained business rates income, and the substantial package of savings proposals focused on delivering services at a lower cost through redesign and/or technological changes, </w:t>
      </w:r>
      <w:r w:rsidR="00D81DDB">
        <w:t xml:space="preserve">or reprioritising investment to other service areas. </w:t>
      </w:r>
      <w:r w:rsidRPr="00DA6D29">
        <w:t xml:space="preserve">However, </w:t>
      </w:r>
      <w:r w:rsidR="00D81DDB">
        <w:t xml:space="preserve">as </w:t>
      </w:r>
      <w:r w:rsidRPr="00DA6D29">
        <w:t>for 202</w:t>
      </w:r>
      <w:r w:rsidR="00D81DDB">
        <w:t>3</w:t>
      </w:r>
      <w:r w:rsidRPr="00DA6D29">
        <w:t>/24</w:t>
      </w:r>
      <w:r w:rsidR="00D81DDB">
        <w:t xml:space="preserve">, inevitably </w:t>
      </w:r>
      <w:r w:rsidRPr="00DA6D29">
        <w:t xml:space="preserve">a significant element of the required investment is to meet </w:t>
      </w:r>
      <w:r w:rsidR="00D81DDB">
        <w:t xml:space="preserve">ongoing </w:t>
      </w:r>
      <w:r w:rsidRPr="00DA6D29">
        <w:t>inflation</w:t>
      </w:r>
      <w:r w:rsidR="00D81DDB">
        <w:t>ary impacts</w:t>
      </w:r>
      <w:r w:rsidR="00621640">
        <w:t xml:space="preserve"> and significant increases in demands for statutory services</w:t>
      </w:r>
      <w:r w:rsidRPr="00DA6D29">
        <w:t>.</w:t>
      </w:r>
    </w:p>
    <w:p w14:paraId="10F10C20" w14:textId="757E5877" w:rsidR="009B058F" w:rsidRPr="00DA6D29" w:rsidRDefault="007004BD" w:rsidP="00E945CB">
      <w:pPr>
        <w:pStyle w:val="Heading2"/>
      </w:pPr>
      <w:bookmarkStart w:id="5" w:name="_Ref62999053"/>
      <w:r w:rsidRPr="00DA6D29">
        <w:t xml:space="preserve">The full list of proposed investments to support </w:t>
      </w:r>
      <w:r w:rsidR="003F2DAF">
        <w:t>Council</w:t>
      </w:r>
      <w:r w:rsidRPr="00DA6D29">
        <w:t xml:space="preserve"> Plan priorities and associated outcomes is set out below:</w:t>
      </w:r>
      <w:bookmarkEnd w:id="5"/>
    </w:p>
    <w:p w14:paraId="0A6AE4C5" w14:textId="77777777" w:rsidR="009B058F" w:rsidRPr="00DA6D29" w:rsidRDefault="009B058F" w:rsidP="00E945CB">
      <w:pPr>
        <w:pStyle w:val="Heading2"/>
        <w:numPr>
          <w:ilvl w:val="0"/>
          <w:numId w:val="0"/>
        </w:numPr>
        <w:ind w:left="720"/>
        <w:sectPr w:rsidR="009B058F" w:rsidRPr="00DA6D29" w:rsidSect="00F33075">
          <w:headerReference w:type="first" r:id="rId10"/>
          <w:type w:val="continuous"/>
          <w:pgSz w:w="11900" w:h="16832" w:code="9"/>
          <w:pgMar w:top="1134" w:right="1134" w:bottom="1134" w:left="1134" w:header="709" w:footer="709" w:gutter="0"/>
          <w:paperSrc w:first="7" w:other="7"/>
          <w:cols w:space="720"/>
          <w:titlePg/>
          <w:docGrid w:linePitch="326"/>
        </w:sectPr>
      </w:pPr>
    </w:p>
    <w:p w14:paraId="41D7156F" w14:textId="6098A24E" w:rsidR="009B058F" w:rsidRPr="00DA6D29" w:rsidRDefault="007004BD" w:rsidP="00E945CB">
      <w:pPr>
        <w:pStyle w:val="Heading2"/>
        <w:numPr>
          <w:ilvl w:val="0"/>
          <w:numId w:val="0"/>
        </w:numPr>
        <w:ind w:left="720"/>
      </w:pPr>
      <w:r w:rsidRPr="00DA6D29">
        <w:t>Table 2: Co</w:t>
      </w:r>
      <w:r w:rsidR="00621640">
        <w:t xml:space="preserve">uncil </w:t>
      </w:r>
      <w:r w:rsidRPr="00DA6D29">
        <w:t>Plan Investments and Service Pressure Funding 202</w:t>
      </w:r>
      <w:r w:rsidR="00621640">
        <w:t>4</w:t>
      </w:r>
      <w:r w:rsidRPr="00DA6D29">
        <w:t>/2</w:t>
      </w:r>
      <w:r w:rsidR="00621640">
        <w:t>5</w:t>
      </w:r>
    </w:p>
    <w:p w14:paraId="01770FA6" w14:textId="77777777" w:rsidR="009B058F" w:rsidRDefault="009B058F" w:rsidP="009B058F">
      <w:pPr>
        <w:ind w:left="284" w:hanging="284"/>
        <w:rPr>
          <w:rFonts w:ascii="Arial" w:hAnsi="Arial" w:cs="Arial"/>
          <w:color w:val="FF0000"/>
          <w:sz w:val="24"/>
          <w:szCs w:val="24"/>
          <w:lang w:val="en-GB"/>
        </w:rPr>
      </w:pPr>
    </w:p>
    <w:tbl>
      <w:tblPr>
        <w:tblW w:w="5000" w:type="pct"/>
        <w:tblCellMar>
          <w:left w:w="28" w:type="dxa"/>
          <w:right w:w="28" w:type="dxa"/>
        </w:tblCellMar>
        <w:tblLook w:val="04A0" w:firstRow="1" w:lastRow="0" w:firstColumn="1" w:lastColumn="0" w:noHBand="0" w:noVBand="1"/>
      </w:tblPr>
      <w:tblGrid>
        <w:gridCol w:w="1256"/>
        <w:gridCol w:w="6050"/>
        <w:gridCol w:w="1324"/>
        <w:gridCol w:w="1163"/>
        <w:gridCol w:w="113"/>
      </w:tblGrid>
      <w:tr w:rsidR="00A53B77" w14:paraId="25870A11" w14:textId="77777777" w:rsidTr="00271A02">
        <w:trPr>
          <w:gridAfter w:val="1"/>
          <w:wAfter w:w="57" w:type="dxa"/>
          <w:trHeight w:val="315"/>
        </w:trPr>
        <w:tc>
          <w:tcPr>
            <w:tcW w:w="634" w:type="pct"/>
            <w:vMerge w:val="restart"/>
            <w:tcBorders>
              <w:top w:val="single" w:sz="4" w:space="0" w:color="auto"/>
              <w:left w:val="single" w:sz="4" w:space="0" w:color="auto"/>
              <w:bottom w:val="single" w:sz="4" w:space="0" w:color="auto"/>
              <w:right w:val="single" w:sz="4" w:space="0" w:color="auto"/>
            </w:tcBorders>
            <w:shd w:val="clear" w:color="000000" w:fill="BF0953"/>
            <w:hideMark/>
          </w:tcPr>
          <w:p w14:paraId="72A95F8F" w14:textId="77777777" w:rsidR="00621640" w:rsidRPr="00621640" w:rsidRDefault="007004BD" w:rsidP="003D77A2">
            <w:pPr>
              <w:rPr>
                <w:rFonts w:ascii="Arial" w:hAnsi="Arial" w:cs="Arial"/>
                <w:b/>
                <w:bCs/>
                <w:color w:val="FFFFFF"/>
                <w:sz w:val="24"/>
                <w:szCs w:val="24"/>
                <w:lang w:val="en-GB" w:eastAsia="en-GB"/>
              </w:rPr>
            </w:pPr>
            <w:r w:rsidRPr="00621640">
              <w:rPr>
                <w:rFonts w:ascii="Arial" w:hAnsi="Arial" w:cs="Arial"/>
                <w:b/>
                <w:bCs/>
                <w:color w:val="FFFFFF"/>
                <w:sz w:val="24"/>
                <w:szCs w:val="24"/>
                <w:lang w:val="en-GB" w:eastAsia="en-GB"/>
              </w:rPr>
              <w:t>Priority Supported</w:t>
            </w:r>
          </w:p>
        </w:tc>
        <w:tc>
          <w:tcPr>
            <w:tcW w:w="3054" w:type="pct"/>
            <w:vMerge w:val="restart"/>
            <w:tcBorders>
              <w:top w:val="single" w:sz="4" w:space="0" w:color="auto"/>
              <w:left w:val="single" w:sz="4" w:space="0" w:color="auto"/>
              <w:bottom w:val="single" w:sz="4" w:space="0" w:color="auto"/>
              <w:right w:val="single" w:sz="4" w:space="0" w:color="auto"/>
            </w:tcBorders>
            <w:shd w:val="clear" w:color="000000" w:fill="BF0953"/>
            <w:hideMark/>
          </w:tcPr>
          <w:p w14:paraId="66C3E430" w14:textId="1F5BEF62" w:rsidR="00621640" w:rsidRPr="00621640" w:rsidRDefault="007004BD" w:rsidP="00621640">
            <w:pPr>
              <w:rPr>
                <w:rFonts w:ascii="Arial" w:hAnsi="Arial" w:cs="Arial"/>
                <w:b/>
                <w:bCs/>
                <w:color w:val="FFFFFF"/>
                <w:sz w:val="24"/>
                <w:szCs w:val="24"/>
                <w:lang w:val="en-GB" w:eastAsia="en-GB"/>
              </w:rPr>
            </w:pPr>
            <w:r>
              <w:rPr>
                <w:rFonts w:ascii="Arial" w:hAnsi="Arial" w:cs="Arial"/>
                <w:b/>
                <w:bCs/>
                <w:color w:val="FFFFFF"/>
                <w:sz w:val="24"/>
                <w:szCs w:val="24"/>
                <w:lang w:val="en-GB" w:eastAsia="en-GB"/>
              </w:rPr>
              <w:t xml:space="preserve">Table 2: </w:t>
            </w:r>
            <w:r w:rsidRPr="00621640">
              <w:rPr>
                <w:rFonts w:ascii="Arial" w:hAnsi="Arial" w:cs="Arial"/>
                <w:b/>
                <w:bCs/>
                <w:color w:val="FFFFFF"/>
                <w:sz w:val="24"/>
                <w:szCs w:val="24"/>
                <w:lang w:val="en-GB" w:eastAsia="en-GB"/>
              </w:rPr>
              <w:t>Proposed Council Plan Investments</w:t>
            </w:r>
          </w:p>
        </w:tc>
        <w:tc>
          <w:tcPr>
            <w:tcW w:w="668" w:type="pct"/>
            <w:vMerge w:val="restart"/>
            <w:tcBorders>
              <w:top w:val="single" w:sz="4" w:space="0" w:color="auto"/>
              <w:left w:val="single" w:sz="4" w:space="0" w:color="auto"/>
              <w:bottom w:val="single" w:sz="4" w:space="0" w:color="auto"/>
              <w:right w:val="single" w:sz="4" w:space="0" w:color="auto"/>
            </w:tcBorders>
            <w:shd w:val="clear" w:color="000000" w:fill="BF0953"/>
            <w:hideMark/>
          </w:tcPr>
          <w:p w14:paraId="1EDBC96D" w14:textId="77777777" w:rsidR="00271A02" w:rsidRDefault="007004BD" w:rsidP="00271A02">
            <w:pPr>
              <w:jc w:val="center"/>
              <w:rPr>
                <w:rFonts w:ascii="Arial" w:hAnsi="Arial" w:cs="Arial"/>
                <w:b/>
                <w:bCs/>
                <w:color w:val="FFFFFF"/>
                <w:sz w:val="24"/>
                <w:szCs w:val="24"/>
                <w:lang w:val="en-GB" w:eastAsia="en-GB"/>
              </w:rPr>
            </w:pPr>
            <w:r>
              <w:rPr>
                <w:rFonts w:ascii="Arial" w:hAnsi="Arial" w:cs="Arial"/>
                <w:b/>
                <w:bCs/>
                <w:color w:val="FFFFFF"/>
                <w:sz w:val="24"/>
                <w:szCs w:val="24"/>
                <w:lang w:val="en-GB" w:eastAsia="en-GB"/>
              </w:rPr>
              <w:t>Recurrent</w:t>
            </w:r>
          </w:p>
          <w:p w14:paraId="0415ED5E" w14:textId="291B7ECA" w:rsidR="00621640" w:rsidRPr="00621640" w:rsidRDefault="007004BD" w:rsidP="00271A02">
            <w:pPr>
              <w:jc w:val="center"/>
              <w:rPr>
                <w:rFonts w:ascii="Arial" w:hAnsi="Arial" w:cs="Arial"/>
                <w:b/>
                <w:bCs/>
                <w:color w:val="FFFFFF"/>
                <w:sz w:val="24"/>
                <w:szCs w:val="24"/>
                <w:lang w:val="en-GB" w:eastAsia="en-GB"/>
              </w:rPr>
            </w:pPr>
            <w:r w:rsidRPr="00621640">
              <w:rPr>
                <w:rFonts w:ascii="Arial" w:hAnsi="Arial" w:cs="Arial"/>
                <w:b/>
                <w:bCs/>
                <w:color w:val="FFFFFF"/>
                <w:sz w:val="24"/>
                <w:szCs w:val="24"/>
                <w:lang w:val="en-GB" w:eastAsia="en-GB"/>
              </w:rPr>
              <w:t>Investment 2024/25</w:t>
            </w:r>
            <w:r w:rsidRPr="00621640">
              <w:rPr>
                <w:rFonts w:ascii="Arial" w:hAnsi="Arial" w:cs="Arial"/>
                <w:b/>
                <w:bCs/>
                <w:color w:val="FFFFFF"/>
                <w:sz w:val="24"/>
                <w:szCs w:val="24"/>
                <w:lang w:val="en-GB" w:eastAsia="en-GB"/>
              </w:rPr>
              <w:br/>
              <w:t>£m</w:t>
            </w:r>
          </w:p>
        </w:tc>
        <w:tc>
          <w:tcPr>
            <w:tcW w:w="587" w:type="pct"/>
            <w:vMerge w:val="restart"/>
            <w:tcBorders>
              <w:top w:val="single" w:sz="4" w:space="0" w:color="auto"/>
              <w:left w:val="single" w:sz="4" w:space="0" w:color="auto"/>
              <w:bottom w:val="single" w:sz="4" w:space="0" w:color="auto"/>
              <w:right w:val="single" w:sz="4" w:space="0" w:color="auto"/>
            </w:tcBorders>
            <w:shd w:val="clear" w:color="000000" w:fill="BF0953"/>
            <w:hideMark/>
          </w:tcPr>
          <w:p w14:paraId="583FE027" w14:textId="70CB1D5B" w:rsidR="00621640" w:rsidRPr="00621640" w:rsidRDefault="007004BD" w:rsidP="00271A02">
            <w:pPr>
              <w:jc w:val="center"/>
              <w:rPr>
                <w:rFonts w:ascii="Arial" w:hAnsi="Arial" w:cs="Arial"/>
                <w:b/>
                <w:bCs/>
                <w:color w:val="FFFFFF"/>
                <w:sz w:val="24"/>
                <w:szCs w:val="24"/>
                <w:lang w:val="en-GB" w:eastAsia="en-GB"/>
              </w:rPr>
            </w:pPr>
            <w:r w:rsidRPr="00621640">
              <w:rPr>
                <w:rFonts w:ascii="Arial" w:hAnsi="Arial" w:cs="Arial"/>
                <w:b/>
                <w:bCs/>
                <w:color w:val="FFFFFF"/>
                <w:sz w:val="24"/>
                <w:szCs w:val="24"/>
                <w:lang w:val="en-GB" w:eastAsia="en-GB"/>
              </w:rPr>
              <w:t>One-off</w:t>
            </w:r>
            <w:r w:rsidRPr="00621640">
              <w:rPr>
                <w:rFonts w:ascii="Arial" w:hAnsi="Arial" w:cs="Arial"/>
                <w:b/>
                <w:bCs/>
                <w:color w:val="FFFFFF"/>
                <w:sz w:val="24"/>
                <w:szCs w:val="24"/>
                <w:lang w:val="en-GB" w:eastAsia="en-GB"/>
              </w:rPr>
              <w:br/>
              <w:t>Revenue</w:t>
            </w:r>
            <w:r w:rsidRPr="00621640">
              <w:rPr>
                <w:rFonts w:ascii="Arial" w:hAnsi="Arial" w:cs="Arial"/>
                <w:b/>
                <w:bCs/>
                <w:color w:val="FFFFFF"/>
                <w:sz w:val="24"/>
                <w:szCs w:val="24"/>
                <w:lang w:val="en-GB" w:eastAsia="en-GB"/>
              </w:rPr>
              <w:br/>
              <w:t>Support</w:t>
            </w:r>
            <w:r w:rsidRPr="00621640">
              <w:rPr>
                <w:rFonts w:ascii="Arial" w:hAnsi="Arial" w:cs="Arial"/>
                <w:b/>
                <w:bCs/>
                <w:color w:val="FFFFFF"/>
                <w:sz w:val="24"/>
                <w:szCs w:val="24"/>
                <w:lang w:val="en-GB" w:eastAsia="en-GB"/>
              </w:rPr>
              <w:br/>
              <w:t>£m</w:t>
            </w:r>
          </w:p>
        </w:tc>
      </w:tr>
      <w:tr w:rsidR="00A53B77" w14:paraId="1117DA12" w14:textId="77777777" w:rsidTr="00A14453">
        <w:trPr>
          <w:trHeight w:val="300"/>
        </w:trPr>
        <w:tc>
          <w:tcPr>
            <w:tcW w:w="634" w:type="pct"/>
            <w:vMerge/>
            <w:tcBorders>
              <w:top w:val="single" w:sz="4" w:space="0" w:color="auto"/>
              <w:left w:val="single" w:sz="4" w:space="0" w:color="auto"/>
              <w:bottom w:val="single" w:sz="4" w:space="0" w:color="auto"/>
              <w:right w:val="single" w:sz="4" w:space="0" w:color="auto"/>
            </w:tcBorders>
            <w:vAlign w:val="center"/>
            <w:hideMark/>
          </w:tcPr>
          <w:p w14:paraId="4899F61B" w14:textId="77777777" w:rsidR="00621640" w:rsidRPr="00621640" w:rsidRDefault="00621640" w:rsidP="00621640">
            <w:pPr>
              <w:rPr>
                <w:rFonts w:ascii="Arial" w:hAnsi="Arial" w:cs="Arial"/>
                <w:b/>
                <w:bCs/>
                <w:color w:val="FFFFFF"/>
                <w:sz w:val="24"/>
                <w:szCs w:val="24"/>
                <w:lang w:val="en-GB" w:eastAsia="en-GB"/>
              </w:rPr>
            </w:pPr>
          </w:p>
        </w:tc>
        <w:tc>
          <w:tcPr>
            <w:tcW w:w="3054" w:type="pct"/>
            <w:vMerge/>
            <w:tcBorders>
              <w:top w:val="single" w:sz="4" w:space="0" w:color="auto"/>
              <w:left w:val="single" w:sz="4" w:space="0" w:color="auto"/>
              <w:bottom w:val="single" w:sz="4" w:space="0" w:color="auto"/>
              <w:right w:val="single" w:sz="4" w:space="0" w:color="auto"/>
            </w:tcBorders>
            <w:vAlign w:val="center"/>
            <w:hideMark/>
          </w:tcPr>
          <w:p w14:paraId="55835208" w14:textId="77777777" w:rsidR="00621640" w:rsidRPr="00621640" w:rsidRDefault="00621640" w:rsidP="00621640">
            <w:pPr>
              <w:rPr>
                <w:rFonts w:ascii="Arial" w:hAnsi="Arial" w:cs="Arial"/>
                <w:b/>
                <w:bCs/>
                <w:color w:val="FFFFFF"/>
                <w:sz w:val="24"/>
                <w:szCs w:val="24"/>
                <w:lang w:val="en-GB" w:eastAsia="en-GB"/>
              </w:rPr>
            </w:pPr>
          </w:p>
        </w:tc>
        <w:tc>
          <w:tcPr>
            <w:tcW w:w="668" w:type="pct"/>
            <w:vMerge/>
            <w:tcBorders>
              <w:top w:val="single" w:sz="4" w:space="0" w:color="auto"/>
              <w:left w:val="single" w:sz="4" w:space="0" w:color="auto"/>
              <w:bottom w:val="single" w:sz="4" w:space="0" w:color="auto"/>
              <w:right w:val="single" w:sz="4" w:space="0" w:color="auto"/>
            </w:tcBorders>
            <w:vAlign w:val="center"/>
            <w:hideMark/>
          </w:tcPr>
          <w:p w14:paraId="29EEF026" w14:textId="77777777" w:rsidR="00621640" w:rsidRPr="00621640" w:rsidRDefault="00621640" w:rsidP="00621640">
            <w:pPr>
              <w:rPr>
                <w:rFonts w:ascii="Arial" w:hAnsi="Arial" w:cs="Arial"/>
                <w:b/>
                <w:bCs/>
                <w:color w:val="FFFFFF"/>
                <w:sz w:val="24"/>
                <w:szCs w:val="24"/>
                <w:lang w:val="en-GB" w:eastAsia="en-GB"/>
              </w:rPr>
            </w:pPr>
          </w:p>
        </w:tc>
        <w:tc>
          <w:tcPr>
            <w:tcW w:w="587" w:type="pct"/>
            <w:vMerge/>
            <w:tcBorders>
              <w:top w:val="single" w:sz="4" w:space="0" w:color="auto"/>
              <w:left w:val="single" w:sz="4" w:space="0" w:color="auto"/>
              <w:bottom w:val="single" w:sz="4" w:space="0" w:color="auto"/>
              <w:right w:val="single" w:sz="4" w:space="0" w:color="auto"/>
            </w:tcBorders>
            <w:vAlign w:val="center"/>
            <w:hideMark/>
          </w:tcPr>
          <w:p w14:paraId="4E7FA337" w14:textId="77777777" w:rsidR="00621640" w:rsidRPr="00621640" w:rsidRDefault="00621640" w:rsidP="00621640">
            <w:pPr>
              <w:rPr>
                <w:rFonts w:ascii="Arial" w:hAnsi="Arial" w:cs="Arial"/>
                <w:b/>
                <w:bCs/>
                <w:color w:val="FFFFFF"/>
                <w:sz w:val="24"/>
                <w:szCs w:val="24"/>
                <w:lang w:val="en-GB" w:eastAsia="en-GB"/>
              </w:rPr>
            </w:pPr>
          </w:p>
        </w:tc>
        <w:tc>
          <w:tcPr>
            <w:tcW w:w="57" w:type="pct"/>
            <w:tcBorders>
              <w:top w:val="nil"/>
              <w:left w:val="nil"/>
              <w:bottom w:val="nil"/>
              <w:right w:val="nil"/>
            </w:tcBorders>
            <w:shd w:val="clear" w:color="auto" w:fill="auto"/>
            <w:noWrap/>
            <w:vAlign w:val="bottom"/>
            <w:hideMark/>
          </w:tcPr>
          <w:p w14:paraId="11A564C7" w14:textId="77777777" w:rsidR="00621640" w:rsidRPr="00621640" w:rsidRDefault="00621640" w:rsidP="00621640">
            <w:pPr>
              <w:jc w:val="center"/>
              <w:rPr>
                <w:rFonts w:ascii="Arial" w:hAnsi="Arial" w:cs="Arial"/>
                <w:b/>
                <w:bCs/>
                <w:color w:val="FFFFFF"/>
                <w:sz w:val="24"/>
                <w:szCs w:val="24"/>
                <w:lang w:val="en-GB" w:eastAsia="en-GB"/>
              </w:rPr>
            </w:pPr>
          </w:p>
        </w:tc>
      </w:tr>
      <w:tr w:rsidR="00A53B77" w14:paraId="43C35D1A" w14:textId="77777777" w:rsidTr="00A14453">
        <w:trPr>
          <w:trHeight w:val="300"/>
        </w:trPr>
        <w:tc>
          <w:tcPr>
            <w:tcW w:w="634" w:type="pct"/>
            <w:vMerge/>
            <w:tcBorders>
              <w:top w:val="single" w:sz="4" w:space="0" w:color="auto"/>
              <w:left w:val="single" w:sz="4" w:space="0" w:color="auto"/>
              <w:bottom w:val="single" w:sz="4" w:space="0" w:color="auto"/>
              <w:right w:val="single" w:sz="4" w:space="0" w:color="auto"/>
            </w:tcBorders>
            <w:vAlign w:val="center"/>
            <w:hideMark/>
          </w:tcPr>
          <w:p w14:paraId="5B15ABB8" w14:textId="77777777" w:rsidR="00621640" w:rsidRPr="00621640" w:rsidRDefault="00621640" w:rsidP="00621640">
            <w:pPr>
              <w:rPr>
                <w:rFonts w:ascii="Arial" w:hAnsi="Arial" w:cs="Arial"/>
                <w:b/>
                <w:bCs/>
                <w:color w:val="FFFFFF"/>
                <w:sz w:val="24"/>
                <w:szCs w:val="24"/>
                <w:lang w:val="en-GB" w:eastAsia="en-GB"/>
              </w:rPr>
            </w:pPr>
          </w:p>
        </w:tc>
        <w:tc>
          <w:tcPr>
            <w:tcW w:w="3054" w:type="pct"/>
            <w:vMerge/>
            <w:tcBorders>
              <w:top w:val="single" w:sz="4" w:space="0" w:color="auto"/>
              <w:left w:val="single" w:sz="4" w:space="0" w:color="auto"/>
              <w:bottom w:val="single" w:sz="4" w:space="0" w:color="auto"/>
              <w:right w:val="single" w:sz="4" w:space="0" w:color="auto"/>
            </w:tcBorders>
            <w:vAlign w:val="center"/>
            <w:hideMark/>
          </w:tcPr>
          <w:p w14:paraId="6969A11C" w14:textId="77777777" w:rsidR="00621640" w:rsidRPr="00621640" w:rsidRDefault="00621640" w:rsidP="00621640">
            <w:pPr>
              <w:rPr>
                <w:rFonts w:ascii="Arial" w:hAnsi="Arial" w:cs="Arial"/>
                <w:b/>
                <w:bCs/>
                <w:color w:val="FFFFFF"/>
                <w:sz w:val="24"/>
                <w:szCs w:val="24"/>
                <w:lang w:val="en-GB" w:eastAsia="en-GB"/>
              </w:rPr>
            </w:pPr>
          </w:p>
        </w:tc>
        <w:tc>
          <w:tcPr>
            <w:tcW w:w="668" w:type="pct"/>
            <w:vMerge/>
            <w:tcBorders>
              <w:top w:val="single" w:sz="4" w:space="0" w:color="auto"/>
              <w:left w:val="single" w:sz="4" w:space="0" w:color="auto"/>
              <w:bottom w:val="single" w:sz="4" w:space="0" w:color="auto"/>
              <w:right w:val="single" w:sz="4" w:space="0" w:color="auto"/>
            </w:tcBorders>
            <w:vAlign w:val="center"/>
            <w:hideMark/>
          </w:tcPr>
          <w:p w14:paraId="1456A543" w14:textId="77777777" w:rsidR="00621640" w:rsidRPr="00621640" w:rsidRDefault="00621640" w:rsidP="00621640">
            <w:pPr>
              <w:rPr>
                <w:rFonts w:ascii="Arial" w:hAnsi="Arial" w:cs="Arial"/>
                <w:b/>
                <w:bCs/>
                <w:color w:val="FFFFFF"/>
                <w:sz w:val="24"/>
                <w:szCs w:val="24"/>
                <w:lang w:val="en-GB" w:eastAsia="en-GB"/>
              </w:rPr>
            </w:pPr>
          </w:p>
        </w:tc>
        <w:tc>
          <w:tcPr>
            <w:tcW w:w="587" w:type="pct"/>
            <w:vMerge/>
            <w:tcBorders>
              <w:top w:val="single" w:sz="4" w:space="0" w:color="auto"/>
              <w:left w:val="single" w:sz="4" w:space="0" w:color="auto"/>
              <w:bottom w:val="single" w:sz="4" w:space="0" w:color="auto"/>
              <w:right w:val="single" w:sz="4" w:space="0" w:color="auto"/>
            </w:tcBorders>
            <w:vAlign w:val="center"/>
            <w:hideMark/>
          </w:tcPr>
          <w:p w14:paraId="5B0EB901" w14:textId="77777777" w:rsidR="00621640" w:rsidRPr="00621640" w:rsidRDefault="00621640" w:rsidP="00621640">
            <w:pPr>
              <w:rPr>
                <w:rFonts w:ascii="Arial" w:hAnsi="Arial" w:cs="Arial"/>
                <w:b/>
                <w:bCs/>
                <w:color w:val="FFFFFF"/>
                <w:sz w:val="24"/>
                <w:szCs w:val="24"/>
                <w:lang w:val="en-GB" w:eastAsia="en-GB"/>
              </w:rPr>
            </w:pPr>
          </w:p>
        </w:tc>
        <w:tc>
          <w:tcPr>
            <w:tcW w:w="57" w:type="pct"/>
            <w:tcBorders>
              <w:top w:val="nil"/>
              <w:left w:val="nil"/>
              <w:bottom w:val="nil"/>
              <w:right w:val="nil"/>
            </w:tcBorders>
            <w:shd w:val="clear" w:color="auto" w:fill="auto"/>
            <w:noWrap/>
            <w:vAlign w:val="bottom"/>
            <w:hideMark/>
          </w:tcPr>
          <w:p w14:paraId="5EDC4802" w14:textId="77777777" w:rsidR="00621640" w:rsidRPr="00621640" w:rsidRDefault="00621640" w:rsidP="00621640">
            <w:pPr>
              <w:rPr>
                <w:rFonts w:ascii="Arial" w:hAnsi="Arial" w:cs="Arial"/>
                <w:sz w:val="24"/>
                <w:szCs w:val="24"/>
                <w:lang w:val="en-GB" w:eastAsia="en-GB"/>
              </w:rPr>
            </w:pPr>
          </w:p>
        </w:tc>
      </w:tr>
      <w:tr w:rsidR="00A53B77" w14:paraId="1CCA225F" w14:textId="77777777" w:rsidTr="00A14453">
        <w:trPr>
          <w:trHeight w:val="300"/>
        </w:trPr>
        <w:tc>
          <w:tcPr>
            <w:tcW w:w="634" w:type="pct"/>
            <w:vMerge/>
            <w:tcBorders>
              <w:top w:val="single" w:sz="4" w:space="0" w:color="auto"/>
              <w:left w:val="single" w:sz="4" w:space="0" w:color="auto"/>
              <w:bottom w:val="single" w:sz="4" w:space="0" w:color="auto"/>
              <w:right w:val="single" w:sz="4" w:space="0" w:color="auto"/>
            </w:tcBorders>
            <w:vAlign w:val="center"/>
            <w:hideMark/>
          </w:tcPr>
          <w:p w14:paraId="38D78942" w14:textId="77777777" w:rsidR="00621640" w:rsidRPr="00621640" w:rsidRDefault="00621640" w:rsidP="00621640">
            <w:pPr>
              <w:rPr>
                <w:rFonts w:ascii="Arial" w:hAnsi="Arial" w:cs="Arial"/>
                <w:b/>
                <w:bCs/>
                <w:color w:val="FFFFFF"/>
                <w:sz w:val="24"/>
                <w:szCs w:val="24"/>
                <w:lang w:val="en-GB" w:eastAsia="en-GB"/>
              </w:rPr>
            </w:pPr>
          </w:p>
        </w:tc>
        <w:tc>
          <w:tcPr>
            <w:tcW w:w="3054" w:type="pct"/>
            <w:vMerge/>
            <w:tcBorders>
              <w:top w:val="single" w:sz="4" w:space="0" w:color="auto"/>
              <w:left w:val="single" w:sz="4" w:space="0" w:color="auto"/>
              <w:bottom w:val="single" w:sz="4" w:space="0" w:color="auto"/>
              <w:right w:val="single" w:sz="4" w:space="0" w:color="auto"/>
            </w:tcBorders>
            <w:vAlign w:val="center"/>
            <w:hideMark/>
          </w:tcPr>
          <w:p w14:paraId="3FB98883" w14:textId="77777777" w:rsidR="00621640" w:rsidRPr="00621640" w:rsidRDefault="00621640" w:rsidP="00621640">
            <w:pPr>
              <w:rPr>
                <w:rFonts w:ascii="Arial" w:hAnsi="Arial" w:cs="Arial"/>
                <w:b/>
                <w:bCs/>
                <w:color w:val="FFFFFF"/>
                <w:sz w:val="24"/>
                <w:szCs w:val="24"/>
                <w:lang w:val="en-GB" w:eastAsia="en-GB"/>
              </w:rPr>
            </w:pPr>
          </w:p>
        </w:tc>
        <w:tc>
          <w:tcPr>
            <w:tcW w:w="668" w:type="pct"/>
            <w:vMerge/>
            <w:tcBorders>
              <w:top w:val="single" w:sz="4" w:space="0" w:color="auto"/>
              <w:left w:val="single" w:sz="4" w:space="0" w:color="auto"/>
              <w:bottom w:val="single" w:sz="4" w:space="0" w:color="auto"/>
              <w:right w:val="single" w:sz="4" w:space="0" w:color="auto"/>
            </w:tcBorders>
            <w:vAlign w:val="center"/>
            <w:hideMark/>
          </w:tcPr>
          <w:p w14:paraId="4BB6D3C5" w14:textId="77777777" w:rsidR="00621640" w:rsidRPr="00621640" w:rsidRDefault="00621640" w:rsidP="00621640">
            <w:pPr>
              <w:rPr>
                <w:rFonts w:ascii="Arial" w:hAnsi="Arial" w:cs="Arial"/>
                <w:b/>
                <w:bCs/>
                <w:color w:val="FFFFFF"/>
                <w:sz w:val="24"/>
                <w:szCs w:val="24"/>
                <w:lang w:val="en-GB" w:eastAsia="en-GB"/>
              </w:rPr>
            </w:pPr>
          </w:p>
        </w:tc>
        <w:tc>
          <w:tcPr>
            <w:tcW w:w="587" w:type="pct"/>
            <w:vMerge/>
            <w:tcBorders>
              <w:top w:val="single" w:sz="4" w:space="0" w:color="auto"/>
              <w:left w:val="single" w:sz="4" w:space="0" w:color="auto"/>
              <w:bottom w:val="single" w:sz="4" w:space="0" w:color="auto"/>
              <w:right w:val="single" w:sz="4" w:space="0" w:color="auto"/>
            </w:tcBorders>
            <w:vAlign w:val="center"/>
            <w:hideMark/>
          </w:tcPr>
          <w:p w14:paraId="3FE6FFAA" w14:textId="77777777" w:rsidR="00621640" w:rsidRPr="00621640" w:rsidRDefault="00621640" w:rsidP="00621640">
            <w:pPr>
              <w:rPr>
                <w:rFonts w:ascii="Arial" w:hAnsi="Arial" w:cs="Arial"/>
                <w:b/>
                <w:bCs/>
                <w:color w:val="FFFFFF"/>
                <w:sz w:val="24"/>
                <w:szCs w:val="24"/>
                <w:lang w:val="en-GB" w:eastAsia="en-GB"/>
              </w:rPr>
            </w:pPr>
          </w:p>
        </w:tc>
        <w:tc>
          <w:tcPr>
            <w:tcW w:w="57" w:type="pct"/>
            <w:tcBorders>
              <w:top w:val="nil"/>
              <w:left w:val="nil"/>
              <w:bottom w:val="nil"/>
              <w:right w:val="nil"/>
            </w:tcBorders>
            <w:shd w:val="clear" w:color="auto" w:fill="auto"/>
            <w:noWrap/>
            <w:vAlign w:val="bottom"/>
            <w:hideMark/>
          </w:tcPr>
          <w:p w14:paraId="1BEAE118" w14:textId="77777777" w:rsidR="00621640" w:rsidRPr="00621640" w:rsidRDefault="00621640" w:rsidP="00621640">
            <w:pPr>
              <w:rPr>
                <w:rFonts w:ascii="Arial" w:hAnsi="Arial" w:cs="Arial"/>
                <w:sz w:val="24"/>
                <w:szCs w:val="24"/>
                <w:lang w:val="en-GB" w:eastAsia="en-GB"/>
              </w:rPr>
            </w:pPr>
          </w:p>
        </w:tc>
      </w:tr>
      <w:tr w:rsidR="00A53B77" w14:paraId="4D3FA1E5" w14:textId="77777777" w:rsidTr="00A14453">
        <w:trPr>
          <w:trHeight w:val="300"/>
        </w:trPr>
        <w:tc>
          <w:tcPr>
            <w:tcW w:w="634" w:type="pct"/>
            <w:vMerge w:val="restart"/>
            <w:tcBorders>
              <w:top w:val="nil"/>
              <w:left w:val="single" w:sz="4" w:space="0" w:color="auto"/>
              <w:bottom w:val="single" w:sz="4" w:space="0" w:color="auto"/>
              <w:right w:val="single" w:sz="4" w:space="0" w:color="auto"/>
            </w:tcBorders>
            <w:shd w:val="clear" w:color="000000" w:fill="8064A2"/>
            <w:textDirection w:val="btLr"/>
            <w:vAlign w:val="center"/>
            <w:hideMark/>
          </w:tcPr>
          <w:p w14:paraId="374A072E" w14:textId="77777777" w:rsidR="00CB7E5E" w:rsidRDefault="007004BD" w:rsidP="00621640">
            <w:pPr>
              <w:jc w:val="center"/>
              <w:rPr>
                <w:rFonts w:ascii="Arial" w:hAnsi="Arial" w:cs="Arial"/>
                <w:b/>
                <w:bCs/>
                <w:color w:val="FFFFFF"/>
                <w:sz w:val="24"/>
                <w:szCs w:val="24"/>
                <w:lang w:val="en-GB" w:eastAsia="en-GB"/>
              </w:rPr>
            </w:pPr>
            <w:r w:rsidRPr="00621640">
              <w:rPr>
                <w:rFonts w:ascii="Arial" w:hAnsi="Arial" w:cs="Arial"/>
                <w:b/>
                <w:bCs/>
                <w:color w:val="FFFFFF"/>
                <w:sz w:val="24"/>
                <w:szCs w:val="24"/>
                <w:lang w:val="en-GB" w:eastAsia="en-GB"/>
              </w:rPr>
              <w:t>A City to be Proud of:</w:t>
            </w:r>
          </w:p>
          <w:p w14:paraId="2523620F" w14:textId="77777777" w:rsidR="00CB7E5E" w:rsidRDefault="007004BD" w:rsidP="00621640">
            <w:pPr>
              <w:jc w:val="center"/>
              <w:rPr>
                <w:rFonts w:ascii="Arial" w:hAnsi="Arial" w:cs="Arial"/>
                <w:b/>
                <w:bCs/>
                <w:color w:val="FFFFFF"/>
                <w:sz w:val="24"/>
                <w:szCs w:val="24"/>
                <w:lang w:val="en-GB" w:eastAsia="en-GB"/>
              </w:rPr>
            </w:pPr>
            <w:r w:rsidRPr="00621640">
              <w:rPr>
                <w:rFonts w:ascii="Arial" w:hAnsi="Arial" w:cs="Arial"/>
                <w:b/>
                <w:bCs/>
                <w:color w:val="FFFFFF"/>
                <w:sz w:val="24"/>
                <w:szCs w:val="24"/>
                <w:lang w:val="en-GB" w:eastAsia="en-GB"/>
              </w:rPr>
              <w:t xml:space="preserve"> An Accessible, Clean and</w:t>
            </w:r>
          </w:p>
          <w:p w14:paraId="11956963" w14:textId="59758D39" w:rsidR="00621640" w:rsidRPr="00621640" w:rsidRDefault="007004BD" w:rsidP="00621640">
            <w:pPr>
              <w:jc w:val="center"/>
              <w:rPr>
                <w:rFonts w:ascii="Arial" w:hAnsi="Arial" w:cs="Arial"/>
                <w:b/>
                <w:bCs/>
                <w:color w:val="FFFFFF"/>
                <w:sz w:val="24"/>
                <w:szCs w:val="24"/>
                <w:lang w:val="en-GB" w:eastAsia="en-GB"/>
              </w:rPr>
            </w:pPr>
            <w:r w:rsidRPr="00621640">
              <w:rPr>
                <w:rFonts w:ascii="Arial" w:hAnsi="Arial" w:cs="Arial"/>
                <w:b/>
                <w:bCs/>
                <w:color w:val="FFFFFF"/>
                <w:sz w:val="24"/>
                <w:szCs w:val="24"/>
                <w:lang w:val="en-GB" w:eastAsia="en-GB"/>
              </w:rPr>
              <w:t>Sustainable City</w:t>
            </w:r>
          </w:p>
        </w:tc>
        <w:tc>
          <w:tcPr>
            <w:tcW w:w="3054" w:type="pct"/>
            <w:tcBorders>
              <w:top w:val="nil"/>
              <w:left w:val="nil"/>
              <w:bottom w:val="single" w:sz="4" w:space="0" w:color="auto"/>
              <w:right w:val="single" w:sz="4" w:space="0" w:color="auto"/>
            </w:tcBorders>
            <w:shd w:val="clear" w:color="auto" w:fill="auto"/>
            <w:vAlign w:val="center"/>
            <w:hideMark/>
          </w:tcPr>
          <w:p w14:paraId="2BF8AA65" w14:textId="77777777" w:rsidR="00621640" w:rsidRPr="00621640" w:rsidRDefault="007004BD" w:rsidP="00621640">
            <w:pPr>
              <w:rPr>
                <w:rFonts w:ascii="Arial" w:hAnsi="Arial" w:cs="Arial"/>
                <w:color w:val="000000"/>
                <w:sz w:val="24"/>
                <w:szCs w:val="24"/>
                <w:lang w:val="en-GB" w:eastAsia="en-GB"/>
              </w:rPr>
            </w:pPr>
            <w:r w:rsidRPr="00621640">
              <w:rPr>
                <w:rFonts w:ascii="Arial" w:hAnsi="Arial" w:cs="Arial"/>
                <w:color w:val="000000"/>
                <w:sz w:val="24"/>
                <w:szCs w:val="24"/>
                <w:lang w:val="en-GB" w:eastAsia="en-GB"/>
              </w:rPr>
              <w:t> </w:t>
            </w:r>
          </w:p>
        </w:tc>
        <w:tc>
          <w:tcPr>
            <w:tcW w:w="668" w:type="pct"/>
            <w:tcBorders>
              <w:top w:val="nil"/>
              <w:left w:val="nil"/>
              <w:bottom w:val="single" w:sz="4" w:space="0" w:color="auto"/>
              <w:right w:val="single" w:sz="4" w:space="0" w:color="auto"/>
            </w:tcBorders>
            <w:shd w:val="clear" w:color="000000" w:fill="FFFFFF"/>
            <w:vAlign w:val="center"/>
            <w:hideMark/>
          </w:tcPr>
          <w:p w14:paraId="7DADBDB4" w14:textId="77777777" w:rsidR="00621640" w:rsidRPr="00621640" w:rsidRDefault="007004BD" w:rsidP="00621640">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 </w:t>
            </w:r>
          </w:p>
        </w:tc>
        <w:tc>
          <w:tcPr>
            <w:tcW w:w="587" w:type="pct"/>
            <w:tcBorders>
              <w:top w:val="nil"/>
              <w:left w:val="nil"/>
              <w:bottom w:val="single" w:sz="4" w:space="0" w:color="auto"/>
              <w:right w:val="single" w:sz="4" w:space="0" w:color="auto"/>
            </w:tcBorders>
            <w:shd w:val="clear" w:color="000000" w:fill="FFFFFF"/>
            <w:vAlign w:val="center"/>
            <w:hideMark/>
          </w:tcPr>
          <w:p w14:paraId="0D539A81" w14:textId="77777777" w:rsidR="00621640" w:rsidRPr="00621640" w:rsidRDefault="007004BD" w:rsidP="00621640">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 </w:t>
            </w:r>
          </w:p>
        </w:tc>
        <w:tc>
          <w:tcPr>
            <w:tcW w:w="57" w:type="pct"/>
            <w:vAlign w:val="center"/>
            <w:hideMark/>
          </w:tcPr>
          <w:p w14:paraId="5B5B00EE" w14:textId="77777777" w:rsidR="00621640" w:rsidRPr="00621640" w:rsidRDefault="00621640" w:rsidP="00621640">
            <w:pPr>
              <w:rPr>
                <w:rFonts w:ascii="Arial" w:hAnsi="Arial" w:cs="Arial"/>
                <w:sz w:val="24"/>
                <w:szCs w:val="24"/>
                <w:lang w:val="en-GB" w:eastAsia="en-GB"/>
              </w:rPr>
            </w:pPr>
          </w:p>
        </w:tc>
      </w:tr>
      <w:tr w:rsidR="00A53B77" w14:paraId="538B00C6" w14:textId="77777777" w:rsidTr="00A14453">
        <w:trPr>
          <w:trHeight w:val="300"/>
        </w:trPr>
        <w:tc>
          <w:tcPr>
            <w:tcW w:w="634" w:type="pct"/>
            <w:vMerge/>
            <w:tcBorders>
              <w:top w:val="nil"/>
              <w:left w:val="single" w:sz="4" w:space="0" w:color="auto"/>
              <w:bottom w:val="single" w:sz="4" w:space="0" w:color="auto"/>
              <w:right w:val="single" w:sz="4" w:space="0" w:color="auto"/>
            </w:tcBorders>
            <w:vAlign w:val="center"/>
            <w:hideMark/>
          </w:tcPr>
          <w:p w14:paraId="1D32BC90" w14:textId="77777777" w:rsidR="00621640" w:rsidRPr="00621640" w:rsidRDefault="00621640" w:rsidP="00621640">
            <w:pPr>
              <w:rPr>
                <w:rFonts w:ascii="Arial" w:hAnsi="Arial" w:cs="Arial"/>
                <w:b/>
                <w:bCs/>
                <w:color w:val="FFFFFF"/>
                <w:sz w:val="24"/>
                <w:szCs w:val="24"/>
                <w:lang w:val="en-GB" w:eastAsia="en-GB"/>
              </w:rPr>
            </w:pPr>
          </w:p>
        </w:tc>
        <w:tc>
          <w:tcPr>
            <w:tcW w:w="3054" w:type="pct"/>
            <w:tcBorders>
              <w:top w:val="nil"/>
              <w:left w:val="nil"/>
              <w:bottom w:val="single" w:sz="4" w:space="0" w:color="auto"/>
              <w:right w:val="single" w:sz="4" w:space="0" w:color="auto"/>
            </w:tcBorders>
            <w:shd w:val="clear" w:color="auto" w:fill="auto"/>
            <w:vAlign w:val="center"/>
            <w:hideMark/>
          </w:tcPr>
          <w:p w14:paraId="3E78A925" w14:textId="77777777" w:rsidR="00621640" w:rsidRPr="00621640" w:rsidRDefault="007004BD" w:rsidP="00621640">
            <w:pPr>
              <w:rPr>
                <w:rFonts w:ascii="Arial" w:hAnsi="Arial" w:cs="Arial"/>
                <w:color w:val="000000"/>
                <w:sz w:val="24"/>
                <w:szCs w:val="24"/>
                <w:lang w:val="en-GB" w:eastAsia="en-GB"/>
              </w:rPr>
            </w:pPr>
            <w:r w:rsidRPr="00621640">
              <w:rPr>
                <w:rFonts w:ascii="Arial" w:hAnsi="Arial" w:cs="Arial"/>
                <w:color w:val="000000"/>
                <w:sz w:val="24"/>
                <w:szCs w:val="24"/>
                <w:lang w:val="en-GB" w:eastAsia="en-GB"/>
              </w:rPr>
              <w:t>Re-opening Public Conveniences at Royal Pavilion Gardens</w:t>
            </w:r>
          </w:p>
        </w:tc>
        <w:tc>
          <w:tcPr>
            <w:tcW w:w="668" w:type="pct"/>
            <w:tcBorders>
              <w:top w:val="nil"/>
              <w:left w:val="nil"/>
              <w:bottom w:val="single" w:sz="4" w:space="0" w:color="auto"/>
              <w:right w:val="single" w:sz="4" w:space="0" w:color="auto"/>
            </w:tcBorders>
            <w:shd w:val="clear" w:color="000000" w:fill="FFFFFF"/>
            <w:vAlign w:val="center"/>
            <w:hideMark/>
          </w:tcPr>
          <w:p w14:paraId="35FDB933" w14:textId="77777777" w:rsidR="00621640" w:rsidRPr="00621640" w:rsidRDefault="007004BD" w:rsidP="00621640">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0.120</w:t>
            </w:r>
          </w:p>
        </w:tc>
        <w:tc>
          <w:tcPr>
            <w:tcW w:w="587" w:type="pct"/>
            <w:tcBorders>
              <w:top w:val="nil"/>
              <w:left w:val="nil"/>
              <w:bottom w:val="single" w:sz="4" w:space="0" w:color="auto"/>
              <w:right w:val="single" w:sz="4" w:space="0" w:color="auto"/>
            </w:tcBorders>
            <w:shd w:val="clear" w:color="000000" w:fill="FFFFFF"/>
            <w:vAlign w:val="center"/>
            <w:hideMark/>
          </w:tcPr>
          <w:p w14:paraId="61B69B50" w14:textId="77777777" w:rsidR="00621640" w:rsidRPr="00621640" w:rsidRDefault="007004BD" w:rsidP="00621640">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 </w:t>
            </w:r>
          </w:p>
        </w:tc>
        <w:tc>
          <w:tcPr>
            <w:tcW w:w="57" w:type="pct"/>
            <w:vAlign w:val="center"/>
            <w:hideMark/>
          </w:tcPr>
          <w:p w14:paraId="35713856" w14:textId="77777777" w:rsidR="00621640" w:rsidRPr="00621640" w:rsidRDefault="00621640" w:rsidP="00621640">
            <w:pPr>
              <w:rPr>
                <w:rFonts w:ascii="Arial" w:hAnsi="Arial" w:cs="Arial"/>
                <w:sz w:val="24"/>
                <w:szCs w:val="24"/>
                <w:lang w:val="en-GB" w:eastAsia="en-GB"/>
              </w:rPr>
            </w:pPr>
          </w:p>
        </w:tc>
      </w:tr>
      <w:tr w:rsidR="00A53B77" w14:paraId="3A7ABD84" w14:textId="77777777" w:rsidTr="00A14453">
        <w:trPr>
          <w:trHeight w:val="300"/>
        </w:trPr>
        <w:tc>
          <w:tcPr>
            <w:tcW w:w="634" w:type="pct"/>
            <w:vMerge/>
            <w:tcBorders>
              <w:top w:val="nil"/>
              <w:left w:val="single" w:sz="4" w:space="0" w:color="auto"/>
              <w:bottom w:val="single" w:sz="4" w:space="0" w:color="auto"/>
              <w:right w:val="single" w:sz="4" w:space="0" w:color="auto"/>
            </w:tcBorders>
            <w:vAlign w:val="center"/>
            <w:hideMark/>
          </w:tcPr>
          <w:p w14:paraId="16A99B5A" w14:textId="77777777" w:rsidR="00621640" w:rsidRPr="00621640" w:rsidRDefault="00621640" w:rsidP="00621640">
            <w:pPr>
              <w:rPr>
                <w:rFonts w:ascii="Arial" w:hAnsi="Arial" w:cs="Arial"/>
                <w:b/>
                <w:bCs/>
                <w:color w:val="FFFFFF"/>
                <w:sz w:val="24"/>
                <w:szCs w:val="24"/>
                <w:lang w:val="en-GB" w:eastAsia="en-GB"/>
              </w:rPr>
            </w:pPr>
          </w:p>
        </w:tc>
        <w:tc>
          <w:tcPr>
            <w:tcW w:w="3054" w:type="pct"/>
            <w:tcBorders>
              <w:top w:val="nil"/>
              <w:left w:val="nil"/>
              <w:bottom w:val="single" w:sz="4" w:space="0" w:color="auto"/>
              <w:right w:val="single" w:sz="4" w:space="0" w:color="auto"/>
            </w:tcBorders>
            <w:shd w:val="clear" w:color="auto" w:fill="auto"/>
            <w:vAlign w:val="center"/>
            <w:hideMark/>
          </w:tcPr>
          <w:p w14:paraId="03B982FF" w14:textId="2028DA70" w:rsidR="00621640" w:rsidRPr="00621640" w:rsidRDefault="007004BD" w:rsidP="00621640">
            <w:pPr>
              <w:rPr>
                <w:rFonts w:ascii="Arial" w:hAnsi="Arial" w:cs="Arial"/>
                <w:color w:val="000000"/>
                <w:sz w:val="24"/>
                <w:szCs w:val="24"/>
                <w:lang w:val="en-GB" w:eastAsia="en-GB"/>
              </w:rPr>
            </w:pPr>
            <w:r w:rsidRPr="00621640">
              <w:rPr>
                <w:rFonts w:ascii="Arial" w:hAnsi="Arial" w:cs="Arial"/>
                <w:color w:val="000000"/>
                <w:sz w:val="24"/>
                <w:szCs w:val="24"/>
                <w:lang w:val="en-GB" w:eastAsia="en-GB"/>
              </w:rPr>
              <w:t xml:space="preserve">Improvement in maintenance of pavements through </w:t>
            </w:r>
            <w:r w:rsidR="00BD70A2">
              <w:rPr>
                <w:rFonts w:ascii="Arial" w:hAnsi="Arial" w:cs="Arial"/>
                <w:color w:val="000000"/>
                <w:sz w:val="24"/>
                <w:szCs w:val="24"/>
                <w:lang w:val="en-GB" w:eastAsia="en-GB"/>
              </w:rPr>
              <w:t xml:space="preserve">investment in </w:t>
            </w:r>
            <w:r w:rsidRPr="00621640">
              <w:rPr>
                <w:rFonts w:ascii="Arial" w:hAnsi="Arial" w:cs="Arial"/>
                <w:color w:val="000000"/>
                <w:sz w:val="24"/>
                <w:szCs w:val="24"/>
                <w:lang w:val="en-GB" w:eastAsia="en-GB"/>
              </w:rPr>
              <w:t>new weed management</w:t>
            </w:r>
          </w:p>
        </w:tc>
        <w:tc>
          <w:tcPr>
            <w:tcW w:w="668" w:type="pct"/>
            <w:tcBorders>
              <w:top w:val="nil"/>
              <w:left w:val="nil"/>
              <w:bottom w:val="single" w:sz="4" w:space="0" w:color="auto"/>
              <w:right w:val="single" w:sz="4" w:space="0" w:color="auto"/>
            </w:tcBorders>
            <w:shd w:val="clear" w:color="000000" w:fill="FFFFFF"/>
            <w:vAlign w:val="center"/>
            <w:hideMark/>
          </w:tcPr>
          <w:p w14:paraId="7EE3260F" w14:textId="77777777" w:rsidR="00621640" w:rsidRPr="00621640" w:rsidRDefault="007004BD" w:rsidP="00621640">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0.266</w:t>
            </w:r>
          </w:p>
        </w:tc>
        <w:tc>
          <w:tcPr>
            <w:tcW w:w="587" w:type="pct"/>
            <w:tcBorders>
              <w:top w:val="nil"/>
              <w:left w:val="nil"/>
              <w:bottom w:val="single" w:sz="4" w:space="0" w:color="auto"/>
              <w:right w:val="single" w:sz="4" w:space="0" w:color="auto"/>
            </w:tcBorders>
            <w:shd w:val="clear" w:color="000000" w:fill="FFFFFF"/>
            <w:vAlign w:val="center"/>
            <w:hideMark/>
          </w:tcPr>
          <w:p w14:paraId="6B37FAD8" w14:textId="77777777" w:rsidR="00621640" w:rsidRPr="00621640" w:rsidRDefault="007004BD" w:rsidP="00621640">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 </w:t>
            </w:r>
          </w:p>
        </w:tc>
        <w:tc>
          <w:tcPr>
            <w:tcW w:w="57" w:type="pct"/>
            <w:vAlign w:val="center"/>
            <w:hideMark/>
          </w:tcPr>
          <w:p w14:paraId="5D9F11CD" w14:textId="77777777" w:rsidR="00621640" w:rsidRPr="00621640" w:rsidRDefault="00621640" w:rsidP="00621640">
            <w:pPr>
              <w:rPr>
                <w:rFonts w:ascii="Arial" w:hAnsi="Arial" w:cs="Arial"/>
                <w:sz w:val="24"/>
                <w:szCs w:val="24"/>
                <w:lang w:val="en-GB" w:eastAsia="en-GB"/>
              </w:rPr>
            </w:pPr>
          </w:p>
        </w:tc>
      </w:tr>
      <w:tr w:rsidR="00A53B77" w14:paraId="37E19339" w14:textId="77777777" w:rsidTr="00A14453">
        <w:trPr>
          <w:trHeight w:val="300"/>
        </w:trPr>
        <w:tc>
          <w:tcPr>
            <w:tcW w:w="634" w:type="pct"/>
            <w:vMerge/>
            <w:tcBorders>
              <w:top w:val="nil"/>
              <w:left w:val="single" w:sz="4" w:space="0" w:color="auto"/>
              <w:bottom w:val="single" w:sz="4" w:space="0" w:color="auto"/>
              <w:right w:val="single" w:sz="4" w:space="0" w:color="auto"/>
            </w:tcBorders>
            <w:vAlign w:val="center"/>
            <w:hideMark/>
          </w:tcPr>
          <w:p w14:paraId="11C534D7" w14:textId="77777777" w:rsidR="00621640" w:rsidRPr="00621640" w:rsidRDefault="00621640" w:rsidP="00621640">
            <w:pPr>
              <w:rPr>
                <w:rFonts w:ascii="Arial" w:hAnsi="Arial" w:cs="Arial"/>
                <w:b/>
                <w:bCs/>
                <w:color w:val="FFFFFF"/>
                <w:sz w:val="24"/>
                <w:szCs w:val="24"/>
                <w:lang w:val="en-GB" w:eastAsia="en-GB"/>
              </w:rPr>
            </w:pPr>
          </w:p>
        </w:tc>
        <w:tc>
          <w:tcPr>
            <w:tcW w:w="3054" w:type="pct"/>
            <w:tcBorders>
              <w:top w:val="nil"/>
              <w:left w:val="nil"/>
              <w:bottom w:val="single" w:sz="4" w:space="0" w:color="auto"/>
              <w:right w:val="single" w:sz="4" w:space="0" w:color="auto"/>
            </w:tcBorders>
            <w:shd w:val="clear" w:color="auto" w:fill="auto"/>
            <w:vAlign w:val="center"/>
            <w:hideMark/>
          </w:tcPr>
          <w:p w14:paraId="5588E54F" w14:textId="367DAA11" w:rsidR="00621640" w:rsidRPr="00621640" w:rsidRDefault="007004BD" w:rsidP="00621640">
            <w:pPr>
              <w:rPr>
                <w:rFonts w:ascii="Arial" w:hAnsi="Arial" w:cs="Arial"/>
                <w:color w:val="000000"/>
                <w:sz w:val="24"/>
                <w:szCs w:val="24"/>
                <w:lang w:val="en-GB" w:eastAsia="en-GB"/>
              </w:rPr>
            </w:pPr>
            <w:r w:rsidRPr="00621640">
              <w:rPr>
                <w:rFonts w:ascii="Arial" w:hAnsi="Arial" w:cs="Arial"/>
                <w:color w:val="000000"/>
                <w:sz w:val="24"/>
                <w:szCs w:val="24"/>
                <w:lang w:val="en-GB" w:eastAsia="en-GB"/>
              </w:rPr>
              <w:t xml:space="preserve">Investment in </w:t>
            </w:r>
            <w:proofErr w:type="spellStart"/>
            <w:r w:rsidRPr="00621640">
              <w:rPr>
                <w:rFonts w:ascii="Arial" w:hAnsi="Arial" w:cs="Arial"/>
                <w:color w:val="000000"/>
                <w:sz w:val="24"/>
                <w:szCs w:val="24"/>
                <w:lang w:val="en-GB" w:eastAsia="en-GB"/>
              </w:rPr>
              <w:t>Arboricultural</w:t>
            </w:r>
            <w:proofErr w:type="spellEnd"/>
            <w:r w:rsidRPr="00621640">
              <w:rPr>
                <w:rFonts w:ascii="Arial" w:hAnsi="Arial" w:cs="Arial"/>
                <w:color w:val="000000"/>
                <w:sz w:val="24"/>
                <w:szCs w:val="24"/>
                <w:lang w:val="en-GB" w:eastAsia="en-GB"/>
              </w:rPr>
              <w:t xml:space="preserve"> Services including diseased tree </w:t>
            </w:r>
            <w:r w:rsidR="00BD70A2">
              <w:rPr>
                <w:rFonts w:ascii="Arial" w:hAnsi="Arial" w:cs="Arial"/>
                <w:color w:val="000000"/>
                <w:sz w:val="24"/>
                <w:szCs w:val="24"/>
                <w:lang w:val="en-GB" w:eastAsia="en-GB"/>
              </w:rPr>
              <w:t xml:space="preserve">(Ash and Elm) </w:t>
            </w:r>
            <w:r w:rsidRPr="00621640">
              <w:rPr>
                <w:rFonts w:ascii="Arial" w:hAnsi="Arial" w:cs="Arial"/>
                <w:color w:val="000000"/>
                <w:sz w:val="24"/>
                <w:szCs w:val="24"/>
                <w:lang w:val="en-GB" w:eastAsia="en-GB"/>
              </w:rPr>
              <w:t>management</w:t>
            </w:r>
          </w:p>
        </w:tc>
        <w:tc>
          <w:tcPr>
            <w:tcW w:w="668" w:type="pct"/>
            <w:tcBorders>
              <w:top w:val="nil"/>
              <w:left w:val="nil"/>
              <w:bottom w:val="single" w:sz="4" w:space="0" w:color="auto"/>
              <w:right w:val="single" w:sz="4" w:space="0" w:color="auto"/>
            </w:tcBorders>
            <w:shd w:val="clear" w:color="000000" w:fill="FFFFFF"/>
            <w:vAlign w:val="center"/>
            <w:hideMark/>
          </w:tcPr>
          <w:p w14:paraId="7FD1F34B" w14:textId="77777777" w:rsidR="00621640" w:rsidRPr="00621640" w:rsidRDefault="007004BD" w:rsidP="00621640">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0.250</w:t>
            </w:r>
          </w:p>
        </w:tc>
        <w:tc>
          <w:tcPr>
            <w:tcW w:w="587" w:type="pct"/>
            <w:tcBorders>
              <w:top w:val="nil"/>
              <w:left w:val="nil"/>
              <w:bottom w:val="single" w:sz="4" w:space="0" w:color="auto"/>
              <w:right w:val="single" w:sz="4" w:space="0" w:color="auto"/>
            </w:tcBorders>
            <w:shd w:val="clear" w:color="000000" w:fill="FFFFFF"/>
            <w:vAlign w:val="center"/>
            <w:hideMark/>
          </w:tcPr>
          <w:p w14:paraId="346F7E28" w14:textId="14630EDA" w:rsidR="00621640" w:rsidRPr="00621640" w:rsidRDefault="007004BD" w:rsidP="00621640">
            <w:pPr>
              <w:jc w:val="right"/>
              <w:rPr>
                <w:rFonts w:ascii="Arial" w:hAnsi="Arial" w:cs="Arial"/>
                <w:color w:val="000000"/>
                <w:sz w:val="24"/>
                <w:szCs w:val="24"/>
                <w:lang w:val="en-GB" w:eastAsia="en-GB"/>
              </w:rPr>
            </w:pPr>
            <w:r>
              <w:rPr>
                <w:rFonts w:ascii="Arial" w:hAnsi="Arial" w:cs="Arial"/>
                <w:color w:val="000000"/>
                <w:sz w:val="24"/>
                <w:szCs w:val="24"/>
                <w:lang w:val="en-GB" w:eastAsia="en-GB"/>
              </w:rPr>
              <w:t>0.200</w:t>
            </w:r>
          </w:p>
        </w:tc>
        <w:tc>
          <w:tcPr>
            <w:tcW w:w="57" w:type="pct"/>
            <w:vAlign w:val="center"/>
            <w:hideMark/>
          </w:tcPr>
          <w:p w14:paraId="34478C63" w14:textId="77777777" w:rsidR="00621640" w:rsidRPr="00621640" w:rsidRDefault="00621640" w:rsidP="00621640">
            <w:pPr>
              <w:rPr>
                <w:rFonts w:ascii="Arial" w:hAnsi="Arial" w:cs="Arial"/>
                <w:sz w:val="24"/>
                <w:szCs w:val="24"/>
                <w:lang w:val="en-GB" w:eastAsia="en-GB"/>
              </w:rPr>
            </w:pPr>
          </w:p>
        </w:tc>
      </w:tr>
      <w:tr w:rsidR="00A53B77" w14:paraId="457D5EA7" w14:textId="77777777" w:rsidTr="00A14453">
        <w:trPr>
          <w:trHeight w:val="300"/>
        </w:trPr>
        <w:tc>
          <w:tcPr>
            <w:tcW w:w="634" w:type="pct"/>
            <w:vMerge/>
            <w:tcBorders>
              <w:top w:val="nil"/>
              <w:left w:val="single" w:sz="4" w:space="0" w:color="auto"/>
              <w:bottom w:val="single" w:sz="4" w:space="0" w:color="auto"/>
              <w:right w:val="single" w:sz="4" w:space="0" w:color="auto"/>
            </w:tcBorders>
            <w:vAlign w:val="center"/>
            <w:hideMark/>
          </w:tcPr>
          <w:p w14:paraId="63D9C2B4" w14:textId="77777777" w:rsidR="00621640" w:rsidRPr="00621640" w:rsidRDefault="00621640" w:rsidP="00621640">
            <w:pPr>
              <w:rPr>
                <w:rFonts w:ascii="Arial" w:hAnsi="Arial" w:cs="Arial"/>
                <w:b/>
                <w:bCs/>
                <w:color w:val="FFFFFF"/>
                <w:sz w:val="24"/>
                <w:szCs w:val="24"/>
                <w:lang w:val="en-GB" w:eastAsia="en-GB"/>
              </w:rPr>
            </w:pPr>
          </w:p>
        </w:tc>
        <w:tc>
          <w:tcPr>
            <w:tcW w:w="3054" w:type="pct"/>
            <w:tcBorders>
              <w:top w:val="nil"/>
              <w:left w:val="nil"/>
              <w:bottom w:val="single" w:sz="4" w:space="0" w:color="auto"/>
              <w:right w:val="single" w:sz="4" w:space="0" w:color="auto"/>
            </w:tcBorders>
            <w:shd w:val="clear" w:color="auto" w:fill="auto"/>
            <w:vAlign w:val="center"/>
            <w:hideMark/>
          </w:tcPr>
          <w:p w14:paraId="340F5ACB" w14:textId="77777777" w:rsidR="00621640" w:rsidRPr="00621640" w:rsidRDefault="007004BD" w:rsidP="00621640">
            <w:pPr>
              <w:rPr>
                <w:rFonts w:ascii="Arial" w:hAnsi="Arial" w:cs="Arial"/>
                <w:color w:val="000000"/>
                <w:sz w:val="24"/>
                <w:szCs w:val="24"/>
                <w:lang w:val="en-GB" w:eastAsia="en-GB"/>
              </w:rPr>
            </w:pPr>
            <w:r w:rsidRPr="00621640">
              <w:rPr>
                <w:rFonts w:ascii="Arial" w:hAnsi="Arial" w:cs="Arial"/>
                <w:color w:val="000000"/>
                <w:sz w:val="24"/>
                <w:szCs w:val="24"/>
                <w:lang w:val="en-GB" w:eastAsia="en-GB"/>
              </w:rPr>
              <w:t>Investment in improved Air Quality monitoring and management</w:t>
            </w:r>
          </w:p>
        </w:tc>
        <w:tc>
          <w:tcPr>
            <w:tcW w:w="668" w:type="pct"/>
            <w:tcBorders>
              <w:top w:val="nil"/>
              <w:left w:val="nil"/>
              <w:bottom w:val="single" w:sz="4" w:space="0" w:color="auto"/>
              <w:right w:val="single" w:sz="4" w:space="0" w:color="auto"/>
            </w:tcBorders>
            <w:shd w:val="clear" w:color="000000" w:fill="FFFFFF"/>
            <w:vAlign w:val="center"/>
            <w:hideMark/>
          </w:tcPr>
          <w:p w14:paraId="4C1AEAB2" w14:textId="77777777" w:rsidR="00621640" w:rsidRPr="00621640" w:rsidRDefault="007004BD" w:rsidP="00621640">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0.050</w:t>
            </w:r>
          </w:p>
        </w:tc>
        <w:tc>
          <w:tcPr>
            <w:tcW w:w="587" w:type="pct"/>
            <w:tcBorders>
              <w:top w:val="nil"/>
              <w:left w:val="nil"/>
              <w:bottom w:val="single" w:sz="4" w:space="0" w:color="auto"/>
              <w:right w:val="single" w:sz="4" w:space="0" w:color="auto"/>
            </w:tcBorders>
            <w:shd w:val="clear" w:color="000000" w:fill="FFFFFF"/>
            <w:vAlign w:val="center"/>
            <w:hideMark/>
          </w:tcPr>
          <w:p w14:paraId="3FAA9D69" w14:textId="77777777" w:rsidR="00621640" w:rsidRPr="00621640" w:rsidRDefault="007004BD" w:rsidP="00621640">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 </w:t>
            </w:r>
          </w:p>
        </w:tc>
        <w:tc>
          <w:tcPr>
            <w:tcW w:w="57" w:type="pct"/>
            <w:vAlign w:val="center"/>
            <w:hideMark/>
          </w:tcPr>
          <w:p w14:paraId="0F658A75" w14:textId="77777777" w:rsidR="00621640" w:rsidRPr="00621640" w:rsidRDefault="00621640" w:rsidP="00621640">
            <w:pPr>
              <w:rPr>
                <w:rFonts w:ascii="Arial" w:hAnsi="Arial" w:cs="Arial"/>
                <w:sz w:val="24"/>
                <w:szCs w:val="24"/>
                <w:lang w:val="en-GB" w:eastAsia="en-GB"/>
              </w:rPr>
            </w:pPr>
          </w:p>
        </w:tc>
      </w:tr>
      <w:tr w:rsidR="00A53B77" w14:paraId="4CCE8A6D" w14:textId="77777777" w:rsidTr="00A14453">
        <w:trPr>
          <w:trHeight w:val="300"/>
        </w:trPr>
        <w:tc>
          <w:tcPr>
            <w:tcW w:w="634" w:type="pct"/>
            <w:vMerge/>
            <w:tcBorders>
              <w:top w:val="nil"/>
              <w:left w:val="single" w:sz="4" w:space="0" w:color="auto"/>
              <w:bottom w:val="single" w:sz="4" w:space="0" w:color="auto"/>
              <w:right w:val="single" w:sz="4" w:space="0" w:color="auto"/>
            </w:tcBorders>
            <w:vAlign w:val="center"/>
          </w:tcPr>
          <w:p w14:paraId="040ACB35" w14:textId="77777777" w:rsidR="00EA5CA5" w:rsidRPr="00621640" w:rsidRDefault="00EA5CA5" w:rsidP="00621640">
            <w:pPr>
              <w:rPr>
                <w:rFonts w:ascii="Arial" w:hAnsi="Arial" w:cs="Arial"/>
                <w:b/>
                <w:bCs/>
                <w:color w:val="FFFFFF"/>
                <w:sz w:val="24"/>
                <w:szCs w:val="24"/>
                <w:lang w:val="en-GB" w:eastAsia="en-GB"/>
              </w:rPr>
            </w:pPr>
          </w:p>
        </w:tc>
        <w:tc>
          <w:tcPr>
            <w:tcW w:w="3054" w:type="pct"/>
            <w:tcBorders>
              <w:top w:val="nil"/>
              <w:left w:val="nil"/>
              <w:bottom w:val="single" w:sz="4" w:space="0" w:color="auto"/>
              <w:right w:val="single" w:sz="4" w:space="0" w:color="auto"/>
            </w:tcBorders>
            <w:shd w:val="clear" w:color="auto" w:fill="auto"/>
            <w:vAlign w:val="center"/>
          </w:tcPr>
          <w:p w14:paraId="2D227291" w14:textId="3D1BD332" w:rsidR="00EA5CA5" w:rsidRPr="00621640" w:rsidRDefault="007004BD" w:rsidP="00621640">
            <w:pPr>
              <w:rPr>
                <w:rFonts w:ascii="Arial" w:hAnsi="Arial" w:cs="Arial"/>
                <w:color w:val="000000"/>
                <w:sz w:val="24"/>
                <w:szCs w:val="24"/>
                <w:lang w:val="en-GB" w:eastAsia="en-GB"/>
              </w:rPr>
            </w:pPr>
            <w:r>
              <w:rPr>
                <w:rFonts w:ascii="Arial" w:hAnsi="Arial" w:cs="Arial"/>
                <w:color w:val="000000"/>
                <w:sz w:val="24"/>
                <w:szCs w:val="24"/>
                <w:lang w:val="en-GB" w:eastAsia="en-GB"/>
              </w:rPr>
              <w:t xml:space="preserve">Investment </w:t>
            </w:r>
            <w:r w:rsidR="00E83105">
              <w:rPr>
                <w:rFonts w:ascii="Arial" w:hAnsi="Arial" w:cs="Arial"/>
                <w:color w:val="000000"/>
                <w:sz w:val="24"/>
                <w:szCs w:val="24"/>
                <w:lang w:val="en-GB" w:eastAsia="en-GB"/>
              </w:rPr>
              <w:t xml:space="preserve">for </w:t>
            </w:r>
            <w:r>
              <w:rPr>
                <w:rFonts w:ascii="Arial" w:hAnsi="Arial" w:cs="Arial"/>
                <w:color w:val="000000"/>
                <w:sz w:val="24"/>
                <w:szCs w:val="24"/>
                <w:lang w:val="en-GB" w:eastAsia="en-GB"/>
              </w:rPr>
              <w:t>develop</w:t>
            </w:r>
            <w:r w:rsidR="00E83105">
              <w:rPr>
                <w:rFonts w:ascii="Arial" w:hAnsi="Arial" w:cs="Arial"/>
                <w:color w:val="000000"/>
                <w:sz w:val="24"/>
                <w:szCs w:val="24"/>
                <w:lang w:val="en-GB" w:eastAsia="en-GB"/>
              </w:rPr>
              <w:t>ment of</w:t>
            </w:r>
            <w:r>
              <w:rPr>
                <w:rFonts w:ascii="Arial" w:hAnsi="Arial" w:cs="Arial"/>
                <w:color w:val="000000"/>
                <w:sz w:val="24"/>
                <w:szCs w:val="24"/>
                <w:lang w:val="en-GB" w:eastAsia="en-GB"/>
              </w:rPr>
              <w:t xml:space="preserve"> a Business Prospectus for the city</w:t>
            </w:r>
            <w:r w:rsidR="0099398E">
              <w:rPr>
                <w:rFonts w:ascii="Arial" w:hAnsi="Arial" w:cs="Arial"/>
                <w:color w:val="000000"/>
                <w:sz w:val="24"/>
                <w:szCs w:val="24"/>
                <w:lang w:val="en-GB" w:eastAsia="en-GB"/>
              </w:rPr>
              <w:t xml:space="preserve"> to attract inward investment</w:t>
            </w:r>
          </w:p>
        </w:tc>
        <w:tc>
          <w:tcPr>
            <w:tcW w:w="668" w:type="pct"/>
            <w:tcBorders>
              <w:top w:val="nil"/>
              <w:left w:val="nil"/>
              <w:bottom w:val="single" w:sz="4" w:space="0" w:color="auto"/>
              <w:right w:val="single" w:sz="4" w:space="0" w:color="auto"/>
            </w:tcBorders>
            <w:shd w:val="clear" w:color="000000" w:fill="FFFFFF"/>
            <w:vAlign w:val="center"/>
          </w:tcPr>
          <w:p w14:paraId="1D91F500" w14:textId="77777777" w:rsidR="00EA5CA5" w:rsidRPr="00621640" w:rsidRDefault="00EA5CA5" w:rsidP="00621640">
            <w:pPr>
              <w:jc w:val="right"/>
              <w:rPr>
                <w:rFonts w:ascii="Arial" w:hAnsi="Arial" w:cs="Arial"/>
                <w:color w:val="000000"/>
                <w:sz w:val="24"/>
                <w:szCs w:val="24"/>
                <w:lang w:val="en-GB" w:eastAsia="en-GB"/>
              </w:rPr>
            </w:pPr>
          </w:p>
        </w:tc>
        <w:tc>
          <w:tcPr>
            <w:tcW w:w="587" w:type="pct"/>
            <w:tcBorders>
              <w:top w:val="nil"/>
              <w:left w:val="nil"/>
              <w:bottom w:val="single" w:sz="4" w:space="0" w:color="auto"/>
              <w:right w:val="single" w:sz="4" w:space="0" w:color="auto"/>
            </w:tcBorders>
            <w:shd w:val="clear" w:color="000000" w:fill="FFFFFF"/>
            <w:vAlign w:val="center"/>
          </w:tcPr>
          <w:p w14:paraId="0370D00E" w14:textId="757189EB" w:rsidR="00EA5CA5" w:rsidRPr="00621640" w:rsidRDefault="007004BD" w:rsidP="00621640">
            <w:pPr>
              <w:jc w:val="right"/>
              <w:rPr>
                <w:rFonts w:ascii="Arial" w:hAnsi="Arial" w:cs="Arial"/>
                <w:color w:val="000000"/>
                <w:sz w:val="24"/>
                <w:szCs w:val="24"/>
                <w:lang w:val="en-GB" w:eastAsia="en-GB"/>
              </w:rPr>
            </w:pPr>
            <w:r>
              <w:rPr>
                <w:rFonts w:ascii="Arial" w:hAnsi="Arial" w:cs="Arial"/>
                <w:color w:val="000000"/>
                <w:sz w:val="24"/>
                <w:szCs w:val="24"/>
                <w:lang w:val="en-GB" w:eastAsia="en-GB"/>
              </w:rPr>
              <w:t>0.040</w:t>
            </w:r>
          </w:p>
        </w:tc>
        <w:tc>
          <w:tcPr>
            <w:tcW w:w="57" w:type="pct"/>
            <w:vAlign w:val="center"/>
          </w:tcPr>
          <w:p w14:paraId="19EA4E67" w14:textId="77777777" w:rsidR="00EA5CA5" w:rsidRPr="00621640" w:rsidRDefault="00EA5CA5" w:rsidP="00621640">
            <w:pPr>
              <w:rPr>
                <w:rFonts w:ascii="Arial" w:hAnsi="Arial" w:cs="Arial"/>
                <w:sz w:val="24"/>
                <w:szCs w:val="24"/>
                <w:lang w:val="en-GB" w:eastAsia="en-GB"/>
              </w:rPr>
            </w:pPr>
          </w:p>
        </w:tc>
      </w:tr>
      <w:tr w:rsidR="00A53B77" w14:paraId="0B1E88E1" w14:textId="77777777" w:rsidTr="00A14453">
        <w:trPr>
          <w:trHeight w:val="300"/>
        </w:trPr>
        <w:tc>
          <w:tcPr>
            <w:tcW w:w="634" w:type="pct"/>
            <w:vMerge/>
            <w:tcBorders>
              <w:top w:val="nil"/>
              <w:left w:val="single" w:sz="4" w:space="0" w:color="auto"/>
              <w:bottom w:val="single" w:sz="4" w:space="0" w:color="auto"/>
              <w:right w:val="single" w:sz="4" w:space="0" w:color="auto"/>
            </w:tcBorders>
            <w:vAlign w:val="center"/>
          </w:tcPr>
          <w:p w14:paraId="0C098F9D" w14:textId="77777777" w:rsidR="00EA5CA5" w:rsidRPr="00621640" w:rsidRDefault="00EA5CA5" w:rsidP="00621640">
            <w:pPr>
              <w:rPr>
                <w:rFonts w:ascii="Arial" w:hAnsi="Arial" w:cs="Arial"/>
                <w:b/>
                <w:bCs/>
                <w:color w:val="FFFFFF"/>
                <w:sz w:val="24"/>
                <w:szCs w:val="24"/>
                <w:lang w:val="en-GB" w:eastAsia="en-GB"/>
              </w:rPr>
            </w:pPr>
          </w:p>
        </w:tc>
        <w:tc>
          <w:tcPr>
            <w:tcW w:w="3054" w:type="pct"/>
            <w:tcBorders>
              <w:top w:val="nil"/>
              <w:left w:val="nil"/>
              <w:bottom w:val="single" w:sz="4" w:space="0" w:color="auto"/>
              <w:right w:val="single" w:sz="4" w:space="0" w:color="auto"/>
            </w:tcBorders>
            <w:shd w:val="clear" w:color="auto" w:fill="auto"/>
            <w:vAlign w:val="center"/>
          </w:tcPr>
          <w:p w14:paraId="65D72917" w14:textId="0B111C12" w:rsidR="00EA5CA5" w:rsidRPr="00621640" w:rsidRDefault="007004BD" w:rsidP="00621640">
            <w:pPr>
              <w:rPr>
                <w:rFonts w:ascii="Arial" w:hAnsi="Arial" w:cs="Arial"/>
                <w:color w:val="000000"/>
                <w:sz w:val="24"/>
                <w:szCs w:val="24"/>
                <w:lang w:val="en-GB" w:eastAsia="en-GB"/>
              </w:rPr>
            </w:pPr>
            <w:r>
              <w:rPr>
                <w:rFonts w:ascii="Arial" w:hAnsi="Arial" w:cs="Arial"/>
                <w:color w:val="000000"/>
                <w:sz w:val="24"/>
                <w:szCs w:val="24"/>
                <w:lang w:val="en-GB" w:eastAsia="en-GB"/>
              </w:rPr>
              <w:t>Feasibility for an additional Business Improvement District (BID) in the city</w:t>
            </w:r>
          </w:p>
        </w:tc>
        <w:tc>
          <w:tcPr>
            <w:tcW w:w="668" w:type="pct"/>
            <w:tcBorders>
              <w:top w:val="nil"/>
              <w:left w:val="nil"/>
              <w:bottom w:val="single" w:sz="4" w:space="0" w:color="auto"/>
              <w:right w:val="single" w:sz="4" w:space="0" w:color="auto"/>
            </w:tcBorders>
            <w:shd w:val="clear" w:color="000000" w:fill="FFFFFF"/>
            <w:vAlign w:val="center"/>
          </w:tcPr>
          <w:p w14:paraId="0A5033E5" w14:textId="77777777" w:rsidR="00EA5CA5" w:rsidRPr="00621640" w:rsidRDefault="00EA5CA5" w:rsidP="00621640">
            <w:pPr>
              <w:jc w:val="right"/>
              <w:rPr>
                <w:rFonts w:ascii="Arial" w:hAnsi="Arial" w:cs="Arial"/>
                <w:color w:val="000000"/>
                <w:sz w:val="24"/>
                <w:szCs w:val="24"/>
                <w:lang w:val="en-GB" w:eastAsia="en-GB"/>
              </w:rPr>
            </w:pPr>
          </w:p>
        </w:tc>
        <w:tc>
          <w:tcPr>
            <w:tcW w:w="587" w:type="pct"/>
            <w:tcBorders>
              <w:top w:val="nil"/>
              <w:left w:val="nil"/>
              <w:bottom w:val="single" w:sz="4" w:space="0" w:color="auto"/>
              <w:right w:val="single" w:sz="4" w:space="0" w:color="auto"/>
            </w:tcBorders>
            <w:shd w:val="clear" w:color="000000" w:fill="FFFFFF"/>
            <w:vAlign w:val="center"/>
          </w:tcPr>
          <w:p w14:paraId="41E3982E" w14:textId="31C9BF8C" w:rsidR="00EA5CA5" w:rsidRPr="00621640" w:rsidRDefault="007004BD" w:rsidP="00621640">
            <w:pPr>
              <w:jc w:val="right"/>
              <w:rPr>
                <w:rFonts w:ascii="Arial" w:hAnsi="Arial" w:cs="Arial"/>
                <w:color w:val="000000"/>
                <w:sz w:val="24"/>
                <w:szCs w:val="24"/>
                <w:lang w:val="en-GB" w:eastAsia="en-GB"/>
              </w:rPr>
            </w:pPr>
            <w:r>
              <w:rPr>
                <w:rFonts w:ascii="Arial" w:hAnsi="Arial" w:cs="Arial"/>
                <w:color w:val="000000"/>
                <w:sz w:val="24"/>
                <w:szCs w:val="24"/>
                <w:lang w:val="en-GB" w:eastAsia="en-GB"/>
              </w:rPr>
              <w:t>0.030</w:t>
            </w:r>
          </w:p>
        </w:tc>
        <w:tc>
          <w:tcPr>
            <w:tcW w:w="57" w:type="pct"/>
            <w:vAlign w:val="center"/>
          </w:tcPr>
          <w:p w14:paraId="5351FB32" w14:textId="77777777" w:rsidR="00EA5CA5" w:rsidRPr="00621640" w:rsidRDefault="00EA5CA5" w:rsidP="00621640">
            <w:pPr>
              <w:rPr>
                <w:rFonts w:ascii="Arial" w:hAnsi="Arial" w:cs="Arial"/>
                <w:sz w:val="24"/>
                <w:szCs w:val="24"/>
                <w:lang w:val="en-GB" w:eastAsia="en-GB"/>
              </w:rPr>
            </w:pPr>
          </w:p>
        </w:tc>
      </w:tr>
      <w:tr w:rsidR="00A53B77" w14:paraId="032D474C" w14:textId="77777777" w:rsidTr="00A14453">
        <w:trPr>
          <w:trHeight w:val="300"/>
        </w:trPr>
        <w:tc>
          <w:tcPr>
            <w:tcW w:w="634" w:type="pct"/>
            <w:vMerge/>
            <w:tcBorders>
              <w:top w:val="nil"/>
              <w:left w:val="single" w:sz="4" w:space="0" w:color="auto"/>
              <w:bottom w:val="single" w:sz="4" w:space="0" w:color="auto"/>
              <w:right w:val="single" w:sz="4" w:space="0" w:color="auto"/>
            </w:tcBorders>
            <w:vAlign w:val="center"/>
            <w:hideMark/>
          </w:tcPr>
          <w:p w14:paraId="75A516B0" w14:textId="77777777" w:rsidR="00621640" w:rsidRPr="00621640" w:rsidRDefault="00621640" w:rsidP="00621640">
            <w:pPr>
              <w:rPr>
                <w:rFonts w:ascii="Arial" w:hAnsi="Arial" w:cs="Arial"/>
                <w:b/>
                <w:bCs/>
                <w:color w:val="FFFFFF"/>
                <w:sz w:val="24"/>
                <w:szCs w:val="24"/>
                <w:lang w:val="en-GB" w:eastAsia="en-GB"/>
              </w:rPr>
            </w:pPr>
          </w:p>
        </w:tc>
        <w:tc>
          <w:tcPr>
            <w:tcW w:w="3054" w:type="pct"/>
            <w:tcBorders>
              <w:top w:val="nil"/>
              <w:left w:val="nil"/>
              <w:bottom w:val="single" w:sz="4" w:space="0" w:color="auto"/>
              <w:right w:val="single" w:sz="4" w:space="0" w:color="auto"/>
            </w:tcBorders>
            <w:shd w:val="clear" w:color="auto" w:fill="auto"/>
            <w:vAlign w:val="center"/>
            <w:hideMark/>
          </w:tcPr>
          <w:p w14:paraId="59645EF6" w14:textId="77777777" w:rsidR="00621640" w:rsidRPr="00621640" w:rsidRDefault="007004BD" w:rsidP="00621640">
            <w:pPr>
              <w:rPr>
                <w:rFonts w:ascii="Arial" w:hAnsi="Arial" w:cs="Arial"/>
                <w:color w:val="000000"/>
                <w:sz w:val="24"/>
                <w:szCs w:val="24"/>
                <w:lang w:val="en-GB" w:eastAsia="en-GB"/>
              </w:rPr>
            </w:pPr>
            <w:r w:rsidRPr="00621640">
              <w:rPr>
                <w:rFonts w:ascii="Arial" w:hAnsi="Arial" w:cs="Arial"/>
                <w:color w:val="000000"/>
                <w:sz w:val="24"/>
                <w:szCs w:val="24"/>
                <w:lang w:val="en-GB" w:eastAsia="en-GB"/>
              </w:rPr>
              <w:t>Investment to maintain Cycle Hangers across the city</w:t>
            </w:r>
          </w:p>
        </w:tc>
        <w:tc>
          <w:tcPr>
            <w:tcW w:w="668" w:type="pct"/>
            <w:tcBorders>
              <w:top w:val="nil"/>
              <w:left w:val="nil"/>
              <w:bottom w:val="single" w:sz="4" w:space="0" w:color="auto"/>
              <w:right w:val="single" w:sz="4" w:space="0" w:color="auto"/>
            </w:tcBorders>
            <w:shd w:val="clear" w:color="000000" w:fill="FFFFFF"/>
            <w:vAlign w:val="center"/>
            <w:hideMark/>
          </w:tcPr>
          <w:p w14:paraId="7A9BFB79" w14:textId="77777777" w:rsidR="00621640" w:rsidRPr="00621640" w:rsidRDefault="007004BD" w:rsidP="00621640">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0.125</w:t>
            </w:r>
          </w:p>
        </w:tc>
        <w:tc>
          <w:tcPr>
            <w:tcW w:w="587" w:type="pct"/>
            <w:tcBorders>
              <w:top w:val="nil"/>
              <w:left w:val="nil"/>
              <w:bottom w:val="single" w:sz="4" w:space="0" w:color="auto"/>
              <w:right w:val="single" w:sz="4" w:space="0" w:color="auto"/>
            </w:tcBorders>
            <w:shd w:val="clear" w:color="000000" w:fill="FFFFFF"/>
            <w:vAlign w:val="center"/>
            <w:hideMark/>
          </w:tcPr>
          <w:p w14:paraId="4D0B57AD" w14:textId="77777777" w:rsidR="00621640" w:rsidRPr="00621640" w:rsidRDefault="007004BD" w:rsidP="00621640">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 </w:t>
            </w:r>
          </w:p>
        </w:tc>
        <w:tc>
          <w:tcPr>
            <w:tcW w:w="57" w:type="pct"/>
            <w:vAlign w:val="center"/>
            <w:hideMark/>
          </w:tcPr>
          <w:p w14:paraId="472F7877" w14:textId="77777777" w:rsidR="00621640" w:rsidRPr="00621640" w:rsidRDefault="00621640" w:rsidP="00621640">
            <w:pPr>
              <w:rPr>
                <w:rFonts w:ascii="Arial" w:hAnsi="Arial" w:cs="Arial"/>
                <w:sz w:val="24"/>
                <w:szCs w:val="24"/>
                <w:lang w:val="en-GB" w:eastAsia="en-GB"/>
              </w:rPr>
            </w:pPr>
          </w:p>
        </w:tc>
      </w:tr>
      <w:tr w:rsidR="00A53B77" w14:paraId="60ACC1CF" w14:textId="77777777" w:rsidTr="00A14453">
        <w:trPr>
          <w:trHeight w:val="300"/>
        </w:trPr>
        <w:tc>
          <w:tcPr>
            <w:tcW w:w="634" w:type="pct"/>
            <w:vMerge/>
            <w:tcBorders>
              <w:top w:val="nil"/>
              <w:left w:val="single" w:sz="4" w:space="0" w:color="auto"/>
              <w:bottom w:val="single" w:sz="4" w:space="0" w:color="auto"/>
              <w:right w:val="single" w:sz="4" w:space="0" w:color="auto"/>
            </w:tcBorders>
            <w:vAlign w:val="center"/>
            <w:hideMark/>
          </w:tcPr>
          <w:p w14:paraId="7B14EED2" w14:textId="77777777" w:rsidR="00621640" w:rsidRPr="00621640" w:rsidRDefault="00621640" w:rsidP="00621640">
            <w:pPr>
              <w:rPr>
                <w:rFonts w:ascii="Arial" w:hAnsi="Arial" w:cs="Arial"/>
                <w:b/>
                <w:bCs/>
                <w:color w:val="FFFFFF"/>
                <w:sz w:val="24"/>
                <w:szCs w:val="24"/>
                <w:lang w:val="en-GB" w:eastAsia="en-GB"/>
              </w:rPr>
            </w:pPr>
          </w:p>
        </w:tc>
        <w:tc>
          <w:tcPr>
            <w:tcW w:w="3054" w:type="pct"/>
            <w:tcBorders>
              <w:top w:val="nil"/>
              <w:left w:val="nil"/>
              <w:bottom w:val="single" w:sz="4" w:space="0" w:color="auto"/>
              <w:right w:val="single" w:sz="4" w:space="0" w:color="auto"/>
            </w:tcBorders>
            <w:shd w:val="clear" w:color="auto" w:fill="auto"/>
            <w:vAlign w:val="center"/>
            <w:hideMark/>
          </w:tcPr>
          <w:p w14:paraId="6D1AE1AE" w14:textId="0F03F961" w:rsidR="00621640" w:rsidRPr="00621640" w:rsidRDefault="007004BD" w:rsidP="00621640">
            <w:pPr>
              <w:rPr>
                <w:rFonts w:ascii="Arial" w:hAnsi="Arial" w:cs="Arial"/>
                <w:color w:val="000000"/>
                <w:sz w:val="24"/>
                <w:szCs w:val="24"/>
                <w:lang w:val="en-GB" w:eastAsia="en-GB"/>
              </w:rPr>
            </w:pPr>
            <w:r w:rsidRPr="00621640">
              <w:rPr>
                <w:rFonts w:ascii="Arial" w:hAnsi="Arial" w:cs="Arial"/>
                <w:color w:val="000000"/>
                <w:sz w:val="24"/>
                <w:szCs w:val="24"/>
                <w:lang w:val="en-GB" w:eastAsia="en-GB"/>
              </w:rPr>
              <w:t>Investment in the A27 'clean up'</w:t>
            </w:r>
            <w:r w:rsidR="0099398E">
              <w:rPr>
                <w:rFonts w:ascii="Arial" w:hAnsi="Arial" w:cs="Arial"/>
                <w:color w:val="000000"/>
                <w:sz w:val="24"/>
                <w:szCs w:val="24"/>
                <w:lang w:val="en-GB" w:eastAsia="en-GB"/>
              </w:rPr>
              <w:t xml:space="preserve"> initiative</w:t>
            </w:r>
          </w:p>
        </w:tc>
        <w:tc>
          <w:tcPr>
            <w:tcW w:w="668" w:type="pct"/>
            <w:tcBorders>
              <w:top w:val="nil"/>
              <w:left w:val="nil"/>
              <w:bottom w:val="single" w:sz="4" w:space="0" w:color="auto"/>
              <w:right w:val="single" w:sz="4" w:space="0" w:color="auto"/>
            </w:tcBorders>
            <w:shd w:val="clear" w:color="000000" w:fill="FFFFFF"/>
            <w:vAlign w:val="center"/>
            <w:hideMark/>
          </w:tcPr>
          <w:p w14:paraId="3B50B6A3" w14:textId="77777777" w:rsidR="00621640" w:rsidRPr="00621640" w:rsidRDefault="007004BD" w:rsidP="00621640">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0.090</w:t>
            </w:r>
          </w:p>
        </w:tc>
        <w:tc>
          <w:tcPr>
            <w:tcW w:w="587" w:type="pct"/>
            <w:tcBorders>
              <w:top w:val="nil"/>
              <w:left w:val="nil"/>
              <w:bottom w:val="single" w:sz="4" w:space="0" w:color="auto"/>
              <w:right w:val="single" w:sz="4" w:space="0" w:color="auto"/>
            </w:tcBorders>
            <w:shd w:val="clear" w:color="000000" w:fill="FFFFFF"/>
            <w:vAlign w:val="center"/>
            <w:hideMark/>
          </w:tcPr>
          <w:p w14:paraId="227B70BF" w14:textId="77777777" w:rsidR="00621640" w:rsidRPr="00621640" w:rsidRDefault="007004BD" w:rsidP="00621640">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 </w:t>
            </w:r>
          </w:p>
        </w:tc>
        <w:tc>
          <w:tcPr>
            <w:tcW w:w="57" w:type="pct"/>
            <w:vAlign w:val="center"/>
            <w:hideMark/>
          </w:tcPr>
          <w:p w14:paraId="74A10794" w14:textId="77777777" w:rsidR="00621640" w:rsidRPr="00621640" w:rsidRDefault="00621640" w:rsidP="00621640">
            <w:pPr>
              <w:rPr>
                <w:rFonts w:ascii="Arial" w:hAnsi="Arial" w:cs="Arial"/>
                <w:sz w:val="24"/>
                <w:szCs w:val="24"/>
                <w:lang w:val="en-GB" w:eastAsia="en-GB"/>
              </w:rPr>
            </w:pPr>
          </w:p>
        </w:tc>
      </w:tr>
      <w:tr w:rsidR="00A53B77" w14:paraId="0AF77B13" w14:textId="77777777" w:rsidTr="00A14453">
        <w:trPr>
          <w:trHeight w:val="315"/>
        </w:trPr>
        <w:tc>
          <w:tcPr>
            <w:tcW w:w="634" w:type="pct"/>
            <w:vMerge/>
            <w:tcBorders>
              <w:top w:val="nil"/>
              <w:left w:val="single" w:sz="4" w:space="0" w:color="auto"/>
              <w:bottom w:val="single" w:sz="4" w:space="0" w:color="auto"/>
              <w:right w:val="single" w:sz="4" w:space="0" w:color="auto"/>
            </w:tcBorders>
            <w:vAlign w:val="center"/>
            <w:hideMark/>
          </w:tcPr>
          <w:p w14:paraId="60D066C6" w14:textId="77777777" w:rsidR="00621640" w:rsidRPr="00621640" w:rsidRDefault="00621640" w:rsidP="00621640">
            <w:pPr>
              <w:rPr>
                <w:rFonts w:ascii="Arial" w:hAnsi="Arial" w:cs="Arial"/>
                <w:b/>
                <w:bCs/>
                <w:color w:val="FFFFFF"/>
                <w:sz w:val="24"/>
                <w:szCs w:val="24"/>
                <w:lang w:val="en-GB" w:eastAsia="en-GB"/>
              </w:rPr>
            </w:pPr>
          </w:p>
        </w:tc>
        <w:tc>
          <w:tcPr>
            <w:tcW w:w="3054" w:type="pct"/>
            <w:tcBorders>
              <w:top w:val="nil"/>
              <w:left w:val="nil"/>
              <w:bottom w:val="single" w:sz="4" w:space="0" w:color="auto"/>
              <w:right w:val="single" w:sz="4" w:space="0" w:color="auto"/>
            </w:tcBorders>
            <w:shd w:val="clear" w:color="000000" w:fill="8064A2"/>
            <w:vAlign w:val="center"/>
            <w:hideMark/>
          </w:tcPr>
          <w:p w14:paraId="36039C9C" w14:textId="77777777" w:rsidR="00621640" w:rsidRPr="00621640" w:rsidRDefault="007004BD" w:rsidP="00621640">
            <w:pPr>
              <w:rPr>
                <w:rFonts w:ascii="Arial" w:hAnsi="Arial" w:cs="Arial"/>
                <w:b/>
                <w:bCs/>
                <w:color w:val="FFFFFF"/>
                <w:sz w:val="24"/>
                <w:szCs w:val="24"/>
                <w:lang w:val="en-GB" w:eastAsia="en-GB"/>
              </w:rPr>
            </w:pPr>
            <w:r w:rsidRPr="00621640">
              <w:rPr>
                <w:rFonts w:ascii="Arial" w:hAnsi="Arial" w:cs="Arial"/>
                <w:b/>
                <w:bCs/>
                <w:color w:val="FFFFFF"/>
                <w:sz w:val="24"/>
                <w:szCs w:val="24"/>
                <w:lang w:val="en-GB" w:eastAsia="en-GB"/>
              </w:rPr>
              <w:t>Total Investments - A City to be Proud of</w:t>
            </w:r>
          </w:p>
        </w:tc>
        <w:tc>
          <w:tcPr>
            <w:tcW w:w="668" w:type="pct"/>
            <w:tcBorders>
              <w:top w:val="nil"/>
              <w:left w:val="nil"/>
              <w:bottom w:val="single" w:sz="4" w:space="0" w:color="auto"/>
              <w:right w:val="single" w:sz="4" w:space="0" w:color="auto"/>
            </w:tcBorders>
            <w:shd w:val="clear" w:color="000000" w:fill="8064A2"/>
            <w:vAlign w:val="center"/>
            <w:hideMark/>
          </w:tcPr>
          <w:p w14:paraId="439BEEFA" w14:textId="77777777" w:rsidR="00621640" w:rsidRPr="00621640" w:rsidRDefault="007004BD" w:rsidP="00621640">
            <w:pPr>
              <w:jc w:val="right"/>
              <w:rPr>
                <w:rFonts w:ascii="Arial" w:hAnsi="Arial" w:cs="Arial"/>
                <w:b/>
                <w:bCs/>
                <w:color w:val="FFFFFF"/>
                <w:sz w:val="24"/>
                <w:szCs w:val="24"/>
                <w:lang w:val="en-GB" w:eastAsia="en-GB"/>
              </w:rPr>
            </w:pPr>
            <w:r w:rsidRPr="00621640">
              <w:rPr>
                <w:rFonts w:ascii="Arial" w:hAnsi="Arial" w:cs="Arial"/>
                <w:b/>
                <w:bCs/>
                <w:color w:val="FFFFFF"/>
                <w:sz w:val="24"/>
                <w:szCs w:val="24"/>
                <w:lang w:val="en-GB" w:eastAsia="en-GB"/>
              </w:rPr>
              <w:t>0.901</w:t>
            </w:r>
          </w:p>
        </w:tc>
        <w:tc>
          <w:tcPr>
            <w:tcW w:w="587" w:type="pct"/>
            <w:tcBorders>
              <w:top w:val="nil"/>
              <w:left w:val="nil"/>
              <w:bottom w:val="single" w:sz="4" w:space="0" w:color="auto"/>
              <w:right w:val="single" w:sz="4" w:space="0" w:color="auto"/>
            </w:tcBorders>
            <w:shd w:val="clear" w:color="000000" w:fill="8064A2"/>
            <w:vAlign w:val="center"/>
            <w:hideMark/>
          </w:tcPr>
          <w:p w14:paraId="502BD2A6" w14:textId="7DF045DE" w:rsidR="00621640" w:rsidRPr="00621640" w:rsidRDefault="007004BD" w:rsidP="00621640">
            <w:pPr>
              <w:jc w:val="right"/>
              <w:rPr>
                <w:rFonts w:ascii="Arial" w:hAnsi="Arial" w:cs="Arial"/>
                <w:b/>
                <w:bCs/>
                <w:color w:val="FFFFFF"/>
                <w:sz w:val="24"/>
                <w:szCs w:val="24"/>
                <w:lang w:val="en-GB" w:eastAsia="en-GB"/>
              </w:rPr>
            </w:pPr>
            <w:r w:rsidRPr="00621640">
              <w:rPr>
                <w:rFonts w:ascii="Arial" w:hAnsi="Arial" w:cs="Arial"/>
                <w:b/>
                <w:bCs/>
                <w:color w:val="FFFFFF"/>
                <w:sz w:val="24"/>
                <w:szCs w:val="24"/>
                <w:lang w:val="en-GB" w:eastAsia="en-GB"/>
              </w:rPr>
              <w:t>0.</w:t>
            </w:r>
            <w:r w:rsidR="00A35BFB">
              <w:rPr>
                <w:rFonts w:ascii="Arial" w:hAnsi="Arial" w:cs="Arial"/>
                <w:b/>
                <w:bCs/>
                <w:color w:val="FFFFFF"/>
                <w:sz w:val="24"/>
                <w:szCs w:val="24"/>
                <w:lang w:val="en-GB" w:eastAsia="en-GB"/>
              </w:rPr>
              <w:t>2</w:t>
            </w:r>
            <w:r w:rsidR="00271A02">
              <w:rPr>
                <w:rFonts w:ascii="Arial" w:hAnsi="Arial" w:cs="Arial"/>
                <w:b/>
                <w:bCs/>
                <w:color w:val="FFFFFF"/>
                <w:sz w:val="24"/>
                <w:szCs w:val="24"/>
                <w:lang w:val="en-GB" w:eastAsia="en-GB"/>
              </w:rPr>
              <w:t>7</w:t>
            </w:r>
            <w:r w:rsidRPr="00621640">
              <w:rPr>
                <w:rFonts w:ascii="Arial" w:hAnsi="Arial" w:cs="Arial"/>
                <w:b/>
                <w:bCs/>
                <w:color w:val="FFFFFF"/>
                <w:sz w:val="24"/>
                <w:szCs w:val="24"/>
                <w:lang w:val="en-GB" w:eastAsia="en-GB"/>
              </w:rPr>
              <w:t>0</w:t>
            </w:r>
          </w:p>
        </w:tc>
        <w:tc>
          <w:tcPr>
            <w:tcW w:w="57" w:type="pct"/>
            <w:vAlign w:val="center"/>
            <w:hideMark/>
          </w:tcPr>
          <w:p w14:paraId="3C3CFE60" w14:textId="77777777" w:rsidR="00621640" w:rsidRPr="00621640" w:rsidRDefault="00621640" w:rsidP="00621640">
            <w:pPr>
              <w:rPr>
                <w:rFonts w:ascii="Arial" w:hAnsi="Arial" w:cs="Arial"/>
                <w:sz w:val="24"/>
                <w:szCs w:val="24"/>
                <w:lang w:val="en-GB" w:eastAsia="en-GB"/>
              </w:rPr>
            </w:pPr>
          </w:p>
        </w:tc>
      </w:tr>
      <w:tr w:rsidR="00A53B77" w14:paraId="0B04CC3C" w14:textId="77777777" w:rsidTr="00A14453">
        <w:trPr>
          <w:trHeight w:val="300"/>
        </w:trPr>
        <w:tc>
          <w:tcPr>
            <w:tcW w:w="634" w:type="pct"/>
            <w:vMerge w:val="restart"/>
            <w:tcBorders>
              <w:top w:val="nil"/>
              <w:left w:val="single" w:sz="4" w:space="0" w:color="auto"/>
              <w:bottom w:val="single" w:sz="4" w:space="0" w:color="auto"/>
              <w:right w:val="single" w:sz="4" w:space="0" w:color="auto"/>
            </w:tcBorders>
            <w:shd w:val="clear" w:color="000000" w:fill="C65911"/>
            <w:textDirection w:val="btLr"/>
            <w:vAlign w:val="center"/>
            <w:hideMark/>
          </w:tcPr>
          <w:p w14:paraId="53394558" w14:textId="77777777" w:rsidR="00621640" w:rsidRPr="00621640" w:rsidRDefault="007004BD" w:rsidP="00621640">
            <w:pPr>
              <w:jc w:val="center"/>
              <w:rPr>
                <w:rFonts w:ascii="Arial" w:hAnsi="Arial" w:cs="Arial"/>
                <w:b/>
                <w:bCs/>
                <w:color w:val="FFFFFF"/>
                <w:sz w:val="24"/>
                <w:szCs w:val="24"/>
                <w:lang w:val="en-GB" w:eastAsia="en-GB"/>
              </w:rPr>
            </w:pPr>
            <w:r w:rsidRPr="00621640">
              <w:rPr>
                <w:rFonts w:ascii="Arial" w:hAnsi="Arial" w:cs="Arial"/>
                <w:b/>
                <w:bCs/>
                <w:color w:val="FFFFFF"/>
                <w:sz w:val="24"/>
                <w:szCs w:val="24"/>
                <w:lang w:val="en-GB" w:eastAsia="en-GB"/>
              </w:rPr>
              <w:t>A Fair and Inclusive City</w:t>
            </w:r>
          </w:p>
        </w:tc>
        <w:tc>
          <w:tcPr>
            <w:tcW w:w="3054" w:type="pct"/>
            <w:tcBorders>
              <w:top w:val="nil"/>
              <w:left w:val="nil"/>
              <w:bottom w:val="single" w:sz="4" w:space="0" w:color="auto"/>
              <w:right w:val="single" w:sz="4" w:space="0" w:color="auto"/>
            </w:tcBorders>
            <w:shd w:val="clear" w:color="auto" w:fill="auto"/>
            <w:vAlign w:val="center"/>
            <w:hideMark/>
          </w:tcPr>
          <w:p w14:paraId="572618B5" w14:textId="77777777" w:rsidR="00621640" w:rsidRPr="00621640" w:rsidRDefault="007004BD" w:rsidP="00621640">
            <w:pPr>
              <w:rPr>
                <w:rFonts w:ascii="Arial" w:hAnsi="Arial" w:cs="Arial"/>
                <w:color w:val="000000"/>
                <w:sz w:val="24"/>
                <w:szCs w:val="24"/>
                <w:lang w:val="en-GB" w:eastAsia="en-GB"/>
              </w:rPr>
            </w:pPr>
            <w:r w:rsidRPr="00621640">
              <w:rPr>
                <w:rFonts w:ascii="Arial" w:hAnsi="Arial" w:cs="Arial"/>
                <w:color w:val="000000"/>
                <w:sz w:val="24"/>
                <w:szCs w:val="24"/>
                <w:lang w:val="en-GB" w:eastAsia="en-GB"/>
              </w:rPr>
              <w:t> </w:t>
            </w:r>
          </w:p>
        </w:tc>
        <w:tc>
          <w:tcPr>
            <w:tcW w:w="668" w:type="pct"/>
            <w:tcBorders>
              <w:top w:val="nil"/>
              <w:left w:val="nil"/>
              <w:bottom w:val="single" w:sz="4" w:space="0" w:color="auto"/>
              <w:right w:val="single" w:sz="4" w:space="0" w:color="auto"/>
            </w:tcBorders>
            <w:shd w:val="clear" w:color="000000" w:fill="FFFFFF"/>
            <w:vAlign w:val="center"/>
            <w:hideMark/>
          </w:tcPr>
          <w:p w14:paraId="6B8ECC7D" w14:textId="77777777" w:rsidR="00621640" w:rsidRPr="00621640" w:rsidRDefault="007004BD" w:rsidP="00621640">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 </w:t>
            </w:r>
          </w:p>
        </w:tc>
        <w:tc>
          <w:tcPr>
            <w:tcW w:w="587" w:type="pct"/>
            <w:tcBorders>
              <w:top w:val="nil"/>
              <w:left w:val="nil"/>
              <w:bottom w:val="single" w:sz="4" w:space="0" w:color="auto"/>
              <w:right w:val="single" w:sz="4" w:space="0" w:color="auto"/>
            </w:tcBorders>
            <w:shd w:val="clear" w:color="000000" w:fill="FFFFFF"/>
            <w:vAlign w:val="center"/>
            <w:hideMark/>
          </w:tcPr>
          <w:p w14:paraId="6047D776" w14:textId="77777777" w:rsidR="00621640" w:rsidRPr="00621640" w:rsidRDefault="007004BD" w:rsidP="00621640">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 </w:t>
            </w:r>
          </w:p>
        </w:tc>
        <w:tc>
          <w:tcPr>
            <w:tcW w:w="57" w:type="pct"/>
            <w:vAlign w:val="center"/>
            <w:hideMark/>
          </w:tcPr>
          <w:p w14:paraId="3F21B40A" w14:textId="77777777" w:rsidR="00621640" w:rsidRPr="00621640" w:rsidRDefault="00621640" w:rsidP="00621640">
            <w:pPr>
              <w:rPr>
                <w:rFonts w:ascii="Arial" w:hAnsi="Arial" w:cs="Arial"/>
                <w:sz w:val="24"/>
                <w:szCs w:val="24"/>
                <w:lang w:val="en-GB" w:eastAsia="en-GB"/>
              </w:rPr>
            </w:pPr>
          </w:p>
        </w:tc>
      </w:tr>
      <w:tr w:rsidR="00A53B77" w14:paraId="2C10B77E" w14:textId="77777777" w:rsidTr="00A14453">
        <w:trPr>
          <w:trHeight w:val="600"/>
        </w:trPr>
        <w:tc>
          <w:tcPr>
            <w:tcW w:w="634" w:type="pct"/>
            <w:vMerge/>
            <w:tcBorders>
              <w:top w:val="nil"/>
              <w:left w:val="single" w:sz="4" w:space="0" w:color="auto"/>
              <w:bottom w:val="single" w:sz="4" w:space="0" w:color="auto"/>
              <w:right w:val="single" w:sz="4" w:space="0" w:color="auto"/>
            </w:tcBorders>
            <w:vAlign w:val="center"/>
            <w:hideMark/>
          </w:tcPr>
          <w:p w14:paraId="521BE327" w14:textId="77777777" w:rsidR="00621640" w:rsidRPr="00621640" w:rsidRDefault="00621640" w:rsidP="00621640">
            <w:pPr>
              <w:rPr>
                <w:rFonts w:ascii="Arial" w:hAnsi="Arial" w:cs="Arial"/>
                <w:b/>
                <w:bCs/>
                <w:color w:val="FFFFFF"/>
                <w:sz w:val="24"/>
                <w:szCs w:val="24"/>
                <w:lang w:val="en-GB" w:eastAsia="en-GB"/>
              </w:rPr>
            </w:pPr>
          </w:p>
        </w:tc>
        <w:tc>
          <w:tcPr>
            <w:tcW w:w="3054" w:type="pct"/>
            <w:tcBorders>
              <w:top w:val="nil"/>
              <w:left w:val="nil"/>
              <w:bottom w:val="single" w:sz="4" w:space="0" w:color="auto"/>
              <w:right w:val="single" w:sz="4" w:space="0" w:color="auto"/>
            </w:tcBorders>
            <w:shd w:val="clear" w:color="auto" w:fill="auto"/>
            <w:vAlign w:val="center"/>
            <w:hideMark/>
          </w:tcPr>
          <w:p w14:paraId="12E62257" w14:textId="77777777" w:rsidR="00621640" w:rsidRPr="00621640" w:rsidRDefault="007004BD" w:rsidP="00621640">
            <w:pPr>
              <w:rPr>
                <w:rFonts w:ascii="Arial" w:hAnsi="Arial" w:cs="Arial"/>
                <w:color w:val="000000"/>
                <w:sz w:val="24"/>
                <w:szCs w:val="24"/>
                <w:lang w:val="en-GB" w:eastAsia="en-GB"/>
              </w:rPr>
            </w:pPr>
            <w:r w:rsidRPr="00621640">
              <w:rPr>
                <w:rFonts w:ascii="Arial" w:hAnsi="Arial" w:cs="Arial"/>
                <w:color w:val="000000"/>
                <w:sz w:val="24"/>
                <w:szCs w:val="24"/>
                <w:lang w:val="en-GB" w:eastAsia="en-GB"/>
              </w:rPr>
              <w:t>Investment in homelessness to increase Temporary Accommodation and meet increased leasing costs</w:t>
            </w:r>
          </w:p>
        </w:tc>
        <w:tc>
          <w:tcPr>
            <w:tcW w:w="668" w:type="pct"/>
            <w:tcBorders>
              <w:top w:val="nil"/>
              <w:left w:val="nil"/>
              <w:bottom w:val="single" w:sz="4" w:space="0" w:color="auto"/>
              <w:right w:val="single" w:sz="4" w:space="0" w:color="auto"/>
            </w:tcBorders>
            <w:shd w:val="clear" w:color="000000" w:fill="FFFFFF"/>
            <w:vAlign w:val="center"/>
            <w:hideMark/>
          </w:tcPr>
          <w:p w14:paraId="21C02EE9" w14:textId="77777777" w:rsidR="00621640" w:rsidRPr="00621640" w:rsidRDefault="007004BD" w:rsidP="00621640">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2.626</w:t>
            </w:r>
          </w:p>
        </w:tc>
        <w:tc>
          <w:tcPr>
            <w:tcW w:w="587" w:type="pct"/>
            <w:tcBorders>
              <w:top w:val="nil"/>
              <w:left w:val="nil"/>
              <w:bottom w:val="single" w:sz="4" w:space="0" w:color="auto"/>
              <w:right w:val="single" w:sz="4" w:space="0" w:color="auto"/>
            </w:tcBorders>
            <w:shd w:val="clear" w:color="000000" w:fill="FFFFFF"/>
            <w:vAlign w:val="center"/>
            <w:hideMark/>
          </w:tcPr>
          <w:p w14:paraId="64D4692C" w14:textId="77777777" w:rsidR="00621640" w:rsidRPr="00621640" w:rsidRDefault="007004BD" w:rsidP="00621640">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 </w:t>
            </w:r>
          </w:p>
        </w:tc>
        <w:tc>
          <w:tcPr>
            <w:tcW w:w="57" w:type="pct"/>
            <w:vAlign w:val="center"/>
            <w:hideMark/>
          </w:tcPr>
          <w:p w14:paraId="43D3B698" w14:textId="77777777" w:rsidR="00621640" w:rsidRPr="00621640" w:rsidRDefault="00621640" w:rsidP="00621640">
            <w:pPr>
              <w:rPr>
                <w:rFonts w:ascii="Arial" w:hAnsi="Arial" w:cs="Arial"/>
                <w:sz w:val="24"/>
                <w:szCs w:val="24"/>
                <w:lang w:val="en-GB" w:eastAsia="en-GB"/>
              </w:rPr>
            </w:pPr>
          </w:p>
        </w:tc>
      </w:tr>
      <w:tr w:rsidR="00A53B77" w14:paraId="3C4D111C" w14:textId="77777777" w:rsidTr="00A14453">
        <w:trPr>
          <w:trHeight w:val="300"/>
        </w:trPr>
        <w:tc>
          <w:tcPr>
            <w:tcW w:w="634" w:type="pct"/>
            <w:vMerge/>
            <w:tcBorders>
              <w:top w:val="nil"/>
              <w:left w:val="single" w:sz="4" w:space="0" w:color="auto"/>
              <w:bottom w:val="single" w:sz="4" w:space="0" w:color="auto"/>
              <w:right w:val="single" w:sz="4" w:space="0" w:color="auto"/>
            </w:tcBorders>
            <w:vAlign w:val="center"/>
            <w:hideMark/>
          </w:tcPr>
          <w:p w14:paraId="185C2130" w14:textId="77777777" w:rsidR="00621640" w:rsidRPr="00621640" w:rsidRDefault="00621640" w:rsidP="00621640">
            <w:pPr>
              <w:rPr>
                <w:rFonts w:ascii="Arial" w:hAnsi="Arial" w:cs="Arial"/>
                <w:b/>
                <w:bCs/>
                <w:color w:val="FFFFFF"/>
                <w:sz w:val="24"/>
                <w:szCs w:val="24"/>
                <w:lang w:val="en-GB" w:eastAsia="en-GB"/>
              </w:rPr>
            </w:pPr>
          </w:p>
        </w:tc>
        <w:tc>
          <w:tcPr>
            <w:tcW w:w="3054" w:type="pct"/>
            <w:tcBorders>
              <w:top w:val="nil"/>
              <w:left w:val="nil"/>
              <w:bottom w:val="single" w:sz="4" w:space="0" w:color="auto"/>
              <w:right w:val="single" w:sz="4" w:space="0" w:color="auto"/>
            </w:tcBorders>
            <w:shd w:val="clear" w:color="auto" w:fill="auto"/>
            <w:vAlign w:val="center"/>
            <w:hideMark/>
          </w:tcPr>
          <w:p w14:paraId="2171DBB2" w14:textId="1A3611E2" w:rsidR="00621640" w:rsidRPr="00621640" w:rsidRDefault="007004BD" w:rsidP="00621640">
            <w:pPr>
              <w:rPr>
                <w:rFonts w:ascii="Arial" w:hAnsi="Arial" w:cs="Arial"/>
                <w:color w:val="000000"/>
                <w:sz w:val="24"/>
                <w:szCs w:val="24"/>
                <w:lang w:val="en-GB" w:eastAsia="en-GB"/>
              </w:rPr>
            </w:pPr>
            <w:r w:rsidRPr="00621640">
              <w:rPr>
                <w:rFonts w:ascii="Arial" w:hAnsi="Arial" w:cs="Arial"/>
                <w:color w:val="000000"/>
                <w:sz w:val="24"/>
                <w:szCs w:val="24"/>
                <w:lang w:val="en-GB" w:eastAsia="en-GB"/>
              </w:rPr>
              <w:t xml:space="preserve">Investment to maintain the quality of repairs for Seaside Homes </w:t>
            </w:r>
            <w:r w:rsidR="0099398E">
              <w:rPr>
                <w:rFonts w:ascii="Arial" w:hAnsi="Arial" w:cs="Arial"/>
                <w:color w:val="000000"/>
                <w:sz w:val="24"/>
                <w:szCs w:val="24"/>
                <w:lang w:val="en-GB" w:eastAsia="en-GB"/>
              </w:rPr>
              <w:t xml:space="preserve">Temporary Accommodation </w:t>
            </w:r>
            <w:r w:rsidRPr="00621640">
              <w:rPr>
                <w:rFonts w:ascii="Arial" w:hAnsi="Arial" w:cs="Arial"/>
                <w:color w:val="000000"/>
                <w:sz w:val="24"/>
                <w:szCs w:val="24"/>
                <w:lang w:val="en-GB" w:eastAsia="en-GB"/>
              </w:rPr>
              <w:t>properties</w:t>
            </w:r>
          </w:p>
        </w:tc>
        <w:tc>
          <w:tcPr>
            <w:tcW w:w="668" w:type="pct"/>
            <w:tcBorders>
              <w:top w:val="nil"/>
              <w:left w:val="nil"/>
              <w:bottom w:val="single" w:sz="4" w:space="0" w:color="auto"/>
              <w:right w:val="single" w:sz="4" w:space="0" w:color="auto"/>
            </w:tcBorders>
            <w:shd w:val="clear" w:color="000000" w:fill="FFFFFF"/>
            <w:vAlign w:val="center"/>
            <w:hideMark/>
          </w:tcPr>
          <w:p w14:paraId="28060A6A" w14:textId="77777777" w:rsidR="00621640" w:rsidRPr="00621640" w:rsidRDefault="007004BD" w:rsidP="00621640">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0.150</w:t>
            </w:r>
          </w:p>
        </w:tc>
        <w:tc>
          <w:tcPr>
            <w:tcW w:w="587" w:type="pct"/>
            <w:tcBorders>
              <w:top w:val="nil"/>
              <w:left w:val="nil"/>
              <w:bottom w:val="single" w:sz="4" w:space="0" w:color="auto"/>
              <w:right w:val="single" w:sz="4" w:space="0" w:color="auto"/>
            </w:tcBorders>
            <w:shd w:val="clear" w:color="000000" w:fill="FFFFFF"/>
            <w:vAlign w:val="center"/>
            <w:hideMark/>
          </w:tcPr>
          <w:p w14:paraId="0ACA5AAE" w14:textId="77777777" w:rsidR="00621640" w:rsidRPr="00621640" w:rsidRDefault="007004BD" w:rsidP="00621640">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 </w:t>
            </w:r>
          </w:p>
        </w:tc>
        <w:tc>
          <w:tcPr>
            <w:tcW w:w="57" w:type="pct"/>
            <w:vAlign w:val="center"/>
            <w:hideMark/>
          </w:tcPr>
          <w:p w14:paraId="10057458" w14:textId="77777777" w:rsidR="00621640" w:rsidRPr="00621640" w:rsidRDefault="00621640" w:rsidP="00621640">
            <w:pPr>
              <w:rPr>
                <w:rFonts w:ascii="Arial" w:hAnsi="Arial" w:cs="Arial"/>
                <w:sz w:val="24"/>
                <w:szCs w:val="24"/>
                <w:lang w:val="en-GB" w:eastAsia="en-GB"/>
              </w:rPr>
            </w:pPr>
          </w:p>
        </w:tc>
      </w:tr>
      <w:tr w:rsidR="00A53B77" w14:paraId="67ACD6B5" w14:textId="77777777" w:rsidTr="00A14453">
        <w:trPr>
          <w:trHeight w:val="300"/>
        </w:trPr>
        <w:tc>
          <w:tcPr>
            <w:tcW w:w="634" w:type="pct"/>
            <w:vMerge/>
            <w:tcBorders>
              <w:top w:val="nil"/>
              <w:left w:val="single" w:sz="4" w:space="0" w:color="auto"/>
              <w:bottom w:val="single" w:sz="4" w:space="0" w:color="auto"/>
              <w:right w:val="single" w:sz="4" w:space="0" w:color="auto"/>
            </w:tcBorders>
            <w:vAlign w:val="center"/>
            <w:hideMark/>
          </w:tcPr>
          <w:p w14:paraId="73964166" w14:textId="77777777" w:rsidR="00621640" w:rsidRPr="00621640" w:rsidRDefault="00621640" w:rsidP="00621640">
            <w:pPr>
              <w:rPr>
                <w:rFonts w:ascii="Arial" w:hAnsi="Arial" w:cs="Arial"/>
                <w:b/>
                <w:bCs/>
                <w:color w:val="FFFFFF"/>
                <w:sz w:val="24"/>
                <w:szCs w:val="24"/>
                <w:lang w:val="en-GB" w:eastAsia="en-GB"/>
              </w:rPr>
            </w:pPr>
          </w:p>
        </w:tc>
        <w:tc>
          <w:tcPr>
            <w:tcW w:w="3054" w:type="pct"/>
            <w:tcBorders>
              <w:top w:val="nil"/>
              <w:left w:val="nil"/>
              <w:bottom w:val="single" w:sz="4" w:space="0" w:color="auto"/>
              <w:right w:val="single" w:sz="4" w:space="0" w:color="auto"/>
            </w:tcBorders>
            <w:shd w:val="clear" w:color="auto" w:fill="auto"/>
            <w:vAlign w:val="center"/>
            <w:hideMark/>
          </w:tcPr>
          <w:p w14:paraId="6657EB46" w14:textId="44672E1A" w:rsidR="00621640" w:rsidRPr="00621640" w:rsidRDefault="007004BD" w:rsidP="00621640">
            <w:pPr>
              <w:rPr>
                <w:rFonts w:ascii="Arial" w:hAnsi="Arial" w:cs="Arial"/>
                <w:color w:val="000000"/>
                <w:sz w:val="24"/>
                <w:szCs w:val="24"/>
                <w:lang w:val="en-GB" w:eastAsia="en-GB"/>
              </w:rPr>
            </w:pPr>
            <w:r w:rsidRPr="00621640">
              <w:rPr>
                <w:rFonts w:ascii="Arial" w:hAnsi="Arial" w:cs="Arial"/>
                <w:color w:val="000000"/>
                <w:sz w:val="24"/>
                <w:szCs w:val="24"/>
                <w:lang w:val="en-GB" w:eastAsia="en-GB"/>
              </w:rPr>
              <w:t xml:space="preserve">Provision </w:t>
            </w:r>
            <w:r>
              <w:rPr>
                <w:rFonts w:ascii="Arial" w:hAnsi="Arial" w:cs="Arial"/>
                <w:color w:val="000000"/>
                <w:sz w:val="24"/>
                <w:szCs w:val="24"/>
                <w:lang w:val="en-GB" w:eastAsia="en-GB"/>
              </w:rPr>
              <w:t>t</w:t>
            </w:r>
            <w:r w:rsidRPr="00621640">
              <w:rPr>
                <w:rFonts w:ascii="Arial" w:hAnsi="Arial" w:cs="Arial"/>
                <w:color w:val="000000"/>
                <w:sz w:val="24"/>
                <w:szCs w:val="24"/>
                <w:lang w:val="en-GB" w:eastAsia="en-GB"/>
              </w:rPr>
              <w:t xml:space="preserve">o safeguard Lifeguard support for </w:t>
            </w:r>
            <w:r w:rsidR="0099398E">
              <w:rPr>
                <w:rFonts w:ascii="Arial" w:hAnsi="Arial" w:cs="Arial"/>
                <w:color w:val="000000"/>
                <w:sz w:val="24"/>
                <w:szCs w:val="24"/>
                <w:lang w:val="en-GB" w:eastAsia="en-GB"/>
              </w:rPr>
              <w:t xml:space="preserve">the </w:t>
            </w:r>
            <w:r w:rsidRPr="00621640">
              <w:rPr>
                <w:rFonts w:ascii="Arial" w:hAnsi="Arial" w:cs="Arial"/>
                <w:color w:val="000000"/>
                <w:sz w:val="24"/>
                <w:szCs w:val="24"/>
                <w:lang w:val="en-GB" w:eastAsia="en-GB"/>
              </w:rPr>
              <w:t>city</w:t>
            </w:r>
            <w:r w:rsidR="0099398E">
              <w:rPr>
                <w:rFonts w:ascii="Arial" w:hAnsi="Arial" w:cs="Arial"/>
                <w:color w:val="000000"/>
                <w:sz w:val="24"/>
                <w:szCs w:val="24"/>
                <w:lang w:val="en-GB" w:eastAsia="en-GB"/>
              </w:rPr>
              <w:t xml:space="preserve">’s </w:t>
            </w:r>
            <w:r w:rsidRPr="00621640">
              <w:rPr>
                <w:rFonts w:ascii="Arial" w:hAnsi="Arial" w:cs="Arial"/>
                <w:color w:val="000000"/>
                <w:sz w:val="24"/>
                <w:szCs w:val="24"/>
                <w:lang w:val="en-GB" w:eastAsia="en-GB"/>
              </w:rPr>
              <w:t>beaches</w:t>
            </w:r>
          </w:p>
        </w:tc>
        <w:tc>
          <w:tcPr>
            <w:tcW w:w="668" w:type="pct"/>
            <w:tcBorders>
              <w:top w:val="nil"/>
              <w:left w:val="nil"/>
              <w:bottom w:val="single" w:sz="4" w:space="0" w:color="auto"/>
              <w:right w:val="single" w:sz="4" w:space="0" w:color="auto"/>
            </w:tcBorders>
            <w:shd w:val="clear" w:color="000000" w:fill="FFFFFF"/>
            <w:vAlign w:val="center"/>
            <w:hideMark/>
          </w:tcPr>
          <w:p w14:paraId="55E9DB22" w14:textId="77777777" w:rsidR="00621640" w:rsidRPr="00621640" w:rsidRDefault="007004BD" w:rsidP="00621640">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0.050</w:t>
            </w:r>
          </w:p>
        </w:tc>
        <w:tc>
          <w:tcPr>
            <w:tcW w:w="587" w:type="pct"/>
            <w:tcBorders>
              <w:top w:val="nil"/>
              <w:left w:val="nil"/>
              <w:bottom w:val="single" w:sz="4" w:space="0" w:color="auto"/>
              <w:right w:val="single" w:sz="4" w:space="0" w:color="auto"/>
            </w:tcBorders>
            <w:shd w:val="clear" w:color="000000" w:fill="FFFFFF"/>
            <w:vAlign w:val="center"/>
            <w:hideMark/>
          </w:tcPr>
          <w:p w14:paraId="0788871D" w14:textId="77777777" w:rsidR="00621640" w:rsidRPr="00621640" w:rsidRDefault="007004BD" w:rsidP="00621640">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 </w:t>
            </w:r>
          </w:p>
        </w:tc>
        <w:tc>
          <w:tcPr>
            <w:tcW w:w="57" w:type="pct"/>
            <w:vAlign w:val="center"/>
            <w:hideMark/>
          </w:tcPr>
          <w:p w14:paraId="1BB41C42" w14:textId="77777777" w:rsidR="00621640" w:rsidRPr="00621640" w:rsidRDefault="00621640" w:rsidP="00621640">
            <w:pPr>
              <w:rPr>
                <w:rFonts w:ascii="Arial" w:hAnsi="Arial" w:cs="Arial"/>
                <w:sz w:val="24"/>
                <w:szCs w:val="24"/>
                <w:lang w:val="en-GB" w:eastAsia="en-GB"/>
              </w:rPr>
            </w:pPr>
          </w:p>
        </w:tc>
      </w:tr>
      <w:tr w:rsidR="00A53B77" w14:paraId="3C31E6C0" w14:textId="77777777" w:rsidTr="00A14453">
        <w:trPr>
          <w:trHeight w:val="300"/>
        </w:trPr>
        <w:tc>
          <w:tcPr>
            <w:tcW w:w="634" w:type="pct"/>
            <w:vMerge/>
            <w:tcBorders>
              <w:top w:val="nil"/>
              <w:left w:val="single" w:sz="4" w:space="0" w:color="auto"/>
              <w:bottom w:val="single" w:sz="4" w:space="0" w:color="auto"/>
              <w:right w:val="single" w:sz="4" w:space="0" w:color="auto"/>
            </w:tcBorders>
            <w:vAlign w:val="center"/>
            <w:hideMark/>
          </w:tcPr>
          <w:p w14:paraId="6CB5C993" w14:textId="77777777" w:rsidR="00621640" w:rsidRPr="00621640" w:rsidRDefault="00621640" w:rsidP="00621640">
            <w:pPr>
              <w:rPr>
                <w:rFonts w:ascii="Arial" w:hAnsi="Arial" w:cs="Arial"/>
                <w:b/>
                <w:bCs/>
                <w:color w:val="FFFFFF"/>
                <w:sz w:val="24"/>
                <w:szCs w:val="24"/>
                <w:lang w:val="en-GB" w:eastAsia="en-GB"/>
              </w:rPr>
            </w:pPr>
          </w:p>
        </w:tc>
        <w:tc>
          <w:tcPr>
            <w:tcW w:w="3054" w:type="pct"/>
            <w:tcBorders>
              <w:top w:val="nil"/>
              <w:left w:val="nil"/>
              <w:bottom w:val="single" w:sz="4" w:space="0" w:color="auto"/>
              <w:right w:val="single" w:sz="4" w:space="0" w:color="auto"/>
            </w:tcBorders>
            <w:shd w:val="clear" w:color="auto" w:fill="auto"/>
            <w:vAlign w:val="center"/>
            <w:hideMark/>
          </w:tcPr>
          <w:p w14:paraId="1502F4DB" w14:textId="44652D37" w:rsidR="00621640" w:rsidRPr="00621640" w:rsidRDefault="007004BD" w:rsidP="00621640">
            <w:pPr>
              <w:rPr>
                <w:rFonts w:ascii="Arial" w:hAnsi="Arial" w:cs="Arial"/>
                <w:color w:val="000000"/>
                <w:sz w:val="24"/>
                <w:szCs w:val="24"/>
                <w:lang w:val="en-GB" w:eastAsia="en-GB"/>
              </w:rPr>
            </w:pPr>
            <w:r>
              <w:rPr>
                <w:rFonts w:ascii="Arial" w:hAnsi="Arial" w:cs="Arial"/>
                <w:color w:val="000000"/>
                <w:sz w:val="24"/>
                <w:szCs w:val="24"/>
                <w:lang w:val="en-GB" w:eastAsia="en-GB"/>
              </w:rPr>
              <w:t>Support for the p</w:t>
            </w:r>
            <w:r w:rsidRPr="00621640">
              <w:rPr>
                <w:rFonts w:ascii="Arial" w:hAnsi="Arial" w:cs="Arial"/>
                <w:color w:val="000000"/>
                <w:sz w:val="24"/>
                <w:szCs w:val="24"/>
                <w:lang w:val="en-GB" w:eastAsia="en-GB"/>
              </w:rPr>
              <w:t>lanned transfer of 120 CCTV cameras to council control from Sussex Police</w:t>
            </w:r>
          </w:p>
        </w:tc>
        <w:tc>
          <w:tcPr>
            <w:tcW w:w="668" w:type="pct"/>
            <w:tcBorders>
              <w:top w:val="nil"/>
              <w:left w:val="nil"/>
              <w:bottom w:val="single" w:sz="4" w:space="0" w:color="auto"/>
              <w:right w:val="single" w:sz="4" w:space="0" w:color="auto"/>
            </w:tcBorders>
            <w:shd w:val="clear" w:color="000000" w:fill="FFFFFF"/>
            <w:vAlign w:val="center"/>
            <w:hideMark/>
          </w:tcPr>
          <w:p w14:paraId="2D783121" w14:textId="77777777" w:rsidR="00621640" w:rsidRPr="00621640" w:rsidRDefault="007004BD" w:rsidP="00621640">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0.250</w:t>
            </w:r>
          </w:p>
        </w:tc>
        <w:tc>
          <w:tcPr>
            <w:tcW w:w="587" w:type="pct"/>
            <w:tcBorders>
              <w:top w:val="nil"/>
              <w:left w:val="nil"/>
              <w:bottom w:val="single" w:sz="4" w:space="0" w:color="auto"/>
              <w:right w:val="single" w:sz="4" w:space="0" w:color="auto"/>
            </w:tcBorders>
            <w:shd w:val="clear" w:color="000000" w:fill="FFFFFF"/>
            <w:vAlign w:val="center"/>
            <w:hideMark/>
          </w:tcPr>
          <w:p w14:paraId="770181F9" w14:textId="77777777" w:rsidR="00621640" w:rsidRPr="00621640" w:rsidRDefault="007004BD" w:rsidP="00621640">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 </w:t>
            </w:r>
          </w:p>
        </w:tc>
        <w:tc>
          <w:tcPr>
            <w:tcW w:w="57" w:type="pct"/>
            <w:vAlign w:val="center"/>
            <w:hideMark/>
          </w:tcPr>
          <w:p w14:paraId="0FE41623" w14:textId="77777777" w:rsidR="00621640" w:rsidRPr="00621640" w:rsidRDefault="00621640" w:rsidP="00621640">
            <w:pPr>
              <w:rPr>
                <w:rFonts w:ascii="Arial" w:hAnsi="Arial" w:cs="Arial"/>
                <w:sz w:val="24"/>
                <w:szCs w:val="24"/>
                <w:lang w:val="en-GB" w:eastAsia="en-GB"/>
              </w:rPr>
            </w:pPr>
          </w:p>
        </w:tc>
      </w:tr>
      <w:tr w:rsidR="00A53B77" w14:paraId="6119B991" w14:textId="77777777" w:rsidTr="00A14453">
        <w:trPr>
          <w:trHeight w:val="300"/>
        </w:trPr>
        <w:tc>
          <w:tcPr>
            <w:tcW w:w="634" w:type="pct"/>
            <w:vMerge/>
            <w:tcBorders>
              <w:top w:val="nil"/>
              <w:left w:val="single" w:sz="4" w:space="0" w:color="auto"/>
              <w:bottom w:val="single" w:sz="4" w:space="0" w:color="auto"/>
              <w:right w:val="single" w:sz="4" w:space="0" w:color="auto"/>
            </w:tcBorders>
            <w:vAlign w:val="center"/>
            <w:hideMark/>
          </w:tcPr>
          <w:p w14:paraId="616E29C4" w14:textId="77777777" w:rsidR="00621640" w:rsidRPr="00621640" w:rsidRDefault="00621640" w:rsidP="00621640">
            <w:pPr>
              <w:rPr>
                <w:rFonts w:ascii="Arial" w:hAnsi="Arial" w:cs="Arial"/>
                <w:b/>
                <w:bCs/>
                <w:color w:val="FFFFFF"/>
                <w:sz w:val="24"/>
                <w:szCs w:val="24"/>
                <w:lang w:val="en-GB" w:eastAsia="en-GB"/>
              </w:rPr>
            </w:pPr>
          </w:p>
        </w:tc>
        <w:tc>
          <w:tcPr>
            <w:tcW w:w="3054" w:type="pct"/>
            <w:tcBorders>
              <w:top w:val="nil"/>
              <w:left w:val="nil"/>
              <w:bottom w:val="single" w:sz="4" w:space="0" w:color="auto"/>
              <w:right w:val="single" w:sz="4" w:space="0" w:color="auto"/>
            </w:tcBorders>
            <w:shd w:val="clear" w:color="auto" w:fill="auto"/>
            <w:vAlign w:val="center"/>
            <w:hideMark/>
          </w:tcPr>
          <w:p w14:paraId="5A45321F" w14:textId="77777777" w:rsidR="00621640" w:rsidRPr="00621640" w:rsidRDefault="007004BD" w:rsidP="00621640">
            <w:pPr>
              <w:rPr>
                <w:rFonts w:ascii="Arial" w:hAnsi="Arial" w:cs="Arial"/>
                <w:color w:val="000000"/>
                <w:sz w:val="24"/>
                <w:szCs w:val="24"/>
                <w:lang w:val="en-GB" w:eastAsia="en-GB"/>
              </w:rPr>
            </w:pPr>
            <w:r w:rsidRPr="00621640">
              <w:rPr>
                <w:rFonts w:ascii="Arial" w:hAnsi="Arial" w:cs="Arial"/>
                <w:color w:val="000000"/>
                <w:sz w:val="24"/>
                <w:szCs w:val="24"/>
                <w:lang w:val="en-GB" w:eastAsia="en-GB"/>
              </w:rPr>
              <w:t>Provision to meet statutory Playground Inspection costs</w:t>
            </w:r>
          </w:p>
        </w:tc>
        <w:tc>
          <w:tcPr>
            <w:tcW w:w="668" w:type="pct"/>
            <w:tcBorders>
              <w:top w:val="nil"/>
              <w:left w:val="nil"/>
              <w:bottom w:val="single" w:sz="4" w:space="0" w:color="auto"/>
              <w:right w:val="single" w:sz="4" w:space="0" w:color="auto"/>
            </w:tcBorders>
            <w:shd w:val="clear" w:color="000000" w:fill="FFFFFF"/>
            <w:vAlign w:val="center"/>
            <w:hideMark/>
          </w:tcPr>
          <w:p w14:paraId="2BA0BB03" w14:textId="77777777" w:rsidR="00621640" w:rsidRPr="00621640" w:rsidRDefault="007004BD" w:rsidP="00621640">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0.040</w:t>
            </w:r>
          </w:p>
        </w:tc>
        <w:tc>
          <w:tcPr>
            <w:tcW w:w="587" w:type="pct"/>
            <w:tcBorders>
              <w:top w:val="nil"/>
              <w:left w:val="nil"/>
              <w:bottom w:val="single" w:sz="4" w:space="0" w:color="auto"/>
              <w:right w:val="single" w:sz="4" w:space="0" w:color="auto"/>
            </w:tcBorders>
            <w:shd w:val="clear" w:color="000000" w:fill="FFFFFF"/>
            <w:vAlign w:val="center"/>
            <w:hideMark/>
          </w:tcPr>
          <w:p w14:paraId="50331D35" w14:textId="77777777" w:rsidR="00621640" w:rsidRPr="00621640" w:rsidRDefault="007004BD" w:rsidP="00621640">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 </w:t>
            </w:r>
          </w:p>
        </w:tc>
        <w:tc>
          <w:tcPr>
            <w:tcW w:w="57" w:type="pct"/>
            <w:vAlign w:val="center"/>
            <w:hideMark/>
          </w:tcPr>
          <w:p w14:paraId="53F46028" w14:textId="77777777" w:rsidR="00621640" w:rsidRPr="00621640" w:rsidRDefault="00621640" w:rsidP="00621640">
            <w:pPr>
              <w:rPr>
                <w:rFonts w:ascii="Arial" w:hAnsi="Arial" w:cs="Arial"/>
                <w:sz w:val="24"/>
                <w:szCs w:val="24"/>
                <w:lang w:val="en-GB" w:eastAsia="en-GB"/>
              </w:rPr>
            </w:pPr>
          </w:p>
        </w:tc>
      </w:tr>
      <w:tr w:rsidR="00A53B77" w14:paraId="3BCD1BDE" w14:textId="77777777" w:rsidTr="00A14453">
        <w:trPr>
          <w:trHeight w:val="300"/>
        </w:trPr>
        <w:tc>
          <w:tcPr>
            <w:tcW w:w="634" w:type="pct"/>
            <w:vMerge/>
            <w:tcBorders>
              <w:top w:val="nil"/>
              <w:left w:val="single" w:sz="4" w:space="0" w:color="auto"/>
              <w:bottom w:val="single" w:sz="4" w:space="0" w:color="auto"/>
              <w:right w:val="single" w:sz="4" w:space="0" w:color="auto"/>
            </w:tcBorders>
            <w:vAlign w:val="center"/>
            <w:hideMark/>
          </w:tcPr>
          <w:p w14:paraId="32F0E41E" w14:textId="77777777" w:rsidR="00621640" w:rsidRPr="00621640" w:rsidRDefault="00621640" w:rsidP="00621640">
            <w:pPr>
              <w:rPr>
                <w:rFonts w:ascii="Arial" w:hAnsi="Arial" w:cs="Arial"/>
                <w:b/>
                <w:bCs/>
                <w:color w:val="FFFFFF"/>
                <w:sz w:val="24"/>
                <w:szCs w:val="24"/>
                <w:lang w:val="en-GB" w:eastAsia="en-GB"/>
              </w:rPr>
            </w:pPr>
          </w:p>
        </w:tc>
        <w:tc>
          <w:tcPr>
            <w:tcW w:w="3054" w:type="pct"/>
            <w:tcBorders>
              <w:top w:val="nil"/>
              <w:left w:val="nil"/>
              <w:bottom w:val="single" w:sz="4" w:space="0" w:color="auto"/>
              <w:right w:val="single" w:sz="4" w:space="0" w:color="auto"/>
            </w:tcBorders>
            <w:shd w:val="clear" w:color="auto" w:fill="auto"/>
            <w:vAlign w:val="center"/>
            <w:hideMark/>
          </w:tcPr>
          <w:p w14:paraId="5E6C10B6" w14:textId="77777777" w:rsidR="00621640" w:rsidRPr="00621640" w:rsidRDefault="007004BD" w:rsidP="00621640">
            <w:pPr>
              <w:rPr>
                <w:rFonts w:ascii="Arial" w:hAnsi="Arial" w:cs="Arial"/>
                <w:color w:val="000000"/>
                <w:sz w:val="24"/>
                <w:szCs w:val="24"/>
                <w:lang w:val="en-GB" w:eastAsia="en-GB"/>
              </w:rPr>
            </w:pPr>
            <w:r w:rsidRPr="00621640">
              <w:rPr>
                <w:rFonts w:ascii="Arial" w:hAnsi="Arial" w:cs="Arial"/>
                <w:color w:val="000000"/>
                <w:sz w:val="24"/>
                <w:szCs w:val="24"/>
                <w:lang w:val="en-GB" w:eastAsia="en-GB"/>
              </w:rPr>
              <w:t>Transfer of full Coroner's Service to the local authority</w:t>
            </w:r>
          </w:p>
        </w:tc>
        <w:tc>
          <w:tcPr>
            <w:tcW w:w="668" w:type="pct"/>
            <w:tcBorders>
              <w:top w:val="nil"/>
              <w:left w:val="nil"/>
              <w:bottom w:val="single" w:sz="4" w:space="0" w:color="auto"/>
              <w:right w:val="single" w:sz="4" w:space="0" w:color="auto"/>
            </w:tcBorders>
            <w:shd w:val="clear" w:color="000000" w:fill="FFFFFF"/>
            <w:vAlign w:val="center"/>
            <w:hideMark/>
          </w:tcPr>
          <w:p w14:paraId="72CA10B2" w14:textId="77777777" w:rsidR="00621640" w:rsidRPr="00621640" w:rsidRDefault="007004BD" w:rsidP="00621640">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0.255</w:t>
            </w:r>
          </w:p>
        </w:tc>
        <w:tc>
          <w:tcPr>
            <w:tcW w:w="587" w:type="pct"/>
            <w:tcBorders>
              <w:top w:val="nil"/>
              <w:left w:val="nil"/>
              <w:bottom w:val="single" w:sz="4" w:space="0" w:color="auto"/>
              <w:right w:val="single" w:sz="4" w:space="0" w:color="auto"/>
            </w:tcBorders>
            <w:shd w:val="clear" w:color="000000" w:fill="FFFFFF"/>
            <w:vAlign w:val="center"/>
            <w:hideMark/>
          </w:tcPr>
          <w:p w14:paraId="4CEF8329" w14:textId="77777777" w:rsidR="00621640" w:rsidRPr="00621640" w:rsidRDefault="007004BD" w:rsidP="00621640">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 </w:t>
            </w:r>
          </w:p>
        </w:tc>
        <w:tc>
          <w:tcPr>
            <w:tcW w:w="57" w:type="pct"/>
            <w:vAlign w:val="center"/>
            <w:hideMark/>
          </w:tcPr>
          <w:p w14:paraId="1B879789" w14:textId="77777777" w:rsidR="00621640" w:rsidRPr="00621640" w:rsidRDefault="00621640" w:rsidP="00621640">
            <w:pPr>
              <w:rPr>
                <w:rFonts w:ascii="Arial" w:hAnsi="Arial" w:cs="Arial"/>
                <w:sz w:val="24"/>
                <w:szCs w:val="24"/>
                <w:lang w:val="en-GB" w:eastAsia="en-GB"/>
              </w:rPr>
            </w:pPr>
          </w:p>
        </w:tc>
      </w:tr>
      <w:tr w:rsidR="00A53B77" w14:paraId="4E6860D1" w14:textId="77777777" w:rsidTr="00A14453">
        <w:trPr>
          <w:trHeight w:val="315"/>
        </w:trPr>
        <w:tc>
          <w:tcPr>
            <w:tcW w:w="634" w:type="pct"/>
            <w:vMerge/>
            <w:tcBorders>
              <w:top w:val="nil"/>
              <w:left w:val="single" w:sz="4" w:space="0" w:color="auto"/>
              <w:bottom w:val="single" w:sz="4" w:space="0" w:color="auto"/>
              <w:right w:val="single" w:sz="4" w:space="0" w:color="auto"/>
            </w:tcBorders>
            <w:vAlign w:val="center"/>
            <w:hideMark/>
          </w:tcPr>
          <w:p w14:paraId="1C44EE97" w14:textId="77777777" w:rsidR="00621640" w:rsidRPr="00621640" w:rsidRDefault="00621640" w:rsidP="00621640">
            <w:pPr>
              <w:rPr>
                <w:rFonts w:ascii="Arial" w:hAnsi="Arial" w:cs="Arial"/>
                <w:b/>
                <w:bCs/>
                <w:color w:val="FFFFFF"/>
                <w:sz w:val="24"/>
                <w:szCs w:val="24"/>
                <w:lang w:val="en-GB" w:eastAsia="en-GB"/>
              </w:rPr>
            </w:pPr>
          </w:p>
        </w:tc>
        <w:tc>
          <w:tcPr>
            <w:tcW w:w="3054" w:type="pct"/>
            <w:tcBorders>
              <w:top w:val="nil"/>
              <w:left w:val="nil"/>
              <w:bottom w:val="single" w:sz="4" w:space="0" w:color="auto"/>
              <w:right w:val="single" w:sz="4" w:space="0" w:color="auto"/>
            </w:tcBorders>
            <w:shd w:val="clear" w:color="000000" w:fill="C65911"/>
            <w:vAlign w:val="center"/>
            <w:hideMark/>
          </w:tcPr>
          <w:p w14:paraId="1B81DD5E" w14:textId="77777777" w:rsidR="00621640" w:rsidRPr="00621640" w:rsidRDefault="007004BD" w:rsidP="00621640">
            <w:pPr>
              <w:rPr>
                <w:rFonts w:ascii="Arial" w:hAnsi="Arial" w:cs="Arial"/>
                <w:b/>
                <w:bCs/>
                <w:color w:val="FFFFFF"/>
                <w:sz w:val="24"/>
                <w:szCs w:val="24"/>
                <w:lang w:val="en-GB" w:eastAsia="en-GB"/>
              </w:rPr>
            </w:pPr>
            <w:r w:rsidRPr="00621640">
              <w:rPr>
                <w:rFonts w:ascii="Arial" w:hAnsi="Arial" w:cs="Arial"/>
                <w:b/>
                <w:bCs/>
                <w:color w:val="FFFFFF"/>
                <w:sz w:val="24"/>
                <w:szCs w:val="24"/>
                <w:lang w:val="en-GB" w:eastAsia="en-GB"/>
              </w:rPr>
              <w:t>Total Investments - A Fair &amp; Inclusive City</w:t>
            </w:r>
          </w:p>
        </w:tc>
        <w:tc>
          <w:tcPr>
            <w:tcW w:w="668" w:type="pct"/>
            <w:tcBorders>
              <w:top w:val="nil"/>
              <w:left w:val="nil"/>
              <w:bottom w:val="single" w:sz="4" w:space="0" w:color="auto"/>
              <w:right w:val="single" w:sz="4" w:space="0" w:color="auto"/>
            </w:tcBorders>
            <w:shd w:val="clear" w:color="000000" w:fill="C65911"/>
            <w:vAlign w:val="center"/>
            <w:hideMark/>
          </w:tcPr>
          <w:p w14:paraId="60160FB3" w14:textId="77777777" w:rsidR="00621640" w:rsidRPr="00621640" w:rsidRDefault="007004BD" w:rsidP="00621640">
            <w:pPr>
              <w:jc w:val="right"/>
              <w:rPr>
                <w:rFonts w:ascii="Arial" w:hAnsi="Arial" w:cs="Arial"/>
                <w:b/>
                <w:bCs/>
                <w:color w:val="FFFFFF"/>
                <w:sz w:val="24"/>
                <w:szCs w:val="24"/>
                <w:lang w:val="en-GB" w:eastAsia="en-GB"/>
              </w:rPr>
            </w:pPr>
            <w:r w:rsidRPr="00621640">
              <w:rPr>
                <w:rFonts w:ascii="Arial" w:hAnsi="Arial" w:cs="Arial"/>
                <w:b/>
                <w:bCs/>
                <w:color w:val="FFFFFF"/>
                <w:sz w:val="24"/>
                <w:szCs w:val="24"/>
                <w:lang w:val="en-GB" w:eastAsia="en-GB"/>
              </w:rPr>
              <w:t>3.371</w:t>
            </w:r>
          </w:p>
        </w:tc>
        <w:tc>
          <w:tcPr>
            <w:tcW w:w="587" w:type="pct"/>
            <w:tcBorders>
              <w:top w:val="nil"/>
              <w:left w:val="nil"/>
              <w:bottom w:val="single" w:sz="4" w:space="0" w:color="auto"/>
              <w:right w:val="single" w:sz="4" w:space="0" w:color="auto"/>
            </w:tcBorders>
            <w:shd w:val="clear" w:color="000000" w:fill="C65911"/>
            <w:vAlign w:val="center"/>
            <w:hideMark/>
          </w:tcPr>
          <w:p w14:paraId="49653AD7" w14:textId="77777777" w:rsidR="00621640" w:rsidRPr="00621640" w:rsidRDefault="007004BD" w:rsidP="00621640">
            <w:pPr>
              <w:jc w:val="right"/>
              <w:rPr>
                <w:rFonts w:ascii="Arial" w:hAnsi="Arial" w:cs="Arial"/>
                <w:b/>
                <w:bCs/>
                <w:color w:val="FFFFFF"/>
                <w:sz w:val="24"/>
                <w:szCs w:val="24"/>
                <w:lang w:val="en-GB" w:eastAsia="en-GB"/>
              </w:rPr>
            </w:pPr>
            <w:r w:rsidRPr="00621640">
              <w:rPr>
                <w:rFonts w:ascii="Arial" w:hAnsi="Arial" w:cs="Arial"/>
                <w:b/>
                <w:bCs/>
                <w:color w:val="FFFFFF"/>
                <w:sz w:val="24"/>
                <w:szCs w:val="24"/>
                <w:lang w:val="en-GB" w:eastAsia="en-GB"/>
              </w:rPr>
              <w:t>0.000</w:t>
            </w:r>
          </w:p>
        </w:tc>
        <w:tc>
          <w:tcPr>
            <w:tcW w:w="57" w:type="pct"/>
            <w:vAlign w:val="center"/>
            <w:hideMark/>
          </w:tcPr>
          <w:p w14:paraId="4B8F2AC3" w14:textId="77777777" w:rsidR="00621640" w:rsidRPr="00621640" w:rsidRDefault="00621640" w:rsidP="00621640">
            <w:pPr>
              <w:rPr>
                <w:rFonts w:ascii="Arial" w:hAnsi="Arial" w:cs="Arial"/>
                <w:sz w:val="24"/>
                <w:szCs w:val="24"/>
                <w:lang w:val="en-GB" w:eastAsia="en-GB"/>
              </w:rPr>
            </w:pPr>
          </w:p>
        </w:tc>
      </w:tr>
      <w:tr w:rsidR="00A53B77" w14:paraId="22584643" w14:textId="77777777" w:rsidTr="00A14453">
        <w:trPr>
          <w:trHeight w:val="300"/>
        </w:trPr>
        <w:tc>
          <w:tcPr>
            <w:tcW w:w="634" w:type="pct"/>
            <w:vMerge w:val="restart"/>
            <w:tcBorders>
              <w:top w:val="nil"/>
              <w:left w:val="single" w:sz="4" w:space="0" w:color="auto"/>
              <w:bottom w:val="single" w:sz="4" w:space="0" w:color="auto"/>
              <w:right w:val="single" w:sz="4" w:space="0" w:color="auto"/>
            </w:tcBorders>
            <w:shd w:val="clear" w:color="000000" w:fill="365F91"/>
            <w:textDirection w:val="btLr"/>
            <w:vAlign w:val="center"/>
            <w:hideMark/>
          </w:tcPr>
          <w:p w14:paraId="155713EF" w14:textId="77777777" w:rsidR="00271A02" w:rsidRPr="00621640" w:rsidRDefault="007004BD" w:rsidP="00271A02">
            <w:pPr>
              <w:jc w:val="center"/>
              <w:rPr>
                <w:rFonts w:ascii="Arial" w:hAnsi="Arial" w:cs="Arial"/>
                <w:b/>
                <w:bCs/>
                <w:color w:val="FFFFFF"/>
                <w:sz w:val="24"/>
                <w:szCs w:val="24"/>
                <w:lang w:val="en-GB" w:eastAsia="en-GB"/>
              </w:rPr>
            </w:pPr>
            <w:r w:rsidRPr="00621640">
              <w:rPr>
                <w:rFonts w:ascii="Arial" w:hAnsi="Arial" w:cs="Arial"/>
                <w:b/>
                <w:bCs/>
                <w:color w:val="FFFFFF"/>
                <w:sz w:val="24"/>
                <w:szCs w:val="24"/>
                <w:lang w:val="en-GB" w:eastAsia="en-GB"/>
              </w:rPr>
              <w:t>A Healthy City where People Thrive</w:t>
            </w:r>
          </w:p>
        </w:tc>
        <w:tc>
          <w:tcPr>
            <w:tcW w:w="3054" w:type="pct"/>
            <w:tcBorders>
              <w:top w:val="nil"/>
              <w:left w:val="nil"/>
              <w:bottom w:val="single" w:sz="4" w:space="0" w:color="auto"/>
              <w:right w:val="single" w:sz="4" w:space="0" w:color="auto"/>
            </w:tcBorders>
            <w:shd w:val="clear" w:color="auto" w:fill="auto"/>
            <w:vAlign w:val="center"/>
            <w:hideMark/>
          </w:tcPr>
          <w:p w14:paraId="48A481C7" w14:textId="660FE723" w:rsidR="00271A02" w:rsidRPr="00621640" w:rsidRDefault="007004BD" w:rsidP="00271A02">
            <w:pPr>
              <w:rPr>
                <w:rFonts w:ascii="Arial" w:hAnsi="Arial" w:cs="Arial"/>
                <w:color w:val="000000"/>
                <w:sz w:val="24"/>
                <w:szCs w:val="24"/>
                <w:lang w:val="en-GB" w:eastAsia="en-GB"/>
              </w:rPr>
            </w:pPr>
            <w:r w:rsidRPr="00621640">
              <w:rPr>
                <w:rFonts w:ascii="Arial" w:hAnsi="Arial" w:cs="Arial"/>
                <w:color w:val="000000"/>
                <w:sz w:val="24"/>
                <w:szCs w:val="24"/>
                <w:lang w:val="en-GB" w:eastAsia="en-GB"/>
              </w:rPr>
              <w:t>Investment to meet increased unit costs for Adult Social Care – Physical Disability Age 18 - 64</w:t>
            </w:r>
          </w:p>
        </w:tc>
        <w:tc>
          <w:tcPr>
            <w:tcW w:w="668" w:type="pct"/>
            <w:tcBorders>
              <w:top w:val="nil"/>
              <w:left w:val="nil"/>
              <w:bottom w:val="single" w:sz="4" w:space="0" w:color="auto"/>
              <w:right w:val="single" w:sz="4" w:space="0" w:color="auto"/>
            </w:tcBorders>
            <w:shd w:val="clear" w:color="auto" w:fill="auto"/>
            <w:vAlign w:val="center"/>
            <w:hideMark/>
          </w:tcPr>
          <w:p w14:paraId="6A1393D8" w14:textId="5C45EDFC" w:rsidR="00271A02" w:rsidRPr="00621640" w:rsidRDefault="007004BD" w:rsidP="00271A02">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1.385</w:t>
            </w:r>
          </w:p>
        </w:tc>
        <w:tc>
          <w:tcPr>
            <w:tcW w:w="587" w:type="pct"/>
            <w:tcBorders>
              <w:top w:val="nil"/>
              <w:left w:val="nil"/>
              <w:bottom w:val="single" w:sz="4" w:space="0" w:color="auto"/>
              <w:right w:val="single" w:sz="4" w:space="0" w:color="auto"/>
            </w:tcBorders>
            <w:shd w:val="clear" w:color="000000" w:fill="FFFFFF"/>
            <w:vAlign w:val="center"/>
            <w:hideMark/>
          </w:tcPr>
          <w:p w14:paraId="0C1BBC89" w14:textId="77777777" w:rsidR="00271A02" w:rsidRPr="00621640" w:rsidRDefault="007004BD" w:rsidP="00271A02">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 </w:t>
            </w:r>
          </w:p>
        </w:tc>
        <w:tc>
          <w:tcPr>
            <w:tcW w:w="57" w:type="pct"/>
            <w:vAlign w:val="center"/>
            <w:hideMark/>
          </w:tcPr>
          <w:p w14:paraId="1F1C78F0" w14:textId="77777777" w:rsidR="00271A02" w:rsidRPr="00621640" w:rsidRDefault="00271A02" w:rsidP="00271A02">
            <w:pPr>
              <w:rPr>
                <w:rFonts w:ascii="Arial" w:hAnsi="Arial" w:cs="Arial"/>
                <w:sz w:val="24"/>
                <w:szCs w:val="24"/>
                <w:lang w:val="en-GB" w:eastAsia="en-GB"/>
              </w:rPr>
            </w:pPr>
          </w:p>
        </w:tc>
      </w:tr>
      <w:tr w:rsidR="00A53B77" w14:paraId="09B9753B" w14:textId="77777777" w:rsidTr="00A14453">
        <w:trPr>
          <w:trHeight w:val="600"/>
        </w:trPr>
        <w:tc>
          <w:tcPr>
            <w:tcW w:w="634" w:type="pct"/>
            <w:vMerge/>
            <w:tcBorders>
              <w:top w:val="nil"/>
              <w:left w:val="single" w:sz="4" w:space="0" w:color="auto"/>
              <w:bottom w:val="single" w:sz="4" w:space="0" w:color="auto"/>
              <w:right w:val="single" w:sz="4" w:space="0" w:color="auto"/>
            </w:tcBorders>
            <w:vAlign w:val="center"/>
            <w:hideMark/>
          </w:tcPr>
          <w:p w14:paraId="77F6F18C" w14:textId="77777777" w:rsidR="00271A02" w:rsidRPr="00621640" w:rsidRDefault="00271A02" w:rsidP="00271A02">
            <w:pPr>
              <w:rPr>
                <w:rFonts w:ascii="Arial" w:hAnsi="Arial" w:cs="Arial"/>
                <w:b/>
                <w:bCs/>
                <w:color w:val="FFFFFF"/>
                <w:sz w:val="24"/>
                <w:szCs w:val="24"/>
                <w:lang w:val="en-GB" w:eastAsia="en-GB"/>
              </w:rPr>
            </w:pPr>
          </w:p>
        </w:tc>
        <w:tc>
          <w:tcPr>
            <w:tcW w:w="3054" w:type="pct"/>
            <w:tcBorders>
              <w:top w:val="nil"/>
              <w:left w:val="nil"/>
              <w:bottom w:val="single" w:sz="4" w:space="0" w:color="auto"/>
              <w:right w:val="single" w:sz="4" w:space="0" w:color="auto"/>
            </w:tcBorders>
            <w:shd w:val="clear" w:color="auto" w:fill="auto"/>
            <w:vAlign w:val="center"/>
            <w:hideMark/>
          </w:tcPr>
          <w:p w14:paraId="579D87E9" w14:textId="77777777" w:rsidR="00271A02" w:rsidRPr="00621640" w:rsidRDefault="007004BD" w:rsidP="00271A02">
            <w:pPr>
              <w:rPr>
                <w:rFonts w:ascii="Arial" w:hAnsi="Arial" w:cs="Arial"/>
                <w:color w:val="000000"/>
                <w:sz w:val="24"/>
                <w:szCs w:val="24"/>
                <w:lang w:val="en-GB" w:eastAsia="en-GB"/>
              </w:rPr>
            </w:pPr>
            <w:r w:rsidRPr="00621640">
              <w:rPr>
                <w:rFonts w:ascii="Arial" w:hAnsi="Arial" w:cs="Arial"/>
                <w:color w:val="000000"/>
                <w:sz w:val="24"/>
                <w:szCs w:val="24"/>
                <w:lang w:val="en-GB" w:eastAsia="en-GB"/>
              </w:rPr>
              <w:t>Investment to meet increased demand and costs for Adult Social Care – Physical Disability Age 65+</w:t>
            </w:r>
          </w:p>
        </w:tc>
        <w:tc>
          <w:tcPr>
            <w:tcW w:w="668" w:type="pct"/>
            <w:tcBorders>
              <w:top w:val="nil"/>
              <w:left w:val="nil"/>
              <w:bottom w:val="single" w:sz="4" w:space="0" w:color="auto"/>
              <w:right w:val="single" w:sz="4" w:space="0" w:color="auto"/>
            </w:tcBorders>
            <w:shd w:val="clear" w:color="auto" w:fill="auto"/>
            <w:vAlign w:val="center"/>
            <w:hideMark/>
          </w:tcPr>
          <w:p w14:paraId="5173DFD1" w14:textId="77777777" w:rsidR="00271A02" w:rsidRPr="00621640" w:rsidRDefault="007004BD" w:rsidP="00271A02">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3.358</w:t>
            </w:r>
          </w:p>
        </w:tc>
        <w:tc>
          <w:tcPr>
            <w:tcW w:w="587" w:type="pct"/>
            <w:tcBorders>
              <w:top w:val="nil"/>
              <w:left w:val="nil"/>
              <w:bottom w:val="single" w:sz="4" w:space="0" w:color="auto"/>
              <w:right w:val="single" w:sz="4" w:space="0" w:color="auto"/>
            </w:tcBorders>
            <w:shd w:val="clear" w:color="000000" w:fill="FFFFFF"/>
            <w:vAlign w:val="center"/>
            <w:hideMark/>
          </w:tcPr>
          <w:p w14:paraId="655E3D86" w14:textId="77777777" w:rsidR="00271A02" w:rsidRPr="00621640" w:rsidRDefault="007004BD" w:rsidP="00271A02">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 </w:t>
            </w:r>
          </w:p>
        </w:tc>
        <w:tc>
          <w:tcPr>
            <w:tcW w:w="57" w:type="pct"/>
            <w:vAlign w:val="center"/>
            <w:hideMark/>
          </w:tcPr>
          <w:p w14:paraId="6B6B2D65" w14:textId="77777777" w:rsidR="00271A02" w:rsidRPr="00621640" w:rsidRDefault="00271A02" w:rsidP="00271A02">
            <w:pPr>
              <w:rPr>
                <w:rFonts w:ascii="Arial" w:hAnsi="Arial" w:cs="Arial"/>
                <w:sz w:val="24"/>
                <w:szCs w:val="24"/>
                <w:lang w:val="en-GB" w:eastAsia="en-GB"/>
              </w:rPr>
            </w:pPr>
          </w:p>
        </w:tc>
      </w:tr>
      <w:tr w:rsidR="00A53B77" w14:paraId="626F61F3" w14:textId="77777777" w:rsidTr="00A14453">
        <w:trPr>
          <w:trHeight w:val="300"/>
        </w:trPr>
        <w:tc>
          <w:tcPr>
            <w:tcW w:w="634" w:type="pct"/>
            <w:vMerge/>
            <w:tcBorders>
              <w:top w:val="nil"/>
              <w:left w:val="single" w:sz="4" w:space="0" w:color="auto"/>
              <w:bottom w:val="single" w:sz="4" w:space="0" w:color="auto"/>
              <w:right w:val="single" w:sz="4" w:space="0" w:color="auto"/>
            </w:tcBorders>
            <w:vAlign w:val="center"/>
            <w:hideMark/>
          </w:tcPr>
          <w:p w14:paraId="2AD2FD86" w14:textId="77777777" w:rsidR="00271A02" w:rsidRPr="00621640" w:rsidRDefault="00271A02" w:rsidP="00271A02">
            <w:pPr>
              <w:rPr>
                <w:rFonts w:ascii="Arial" w:hAnsi="Arial" w:cs="Arial"/>
                <w:b/>
                <w:bCs/>
                <w:color w:val="FFFFFF"/>
                <w:sz w:val="24"/>
                <w:szCs w:val="24"/>
                <w:lang w:val="en-GB" w:eastAsia="en-GB"/>
              </w:rPr>
            </w:pPr>
          </w:p>
        </w:tc>
        <w:tc>
          <w:tcPr>
            <w:tcW w:w="3054" w:type="pct"/>
            <w:tcBorders>
              <w:top w:val="nil"/>
              <w:left w:val="nil"/>
              <w:bottom w:val="single" w:sz="4" w:space="0" w:color="auto"/>
              <w:right w:val="single" w:sz="4" w:space="0" w:color="auto"/>
            </w:tcBorders>
            <w:shd w:val="clear" w:color="auto" w:fill="auto"/>
            <w:vAlign w:val="center"/>
            <w:hideMark/>
          </w:tcPr>
          <w:p w14:paraId="7B54D425" w14:textId="77777777" w:rsidR="00271A02" w:rsidRPr="00621640" w:rsidRDefault="007004BD" w:rsidP="00271A02">
            <w:pPr>
              <w:rPr>
                <w:rFonts w:ascii="Arial" w:hAnsi="Arial" w:cs="Arial"/>
                <w:color w:val="000000"/>
                <w:sz w:val="24"/>
                <w:szCs w:val="24"/>
                <w:lang w:val="en-GB" w:eastAsia="en-GB"/>
              </w:rPr>
            </w:pPr>
            <w:r w:rsidRPr="00621640">
              <w:rPr>
                <w:rFonts w:ascii="Arial" w:hAnsi="Arial" w:cs="Arial"/>
                <w:color w:val="000000"/>
                <w:sz w:val="24"/>
                <w:szCs w:val="24"/>
                <w:lang w:val="en-GB" w:eastAsia="en-GB"/>
              </w:rPr>
              <w:t>Investment to meet increased costs for Adult Social Care – Mental Health</w:t>
            </w:r>
          </w:p>
        </w:tc>
        <w:tc>
          <w:tcPr>
            <w:tcW w:w="668" w:type="pct"/>
            <w:tcBorders>
              <w:top w:val="nil"/>
              <w:left w:val="nil"/>
              <w:bottom w:val="single" w:sz="4" w:space="0" w:color="auto"/>
              <w:right w:val="single" w:sz="4" w:space="0" w:color="auto"/>
            </w:tcBorders>
            <w:shd w:val="clear" w:color="auto" w:fill="auto"/>
            <w:vAlign w:val="center"/>
            <w:hideMark/>
          </w:tcPr>
          <w:p w14:paraId="005B80D0" w14:textId="77777777" w:rsidR="00271A02" w:rsidRPr="00621640" w:rsidRDefault="007004BD" w:rsidP="00271A02">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0.161</w:t>
            </w:r>
          </w:p>
        </w:tc>
        <w:tc>
          <w:tcPr>
            <w:tcW w:w="587" w:type="pct"/>
            <w:tcBorders>
              <w:top w:val="nil"/>
              <w:left w:val="nil"/>
              <w:bottom w:val="single" w:sz="4" w:space="0" w:color="auto"/>
              <w:right w:val="single" w:sz="4" w:space="0" w:color="auto"/>
            </w:tcBorders>
            <w:shd w:val="clear" w:color="000000" w:fill="FFFFFF"/>
            <w:vAlign w:val="center"/>
            <w:hideMark/>
          </w:tcPr>
          <w:p w14:paraId="5169584B" w14:textId="77777777" w:rsidR="00271A02" w:rsidRPr="00621640" w:rsidRDefault="007004BD" w:rsidP="00271A02">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 </w:t>
            </w:r>
          </w:p>
        </w:tc>
        <w:tc>
          <w:tcPr>
            <w:tcW w:w="57" w:type="pct"/>
            <w:vAlign w:val="center"/>
            <w:hideMark/>
          </w:tcPr>
          <w:p w14:paraId="516D1FF2" w14:textId="77777777" w:rsidR="00271A02" w:rsidRPr="00621640" w:rsidRDefault="00271A02" w:rsidP="00271A02">
            <w:pPr>
              <w:rPr>
                <w:rFonts w:ascii="Arial" w:hAnsi="Arial" w:cs="Arial"/>
                <w:sz w:val="24"/>
                <w:szCs w:val="24"/>
                <w:lang w:val="en-GB" w:eastAsia="en-GB"/>
              </w:rPr>
            </w:pPr>
          </w:p>
        </w:tc>
      </w:tr>
      <w:tr w:rsidR="00A53B77" w14:paraId="08E14D91" w14:textId="77777777" w:rsidTr="00A14453">
        <w:trPr>
          <w:trHeight w:val="600"/>
        </w:trPr>
        <w:tc>
          <w:tcPr>
            <w:tcW w:w="634" w:type="pct"/>
            <w:vMerge/>
            <w:tcBorders>
              <w:top w:val="nil"/>
              <w:left w:val="single" w:sz="4" w:space="0" w:color="auto"/>
              <w:bottom w:val="single" w:sz="4" w:space="0" w:color="auto"/>
              <w:right w:val="single" w:sz="4" w:space="0" w:color="auto"/>
            </w:tcBorders>
            <w:vAlign w:val="center"/>
            <w:hideMark/>
          </w:tcPr>
          <w:p w14:paraId="660D9BB7" w14:textId="77777777" w:rsidR="00271A02" w:rsidRPr="00621640" w:rsidRDefault="00271A02" w:rsidP="00271A02">
            <w:pPr>
              <w:rPr>
                <w:rFonts w:ascii="Arial" w:hAnsi="Arial" w:cs="Arial"/>
                <w:b/>
                <w:bCs/>
                <w:color w:val="FFFFFF"/>
                <w:sz w:val="24"/>
                <w:szCs w:val="24"/>
                <w:lang w:val="en-GB" w:eastAsia="en-GB"/>
              </w:rPr>
            </w:pPr>
          </w:p>
        </w:tc>
        <w:tc>
          <w:tcPr>
            <w:tcW w:w="3054" w:type="pct"/>
            <w:tcBorders>
              <w:top w:val="nil"/>
              <w:left w:val="nil"/>
              <w:bottom w:val="single" w:sz="4" w:space="0" w:color="auto"/>
              <w:right w:val="single" w:sz="4" w:space="0" w:color="auto"/>
            </w:tcBorders>
            <w:shd w:val="clear" w:color="auto" w:fill="auto"/>
            <w:vAlign w:val="center"/>
            <w:hideMark/>
          </w:tcPr>
          <w:p w14:paraId="331B9FA9" w14:textId="77777777" w:rsidR="00271A02" w:rsidRPr="00621640" w:rsidRDefault="007004BD" w:rsidP="00271A02">
            <w:pPr>
              <w:rPr>
                <w:rFonts w:ascii="Arial" w:hAnsi="Arial" w:cs="Arial"/>
                <w:color w:val="000000"/>
                <w:sz w:val="24"/>
                <w:szCs w:val="24"/>
                <w:lang w:val="en-GB" w:eastAsia="en-GB"/>
              </w:rPr>
            </w:pPr>
            <w:r w:rsidRPr="00621640">
              <w:rPr>
                <w:rFonts w:ascii="Arial" w:hAnsi="Arial" w:cs="Arial"/>
                <w:color w:val="000000"/>
                <w:sz w:val="24"/>
                <w:szCs w:val="24"/>
                <w:lang w:val="en-GB" w:eastAsia="en-GB"/>
              </w:rPr>
              <w:t>Investment to meet increased demand and costs for Adult Social Care – Memory &amp; Cognition Services</w:t>
            </w:r>
          </w:p>
        </w:tc>
        <w:tc>
          <w:tcPr>
            <w:tcW w:w="668" w:type="pct"/>
            <w:tcBorders>
              <w:top w:val="nil"/>
              <w:left w:val="nil"/>
              <w:bottom w:val="single" w:sz="4" w:space="0" w:color="auto"/>
              <w:right w:val="single" w:sz="4" w:space="0" w:color="auto"/>
            </w:tcBorders>
            <w:shd w:val="clear" w:color="auto" w:fill="auto"/>
            <w:vAlign w:val="center"/>
            <w:hideMark/>
          </w:tcPr>
          <w:p w14:paraId="45C8EA9D" w14:textId="77777777" w:rsidR="00271A02" w:rsidRPr="00621640" w:rsidRDefault="007004BD" w:rsidP="00271A02">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1.742</w:t>
            </w:r>
          </w:p>
        </w:tc>
        <w:tc>
          <w:tcPr>
            <w:tcW w:w="587" w:type="pct"/>
            <w:tcBorders>
              <w:top w:val="nil"/>
              <w:left w:val="nil"/>
              <w:bottom w:val="single" w:sz="4" w:space="0" w:color="auto"/>
              <w:right w:val="single" w:sz="4" w:space="0" w:color="auto"/>
            </w:tcBorders>
            <w:shd w:val="clear" w:color="000000" w:fill="FFFFFF"/>
            <w:vAlign w:val="center"/>
            <w:hideMark/>
          </w:tcPr>
          <w:p w14:paraId="47DD692B" w14:textId="77777777" w:rsidR="00271A02" w:rsidRPr="00621640" w:rsidRDefault="007004BD" w:rsidP="00271A02">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 </w:t>
            </w:r>
          </w:p>
        </w:tc>
        <w:tc>
          <w:tcPr>
            <w:tcW w:w="57" w:type="pct"/>
            <w:vAlign w:val="center"/>
            <w:hideMark/>
          </w:tcPr>
          <w:p w14:paraId="14187230" w14:textId="77777777" w:rsidR="00271A02" w:rsidRPr="00621640" w:rsidRDefault="00271A02" w:rsidP="00271A02">
            <w:pPr>
              <w:rPr>
                <w:rFonts w:ascii="Arial" w:hAnsi="Arial" w:cs="Arial"/>
                <w:sz w:val="24"/>
                <w:szCs w:val="24"/>
                <w:lang w:val="en-GB" w:eastAsia="en-GB"/>
              </w:rPr>
            </w:pPr>
          </w:p>
        </w:tc>
      </w:tr>
      <w:tr w:rsidR="00A53B77" w14:paraId="6A0E5A51" w14:textId="77777777" w:rsidTr="00A14453">
        <w:trPr>
          <w:trHeight w:val="600"/>
        </w:trPr>
        <w:tc>
          <w:tcPr>
            <w:tcW w:w="634" w:type="pct"/>
            <w:vMerge/>
            <w:tcBorders>
              <w:top w:val="nil"/>
              <w:left w:val="single" w:sz="4" w:space="0" w:color="auto"/>
              <w:bottom w:val="single" w:sz="4" w:space="0" w:color="auto"/>
              <w:right w:val="single" w:sz="4" w:space="0" w:color="auto"/>
            </w:tcBorders>
            <w:vAlign w:val="center"/>
            <w:hideMark/>
          </w:tcPr>
          <w:p w14:paraId="46697B02" w14:textId="77777777" w:rsidR="00271A02" w:rsidRPr="00621640" w:rsidRDefault="00271A02" w:rsidP="00271A02">
            <w:pPr>
              <w:rPr>
                <w:rFonts w:ascii="Arial" w:hAnsi="Arial" w:cs="Arial"/>
                <w:b/>
                <w:bCs/>
                <w:color w:val="FFFFFF"/>
                <w:sz w:val="24"/>
                <w:szCs w:val="24"/>
                <w:lang w:val="en-GB" w:eastAsia="en-GB"/>
              </w:rPr>
            </w:pPr>
          </w:p>
        </w:tc>
        <w:tc>
          <w:tcPr>
            <w:tcW w:w="3054" w:type="pct"/>
            <w:tcBorders>
              <w:top w:val="nil"/>
              <w:left w:val="nil"/>
              <w:bottom w:val="single" w:sz="4" w:space="0" w:color="auto"/>
              <w:right w:val="single" w:sz="4" w:space="0" w:color="auto"/>
            </w:tcBorders>
            <w:shd w:val="clear" w:color="auto" w:fill="auto"/>
            <w:vAlign w:val="center"/>
            <w:hideMark/>
          </w:tcPr>
          <w:p w14:paraId="57A0D291" w14:textId="460EABA3" w:rsidR="00271A02" w:rsidRPr="00621640" w:rsidRDefault="007004BD" w:rsidP="00271A02">
            <w:pPr>
              <w:rPr>
                <w:rFonts w:ascii="Arial" w:hAnsi="Arial" w:cs="Arial"/>
                <w:color w:val="000000"/>
                <w:sz w:val="24"/>
                <w:szCs w:val="24"/>
                <w:lang w:val="en-GB" w:eastAsia="en-GB"/>
              </w:rPr>
            </w:pPr>
            <w:r w:rsidRPr="00621640">
              <w:rPr>
                <w:rFonts w:ascii="Arial" w:hAnsi="Arial" w:cs="Arial"/>
                <w:color w:val="000000"/>
                <w:sz w:val="24"/>
                <w:szCs w:val="24"/>
                <w:lang w:val="en-GB" w:eastAsia="en-GB"/>
              </w:rPr>
              <w:t>Investment to meet increased demand and costs for Adult Learning Disability including Transitions from Children</w:t>
            </w:r>
            <w:r w:rsidR="0099398E">
              <w:rPr>
                <w:rFonts w:ascii="Arial" w:hAnsi="Arial" w:cs="Arial"/>
                <w:color w:val="000000"/>
                <w:sz w:val="24"/>
                <w:szCs w:val="24"/>
                <w:lang w:val="en-GB" w:eastAsia="en-GB"/>
              </w:rPr>
              <w:t>’s</w:t>
            </w:r>
            <w:r w:rsidRPr="00621640">
              <w:rPr>
                <w:rFonts w:ascii="Arial" w:hAnsi="Arial" w:cs="Arial"/>
                <w:color w:val="000000"/>
                <w:sz w:val="24"/>
                <w:szCs w:val="24"/>
                <w:lang w:val="en-GB" w:eastAsia="en-GB"/>
              </w:rPr>
              <w:t xml:space="preserve"> to Adults</w:t>
            </w:r>
            <w:r w:rsidR="0099398E">
              <w:rPr>
                <w:rFonts w:ascii="Arial" w:hAnsi="Arial" w:cs="Arial"/>
                <w:color w:val="000000"/>
                <w:sz w:val="24"/>
                <w:szCs w:val="24"/>
                <w:lang w:val="en-GB" w:eastAsia="en-GB"/>
              </w:rPr>
              <w:t xml:space="preserve"> services</w:t>
            </w:r>
          </w:p>
        </w:tc>
        <w:tc>
          <w:tcPr>
            <w:tcW w:w="668" w:type="pct"/>
            <w:tcBorders>
              <w:top w:val="nil"/>
              <w:left w:val="nil"/>
              <w:bottom w:val="single" w:sz="4" w:space="0" w:color="auto"/>
              <w:right w:val="single" w:sz="4" w:space="0" w:color="auto"/>
            </w:tcBorders>
            <w:shd w:val="clear" w:color="000000" w:fill="FFFFFF"/>
            <w:vAlign w:val="center"/>
            <w:hideMark/>
          </w:tcPr>
          <w:p w14:paraId="4FBAF285" w14:textId="77777777" w:rsidR="00271A02" w:rsidRPr="00621640" w:rsidRDefault="007004BD" w:rsidP="00271A02">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4.266</w:t>
            </w:r>
          </w:p>
        </w:tc>
        <w:tc>
          <w:tcPr>
            <w:tcW w:w="587" w:type="pct"/>
            <w:tcBorders>
              <w:top w:val="nil"/>
              <w:left w:val="nil"/>
              <w:bottom w:val="single" w:sz="4" w:space="0" w:color="auto"/>
              <w:right w:val="single" w:sz="4" w:space="0" w:color="auto"/>
            </w:tcBorders>
            <w:shd w:val="clear" w:color="000000" w:fill="FFFFFF"/>
            <w:vAlign w:val="center"/>
            <w:hideMark/>
          </w:tcPr>
          <w:p w14:paraId="51F6BD18" w14:textId="77777777" w:rsidR="00271A02" w:rsidRPr="00621640" w:rsidRDefault="007004BD" w:rsidP="00271A02">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 </w:t>
            </w:r>
          </w:p>
        </w:tc>
        <w:tc>
          <w:tcPr>
            <w:tcW w:w="57" w:type="pct"/>
            <w:vAlign w:val="center"/>
            <w:hideMark/>
          </w:tcPr>
          <w:p w14:paraId="01C12753" w14:textId="77777777" w:rsidR="00271A02" w:rsidRPr="00621640" w:rsidRDefault="00271A02" w:rsidP="00271A02">
            <w:pPr>
              <w:rPr>
                <w:rFonts w:ascii="Arial" w:hAnsi="Arial" w:cs="Arial"/>
                <w:sz w:val="24"/>
                <w:szCs w:val="24"/>
                <w:lang w:val="en-GB" w:eastAsia="en-GB"/>
              </w:rPr>
            </w:pPr>
          </w:p>
        </w:tc>
      </w:tr>
      <w:tr w:rsidR="00A53B77" w14:paraId="6A2530DA" w14:textId="77777777" w:rsidTr="00A14453">
        <w:trPr>
          <w:trHeight w:val="600"/>
        </w:trPr>
        <w:tc>
          <w:tcPr>
            <w:tcW w:w="634" w:type="pct"/>
            <w:vMerge/>
            <w:tcBorders>
              <w:top w:val="nil"/>
              <w:left w:val="single" w:sz="4" w:space="0" w:color="auto"/>
              <w:bottom w:val="single" w:sz="4" w:space="0" w:color="auto"/>
              <w:right w:val="single" w:sz="4" w:space="0" w:color="auto"/>
            </w:tcBorders>
            <w:vAlign w:val="center"/>
          </w:tcPr>
          <w:p w14:paraId="28DE5789" w14:textId="77777777" w:rsidR="006B0A47" w:rsidRPr="00621640" w:rsidRDefault="006B0A47" w:rsidP="006B0A47">
            <w:pPr>
              <w:rPr>
                <w:rFonts w:ascii="Arial" w:hAnsi="Arial" w:cs="Arial"/>
                <w:b/>
                <w:bCs/>
                <w:color w:val="FFFFFF"/>
                <w:sz w:val="24"/>
                <w:szCs w:val="24"/>
                <w:lang w:val="en-GB" w:eastAsia="en-GB"/>
              </w:rPr>
            </w:pPr>
          </w:p>
        </w:tc>
        <w:tc>
          <w:tcPr>
            <w:tcW w:w="3054" w:type="pct"/>
            <w:tcBorders>
              <w:top w:val="nil"/>
              <w:left w:val="nil"/>
              <w:bottom w:val="single" w:sz="4" w:space="0" w:color="auto"/>
              <w:right w:val="single" w:sz="4" w:space="0" w:color="auto"/>
            </w:tcBorders>
            <w:shd w:val="clear" w:color="auto" w:fill="auto"/>
            <w:vAlign w:val="center"/>
          </w:tcPr>
          <w:p w14:paraId="74D0E980" w14:textId="730A1535" w:rsidR="006B0A47" w:rsidRPr="00621640" w:rsidRDefault="007004BD" w:rsidP="006B0A47">
            <w:pPr>
              <w:rPr>
                <w:rFonts w:ascii="Arial" w:hAnsi="Arial" w:cs="Arial"/>
                <w:color w:val="000000"/>
                <w:sz w:val="24"/>
                <w:szCs w:val="24"/>
                <w:lang w:val="en-GB" w:eastAsia="en-GB"/>
              </w:rPr>
            </w:pPr>
            <w:r>
              <w:rPr>
                <w:rFonts w:ascii="Arial" w:hAnsi="Arial" w:cs="Arial"/>
                <w:color w:val="000000"/>
                <w:sz w:val="24"/>
                <w:szCs w:val="24"/>
                <w:lang w:val="en-GB" w:eastAsia="en-GB"/>
              </w:rPr>
              <w:t xml:space="preserve">Adult Social Care </w:t>
            </w:r>
            <w:r w:rsidRPr="00621640">
              <w:rPr>
                <w:rFonts w:ascii="Arial" w:hAnsi="Arial" w:cs="Arial"/>
                <w:color w:val="000000"/>
                <w:sz w:val="24"/>
                <w:szCs w:val="24"/>
                <w:lang w:val="en-GB" w:eastAsia="en-GB"/>
              </w:rPr>
              <w:t>Pressures above will be reduced by estimated Market Sustainability funding</w:t>
            </w:r>
          </w:p>
        </w:tc>
        <w:tc>
          <w:tcPr>
            <w:tcW w:w="668" w:type="pct"/>
            <w:tcBorders>
              <w:top w:val="nil"/>
              <w:left w:val="nil"/>
              <w:bottom w:val="single" w:sz="4" w:space="0" w:color="auto"/>
              <w:right w:val="single" w:sz="4" w:space="0" w:color="auto"/>
            </w:tcBorders>
            <w:shd w:val="clear" w:color="000000" w:fill="FFFFFF"/>
            <w:vAlign w:val="center"/>
          </w:tcPr>
          <w:p w14:paraId="0D9ABF53" w14:textId="268CBF61" w:rsidR="006B0A47" w:rsidRPr="00621640" w:rsidRDefault="007004BD" w:rsidP="006B0A47">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-1.050</w:t>
            </w:r>
          </w:p>
        </w:tc>
        <w:tc>
          <w:tcPr>
            <w:tcW w:w="587" w:type="pct"/>
            <w:tcBorders>
              <w:top w:val="nil"/>
              <w:left w:val="nil"/>
              <w:bottom w:val="single" w:sz="4" w:space="0" w:color="auto"/>
              <w:right w:val="single" w:sz="4" w:space="0" w:color="auto"/>
            </w:tcBorders>
            <w:shd w:val="clear" w:color="000000" w:fill="FFFFFF"/>
            <w:vAlign w:val="center"/>
          </w:tcPr>
          <w:p w14:paraId="04AA9551" w14:textId="77777777" w:rsidR="006B0A47" w:rsidRPr="00621640" w:rsidRDefault="006B0A47" w:rsidP="006B0A47">
            <w:pPr>
              <w:jc w:val="right"/>
              <w:rPr>
                <w:rFonts w:ascii="Arial" w:hAnsi="Arial" w:cs="Arial"/>
                <w:color w:val="000000"/>
                <w:sz w:val="24"/>
                <w:szCs w:val="24"/>
                <w:lang w:val="en-GB" w:eastAsia="en-GB"/>
              </w:rPr>
            </w:pPr>
          </w:p>
        </w:tc>
        <w:tc>
          <w:tcPr>
            <w:tcW w:w="57" w:type="pct"/>
            <w:vAlign w:val="center"/>
          </w:tcPr>
          <w:p w14:paraId="1F2F06D1" w14:textId="77777777" w:rsidR="006B0A47" w:rsidRPr="00621640" w:rsidRDefault="006B0A47" w:rsidP="006B0A47">
            <w:pPr>
              <w:rPr>
                <w:rFonts w:ascii="Arial" w:hAnsi="Arial" w:cs="Arial"/>
                <w:sz w:val="24"/>
                <w:szCs w:val="24"/>
                <w:lang w:val="en-GB" w:eastAsia="en-GB"/>
              </w:rPr>
            </w:pPr>
          </w:p>
        </w:tc>
      </w:tr>
      <w:tr w:rsidR="00A53B77" w14:paraId="404DA429" w14:textId="77777777" w:rsidTr="00A14453">
        <w:trPr>
          <w:trHeight w:val="600"/>
        </w:trPr>
        <w:tc>
          <w:tcPr>
            <w:tcW w:w="634" w:type="pct"/>
            <w:vMerge/>
            <w:tcBorders>
              <w:top w:val="nil"/>
              <w:left w:val="single" w:sz="4" w:space="0" w:color="auto"/>
              <w:bottom w:val="single" w:sz="4" w:space="0" w:color="auto"/>
              <w:right w:val="single" w:sz="4" w:space="0" w:color="auto"/>
            </w:tcBorders>
            <w:vAlign w:val="center"/>
            <w:hideMark/>
          </w:tcPr>
          <w:p w14:paraId="43ABB3FD" w14:textId="77777777" w:rsidR="006B0A47" w:rsidRPr="00621640" w:rsidRDefault="006B0A47" w:rsidP="006B0A47">
            <w:pPr>
              <w:rPr>
                <w:rFonts w:ascii="Arial" w:hAnsi="Arial" w:cs="Arial"/>
                <w:b/>
                <w:bCs/>
                <w:color w:val="FFFFFF"/>
                <w:sz w:val="24"/>
                <w:szCs w:val="24"/>
                <w:lang w:val="en-GB" w:eastAsia="en-GB"/>
              </w:rPr>
            </w:pPr>
          </w:p>
        </w:tc>
        <w:tc>
          <w:tcPr>
            <w:tcW w:w="3054" w:type="pct"/>
            <w:tcBorders>
              <w:top w:val="nil"/>
              <w:left w:val="nil"/>
              <w:bottom w:val="single" w:sz="4" w:space="0" w:color="auto"/>
              <w:right w:val="single" w:sz="4" w:space="0" w:color="auto"/>
            </w:tcBorders>
            <w:shd w:val="clear" w:color="auto" w:fill="auto"/>
            <w:vAlign w:val="center"/>
            <w:hideMark/>
          </w:tcPr>
          <w:p w14:paraId="2D24C43B" w14:textId="77777777" w:rsidR="006B0A47" w:rsidRPr="00621640" w:rsidRDefault="007004BD" w:rsidP="006B0A47">
            <w:pPr>
              <w:rPr>
                <w:rFonts w:ascii="Arial" w:hAnsi="Arial" w:cs="Arial"/>
                <w:color w:val="000000"/>
                <w:sz w:val="24"/>
                <w:szCs w:val="24"/>
                <w:lang w:val="en-GB" w:eastAsia="en-GB"/>
              </w:rPr>
            </w:pPr>
            <w:r w:rsidRPr="00621640">
              <w:rPr>
                <w:rFonts w:ascii="Arial" w:hAnsi="Arial" w:cs="Arial"/>
                <w:color w:val="000000"/>
                <w:sz w:val="24"/>
                <w:szCs w:val="24"/>
                <w:lang w:val="en-GB" w:eastAsia="en-GB"/>
              </w:rPr>
              <w:t>Investment to meet increased cost and complexity of need across Children’s Disability and SEND services</w:t>
            </w:r>
          </w:p>
        </w:tc>
        <w:tc>
          <w:tcPr>
            <w:tcW w:w="668" w:type="pct"/>
            <w:tcBorders>
              <w:top w:val="nil"/>
              <w:left w:val="nil"/>
              <w:bottom w:val="single" w:sz="4" w:space="0" w:color="auto"/>
              <w:right w:val="single" w:sz="4" w:space="0" w:color="auto"/>
            </w:tcBorders>
            <w:shd w:val="clear" w:color="000000" w:fill="FFFFFF"/>
            <w:vAlign w:val="center"/>
            <w:hideMark/>
          </w:tcPr>
          <w:p w14:paraId="7688E4AC" w14:textId="77777777" w:rsidR="006B0A47" w:rsidRPr="00621640" w:rsidRDefault="007004BD" w:rsidP="006B0A47">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0.796</w:t>
            </w:r>
          </w:p>
        </w:tc>
        <w:tc>
          <w:tcPr>
            <w:tcW w:w="587" w:type="pct"/>
            <w:tcBorders>
              <w:top w:val="nil"/>
              <w:left w:val="nil"/>
              <w:bottom w:val="single" w:sz="4" w:space="0" w:color="auto"/>
              <w:right w:val="single" w:sz="4" w:space="0" w:color="auto"/>
            </w:tcBorders>
            <w:shd w:val="clear" w:color="000000" w:fill="FFFFFF"/>
            <w:vAlign w:val="center"/>
            <w:hideMark/>
          </w:tcPr>
          <w:p w14:paraId="7CB98122" w14:textId="77777777" w:rsidR="006B0A47" w:rsidRPr="00621640" w:rsidRDefault="007004BD" w:rsidP="006B0A47">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 </w:t>
            </w:r>
          </w:p>
        </w:tc>
        <w:tc>
          <w:tcPr>
            <w:tcW w:w="57" w:type="pct"/>
            <w:vAlign w:val="center"/>
            <w:hideMark/>
          </w:tcPr>
          <w:p w14:paraId="739BEFDB" w14:textId="77777777" w:rsidR="006B0A47" w:rsidRPr="00621640" w:rsidRDefault="006B0A47" w:rsidP="006B0A47">
            <w:pPr>
              <w:rPr>
                <w:rFonts w:ascii="Arial" w:hAnsi="Arial" w:cs="Arial"/>
                <w:sz w:val="24"/>
                <w:szCs w:val="24"/>
                <w:lang w:val="en-GB" w:eastAsia="en-GB"/>
              </w:rPr>
            </w:pPr>
          </w:p>
        </w:tc>
      </w:tr>
      <w:tr w:rsidR="00A53B77" w14:paraId="3D5B6CC2" w14:textId="77777777" w:rsidTr="00A14453">
        <w:trPr>
          <w:trHeight w:val="600"/>
        </w:trPr>
        <w:tc>
          <w:tcPr>
            <w:tcW w:w="634" w:type="pct"/>
            <w:vMerge/>
            <w:tcBorders>
              <w:top w:val="nil"/>
              <w:left w:val="single" w:sz="4" w:space="0" w:color="auto"/>
              <w:bottom w:val="single" w:sz="4" w:space="0" w:color="auto"/>
              <w:right w:val="single" w:sz="4" w:space="0" w:color="auto"/>
            </w:tcBorders>
            <w:vAlign w:val="center"/>
            <w:hideMark/>
          </w:tcPr>
          <w:p w14:paraId="65D1F5DA" w14:textId="77777777" w:rsidR="006B0A47" w:rsidRPr="00621640" w:rsidRDefault="006B0A47" w:rsidP="006B0A47">
            <w:pPr>
              <w:rPr>
                <w:rFonts w:ascii="Arial" w:hAnsi="Arial" w:cs="Arial"/>
                <w:b/>
                <w:bCs/>
                <w:color w:val="FFFFFF"/>
                <w:sz w:val="24"/>
                <w:szCs w:val="24"/>
                <w:lang w:val="en-GB" w:eastAsia="en-GB"/>
              </w:rPr>
            </w:pPr>
          </w:p>
        </w:tc>
        <w:tc>
          <w:tcPr>
            <w:tcW w:w="3054" w:type="pct"/>
            <w:tcBorders>
              <w:top w:val="nil"/>
              <w:left w:val="nil"/>
              <w:bottom w:val="single" w:sz="4" w:space="0" w:color="auto"/>
              <w:right w:val="single" w:sz="4" w:space="0" w:color="auto"/>
            </w:tcBorders>
            <w:shd w:val="clear" w:color="auto" w:fill="auto"/>
            <w:vAlign w:val="center"/>
            <w:hideMark/>
          </w:tcPr>
          <w:p w14:paraId="42D19AB7" w14:textId="77777777" w:rsidR="006B0A47" w:rsidRPr="00621640" w:rsidRDefault="007004BD" w:rsidP="006B0A47">
            <w:pPr>
              <w:rPr>
                <w:rFonts w:ascii="Arial" w:hAnsi="Arial" w:cs="Arial"/>
                <w:color w:val="000000"/>
                <w:sz w:val="24"/>
                <w:szCs w:val="24"/>
                <w:lang w:val="en-GB" w:eastAsia="en-GB"/>
              </w:rPr>
            </w:pPr>
            <w:r w:rsidRPr="00621640">
              <w:rPr>
                <w:rFonts w:ascii="Arial" w:hAnsi="Arial" w:cs="Arial"/>
                <w:color w:val="000000"/>
                <w:sz w:val="24"/>
                <w:szCs w:val="24"/>
                <w:lang w:val="en-GB" w:eastAsia="en-GB"/>
              </w:rPr>
              <w:t>Investment to meet increased cost and complexity of need across Children’s Social Care</w:t>
            </w:r>
          </w:p>
        </w:tc>
        <w:tc>
          <w:tcPr>
            <w:tcW w:w="668" w:type="pct"/>
            <w:tcBorders>
              <w:top w:val="nil"/>
              <w:left w:val="nil"/>
              <w:bottom w:val="single" w:sz="4" w:space="0" w:color="auto"/>
              <w:right w:val="single" w:sz="4" w:space="0" w:color="auto"/>
            </w:tcBorders>
            <w:shd w:val="clear" w:color="000000" w:fill="FFFFFF"/>
            <w:vAlign w:val="center"/>
            <w:hideMark/>
          </w:tcPr>
          <w:p w14:paraId="7E29353E" w14:textId="77777777" w:rsidR="006B0A47" w:rsidRPr="00621640" w:rsidRDefault="007004BD" w:rsidP="006B0A47">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1.768</w:t>
            </w:r>
          </w:p>
        </w:tc>
        <w:tc>
          <w:tcPr>
            <w:tcW w:w="587" w:type="pct"/>
            <w:tcBorders>
              <w:top w:val="nil"/>
              <w:left w:val="nil"/>
              <w:bottom w:val="single" w:sz="4" w:space="0" w:color="auto"/>
              <w:right w:val="single" w:sz="4" w:space="0" w:color="auto"/>
            </w:tcBorders>
            <w:shd w:val="clear" w:color="000000" w:fill="FFFFFF"/>
            <w:vAlign w:val="center"/>
            <w:hideMark/>
          </w:tcPr>
          <w:p w14:paraId="0DEC98C4" w14:textId="77777777" w:rsidR="006B0A47" w:rsidRPr="00621640" w:rsidRDefault="007004BD" w:rsidP="006B0A47">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 </w:t>
            </w:r>
          </w:p>
        </w:tc>
        <w:tc>
          <w:tcPr>
            <w:tcW w:w="57" w:type="pct"/>
            <w:vAlign w:val="center"/>
            <w:hideMark/>
          </w:tcPr>
          <w:p w14:paraId="48AD59D0" w14:textId="77777777" w:rsidR="006B0A47" w:rsidRPr="00621640" w:rsidRDefault="006B0A47" w:rsidP="006B0A47">
            <w:pPr>
              <w:rPr>
                <w:rFonts w:ascii="Arial" w:hAnsi="Arial" w:cs="Arial"/>
                <w:sz w:val="24"/>
                <w:szCs w:val="24"/>
                <w:lang w:val="en-GB" w:eastAsia="en-GB"/>
              </w:rPr>
            </w:pPr>
          </w:p>
        </w:tc>
      </w:tr>
      <w:tr w:rsidR="00A53B77" w14:paraId="2E707C98" w14:textId="77777777" w:rsidTr="00A14453">
        <w:trPr>
          <w:trHeight w:val="300"/>
        </w:trPr>
        <w:tc>
          <w:tcPr>
            <w:tcW w:w="634" w:type="pct"/>
            <w:vMerge/>
            <w:tcBorders>
              <w:top w:val="nil"/>
              <w:left w:val="single" w:sz="4" w:space="0" w:color="auto"/>
              <w:bottom w:val="single" w:sz="4" w:space="0" w:color="auto"/>
              <w:right w:val="single" w:sz="4" w:space="0" w:color="auto"/>
            </w:tcBorders>
            <w:vAlign w:val="center"/>
            <w:hideMark/>
          </w:tcPr>
          <w:p w14:paraId="77683367" w14:textId="77777777" w:rsidR="006B0A47" w:rsidRPr="00621640" w:rsidRDefault="006B0A47" w:rsidP="006B0A47">
            <w:pPr>
              <w:rPr>
                <w:rFonts w:ascii="Arial" w:hAnsi="Arial" w:cs="Arial"/>
                <w:b/>
                <w:bCs/>
                <w:color w:val="FFFFFF"/>
                <w:sz w:val="24"/>
                <w:szCs w:val="24"/>
                <w:lang w:val="en-GB" w:eastAsia="en-GB"/>
              </w:rPr>
            </w:pPr>
          </w:p>
        </w:tc>
        <w:tc>
          <w:tcPr>
            <w:tcW w:w="3054" w:type="pct"/>
            <w:tcBorders>
              <w:top w:val="nil"/>
              <w:left w:val="nil"/>
              <w:bottom w:val="single" w:sz="4" w:space="0" w:color="auto"/>
              <w:right w:val="single" w:sz="4" w:space="0" w:color="auto"/>
            </w:tcBorders>
            <w:shd w:val="clear" w:color="auto" w:fill="auto"/>
            <w:vAlign w:val="center"/>
            <w:hideMark/>
          </w:tcPr>
          <w:p w14:paraId="7388E9F4" w14:textId="77777777" w:rsidR="006B0A47" w:rsidRPr="00621640" w:rsidRDefault="007004BD" w:rsidP="006B0A47">
            <w:pPr>
              <w:rPr>
                <w:rFonts w:ascii="Arial" w:hAnsi="Arial" w:cs="Arial"/>
                <w:color w:val="000000"/>
                <w:sz w:val="24"/>
                <w:szCs w:val="24"/>
                <w:lang w:val="en-GB" w:eastAsia="en-GB"/>
              </w:rPr>
            </w:pPr>
            <w:r w:rsidRPr="00621640">
              <w:rPr>
                <w:rFonts w:ascii="Arial" w:hAnsi="Arial" w:cs="Arial"/>
                <w:color w:val="000000"/>
                <w:sz w:val="24"/>
                <w:szCs w:val="24"/>
                <w:lang w:val="en-GB" w:eastAsia="en-GB"/>
              </w:rPr>
              <w:t>Increased funding to meet demands on the Home to School Transport Service</w:t>
            </w:r>
          </w:p>
        </w:tc>
        <w:tc>
          <w:tcPr>
            <w:tcW w:w="668" w:type="pct"/>
            <w:tcBorders>
              <w:top w:val="nil"/>
              <w:left w:val="nil"/>
              <w:bottom w:val="single" w:sz="4" w:space="0" w:color="auto"/>
              <w:right w:val="single" w:sz="4" w:space="0" w:color="auto"/>
            </w:tcBorders>
            <w:shd w:val="clear" w:color="000000" w:fill="FFFFFF"/>
            <w:vAlign w:val="center"/>
            <w:hideMark/>
          </w:tcPr>
          <w:p w14:paraId="66843970" w14:textId="77777777" w:rsidR="006B0A47" w:rsidRPr="00621640" w:rsidRDefault="007004BD" w:rsidP="006B0A47">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1.069</w:t>
            </w:r>
          </w:p>
        </w:tc>
        <w:tc>
          <w:tcPr>
            <w:tcW w:w="587" w:type="pct"/>
            <w:tcBorders>
              <w:top w:val="nil"/>
              <w:left w:val="nil"/>
              <w:bottom w:val="single" w:sz="4" w:space="0" w:color="auto"/>
              <w:right w:val="single" w:sz="4" w:space="0" w:color="auto"/>
            </w:tcBorders>
            <w:shd w:val="clear" w:color="000000" w:fill="FFFFFF"/>
            <w:vAlign w:val="center"/>
            <w:hideMark/>
          </w:tcPr>
          <w:p w14:paraId="799C6B01" w14:textId="77777777" w:rsidR="006B0A47" w:rsidRPr="00621640" w:rsidRDefault="007004BD" w:rsidP="006B0A47">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 </w:t>
            </w:r>
          </w:p>
        </w:tc>
        <w:tc>
          <w:tcPr>
            <w:tcW w:w="57" w:type="pct"/>
            <w:vAlign w:val="center"/>
            <w:hideMark/>
          </w:tcPr>
          <w:p w14:paraId="00C20618" w14:textId="77777777" w:rsidR="006B0A47" w:rsidRPr="00621640" w:rsidRDefault="006B0A47" w:rsidP="006B0A47">
            <w:pPr>
              <w:rPr>
                <w:rFonts w:ascii="Arial" w:hAnsi="Arial" w:cs="Arial"/>
                <w:sz w:val="24"/>
                <w:szCs w:val="24"/>
                <w:lang w:val="en-GB" w:eastAsia="en-GB"/>
              </w:rPr>
            </w:pPr>
          </w:p>
        </w:tc>
      </w:tr>
      <w:tr w:rsidR="00A53B77" w14:paraId="10F78A45" w14:textId="77777777" w:rsidTr="00A14453">
        <w:trPr>
          <w:trHeight w:val="300"/>
        </w:trPr>
        <w:tc>
          <w:tcPr>
            <w:tcW w:w="634" w:type="pct"/>
            <w:vMerge/>
            <w:tcBorders>
              <w:top w:val="nil"/>
              <w:left w:val="single" w:sz="4" w:space="0" w:color="auto"/>
              <w:bottom w:val="single" w:sz="4" w:space="0" w:color="auto"/>
              <w:right w:val="single" w:sz="4" w:space="0" w:color="auto"/>
            </w:tcBorders>
            <w:vAlign w:val="center"/>
            <w:hideMark/>
          </w:tcPr>
          <w:p w14:paraId="2C689DB3" w14:textId="77777777" w:rsidR="006B0A47" w:rsidRPr="00621640" w:rsidRDefault="006B0A47" w:rsidP="006B0A47">
            <w:pPr>
              <w:rPr>
                <w:rFonts w:ascii="Arial" w:hAnsi="Arial" w:cs="Arial"/>
                <w:b/>
                <w:bCs/>
                <w:color w:val="FFFFFF"/>
                <w:sz w:val="24"/>
                <w:szCs w:val="24"/>
                <w:lang w:val="en-GB" w:eastAsia="en-GB"/>
              </w:rPr>
            </w:pPr>
          </w:p>
        </w:tc>
        <w:tc>
          <w:tcPr>
            <w:tcW w:w="3054" w:type="pct"/>
            <w:tcBorders>
              <w:top w:val="nil"/>
              <w:left w:val="nil"/>
              <w:bottom w:val="single" w:sz="4" w:space="0" w:color="auto"/>
              <w:right w:val="single" w:sz="4" w:space="0" w:color="auto"/>
            </w:tcBorders>
            <w:shd w:val="clear" w:color="auto" w:fill="auto"/>
            <w:vAlign w:val="center"/>
            <w:hideMark/>
          </w:tcPr>
          <w:p w14:paraId="4476B022" w14:textId="77777777" w:rsidR="006B0A47" w:rsidRPr="00621640" w:rsidRDefault="007004BD" w:rsidP="006B0A47">
            <w:pPr>
              <w:rPr>
                <w:rFonts w:ascii="Arial" w:hAnsi="Arial" w:cs="Arial"/>
                <w:color w:val="000000"/>
                <w:sz w:val="24"/>
                <w:szCs w:val="24"/>
                <w:lang w:val="en-GB" w:eastAsia="en-GB"/>
              </w:rPr>
            </w:pPr>
            <w:r w:rsidRPr="00621640">
              <w:rPr>
                <w:rFonts w:ascii="Arial" w:hAnsi="Arial" w:cs="Arial"/>
                <w:color w:val="000000"/>
                <w:sz w:val="24"/>
                <w:szCs w:val="24"/>
                <w:lang w:val="en-GB" w:eastAsia="en-GB"/>
              </w:rPr>
              <w:t>Investment in a School Counselling Service pilot</w:t>
            </w:r>
          </w:p>
        </w:tc>
        <w:tc>
          <w:tcPr>
            <w:tcW w:w="668" w:type="pct"/>
            <w:tcBorders>
              <w:top w:val="nil"/>
              <w:left w:val="nil"/>
              <w:bottom w:val="single" w:sz="4" w:space="0" w:color="auto"/>
              <w:right w:val="single" w:sz="4" w:space="0" w:color="auto"/>
            </w:tcBorders>
            <w:shd w:val="clear" w:color="000000" w:fill="FFFFFF"/>
            <w:vAlign w:val="center"/>
            <w:hideMark/>
          </w:tcPr>
          <w:p w14:paraId="184FF137" w14:textId="77777777" w:rsidR="006B0A47" w:rsidRPr="00621640" w:rsidRDefault="007004BD" w:rsidP="006B0A47">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0.200</w:t>
            </w:r>
          </w:p>
        </w:tc>
        <w:tc>
          <w:tcPr>
            <w:tcW w:w="587" w:type="pct"/>
            <w:tcBorders>
              <w:top w:val="nil"/>
              <w:left w:val="nil"/>
              <w:bottom w:val="single" w:sz="4" w:space="0" w:color="auto"/>
              <w:right w:val="single" w:sz="4" w:space="0" w:color="auto"/>
            </w:tcBorders>
            <w:shd w:val="clear" w:color="000000" w:fill="FFFFFF"/>
            <w:vAlign w:val="center"/>
            <w:hideMark/>
          </w:tcPr>
          <w:p w14:paraId="4DE59981" w14:textId="77777777" w:rsidR="006B0A47" w:rsidRPr="00621640" w:rsidRDefault="007004BD" w:rsidP="006B0A47">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 </w:t>
            </w:r>
          </w:p>
        </w:tc>
        <w:tc>
          <w:tcPr>
            <w:tcW w:w="57" w:type="pct"/>
            <w:vAlign w:val="center"/>
            <w:hideMark/>
          </w:tcPr>
          <w:p w14:paraId="7C3ED17C" w14:textId="77777777" w:rsidR="006B0A47" w:rsidRPr="00621640" w:rsidRDefault="006B0A47" w:rsidP="006B0A47">
            <w:pPr>
              <w:rPr>
                <w:rFonts w:ascii="Arial" w:hAnsi="Arial" w:cs="Arial"/>
                <w:sz w:val="24"/>
                <w:szCs w:val="24"/>
                <w:lang w:val="en-GB" w:eastAsia="en-GB"/>
              </w:rPr>
            </w:pPr>
          </w:p>
        </w:tc>
      </w:tr>
      <w:tr w:rsidR="00A53B77" w14:paraId="1B8B96D7" w14:textId="77777777" w:rsidTr="00A14453">
        <w:trPr>
          <w:trHeight w:val="600"/>
        </w:trPr>
        <w:tc>
          <w:tcPr>
            <w:tcW w:w="634" w:type="pct"/>
            <w:vMerge/>
            <w:tcBorders>
              <w:top w:val="nil"/>
              <w:left w:val="single" w:sz="4" w:space="0" w:color="auto"/>
              <w:bottom w:val="single" w:sz="4" w:space="0" w:color="auto"/>
              <w:right w:val="single" w:sz="4" w:space="0" w:color="auto"/>
            </w:tcBorders>
            <w:vAlign w:val="center"/>
            <w:hideMark/>
          </w:tcPr>
          <w:p w14:paraId="0380353D" w14:textId="77777777" w:rsidR="006B0A47" w:rsidRPr="00621640" w:rsidRDefault="006B0A47" w:rsidP="006B0A47">
            <w:pPr>
              <w:rPr>
                <w:rFonts w:ascii="Arial" w:hAnsi="Arial" w:cs="Arial"/>
                <w:b/>
                <w:bCs/>
                <w:color w:val="FFFFFF"/>
                <w:sz w:val="24"/>
                <w:szCs w:val="24"/>
                <w:lang w:val="en-GB" w:eastAsia="en-GB"/>
              </w:rPr>
            </w:pPr>
          </w:p>
        </w:tc>
        <w:tc>
          <w:tcPr>
            <w:tcW w:w="3054" w:type="pct"/>
            <w:tcBorders>
              <w:top w:val="nil"/>
              <w:left w:val="nil"/>
              <w:bottom w:val="single" w:sz="4" w:space="0" w:color="auto"/>
              <w:right w:val="single" w:sz="4" w:space="0" w:color="auto"/>
            </w:tcBorders>
            <w:shd w:val="clear" w:color="auto" w:fill="auto"/>
            <w:vAlign w:val="center"/>
            <w:hideMark/>
          </w:tcPr>
          <w:p w14:paraId="6887132A" w14:textId="77777777" w:rsidR="006B0A47" w:rsidRPr="00621640" w:rsidRDefault="007004BD" w:rsidP="006B0A47">
            <w:pPr>
              <w:rPr>
                <w:rFonts w:ascii="Arial" w:hAnsi="Arial" w:cs="Arial"/>
                <w:color w:val="000000"/>
                <w:sz w:val="24"/>
                <w:szCs w:val="24"/>
                <w:lang w:val="en-GB" w:eastAsia="en-GB"/>
              </w:rPr>
            </w:pPr>
            <w:r w:rsidRPr="00621640">
              <w:rPr>
                <w:rFonts w:ascii="Arial" w:hAnsi="Arial" w:cs="Arial"/>
                <w:color w:val="000000"/>
                <w:sz w:val="24"/>
                <w:szCs w:val="24"/>
                <w:lang w:val="en-GB" w:eastAsia="en-GB"/>
              </w:rPr>
              <w:t>Provision for increased legal support for Adult Social Care safeguarding cases</w:t>
            </w:r>
          </w:p>
        </w:tc>
        <w:tc>
          <w:tcPr>
            <w:tcW w:w="668" w:type="pct"/>
            <w:tcBorders>
              <w:top w:val="nil"/>
              <w:left w:val="nil"/>
              <w:bottom w:val="single" w:sz="4" w:space="0" w:color="auto"/>
              <w:right w:val="single" w:sz="4" w:space="0" w:color="auto"/>
            </w:tcBorders>
            <w:shd w:val="clear" w:color="000000" w:fill="FFFFFF"/>
            <w:vAlign w:val="center"/>
            <w:hideMark/>
          </w:tcPr>
          <w:p w14:paraId="20F72054" w14:textId="77777777" w:rsidR="006B0A47" w:rsidRPr="00621640" w:rsidRDefault="007004BD" w:rsidP="006B0A47">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0.120</w:t>
            </w:r>
          </w:p>
        </w:tc>
        <w:tc>
          <w:tcPr>
            <w:tcW w:w="587" w:type="pct"/>
            <w:tcBorders>
              <w:top w:val="nil"/>
              <w:left w:val="nil"/>
              <w:bottom w:val="single" w:sz="4" w:space="0" w:color="auto"/>
              <w:right w:val="single" w:sz="4" w:space="0" w:color="auto"/>
            </w:tcBorders>
            <w:shd w:val="clear" w:color="000000" w:fill="FFFFFF"/>
            <w:vAlign w:val="center"/>
            <w:hideMark/>
          </w:tcPr>
          <w:p w14:paraId="43A009D6" w14:textId="77777777" w:rsidR="006B0A47" w:rsidRPr="00621640" w:rsidRDefault="007004BD" w:rsidP="006B0A47">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 </w:t>
            </w:r>
          </w:p>
        </w:tc>
        <w:tc>
          <w:tcPr>
            <w:tcW w:w="57" w:type="pct"/>
            <w:vAlign w:val="center"/>
            <w:hideMark/>
          </w:tcPr>
          <w:p w14:paraId="6DA62FFB" w14:textId="77777777" w:rsidR="006B0A47" w:rsidRPr="00621640" w:rsidRDefault="006B0A47" w:rsidP="006B0A47">
            <w:pPr>
              <w:rPr>
                <w:rFonts w:ascii="Arial" w:hAnsi="Arial" w:cs="Arial"/>
                <w:sz w:val="24"/>
                <w:szCs w:val="24"/>
                <w:lang w:val="en-GB" w:eastAsia="en-GB"/>
              </w:rPr>
            </w:pPr>
          </w:p>
        </w:tc>
      </w:tr>
      <w:tr w:rsidR="00A53B77" w14:paraId="015F4310" w14:textId="77777777" w:rsidTr="00A14453">
        <w:trPr>
          <w:trHeight w:val="300"/>
        </w:trPr>
        <w:tc>
          <w:tcPr>
            <w:tcW w:w="634" w:type="pct"/>
            <w:vMerge/>
            <w:tcBorders>
              <w:top w:val="nil"/>
              <w:left w:val="single" w:sz="4" w:space="0" w:color="auto"/>
              <w:bottom w:val="single" w:sz="4" w:space="0" w:color="auto"/>
              <w:right w:val="single" w:sz="4" w:space="0" w:color="auto"/>
            </w:tcBorders>
            <w:vAlign w:val="center"/>
            <w:hideMark/>
          </w:tcPr>
          <w:p w14:paraId="552663E3" w14:textId="77777777" w:rsidR="006B0A47" w:rsidRPr="00621640" w:rsidRDefault="006B0A47" w:rsidP="006B0A47">
            <w:pPr>
              <w:rPr>
                <w:rFonts w:ascii="Arial" w:hAnsi="Arial" w:cs="Arial"/>
                <w:b/>
                <w:bCs/>
                <w:color w:val="FFFFFF"/>
                <w:sz w:val="24"/>
                <w:szCs w:val="24"/>
                <w:lang w:val="en-GB" w:eastAsia="en-GB"/>
              </w:rPr>
            </w:pPr>
          </w:p>
        </w:tc>
        <w:tc>
          <w:tcPr>
            <w:tcW w:w="3054" w:type="pct"/>
            <w:tcBorders>
              <w:top w:val="nil"/>
              <w:left w:val="nil"/>
              <w:bottom w:val="single" w:sz="4" w:space="0" w:color="auto"/>
              <w:right w:val="single" w:sz="4" w:space="0" w:color="auto"/>
            </w:tcBorders>
            <w:shd w:val="clear" w:color="auto" w:fill="auto"/>
            <w:vAlign w:val="center"/>
            <w:hideMark/>
          </w:tcPr>
          <w:p w14:paraId="3CD2D4A1" w14:textId="77777777" w:rsidR="006B0A47" w:rsidRPr="00621640" w:rsidRDefault="007004BD" w:rsidP="006B0A47">
            <w:pPr>
              <w:rPr>
                <w:rFonts w:ascii="Arial" w:hAnsi="Arial" w:cs="Arial"/>
                <w:color w:val="000000"/>
                <w:sz w:val="24"/>
                <w:szCs w:val="24"/>
                <w:lang w:val="en-GB" w:eastAsia="en-GB"/>
              </w:rPr>
            </w:pPr>
            <w:r w:rsidRPr="00621640">
              <w:rPr>
                <w:rFonts w:ascii="Arial" w:hAnsi="Arial" w:cs="Arial"/>
                <w:color w:val="000000"/>
                <w:sz w:val="24"/>
                <w:szCs w:val="24"/>
                <w:lang w:val="en-GB" w:eastAsia="en-GB"/>
              </w:rPr>
              <w:t>Provision for increased recruitment costs across Adult Social Care</w:t>
            </w:r>
          </w:p>
        </w:tc>
        <w:tc>
          <w:tcPr>
            <w:tcW w:w="668" w:type="pct"/>
            <w:tcBorders>
              <w:top w:val="nil"/>
              <w:left w:val="nil"/>
              <w:bottom w:val="single" w:sz="4" w:space="0" w:color="auto"/>
              <w:right w:val="single" w:sz="4" w:space="0" w:color="auto"/>
            </w:tcBorders>
            <w:shd w:val="clear" w:color="000000" w:fill="FFFFFF"/>
            <w:vAlign w:val="center"/>
            <w:hideMark/>
          </w:tcPr>
          <w:p w14:paraId="7F34042B" w14:textId="77777777" w:rsidR="006B0A47" w:rsidRPr="00621640" w:rsidRDefault="007004BD" w:rsidP="006B0A47">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0.065</w:t>
            </w:r>
          </w:p>
        </w:tc>
        <w:tc>
          <w:tcPr>
            <w:tcW w:w="587" w:type="pct"/>
            <w:tcBorders>
              <w:top w:val="nil"/>
              <w:left w:val="nil"/>
              <w:bottom w:val="single" w:sz="4" w:space="0" w:color="auto"/>
              <w:right w:val="single" w:sz="4" w:space="0" w:color="auto"/>
            </w:tcBorders>
            <w:shd w:val="clear" w:color="000000" w:fill="FFFFFF"/>
            <w:vAlign w:val="center"/>
            <w:hideMark/>
          </w:tcPr>
          <w:p w14:paraId="0990E41B" w14:textId="77777777" w:rsidR="006B0A47" w:rsidRPr="00621640" w:rsidRDefault="007004BD" w:rsidP="006B0A47">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 </w:t>
            </w:r>
          </w:p>
        </w:tc>
        <w:tc>
          <w:tcPr>
            <w:tcW w:w="57" w:type="pct"/>
            <w:vAlign w:val="center"/>
            <w:hideMark/>
          </w:tcPr>
          <w:p w14:paraId="168B844D" w14:textId="77777777" w:rsidR="006B0A47" w:rsidRPr="00621640" w:rsidRDefault="006B0A47" w:rsidP="006B0A47">
            <w:pPr>
              <w:rPr>
                <w:rFonts w:ascii="Arial" w:hAnsi="Arial" w:cs="Arial"/>
                <w:sz w:val="24"/>
                <w:szCs w:val="24"/>
                <w:lang w:val="en-GB" w:eastAsia="en-GB"/>
              </w:rPr>
            </w:pPr>
          </w:p>
        </w:tc>
      </w:tr>
      <w:tr w:rsidR="00A53B77" w14:paraId="52DBB4E7" w14:textId="77777777" w:rsidTr="00A14453">
        <w:trPr>
          <w:trHeight w:val="300"/>
        </w:trPr>
        <w:tc>
          <w:tcPr>
            <w:tcW w:w="634" w:type="pct"/>
            <w:vMerge/>
            <w:tcBorders>
              <w:top w:val="nil"/>
              <w:left w:val="single" w:sz="4" w:space="0" w:color="auto"/>
              <w:bottom w:val="single" w:sz="4" w:space="0" w:color="auto"/>
              <w:right w:val="single" w:sz="4" w:space="0" w:color="auto"/>
            </w:tcBorders>
            <w:vAlign w:val="center"/>
          </w:tcPr>
          <w:p w14:paraId="5A8C2B37" w14:textId="77777777" w:rsidR="006B0A47" w:rsidRPr="00621640" w:rsidRDefault="006B0A47" w:rsidP="006B0A47">
            <w:pPr>
              <w:rPr>
                <w:rFonts w:ascii="Arial" w:hAnsi="Arial" w:cs="Arial"/>
                <w:b/>
                <w:bCs/>
                <w:color w:val="FFFFFF"/>
                <w:sz w:val="24"/>
                <w:szCs w:val="24"/>
                <w:lang w:val="en-GB" w:eastAsia="en-GB"/>
              </w:rPr>
            </w:pPr>
          </w:p>
        </w:tc>
        <w:tc>
          <w:tcPr>
            <w:tcW w:w="3054" w:type="pct"/>
            <w:tcBorders>
              <w:top w:val="nil"/>
              <w:left w:val="nil"/>
              <w:bottom w:val="single" w:sz="4" w:space="0" w:color="auto"/>
              <w:right w:val="single" w:sz="4" w:space="0" w:color="auto"/>
            </w:tcBorders>
            <w:shd w:val="clear" w:color="auto" w:fill="auto"/>
            <w:vAlign w:val="center"/>
          </w:tcPr>
          <w:p w14:paraId="4E62B9D1" w14:textId="24945427" w:rsidR="006B0A47" w:rsidRPr="00621640" w:rsidRDefault="007004BD" w:rsidP="006B0A47">
            <w:pPr>
              <w:rPr>
                <w:rFonts w:ascii="Arial" w:hAnsi="Arial" w:cs="Arial"/>
                <w:color w:val="000000"/>
                <w:sz w:val="24"/>
                <w:szCs w:val="24"/>
                <w:lang w:val="en-GB" w:eastAsia="en-GB"/>
              </w:rPr>
            </w:pPr>
            <w:r>
              <w:rPr>
                <w:rFonts w:ascii="Arial" w:hAnsi="Arial" w:cs="Arial"/>
                <w:color w:val="000000"/>
                <w:sz w:val="24"/>
                <w:szCs w:val="24"/>
                <w:lang w:val="en-GB" w:eastAsia="en-GB"/>
              </w:rPr>
              <w:t>Additional provision to facilitate planned School Organisation changes</w:t>
            </w:r>
          </w:p>
        </w:tc>
        <w:tc>
          <w:tcPr>
            <w:tcW w:w="668" w:type="pct"/>
            <w:tcBorders>
              <w:top w:val="nil"/>
              <w:left w:val="nil"/>
              <w:bottom w:val="single" w:sz="4" w:space="0" w:color="auto"/>
              <w:right w:val="single" w:sz="4" w:space="0" w:color="auto"/>
            </w:tcBorders>
            <w:shd w:val="clear" w:color="000000" w:fill="FFFFFF"/>
            <w:vAlign w:val="center"/>
          </w:tcPr>
          <w:p w14:paraId="3C7F62CA" w14:textId="77777777" w:rsidR="006B0A47" w:rsidRPr="00621640" w:rsidRDefault="006B0A47" w:rsidP="006B0A47">
            <w:pPr>
              <w:jc w:val="right"/>
              <w:rPr>
                <w:rFonts w:ascii="Arial" w:hAnsi="Arial" w:cs="Arial"/>
                <w:color w:val="000000"/>
                <w:sz w:val="24"/>
                <w:szCs w:val="24"/>
                <w:lang w:val="en-GB" w:eastAsia="en-GB"/>
              </w:rPr>
            </w:pPr>
          </w:p>
        </w:tc>
        <w:tc>
          <w:tcPr>
            <w:tcW w:w="587" w:type="pct"/>
            <w:tcBorders>
              <w:top w:val="nil"/>
              <w:left w:val="nil"/>
              <w:bottom w:val="single" w:sz="4" w:space="0" w:color="auto"/>
              <w:right w:val="single" w:sz="4" w:space="0" w:color="auto"/>
            </w:tcBorders>
            <w:shd w:val="clear" w:color="000000" w:fill="FFFFFF"/>
            <w:vAlign w:val="center"/>
          </w:tcPr>
          <w:p w14:paraId="7DFDAD61" w14:textId="4E872E46" w:rsidR="006B0A47" w:rsidRPr="00621640" w:rsidRDefault="007004BD" w:rsidP="006B0A47">
            <w:pPr>
              <w:jc w:val="right"/>
              <w:rPr>
                <w:rFonts w:ascii="Arial" w:hAnsi="Arial" w:cs="Arial"/>
                <w:color w:val="000000"/>
                <w:sz w:val="24"/>
                <w:szCs w:val="24"/>
                <w:lang w:val="en-GB" w:eastAsia="en-GB"/>
              </w:rPr>
            </w:pPr>
            <w:r>
              <w:rPr>
                <w:rFonts w:ascii="Arial" w:hAnsi="Arial" w:cs="Arial"/>
                <w:color w:val="000000"/>
                <w:sz w:val="24"/>
                <w:szCs w:val="24"/>
                <w:lang w:val="en-GB" w:eastAsia="en-GB"/>
              </w:rPr>
              <w:t>0.256</w:t>
            </w:r>
          </w:p>
        </w:tc>
        <w:tc>
          <w:tcPr>
            <w:tcW w:w="57" w:type="pct"/>
            <w:vAlign w:val="center"/>
          </w:tcPr>
          <w:p w14:paraId="07F165D1" w14:textId="77777777" w:rsidR="006B0A47" w:rsidRPr="00621640" w:rsidRDefault="006B0A47" w:rsidP="006B0A47">
            <w:pPr>
              <w:rPr>
                <w:rFonts w:ascii="Arial" w:hAnsi="Arial" w:cs="Arial"/>
                <w:sz w:val="24"/>
                <w:szCs w:val="24"/>
                <w:lang w:val="en-GB" w:eastAsia="en-GB"/>
              </w:rPr>
            </w:pPr>
          </w:p>
        </w:tc>
      </w:tr>
      <w:tr w:rsidR="00A53B77" w14:paraId="6D89DD1E" w14:textId="77777777" w:rsidTr="00A14453">
        <w:trPr>
          <w:trHeight w:val="315"/>
        </w:trPr>
        <w:tc>
          <w:tcPr>
            <w:tcW w:w="634" w:type="pct"/>
            <w:vMerge/>
            <w:tcBorders>
              <w:top w:val="nil"/>
              <w:left w:val="single" w:sz="4" w:space="0" w:color="auto"/>
              <w:bottom w:val="single" w:sz="4" w:space="0" w:color="auto"/>
              <w:right w:val="single" w:sz="4" w:space="0" w:color="auto"/>
            </w:tcBorders>
            <w:vAlign w:val="center"/>
            <w:hideMark/>
          </w:tcPr>
          <w:p w14:paraId="59062D39" w14:textId="77777777" w:rsidR="006B0A47" w:rsidRPr="00621640" w:rsidRDefault="006B0A47" w:rsidP="006B0A47">
            <w:pPr>
              <w:rPr>
                <w:rFonts w:ascii="Arial" w:hAnsi="Arial" w:cs="Arial"/>
                <w:b/>
                <w:bCs/>
                <w:color w:val="FFFFFF"/>
                <w:sz w:val="24"/>
                <w:szCs w:val="24"/>
                <w:lang w:val="en-GB" w:eastAsia="en-GB"/>
              </w:rPr>
            </w:pPr>
          </w:p>
        </w:tc>
        <w:tc>
          <w:tcPr>
            <w:tcW w:w="3054" w:type="pct"/>
            <w:tcBorders>
              <w:top w:val="nil"/>
              <w:left w:val="nil"/>
              <w:bottom w:val="single" w:sz="4" w:space="0" w:color="auto"/>
              <w:right w:val="single" w:sz="4" w:space="0" w:color="auto"/>
            </w:tcBorders>
            <w:shd w:val="clear" w:color="000000" w:fill="365F91"/>
            <w:vAlign w:val="center"/>
            <w:hideMark/>
          </w:tcPr>
          <w:p w14:paraId="5D01D4EC" w14:textId="77777777" w:rsidR="006B0A47" w:rsidRPr="00621640" w:rsidRDefault="007004BD" w:rsidP="006B0A47">
            <w:pPr>
              <w:rPr>
                <w:rFonts w:ascii="Arial" w:hAnsi="Arial" w:cs="Arial"/>
                <w:b/>
                <w:bCs/>
                <w:color w:val="FFFFFF"/>
                <w:sz w:val="24"/>
                <w:szCs w:val="24"/>
                <w:lang w:val="en-GB" w:eastAsia="en-GB"/>
              </w:rPr>
            </w:pPr>
            <w:r w:rsidRPr="00621640">
              <w:rPr>
                <w:rFonts w:ascii="Arial" w:hAnsi="Arial" w:cs="Arial"/>
                <w:b/>
                <w:bCs/>
                <w:color w:val="FFFFFF"/>
                <w:sz w:val="24"/>
                <w:szCs w:val="24"/>
                <w:lang w:val="en-GB" w:eastAsia="en-GB"/>
              </w:rPr>
              <w:t>Total Investments - A Healthy City</w:t>
            </w:r>
          </w:p>
        </w:tc>
        <w:tc>
          <w:tcPr>
            <w:tcW w:w="668" w:type="pct"/>
            <w:tcBorders>
              <w:top w:val="nil"/>
              <w:left w:val="nil"/>
              <w:bottom w:val="single" w:sz="4" w:space="0" w:color="auto"/>
              <w:right w:val="single" w:sz="4" w:space="0" w:color="auto"/>
            </w:tcBorders>
            <w:shd w:val="clear" w:color="000000" w:fill="365F91"/>
            <w:vAlign w:val="center"/>
            <w:hideMark/>
          </w:tcPr>
          <w:p w14:paraId="2A524D2F" w14:textId="77777777" w:rsidR="006B0A47" w:rsidRPr="00621640" w:rsidRDefault="007004BD" w:rsidP="006B0A47">
            <w:pPr>
              <w:jc w:val="right"/>
              <w:rPr>
                <w:rFonts w:ascii="Arial" w:hAnsi="Arial" w:cs="Arial"/>
                <w:b/>
                <w:bCs/>
                <w:color w:val="FFFFFF"/>
                <w:sz w:val="24"/>
                <w:szCs w:val="24"/>
                <w:lang w:val="en-GB" w:eastAsia="en-GB"/>
              </w:rPr>
            </w:pPr>
            <w:r w:rsidRPr="00621640">
              <w:rPr>
                <w:rFonts w:ascii="Arial" w:hAnsi="Arial" w:cs="Arial"/>
                <w:b/>
                <w:bCs/>
                <w:color w:val="FFFFFF"/>
                <w:sz w:val="24"/>
                <w:szCs w:val="24"/>
                <w:lang w:val="en-GB" w:eastAsia="en-GB"/>
              </w:rPr>
              <w:t>13.880</w:t>
            </w:r>
          </w:p>
        </w:tc>
        <w:tc>
          <w:tcPr>
            <w:tcW w:w="587" w:type="pct"/>
            <w:tcBorders>
              <w:top w:val="nil"/>
              <w:left w:val="nil"/>
              <w:bottom w:val="single" w:sz="4" w:space="0" w:color="auto"/>
              <w:right w:val="single" w:sz="4" w:space="0" w:color="auto"/>
            </w:tcBorders>
            <w:shd w:val="clear" w:color="000000" w:fill="365F91"/>
            <w:vAlign w:val="center"/>
            <w:hideMark/>
          </w:tcPr>
          <w:p w14:paraId="3267C9AF" w14:textId="5561031C" w:rsidR="006B0A47" w:rsidRPr="00621640" w:rsidRDefault="007004BD" w:rsidP="006B0A47">
            <w:pPr>
              <w:jc w:val="right"/>
              <w:rPr>
                <w:rFonts w:ascii="Arial" w:hAnsi="Arial" w:cs="Arial"/>
                <w:b/>
                <w:bCs/>
                <w:color w:val="FFFFFF"/>
                <w:sz w:val="24"/>
                <w:szCs w:val="24"/>
                <w:lang w:val="en-GB" w:eastAsia="en-GB"/>
              </w:rPr>
            </w:pPr>
            <w:r w:rsidRPr="00621640">
              <w:rPr>
                <w:rFonts w:ascii="Arial" w:hAnsi="Arial" w:cs="Arial"/>
                <w:b/>
                <w:bCs/>
                <w:color w:val="FFFFFF"/>
                <w:sz w:val="24"/>
                <w:szCs w:val="24"/>
                <w:lang w:val="en-GB" w:eastAsia="en-GB"/>
              </w:rPr>
              <w:t>0.</w:t>
            </w:r>
            <w:r>
              <w:rPr>
                <w:rFonts w:ascii="Arial" w:hAnsi="Arial" w:cs="Arial"/>
                <w:b/>
                <w:bCs/>
                <w:color w:val="FFFFFF"/>
                <w:sz w:val="24"/>
                <w:szCs w:val="24"/>
                <w:lang w:val="en-GB" w:eastAsia="en-GB"/>
              </w:rPr>
              <w:t>256</w:t>
            </w:r>
          </w:p>
        </w:tc>
        <w:tc>
          <w:tcPr>
            <w:tcW w:w="57" w:type="pct"/>
            <w:vAlign w:val="center"/>
            <w:hideMark/>
          </w:tcPr>
          <w:p w14:paraId="52B10E99" w14:textId="77777777" w:rsidR="006B0A47" w:rsidRPr="00621640" w:rsidRDefault="006B0A47" w:rsidP="006B0A47">
            <w:pPr>
              <w:rPr>
                <w:rFonts w:ascii="Arial" w:hAnsi="Arial" w:cs="Arial"/>
                <w:sz w:val="24"/>
                <w:szCs w:val="24"/>
                <w:lang w:val="en-GB" w:eastAsia="en-GB"/>
              </w:rPr>
            </w:pPr>
          </w:p>
        </w:tc>
      </w:tr>
      <w:tr w:rsidR="00A53B77" w14:paraId="1C3C15EA" w14:textId="77777777" w:rsidTr="00A14453">
        <w:trPr>
          <w:trHeight w:val="300"/>
        </w:trPr>
        <w:tc>
          <w:tcPr>
            <w:tcW w:w="634" w:type="pct"/>
            <w:vMerge w:val="restart"/>
            <w:tcBorders>
              <w:top w:val="nil"/>
              <w:left w:val="single" w:sz="4" w:space="0" w:color="auto"/>
              <w:bottom w:val="single" w:sz="4" w:space="0" w:color="auto"/>
              <w:right w:val="single" w:sz="4" w:space="0" w:color="auto"/>
            </w:tcBorders>
            <w:shd w:val="clear" w:color="000000" w:fill="BF0953"/>
            <w:textDirection w:val="btLr"/>
            <w:vAlign w:val="center"/>
            <w:hideMark/>
          </w:tcPr>
          <w:p w14:paraId="5CF4CA6C" w14:textId="77777777" w:rsidR="006B0A47" w:rsidRPr="00621640" w:rsidRDefault="007004BD" w:rsidP="006B0A47">
            <w:pPr>
              <w:jc w:val="center"/>
              <w:rPr>
                <w:rFonts w:ascii="Arial" w:hAnsi="Arial" w:cs="Arial"/>
                <w:b/>
                <w:bCs/>
                <w:color w:val="FFFFFF"/>
                <w:sz w:val="24"/>
                <w:szCs w:val="24"/>
                <w:lang w:val="en-GB" w:eastAsia="en-GB"/>
              </w:rPr>
            </w:pPr>
            <w:r w:rsidRPr="00621640">
              <w:rPr>
                <w:rFonts w:ascii="Arial" w:hAnsi="Arial" w:cs="Arial"/>
                <w:b/>
                <w:bCs/>
                <w:color w:val="FFFFFF"/>
                <w:sz w:val="24"/>
                <w:szCs w:val="24"/>
                <w:lang w:val="en-GB" w:eastAsia="en-GB"/>
              </w:rPr>
              <w:t>A Responsive Council with Well-run Services</w:t>
            </w:r>
          </w:p>
        </w:tc>
        <w:tc>
          <w:tcPr>
            <w:tcW w:w="3054" w:type="pct"/>
            <w:tcBorders>
              <w:top w:val="nil"/>
              <w:left w:val="nil"/>
              <w:bottom w:val="single" w:sz="4" w:space="0" w:color="auto"/>
              <w:right w:val="single" w:sz="4" w:space="0" w:color="auto"/>
            </w:tcBorders>
            <w:shd w:val="clear" w:color="auto" w:fill="auto"/>
            <w:vAlign w:val="center"/>
            <w:hideMark/>
          </w:tcPr>
          <w:p w14:paraId="36067B42" w14:textId="6F0277F0" w:rsidR="006B0A47" w:rsidRPr="00621640" w:rsidRDefault="007004BD" w:rsidP="006B0A47">
            <w:pPr>
              <w:rPr>
                <w:rFonts w:ascii="Arial" w:hAnsi="Arial" w:cs="Arial"/>
                <w:color w:val="000000"/>
                <w:sz w:val="24"/>
                <w:szCs w:val="24"/>
                <w:lang w:val="en-GB" w:eastAsia="en-GB"/>
              </w:rPr>
            </w:pPr>
            <w:r w:rsidRPr="00621640">
              <w:rPr>
                <w:rFonts w:ascii="Arial" w:hAnsi="Arial" w:cs="Arial"/>
                <w:color w:val="000000"/>
                <w:sz w:val="24"/>
                <w:szCs w:val="24"/>
                <w:lang w:val="en-GB" w:eastAsia="en-GB"/>
              </w:rPr>
              <w:t>Provision for increased corporate energy contract costs</w:t>
            </w:r>
          </w:p>
        </w:tc>
        <w:tc>
          <w:tcPr>
            <w:tcW w:w="668" w:type="pct"/>
            <w:tcBorders>
              <w:top w:val="nil"/>
              <w:left w:val="nil"/>
              <w:bottom w:val="single" w:sz="4" w:space="0" w:color="auto"/>
              <w:right w:val="single" w:sz="4" w:space="0" w:color="auto"/>
            </w:tcBorders>
            <w:shd w:val="clear" w:color="000000" w:fill="FFFFFF"/>
            <w:vAlign w:val="center"/>
            <w:hideMark/>
          </w:tcPr>
          <w:p w14:paraId="31B36DA4" w14:textId="02D309AB" w:rsidR="006B0A47" w:rsidRPr="00621640" w:rsidRDefault="007004BD" w:rsidP="006B0A47">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0.160</w:t>
            </w:r>
          </w:p>
        </w:tc>
        <w:tc>
          <w:tcPr>
            <w:tcW w:w="587" w:type="pct"/>
            <w:tcBorders>
              <w:top w:val="nil"/>
              <w:left w:val="nil"/>
              <w:bottom w:val="single" w:sz="4" w:space="0" w:color="auto"/>
              <w:right w:val="single" w:sz="4" w:space="0" w:color="auto"/>
            </w:tcBorders>
            <w:shd w:val="clear" w:color="000000" w:fill="FFFFFF"/>
            <w:vAlign w:val="center"/>
            <w:hideMark/>
          </w:tcPr>
          <w:p w14:paraId="4B81FE2D" w14:textId="77777777" w:rsidR="006B0A47" w:rsidRPr="00621640" w:rsidRDefault="007004BD" w:rsidP="006B0A47">
            <w:pPr>
              <w:jc w:val="right"/>
              <w:rPr>
                <w:rFonts w:ascii="Arial" w:hAnsi="Arial" w:cs="Arial"/>
                <w:color w:val="FFFFFF"/>
                <w:sz w:val="24"/>
                <w:szCs w:val="24"/>
                <w:lang w:val="en-GB" w:eastAsia="en-GB"/>
              </w:rPr>
            </w:pPr>
            <w:r w:rsidRPr="00621640">
              <w:rPr>
                <w:rFonts w:ascii="Arial" w:hAnsi="Arial" w:cs="Arial"/>
                <w:color w:val="FFFFFF"/>
                <w:sz w:val="24"/>
                <w:szCs w:val="24"/>
                <w:lang w:val="en-GB" w:eastAsia="en-GB"/>
              </w:rPr>
              <w:t> </w:t>
            </w:r>
          </w:p>
        </w:tc>
        <w:tc>
          <w:tcPr>
            <w:tcW w:w="57" w:type="pct"/>
            <w:vAlign w:val="center"/>
            <w:hideMark/>
          </w:tcPr>
          <w:p w14:paraId="5500D6C5" w14:textId="77777777" w:rsidR="006B0A47" w:rsidRPr="00621640" w:rsidRDefault="006B0A47" w:rsidP="006B0A47">
            <w:pPr>
              <w:rPr>
                <w:rFonts w:ascii="Arial" w:hAnsi="Arial" w:cs="Arial"/>
                <w:sz w:val="24"/>
                <w:szCs w:val="24"/>
                <w:lang w:val="en-GB" w:eastAsia="en-GB"/>
              </w:rPr>
            </w:pPr>
          </w:p>
        </w:tc>
      </w:tr>
      <w:tr w:rsidR="00A53B77" w14:paraId="00CF067C" w14:textId="77777777" w:rsidTr="00A14453">
        <w:trPr>
          <w:trHeight w:val="300"/>
        </w:trPr>
        <w:tc>
          <w:tcPr>
            <w:tcW w:w="634" w:type="pct"/>
            <w:vMerge/>
            <w:tcBorders>
              <w:top w:val="nil"/>
              <w:left w:val="single" w:sz="4" w:space="0" w:color="auto"/>
              <w:bottom w:val="single" w:sz="4" w:space="0" w:color="auto"/>
              <w:right w:val="single" w:sz="4" w:space="0" w:color="auto"/>
            </w:tcBorders>
            <w:vAlign w:val="center"/>
            <w:hideMark/>
          </w:tcPr>
          <w:p w14:paraId="41D222A1" w14:textId="77777777" w:rsidR="006B0A47" w:rsidRPr="00621640" w:rsidRDefault="006B0A47" w:rsidP="006B0A47">
            <w:pPr>
              <w:rPr>
                <w:rFonts w:ascii="Arial" w:hAnsi="Arial" w:cs="Arial"/>
                <w:b/>
                <w:bCs/>
                <w:color w:val="FFFFFF"/>
                <w:sz w:val="24"/>
                <w:szCs w:val="24"/>
                <w:lang w:val="en-GB" w:eastAsia="en-GB"/>
              </w:rPr>
            </w:pPr>
          </w:p>
        </w:tc>
        <w:tc>
          <w:tcPr>
            <w:tcW w:w="3054" w:type="pct"/>
            <w:tcBorders>
              <w:top w:val="nil"/>
              <w:left w:val="nil"/>
              <w:bottom w:val="single" w:sz="4" w:space="0" w:color="auto"/>
              <w:right w:val="single" w:sz="4" w:space="0" w:color="auto"/>
            </w:tcBorders>
            <w:shd w:val="clear" w:color="auto" w:fill="auto"/>
            <w:vAlign w:val="center"/>
            <w:hideMark/>
          </w:tcPr>
          <w:p w14:paraId="35873F0C" w14:textId="77777777" w:rsidR="006B0A47" w:rsidRPr="00621640" w:rsidRDefault="007004BD" w:rsidP="006B0A47">
            <w:pPr>
              <w:rPr>
                <w:rFonts w:ascii="Arial" w:hAnsi="Arial" w:cs="Arial"/>
                <w:color w:val="000000"/>
                <w:sz w:val="24"/>
                <w:szCs w:val="24"/>
                <w:lang w:val="en-GB" w:eastAsia="en-GB"/>
              </w:rPr>
            </w:pPr>
            <w:r w:rsidRPr="00621640">
              <w:rPr>
                <w:rFonts w:ascii="Arial" w:hAnsi="Arial" w:cs="Arial"/>
                <w:color w:val="000000"/>
                <w:sz w:val="24"/>
                <w:szCs w:val="24"/>
                <w:lang w:val="en-GB" w:eastAsia="en-GB"/>
              </w:rPr>
              <w:t>Provision for increased Housing Benefit subsidy loss</w:t>
            </w:r>
          </w:p>
        </w:tc>
        <w:tc>
          <w:tcPr>
            <w:tcW w:w="668" w:type="pct"/>
            <w:tcBorders>
              <w:top w:val="nil"/>
              <w:left w:val="nil"/>
              <w:bottom w:val="single" w:sz="4" w:space="0" w:color="auto"/>
              <w:right w:val="single" w:sz="4" w:space="0" w:color="auto"/>
            </w:tcBorders>
            <w:shd w:val="clear" w:color="000000" w:fill="FFFFFF"/>
            <w:vAlign w:val="center"/>
            <w:hideMark/>
          </w:tcPr>
          <w:p w14:paraId="208A90EB" w14:textId="77777777" w:rsidR="006B0A47" w:rsidRPr="00621640" w:rsidRDefault="007004BD" w:rsidP="006B0A47">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0.700</w:t>
            </w:r>
          </w:p>
        </w:tc>
        <w:tc>
          <w:tcPr>
            <w:tcW w:w="587" w:type="pct"/>
            <w:tcBorders>
              <w:top w:val="nil"/>
              <w:left w:val="nil"/>
              <w:bottom w:val="single" w:sz="4" w:space="0" w:color="auto"/>
              <w:right w:val="single" w:sz="4" w:space="0" w:color="auto"/>
            </w:tcBorders>
            <w:shd w:val="clear" w:color="000000" w:fill="FFFFFF"/>
            <w:vAlign w:val="center"/>
            <w:hideMark/>
          </w:tcPr>
          <w:p w14:paraId="7EE64DE0" w14:textId="77777777" w:rsidR="006B0A47" w:rsidRPr="00621640" w:rsidRDefault="007004BD" w:rsidP="006B0A47">
            <w:pPr>
              <w:jc w:val="right"/>
              <w:rPr>
                <w:rFonts w:ascii="Arial" w:hAnsi="Arial" w:cs="Arial"/>
                <w:color w:val="FFFFFF"/>
                <w:sz w:val="24"/>
                <w:szCs w:val="24"/>
                <w:lang w:val="en-GB" w:eastAsia="en-GB"/>
              </w:rPr>
            </w:pPr>
            <w:r w:rsidRPr="00621640">
              <w:rPr>
                <w:rFonts w:ascii="Arial" w:hAnsi="Arial" w:cs="Arial"/>
                <w:color w:val="FFFFFF"/>
                <w:sz w:val="24"/>
                <w:szCs w:val="24"/>
                <w:lang w:val="en-GB" w:eastAsia="en-GB"/>
              </w:rPr>
              <w:t> </w:t>
            </w:r>
          </w:p>
        </w:tc>
        <w:tc>
          <w:tcPr>
            <w:tcW w:w="57" w:type="pct"/>
            <w:vAlign w:val="center"/>
            <w:hideMark/>
          </w:tcPr>
          <w:p w14:paraId="644687A7" w14:textId="77777777" w:rsidR="006B0A47" w:rsidRPr="00621640" w:rsidRDefault="006B0A47" w:rsidP="006B0A47">
            <w:pPr>
              <w:rPr>
                <w:rFonts w:ascii="Arial" w:hAnsi="Arial" w:cs="Arial"/>
                <w:sz w:val="24"/>
                <w:szCs w:val="24"/>
                <w:lang w:val="en-GB" w:eastAsia="en-GB"/>
              </w:rPr>
            </w:pPr>
          </w:p>
        </w:tc>
      </w:tr>
      <w:tr w:rsidR="00A53B77" w14:paraId="215D669C" w14:textId="77777777" w:rsidTr="00A14453">
        <w:trPr>
          <w:trHeight w:val="300"/>
        </w:trPr>
        <w:tc>
          <w:tcPr>
            <w:tcW w:w="634" w:type="pct"/>
            <w:vMerge/>
            <w:tcBorders>
              <w:top w:val="nil"/>
              <w:left w:val="single" w:sz="4" w:space="0" w:color="auto"/>
              <w:bottom w:val="single" w:sz="4" w:space="0" w:color="auto"/>
              <w:right w:val="single" w:sz="4" w:space="0" w:color="auto"/>
            </w:tcBorders>
            <w:vAlign w:val="center"/>
            <w:hideMark/>
          </w:tcPr>
          <w:p w14:paraId="21387D58" w14:textId="77777777" w:rsidR="006B0A47" w:rsidRPr="00621640" w:rsidRDefault="006B0A47" w:rsidP="006B0A47">
            <w:pPr>
              <w:rPr>
                <w:rFonts w:ascii="Arial" w:hAnsi="Arial" w:cs="Arial"/>
                <w:b/>
                <w:bCs/>
                <w:color w:val="FFFFFF"/>
                <w:sz w:val="24"/>
                <w:szCs w:val="24"/>
                <w:lang w:val="en-GB" w:eastAsia="en-GB"/>
              </w:rPr>
            </w:pPr>
          </w:p>
        </w:tc>
        <w:tc>
          <w:tcPr>
            <w:tcW w:w="3054" w:type="pct"/>
            <w:tcBorders>
              <w:top w:val="nil"/>
              <w:left w:val="nil"/>
              <w:bottom w:val="single" w:sz="4" w:space="0" w:color="auto"/>
              <w:right w:val="single" w:sz="4" w:space="0" w:color="auto"/>
            </w:tcBorders>
            <w:shd w:val="clear" w:color="auto" w:fill="auto"/>
            <w:vAlign w:val="center"/>
            <w:hideMark/>
          </w:tcPr>
          <w:p w14:paraId="0F2D5896" w14:textId="77777777" w:rsidR="006B0A47" w:rsidRPr="00621640" w:rsidRDefault="007004BD" w:rsidP="006B0A47">
            <w:pPr>
              <w:rPr>
                <w:rFonts w:ascii="Arial" w:hAnsi="Arial" w:cs="Arial"/>
                <w:color w:val="000000"/>
                <w:sz w:val="24"/>
                <w:szCs w:val="24"/>
                <w:lang w:val="en-GB" w:eastAsia="en-GB"/>
              </w:rPr>
            </w:pPr>
            <w:r w:rsidRPr="00621640">
              <w:rPr>
                <w:rFonts w:ascii="Arial" w:hAnsi="Arial" w:cs="Arial"/>
                <w:color w:val="000000"/>
                <w:sz w:val="24"/>
                <w:szCs w:val="24"/>
                <w:lang w:val="en-GB" w:eastAsia="en-GB"/>
              </w:rPr>
              <w:t>Contractual uplifts to maintain security, cleaning and other contracted services</w:t>
            </w:r>
          </w:p>
        </w:tc>
        <w:tc>
          <w:tcPr>
            <w:tcW w:w="668" w:type="pct"/>
            <w:tcBorders>
              <w:top w:val="nil"/>
              <w:left w:val="nil"/>
              <w:bottom w:val="single" w:sz="4" w:space="0" w:color="auto"/>
              <w:right w:val="single" w:sz="4" w:space="0" w:color="auto"/>
            </w:tcBorders>
            <w:shd w:val="clear" w:color="000000" w:fill="FFFFFF"/>
            <w:vAlign w:val="center"/>
            <w:hideMark/>
          </w:tcPr>
          <w:p w14:paraId="59AC39A3" w14:textId="77777777" w:rsidR="006B0A47" w:rsidRPr="00621640" w:rsidRDefault="007004BD" w:rsidP="006B0A47">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0.397</w:t>
            </w:r>
          </w:p>
        </w:tc>
        <w:tc>
          <w:tcPr>
            <w:tcW w:w="587" w:type="pct"/>
            <w:tcBorders>
              <w:top w:val="nil"/>
              <w:left w:val="nil"/>
              <w:bottom w:val="single" w:sz="4" w:space="0" w:color="auto"/>
              <w:right w:val="single" w:sz="4" w:space="0" w:color="auto"/>
            </w:tcBorders>
            <w:shd w:val="clear" w:color="000000" w:fill="FFFFFF"/>
            <w:vAlign w:val="center"/>
            <w:hideMark/>
          </w:tcPr>
          <w:p w14:paraId="3F2BFAD1" w14:textId="77777777" w:rsidR="006B0A47" w:rsidRPr="00621640" w:rsidRDefault="007004BD" w:rsidP="006B0A47">
            <w:pPr>
              <w:jc w:val="right"/>
              <w:rPr>
                <w:rFonts w:ascii="Arial" w:hAnsi="Arial" w:cs="Arial"/>
                <w:color w:val="FFFFFF"/>
                <w:sz w:val="24"/>
                <w:szCs w:val="24"/>
                <w:lang w:val="en-GB" w:eastAsia="en-GB"/>
              </w:rPr>
            </w:pPr>
            <w:r w:rsidRPr="00621640">
              <w:rPr>
                <w:rFonts w:ascii="Arial" w:hAnsi="Arial" w:cs="Arial"/>
                <w:color w:val="FFFFFF"/>
                <w:sz w:val="24"/>
                <w:szCs w:val="24"/>
                <w:lang w:val="en-GB" w:eastAsia="en-GB"/>
              </w:rPr>
              <w:t> </w:t>
            </w:r>
          </w:p>
        </w:tc>
        <w:tc>
          <w:tcPr>
            <w:tcW w:w="57" w:type="pct"/>
            <w:vAlign w:val="center"/>
            <w:hideMark/>
          </w:tcPr>
          <w:p w14:paraId="154208EF" w14:textId="77777777" w:rsidR="006B0A47" w:rsidRPr="00621640" w:rsidRDefault="006B0A47" w:rsidP="006B0A47">
            <w:pPr>
              <w:rPr>
                <w:rFonts w:ascii="Arial" w:hAnsi="Arial" w:cs="Arial"/>
                <w:sz w:val="24"/>
                <w:szCs w:val="24"/>
                <w:lang w:val="en-GB" w:eastAsia="en-GB"/>
              </w:rPr>
            </w:pPr>
          </w:p>
        </w:tc>
      </w:tr>
      <w:tr w:rsidR="00A53B77" w14:paraId="6BC92006" w14:textId="77777777" w:rsidTr="00A14453">
        <w:trPr>
          <w:trHeight w:val="300"/>
        </w:trPr>
        <w:tc>
          <w:tcPr>
            <w:tcW w:w="634" w:type="pct"/>
            <w:vMerge/>
            <w:tcBorders>
              <w:top w:val="nil"/>
              <w:left w:val="single" w:sz="4" w:space="0" w:color="auto"/>
              <w:bottom w:val="single" w:sz="4" w:space="0" w:color="auto"/>
              <w:right w:val="single" w:sz="4" w:space="0" w:color="auto"/>
            </w:tcBorders>
            <w:vAlign w:val="center"/>
            <w:hideMark/>
          </w:tcPr>
          <w:p w14:paraId="1736217A" w14:textId="77777777" w:rsidR="006B0A47" w:rsidRPr="00621640" w:rsidRDefault="006B0A47" w:rsidP="006B0A47">
            <w:pPr>
              <w:rPr>
                <w:rFonts w:ascii="Arial" w:hAnsi="Arial" w:cs="Arial"/>
                <w:b/>
                <w:bCs/>
                <w:color w:val="FFFFFF"/>
                <w:sz w:val="24"/>
                <w:szCs w:val="24"/>
                <w:lang w:val="en-GB" w:eastAsia="en-GB"/>
              </w:rPr>
            </w:pPr>
          </w:p>
        </w:tc>
        <w:tc>
          <w:tcPr>
            <w:tcW w:w="3054" w:type="pct"/>
            <w:tcBorders>
              <w:top w:val="nil"/>
              <w:left w:val="nil"/>
              <w:bottom w:val="single" w:sz="4" w:space="0" w:color="auto"/>
              <w:right w:val="single" w:sz="4" w:space="0" w:color="auto"/>
            </w:tcBorders>
            <w:shd w:val="clear" w:color="auto" w:fill="auto"/>
            <w:vAlign w:val="center"/>
            <w:hideMark/>
          </w:tcPr>
          <w:p w14:paraId="12AEFEA5" w14:textId="77777777" w:rsidR="006B0A47" w:rsidRPr="00621640" w:rsidRDefault="007004BD" w:rsidP="006B0A47">
            <w:pPr>
              <w:rPr>
                <w:rFonts w:ascii="Arial" w:hAnsi="Arial" w:cs="Arial"/>
                <w:sz w:val="24"/>
                <w:szCs w:val="24"/>
                <w:lang w:val="en-GB" w:eastAsia="en-GB"/>
              </w:rPr>
            </w:pPr>
            <w:r w:rsidRPr="00621640">
              <w:rPr>
                <w:rFonts w:ascii="Arial" w:hAnsi="Arial" w:cs="Arial"/>
                <w:sz w:val="24"/>
                <w:szCs w:val="24"/>
                <w:lang w:val="en-GB" w:eastAsia="en-GB"/>
              </w:rPr>
              <w:t>Contractual uplifts to achieve Living Wage commitments</w:t>
            </w:r>
          </w:p>
        </w:tc>
        <w:tc>
          <w:tcPr>
            <w:tcW w:w="668" w:type="pct"/>
            <w:tcBorders>
              <w:top w:val="nil"/>
              <w:left w:val="nil"/>
              <w:bottom w:val="single" w:sz="4" w:space="0" w:color="auto"/>
              <w:right w:val="single" w:sz="4" w:space="0" w:color="auto"/>
            </w:tcBorders>
            <w:shd w:val="clear" w:color="000000" w:fill="FFFFFF"/>
            <w:vAlign w:val="center"/>
            <w:hideMark/>
          </w:tcPr>
          <w:p w14:paraId="5E6BB1B1" w14:textId="77777777" w:rsidR="006B0A47" w:rsidRPr="00621640" w:rsidRDefault="007004BD" w:rsidP="006B0A47">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0.380</w:t>
            </w:r>
          </w:p>
        </w:tc>
        <w:tc>
          <w:tcPr>
            <w:tcW w:w="587" w:type="pct"/>
            <w:tcBorders>
              <w:top w:val="nil"/>
              <w:left w:val="nil"/>
              <w:bottom w:val="single" w:sz="4" w:space="0" w:color="auto"/>
              <w:right w:val="single" w:sz="4" w:space="0" w:color="auto"/>
            </w:tcBorders>
            <w:shd w:val="clear" w:color="000000" w:fill="FFFFFF"/>
            <w:vAlign w:val="center"/>
            <w:hideMark/>
          </w:tcPr>
          <w:p w14:paraId="648CC484" w14:textId="77777777" w:rsidR="006B0A47" w:rsidRPr="00621640" w:rsidRDefault="007004BD" w:rsidP="006B0A47">
            <w:pPr>
              <w:jc w:val="right"/>
              <w:rPr>
                <w:rFonts w:ascii="Arial" w:hAnsi="Arial" w:cs="Arial"/>
                <w:color w:val="FFFFFF"/>
                <w:sz w:val="24"/>
                <w:szCs w:val="24"/>
                <w:lang w:val="en-GB" w:eastAsia="en-GB"/>
              </w:rPr>
            </w:pPr>
            <w:r w:rsidRPr="00621640">
              <w:rPr>
                <w:rFonts w:ascii="Arial" w:hAnsi="Arial" w:cs="Arial"/>
                <w:color w:val="FFFFFF"/>
                <w:sz w:val="24"/>
                <w:szCs w:val="24"/>
                <w:lang w:val="en-GB" w:eastAsia="en-GB"/>
              </w:rPr>
              <w:t> </w:t>
            </w:r>
          </w:p>
        </w:tc>
        <w:tc>
          <w:tcPr>
            <w:tcW w:w="57" w:type="pct"/>
            <w:vAlign w:val="center"/>
            <w:hideMark/>
          </w:tcPr>
          <w:p w14:paraId="075BE767" w14:textId="77777777" w:rsidR="006B0A47" w:rsidRPr="00621640" w:rsidRDefault="006B0A47" w:rsidP="006B0A47">
            <w:pPr>
              <w:rPr>
                <w:rFonts w:ascii="Arial" w:hAnsi="Arial" w:cs="Arial"/>
                <w:sz w:val="24"/>
                <w:szCs w:val="24"/>
                <w:lang w:val="en-GB" w:eastAsia="en-GB"/>
              </w:rPr>
            </w:pPr>
          </w:p>
        </w:tc>
      </w:tr>
      <w:tr w:rsidR="00A53B77" w14:paraId="77E2ECEA" w14:textId="77777777" w:rsidTr="00A14453">
        <w:trPr>
          <w:trHeight w:val="300"/>
        </w:trPr>
        <w:tc>
          <w:tcPr>
            <w:tcW w:w="634" w:type="pct"/>
            <w:vMerge/>
            <w:tcBorders>
              <w:top w:val="nil"/>
              <w:left w:val="single" w:sz="4" w:space="0" w:color="auto"/>
              <w:bottom w:val="single" w:sz="4" w:space="0" w:color="auto"/>
              <w:right w:val="single" w:sz="4" w:space="0" w:color="auto"/>
            </w:tcBorders>
            <w:vAlign w:val="center"/>
            <w:hideMark/>
          </w:tcPr>
          <w:p w14:paraId="1DDE7C92" w14:textId="77777777" w:rsidR="006B0A47" w:rsidRPr="00621640" w:rsidRDefault="006B0A47" w:rsidP="006B0A47">
            <w:pPr>
              <w:rPr>
                <w:rFonts w:ascii="Arial" w:hAnsi="Arial" w:cs="Arial"/>
                <w:b/>
                <w:bCs/>
                <w:color w:val="FFFFFF"/>
                <w:sz w:val="24"/>
                <w:szCs w:val="24"/>
                <w:lang w:val="en-GB" w:eastAsia="en-GB"/>
              </w:rPr>
            </w:pPr>
          </w:p>
        </w:tc>
        <w:tc>
          <w:tcPr>
            <w:tcW w:w="3054" w:type="pct"/>
            <w:tcBorders>
              <w:top w:val="nil"/>
              <w:left w:val="nil"/>
              <w:bottom w:val="single" w:sz="4" w:space="0" w:color="auto"/>
              <w:right w:val="single" w:sz="4" w:space="0" w:color="auto"/>
            </w:tcBorders>
            <w:shd w:val="clear" w:color="auto" w:fill="auto"/>
            <w:vAlign w:val="center"/>
            <w:hideMark/>
          </w:tcPr>
          <w:p w14:paraId="7B5DA036" w14:textId="77777777" w:rsidR="006B0A47" w:rsidRPr="00621640" w:rsidRDefault="007004BD" w:rsidP="006B0A47">
            <w:pPr>
              <w:rPr>
                <w:rFonts w:ascii="Arial" w:hAnsi="Arial" w:cs="Arial"/>
                <w:sz w:val="24"/>
                <w:szCs w:val="24"/>
                <w:lang w:val="en-GB" w:eastAsia="en-GB"/>
              </w:rPr>
            </w:pPr>
            <w:r w:rsidRPr="00621640">
              <w:rPr>
                <w:rFonts w:ascii="Arial" w:hAnsi="Arial" w:cs="Arial"/>
                <w:sz w:val="24"/>
                <w:szCs w:val="24"/>
                <w:lang w:val="en-GB" w:eastAsia="en-GB"/>
              </w:rPr>
              <w:t>Increased costs of maintaining Transport and Parking Infrastructure</w:t>
            </w:r>
          </w:p>
        </w:tc>
        <w:tc>
          <w:tcPr>
            <w:tcW w:w="668" w:type="pct"/>
            <w:tcBorders>
              <w:top w:val="nil"/>
              <w:left w:val="nil"/>
              <w:bottom w:val="single" w:sz="4" w:space="0" w:color="auto"/>
              <w:right w:val="single" w:sz="4" w:space="0" w:color="auto"/>
            </w:tcBorders>
            <w:shd w:val="clear" w:color="000000" w:fill="FFFFFF"/>
            <w:vAlign w:val="center"/>
            <w:hideMark/>
          </w:tcPr>
          <w:p w14:paraId="51D83A24" w14:textId="77777777" w:rsidR="006B0A47" w:rsidRPr="00621640" w:rsidRDefault="007004BD" w:rsidP="006B0A47">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0.350</w:t>
            </w:r>
          </w:p>
        </w:tc>
        <w:tc>
          <w:tcPr>
            <w:tcW w:w="587" w:type="pct"/>
            <w:tcBorders>
              <w:top w:val="nil"/>
              <w:left w:val="nil"/>
              <w:bottom w:val="single" w:sz="4" w:space="0" w:color="auto"/>
              <w:right w:val="single" w:sz="4" w:space="0" w:color="auto"/>
            </w:tcBorders>
            <w:shd w:val="clear" w:color="000000" w:fill="FFFFFF"/>
            <w:vAlign w:val="center"/>
            <w:hideMark/>
          </w:tcPr>
          <w:p w14:paraId="6F3B6119" w14:textId="77777777" w:rsidR="006B0A47" w:rsidRPr="00621640" w:rsidRDefault="007004BD" w:rsidP="006B0A47">
            <w:pPr>
              <w:jc w:val="right"/>
              <w:rPr>
                <w:rFonts w:ascii="Arial" w:hAnsi="Arial" w:cs="Arial"/>
                <w:color w:val="FFFFFF"/>
                <w:sz w:val="24"/>
                <w:szCs w:val="24"/>
                <w:lang w:val="en-GB" w:eastAsia="en-GB"/>
              </w:rPr>
            </w:pPr>
            <w:r w:rsidRPr="00621640">
              <w:rPr>
                <w:rFonts w:ascii="Arial" w:hAnsi="Arial" w:cs="Arial"/>
                <w:color w:val="FFFFFF"/>
                <w:sz w:val="24"/>
                <w:szCs w:val="24"/>
                <w:lang w:val="en-GB" w:eastAsia="en-GB"/>
              </w:rPr>
              <w:t> </w:t>
            </w:r>
          </w:p>
        </w:tc>
        <w:tc>
          <w:tcPr>
            <w:tcW w:w="57" w:type="pct"/>
            <w:vAlign w:val="center"/>
            <w:hideMark/>
          </w:tcPr>
          <w:p w14:paraId="5408FD1C" w14:textId="77777777" w:rsidR="006B0A47" w:rsidRPr="00621640" w:rsidRDefault="006B0A47" w:rsidP="006B0A47">
            <w:pPr>
              <w:rPr>
                <w:rFonts w:ascii="Arial" w:hAnsi="Arial" w:cs="Arial"/>
                <w:sz w:val="24"/>
                <w:szCs w:val="24"/>
                <w:lang w:val="en-GB" w:eastAsia="en-GB"/>
              </w:rPr>
            </w:pPr>
          </w:p>
        </w:tc>
      </w:tr>
      <w:tr w:rsidR="00A53B77" w14:paraId="171F0399" w14:textId="77777777" w:rsidTr="00A14453">
        <w:trPr>
          <w:trHeight w:val="300"/>
        </w:trPr>
        <w:tc>
          <w:tcPr>
            <w:tcW w:w="634" w:type="pct"/>
            <w:vMerge/>
            <w:tcBorders>
              <w:top w:val="nil"/>
              <w:left w:val="single" w:sz="4" w:space="0" w:color="auto"/>
              <w:bottom w:val="single" w:sz="4" w:space="0" w:color="auto"/>
              <w:right w:val="single" w:sz="4" w:space="0" w:color="auto"/>
            </w:tcBorders>
            <w:vAlign w:val="center"/>
            <w:hideMark/>
          </w:tcPr>
          <w:p w14:paraId="57A7D3BA" w14:textId="77777777" w:rsidR="006B0A47" w:rsidRPr="00621640" w:rsidRDefault="006B0A47" w:rsidP="006B0A47">
            <w:pPr>
              <w:rPr>
                <w:rFonts w:ascii="Arial" w:hAnsi="Arial" w:cs="Arial"/>
                <w:b/>
                <w:bCs/>
                <w:color w:val="FFFFFF"/>
                <w:sz w:val="24"/>
                <w:szCs w:val="24"/>
                <w:lang w:val="en-GB" w:eastAsia="en-GB"/>
              </w:rPr>
            </w:pPr>
          </w:p>
        </w:tc>
        <w:tc>
          <w:tcPr>
            <w:tcW w:w="3054" w:type="pct"/>
            <w:tcBorders>
              <w:top w:val="nil"/>
              <w:left w:val="nil"/>
              <w:bottom w:val="single" w:sz="4" w:space="0" w:color="auto"/>
              <w:right w:val="single" w:sz="4" w:space="0" w:color="auto"/>
            </w:tcBorders>
            <w:shd w:val="clear" w:color="auto" w:fill="auto"/>
            <w:vAlign w:val="center"/>
            <w:hideMark/>
          </w:tcPr>
          <w:p w14:paraId="5C727730" w14:textId="77777777" w:rsidR="006B0A47" w:rsidRPr="00621640" w:rsidRDefault="007004BD" w:rsidP="006B0A47">
            <w:pPr>
              <w:rPr>
                <w:rFonts w:ascii="Arial" w:hAnsi="Arial" w:cs="Arial"/>
                <w:sz w:val="24"/>
                <w:szCs w:val="24"/>
                <w:lang w:val="en-GB" w:eastAsia="en-GB"/>
              </w:rPr>
            </w:pPr>
            <w:r w:rsidRPr="00621640">
              <w:rPr>
                <w:rFonts w:ascii="Arial" w:hAnsi="Arial" w:cs="Arial"/>
                <w:sz w:val="24"/>
                <w:szCs w:val="24"/>
                <w:lang w:val="en-GB" w:eastAsia="en-GB"/>
              </w:rPr>
              <w:t>Major income pressure due to economic conditions - Planning Fees</w:t>
            </w:r>
          </w:p>
        </w:tc>
        <w:tc>
          <w:tcPr>
            <w:tcW w:w="668" w:type="pct"/>
            <w:tcBorders>
              <w:top w:val="nil"/>
              <w:left w:val="nil"/>
              <w:bottom w:val="single" w:sz="4" w:space="0" w:color="auto"/>
              <w:right w:val="single" w:sz="4" w:space="0" w:color="auto"/>
            </w:tcBorders>
            <w:shd w:val="clear" w:color="000000" w:fill="FFFFFF"/>
            <w:vAlign w:val="center"/>
            <w:hideMark/>
          </w:tcPr>
          <w:p w14:paraId="2E534681" w14:textId="77777777" w:rsidR="006B0A47" w:rsidRPr="00621640" w:rsidRDefault="007004BD" w:rsidP="006B0A47">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0.600</w:t>
            </w:r>
          </w:p>
        </w:tc>
        <w:tc>
          <w:tcPr>
            <w:tcW w:w="587" w:type="pct"/>
            <w:tcBorders>
              <w:top w:val="nil"/>
              <w:left w:val="nil"/>
              <w:bottom w:val="single" w:sz="4" w:space="0" w:color="auto"/>
              <w:right w:val="single" w:sz="4" w:space="0" w:color="auto"/>
            </w:tcBorders>
            <w:shd w:val="clear" w:color="000000" w:fill="FFFFFF"/>
            <w:vAlign w:val="center"/>
            <w:hideMark/>
          </w:tcPr>
          <w:p w14:paraId="4BC48314" w14:textId="77777777" w:rsidR="006B0A47" w:rsidRPr="00621640" w:rsidRDefault="007004BD" w:rsidP="006B0A47">
            <w:pPr>
              <w:jc w:val="right"/>
              <w:rPr>
                <w:rFonts w:ascii="Arial" w:hAnsi="Arial" w:cs="Arial"/>
                <w:color w:val="FFFFFF"/>
                <w:sz w:val="24"/>
                <w:szCs w:val="24"/>
                <w:lang w:val="en-GB" w:eastAsia="en-GB"/>
              </w:rPr>
            </w:pPr>
            <w:r w:rsidRPr="00621640">
              <w:rPr>
                <w:rFonts w:ascii="Arial" w:hAnsi="Arial" w:cs="Arial"/>
                <w:color w:val="FFFFFF"/>
                <w:sz w:val="24"/>
                <w:szCs w:val="24"/>
                <w:lang w:val="en-GB" w:eastAsia="en-GB"/>
              </w:rPr>
              <w:t> </w:t>
            </w:r>
          </w:p>
        </w:tc>
        <w:tc>
          <w:tcPr>
            <w:tcW w:w="57" w:type="pct"/>
            <w:vAlign w:val="center"/>
            <w:hideMark/>
          </w:tcPr>
          <w:p w14:paraId="4CE5634B" w14:textId="77777777" w:rsidR="006B0A47" w:rsidRPr="00621640" w:rsidRDefault="006B0A47" w:rsidP="006B0A47">
            <w:pPr>
              <w:rPr>
                <w:rFonts w:ascii="Arial" w:hAnsi="Arial" w:cs="Arial"/>
                <w:sz w:val="24"/>
                <w:szCs w:val="24"/>
                <w:lang w:val="en-GB" w:eastAsia="en-GB"/>
              </w:rPr>
            </w:pPr>
          </w:p>
        </w:tc>
      </w:tr>
      <w:tr w:rsidR="00A53B77" w14:paraId="336232C5" w14:textId="77777777" w:rsidTr="00A14453">
        <w:trPr>
          <w:trHeight w:val="600"/>
        </w:trPr>
        <w:tc>
          <w:tcPr>
            <w:tcW w:w="634" w:type="pct"/>
            <w:vMerge/>
            <w:tcBorders>
              <w:top w:val="nil"/>
              <w:left w:val="single" w:sz="4" w:space="0" w:color="auto"/>
              <w:bottom w:val="single" w:sz="4" w:space="0" w:color="auto"/>
              <w:right w:val="single" w:sz="4" w:space="0" w:color="auto"/>
            </w:tcBorders>
            <w:vAlign w:val="center"/>
            <w:hideMark/>
          </w:tcPr>
          <w:p w14:paraId="1BD9C5C6" w14:textId="77777777" w:rsidR="006B0A47" w:rsidRPr="00621640" w:rsidRDefault="006B0A47" w:rsidP="006B0A47">
            <w:pPr>
              <w:rPr>
                <w:rFonts w:ascii="Arial" w:hAnsi="Arial" w:cs="Arial"/>
                <w:b/>
                <w:bCs/>
                <w:color w:val="FFFFFF"/>
                <w:sz w:val="24"/>
                <w:szCs w:val="24"/>
                <w:lang w:val="en-GB" w:eastAsia="en-GB"/>
              </w:rPr>
            </w:pPr>
          </w:p>
        </w:tc>
        <w:tc>
          <w:tcPr>
            <w:tcW w:w="3054" w:type="pct"/>
            <w:tcBorders>
              <w:top w:val="nil"/>
              <w:left w:val="nil"/>
              <w:bottom w:val="single" w:sz="4" w:space="0" w:color="auto"/>
              <w:right w:val="single" w:sz="4" w:space="0" w:color="auto"/>
            </w:tcBorders>
            <w:shd w:val="clear" w:color="auto" w:fill="auto"/>
            <w:vAlign w:val="center"/>
            <w:hideMark/>
          </w:tcPr>
          <w:p w14:paraId="0C84F175" w14:textId="77777777" w:rsidR="006B0A47" w:rsidRPr="00621640" w:rsidRDefault="007004BD" w:rsidP="006B0A47">
            <w:pPr>
              <w:rPr>
                <w:rFonts w:ascii="Arial" w:hAnsi="Arial" w:cs="Arial"/>
                <w:sz w:val="24"/>
                <w:szCs w:val="24"/>
                <w:lang w:val="en-GB" w:eastAsia="en-GB"/>
              </w:rPr>
            </w:pPr>
            <w:r w:rsidRPr="00621640">
              <w:rPr>
                <w:rFonts w:ascii="Arial" w:hAnsi="Arial" w:cs="Arial"/>
                <w:sz w:val="24"/>
                <w:szCs w:val="24"/>
                <w:lang w:val="en-GB" w:eastAsia="en-GB"/>
              </w:rPr>
              <w:t>Major income pressure due to economic conditions - Architecture &amp; Design fees</w:t>
            </w:r>
          </w:p>
        </w:tc>
        <w:tc>
          <w:tcPr>
            <w:tcW w:w="668" w:type="pct"/>
            <w:tcBorders>
              <w:top w:val="nil"/>
              <w:left w:val="nil"/>
              <w:bottom w:val="single" w:sz="4" w:space="0" w:color="auto"/>
              <w:right w:val="single" w:sz="4" w:space="0" w:color="auto"/>
            </w:tcBorders>
            <w:shd w:val="clear" w:color="000000" w:fill="FFFFFF"/>
            <w:vAlign w:val="center"/>
            <w:hideMark/>
          </w:tcPr>
          <w:p w14:paraId="632FD5A4" w14:textId="77777777" w:rsidR="006B0A47" w:rsidRPr="00621640" w:rsidRDefault="007004BD" w:rsidP="006B0A47">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1.701</w:t>
            </w:r>
          </w:p>
        </w:tc>
        <w:tc>
          <w:tcPr>
            <w:tcW w:w="587" w:type="pct"/>
            <w:tcBorders>
              <w:top w:val="nil"/>
              <w:left w:val="nil"/>
              <w:bottom w:val="single" w:sz="4" w:space="0" w:color="auto"/>
              <w:right w:val="single" w:sz="4" w:space="0" w:color="auto"/>
            </w:tcBorders>
            <w:shd w:val="clear" w:color="000000" w:fill="FFFFFF"/>
            <w:vAlign w:val="center"/>
            <w:hideMark/>
          </w:tcPr>
          <w:p w14:paraId="3D23E100" w14:textId="77777777" w:rsidR="006B0A47" w:rsidRPr="00621640" w:rsidRDefault="007004BD" w:rsidP="006B0A47">
            <w:pPr>
              <w:jc w:val="right"/>
              <w:rPr>
                <w:rFonts w:ascii="Arial" w:hAnsi="Arial" w:cs="Arial"/>
                <w:color w:val="FFFFFF"/>
                <w:sz w:val="24"/>
                <w:szCs w:val="24"/>
                <w:lang w:val="en-GB" w:eastAsia="en-GB"/>
              </w:rPr>
            </w:pPr>
            <w:r w:rsidRPr="00621640">
              <w:rPr>
                <w:rFonts w:ascii="Arial" w:hAnsi="Arial" w:cs="Arial"/>
                <w:color w:val="FFFFFF"/>
                <w:sz w:val="24"/>
                <w:szCs w:val="24"/>
                <w:lang w:val="en-GB" w:eastAsia="en-GB"/>
              </w:rPr>
              <w:t> </w:t>
            </w:r>
          </w:p>
        </w:tc>
        <w:tc>
          <w:tcPr>
            <w:tcW w:w="57" w:type="pct"/>
            <w:vAlign w:val="center"/>
            <w:hideMark/>
          </w:tcPr>
          <w:p w14:paraId="247B9079" w14:textId="77777777" w:rsidR="006B0A47" w:rsidRPr="00621640" w:rsidRDefault="006B0A47" w:rsidP="006B0A47">
            <w:pPr>
              <w:rPr>
                <w:rFonts w:ascii="Arial" w:hAnsi="Arial" w:cs="Arial"/>
                <w:sz w:val="24"/>
                <w:szCs w:val="24"/>
                <w:lang w:val="en-GB" w:eastAsia="en-GB"/>
              </w:rPr>
            </w:pPr>
          </w:p>
        </w:tc>
      </w:tr>
      <w:tr w:rsidR="00A53B77" w14:paraId="69EB7B94" w14:textId="77777777" w:rsidTr="00A14453">
        <w:trPr>
          <w:trHeight w:val="300"/>
        </w:trPr>
        <w:tc>
          <w:tcPr>
            <w:tcW w:w="634" w:type="pct"/>
            <w:vMerge/>
            <w:tcBorders>
              <w:top w:val="nil"/>
              <w:left w:val="single" w:sz="4" w:space="0" w:color="auto"/>
              <w:bottom w:val="single" w:sz="4" w:space="0" w:color="auto"/>
              <w:right w:val="single" w:sz="4" w:space="0" w:color="auto"/>
            </w:tcBorders>
            <w:vAlign w:val="center"/>
            <w:hideMark/>
          </w:tcPr>
          <w:p w14:paraId="59428DFA" w14:textId="77777777" w:rsidR="006B0A47" w:rsidRPr="00621640" w:rsidRDefault="006B0A47" w:rsidP="006B0A47">
            <w:pPr>
              <w:rPr>
                <w:rFonts w:ascii="Arial" w:hAnsi="Arial" w:cs="Arial"/>
                <w:b/>
                <w:bCs/>
                <w:color w:val="FFFFFF"/>
                <w:sz w:val="24"/>
                <w:szCs w:val="24"/>
                <w:lang w:val="en-GB" w:eastAsia="en-GB"/>
              </w:rPr>
            </w:pPr>
          </w:p>
        </w:tc>
        <w:tc>
          <w:tcPr>
            <w:tcW w:w="3054" w:type="pct"/>
            <w:tcBorders>
              <w:top w:val="nil"/>
              <w:left w:val="nil"/>
              <w:bottom w:val="single" w:sz="4" w:space="0" w:color="auto"/>
              <w:right w:val="single" w:sz="4" w:space="0" w:color="auto"/>
            </w:tcBorders>
            <w:shd w:val="clear" w:color="auto" w:fill="auto"/>
            <w:vAlign w:val="center"/>
            <w:hideMark/>
          </w:tcPr>
          <w:p w14:paraId="694D8490" w14:textId="3D600A45" w:rsidR="006B0A47" w:rsidRPr="00621640" w:rsidRDefault="007004BD" w:rsidP="006B0A47">
            <w:pPr>
              <w:rPr>
                <w:rFonts w:ascii="Arial" w:hAnsi="Arial" w:cs="Arial"/>
                <w:sz w:val="24"/>
                <w:szCs w:val="24"/>
                <w:lang w:val="en-GB" w:eastAsia="en-GB"/>
              </w:rPr>
            </w:pPr>
            <w:r w:rsidRPr="00621640">
              <w:rPr>
                <w:rFonts w:ascii="Arial" w:hAnsi="Arial" w:cs="Arial"/>
                <w:sz w:val="24"/>
                <w:szCs w:val="24"/>
                <w:lang w:val="en-GB" w:eastAsia="en-GB"/>
              </w:rPr>
              <w:t>Major income pressure due to economic conditions - Commerc</w:t>
            </w:r>
            <w:r>
              <w:rPr>
                <w:rFonts w:ascii="Arial" w:hAnsi="Arial" w:cs="Arial"/>
                <w:sz w:val="24"/>
                <w:szCs w:val="24"/>
                <w:lang w:val="en-GB" w:eastAsia="en-GB"/>
              </w:rPr>
              <w:t>i</w:t>
            </w:r>
            <w:r w:rsidRPr="00621640">
              <w:rPr>
                <w:rFonts w:ascii="Arial" w:hAnsi="Arial" w:cs="Arial"/>
                <w:sz w:val="24"/>
                <w:szCs w:val="24"/>
                <w:lang w:val="en-GB" w:eastAsia="en-GB"/>
              </w:rPr>
              <w:t>al Rents</w:t>
            </w:r>
          </w:p>
        </w:tc>
        <w:tc>
          <w:tcPr>
            <w:tcW w:w="668" w:type="pct"/>
            <w:tcBorders>
              <w:top w:val="nil"/>
              <w:left w:val="nil"/>
              <w:bottom w:val="single" w:sz="4" w:space="0" w:color="auto"/>
              <w:right w:val="single" w:sz="4" w:space="0" w:color="auto"/>
            </w:tcBorders>
            <w:shd w:val="clear" w:color="000000" w:fill="FFFFFF"/>
            <w:vAlign w:val="center"/>
            <w:hideMark/>
          </w:tcPr>
          <w:p w14:paraId="5DE372DC" w14:textId="77777777" w:rsidR="006B0A47" w:rsidRPr="00621640" w:rsidRDefault="007004BD" w:rsidP="006B0A47">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1.267</w:t>
            </w:r>
          </w:p>
        </w:tc>
        <w:tc>
          <w:tcPr>
            <w:tcW w:w="587" w:type="pct"/>
            <w:tcBorders>
              <w:top w:val="nil"/>
              <w:left w:val="nil"/>
              <w:bottom w:val="single" w:sz="4" w:space="0" w:color="auto"/>
              <w:right w:val="single" w:sz="4" w:space="0" w:color="auto"/>
            </w:tcBorders>
            <w:shd w:val="clear" w:color="000000" w:fill="FFFFFF"/>
            <w:vAlign w:val="center"/>
            <w:hideMark/>
          </w:tcPr>
          <w:p w14:paraId="79BA46FF" w14:textId="77777777" w:rsidR="006B0A47" w:rsidRPr="00621640" w:rsidRDefault="007004BD" w:rsidP="006B0A47">
            <w:pPr>
              <w:jc w:val="right"/>
              <w:rPr>
                <w:rFonts w:ascii="Arial" w:hAnsi="Arial" w:cs="Arial"/>
                <w:color w:val="FFFFFF"/>
                <w:sz w:val="24"/>
                <w:szCs w:val="24"/>
                <w:lang w:val="en-GB" w:eastAsia="en-GB"/>
              </w:rPr>
            </w:pPr>
            <w:r w:rsidRPr="00621640">
              <w:rPr>
                <w:rFonts w:ascii="Arial" w:hAnsi="Arial" w:cs="Arial"/>
                <w:color w:val="FFFFFF"/>
                <w:sz w:val="24"/>
                <w:szCs w:val="24"/>
                <w:lang w:val="en-GB" w:eastAsia="en-GB"/>
              </w:rPr>
              <w:t> </w:t>
            </w:r>
          </w:p>
        </w:tc>
        <w:tc>
          <w:tcPr>
            <w:tcW w:w="57" w:type="pct"/>
            <w:vAlign w:val="center"/>
            <w:hideMark/>
          </w:tcPr>
          <w:p w14:paraId="7A42A61C" w14:textId="77777777" w:rsidR="006B0A47" w:rsidRPr="00621640" w:rsidRDefault="006B0A47" w:rsidP="006B0A47">
            <w:pPr>
              <w:rPr>
                <w:rFonts w:ascii="Arial" w:hAnsi="Arial" w:cs="Arial"/>
                <w:sz w:val="24"/>
                <w:szCs w:val="24"/>
                <w:lang w:val="en-GB" w:eastAsia="en-GB"/>
              </w:rPr>
            </w:pPr>
          </w:p>
        </w:tc>
      </w:tr>
      <w:tr w:rsidR="00A53B77" w14:paraId="7F7D3487" w14:textId="77777777" w:rsidTr="00A14453">
        <w:trPr>
          <w:trHeight w:val="300"/>
        </w:trPr>
        <w:tc>
          <w:tcPr>
            <w:tcW w:w="634" w:type="pct"/>
            <w:vMerge/>
            <w:tcBorders>
              <w:top w:val="nil"/>
              <w:left w:val="single" w:sz="4" w:space="0" w:color="auto"/>
              <w:bottom w:val="single" w:sz="4" w:space="0" w:color="auto"/>
              <w:right w:val="single" w:sz="4" w:space="0" w:color="auto"/>
            </w:tcBorders>
            <w:vAlign w:val="center"/>
            <w:hideMark/>
          </w:tcPr>
          <w:p w14:paraId="09F0BCE7" w14:textId="77777777" w:rsidR="006B0A47" w:rsidRPr="00621640" w:rsidRDefault="006B0A47" w:rsidP="006B0A47">
            <w:pPr>
              <w:rPr>
                <w:rFonts w:ascii="Arial" w:hAnsi="Arial" w:cs="Arial"/>
                <w:b/>
                <w:bCs/>
                <w:color w:val="FFFFFF"/>
                <w:sz w:val="24"/>
                <w:szCs w:val="24"/>
                <w:lang w:val="en-GB" w:eastAsia="en-GB"/>
              </w:rPr>
            </w:pPr>
          </w:p>
        </w:tc>
        <w:tc>
          <w:tcPr>
            <w:tcW w:w="3054" w:type="pct"/>
            <w:tcBorders>
              <w:top w:val="nil"/>
              <w:left w:val="nil"/>
              <w:bottom w:val="single" w:sz="4" w:space="0" w:color="auto"/>
              <w:right w:val="single" w:sz="4" w:space="0" w:color="auto"/>
            </w:tcBorders>
            <w:shd w:val="clear" w:color="auto" w:fill="auto"/>
            <w:vAlign w:val="center"/>
            <w:hideMark/>
          </w:tcPr>
          <w:p w14:paraId="738B9F1D" w14:textId="77777777" w:rsidR="006B0A47" w:rsidRPr="00621640" w:rsidRDefault="007004BD" w:rsidP="006B0A47">
            <w:pPr>
              <w:rPr>
                <w:rFonts w:ascii="Arial" w:hAnsi="Arial" w:cs="Arial"/>
                <w:sz w:val="24"/>
                <w:szCs w:val="24"/>
                <w:lang w:val="en-GB" w:eastAsia="en-GB"/>
              </w:rPr>
            </w:pPr>
            <w:r w:rsidRPr="00621640">
              <w:rPr>
                <w:rFonts w:ascii="Arial" w:hAnsi="Arial" w:cs="Arial"/>
                <w:sz w:val="24"/>
                <w:szCs w:val="24"/>
                <w:lang w:val="en-GB" w:eastAsia="en-GB"/>
              </w:rPr>
              <w:t>Major income pressure due to economic conditions - Parking Revenues</w:t>
            </w:r>
          </w:p>
        </w:tc>
        <w:tc>
          <w:tcPr>
            <w:tcW w:w="668" w:type="pct"/>
            <w:tcBorders>
              <w:top w:val="nil"/>
              <w:left w:val="nil"/>
              <w:bottom w:val="single" w:sz="4" w:space="0" w:color="auto"/>
              <w:right w:val="single" w:sz="4" w:space="0" w:color="auto"/>
            </w:tcBorders>
            <w:shd w:val="clear" w:color="000000" w:fill="FFFFFF"/>
            <w:vAlign w:val="center"/>
            <w:hideMark/>
          </w:tcPr>
          <w:p w14:paraId="4E641A63" w14:textId="77777777" w:rsidR="006B0A47" w:rsidRPr="00621640" w:rsidRDefault="007004BD" w:rsidP="006B0A47">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1.200</w:t>
            </w:r>
          </w:p>
        </w:tc>
        <w:tc>
          <w:tcPr>
            <w:tcW w:w="587" w:type="pct"/>
            <w:tcBorders>
              <w:top w:val="nil"/>
              <w:left w:val="nil"/>
              <w:bottom w:val="single" w:sz="4" w:space="0" w:color="auto"/>
              <w:right w:val="single" w:sz="4" w:space="0" w:color="auto"/>
            </w:tcBorders>
            <w:shd w:val="clear" w:color="000000" w:fill="FFFFFF"/>
            <w:vAlign w:val="center"/>
            <w:hideMark/>
          </w:tcPr>
          <w:p w14:paraId="715535BB" w14:textId="77777777" w:rsidR="006B0A47" w:rsidRPr="00621640" w:rsidRDefault="007004BD" w:rsidP="006B0A47">
            <w:pPr>
              <w:jc w:val="right"/>
              <w:rPr>
                <w:rFonts w:ascii="Arial" w:hAnsi="Arial" w:cs="Arial"/>
                <w:color w:val="FFFFFF"/>
                <w:sz w:val="24"/>
                <w:szCs w:val="24"/>
                <w:lang w:val="en-GB" w:eastAsia="en-GB"/>
              </w:rPr>
            </w:pPr>
            <w:r w:rsidRPr="00621640">
              <w:rPr>
                <w:rFonts w:ascii="Arial" w:hAnsi="Arial" w:cs="Arial"/>
                <w:color w:val="FFFFFF"/>
                <w:sz w:val="24"/>
                <w:szCs w:val="24"/>
                <w:lang w:val="en-GB" w:eastAsia="en-GB"/>
              </w:rPr>
              <w:t> </w:t>
            </w:r>
          </w:p>
        </w:tc>
        <w:tc>
          <w:tcPr>
            <w:tcW w:w="57" w:type="pct"/>
            <w:vAlign w:val="center"/>
            <w:hideMark/>
          </w:tcPr>
          <w:p w14:paraId="6CFB4B1B" w14:textId="77777777" w:rsidR="006B0A47" w:rsidRPr="00621640" w:rsidRDefault="006B0A47" w:rsidP="006B0A47">
            <w:pPr>
              <w:rPr>
                <w:rFonts w:ascii="Arial" w:hAnsi="Arial" w:cs="Arial"/>
                <w:sz w:val="24"/>
                <w:szCs w:val="24"/>
                <w:lang w:val="en-GB" w:eastAsia="en-GB"/>
              </w:rPr>
            </w:pPr>
          </w:p>
        </w:tc>
      </w:tr>
      <w:tr w:rsidR="00A53B77" w14:paraId="435C00D3" w14:textId="77777777" w:rsidTr="00A14453">
        <w:trPr>
          <w:trHeight w:val="300"/>
        </w:trPr>
        <w:tc>
          <w:tcPr>
            <w:tcW w:w="634" w:type="pct"/>
            <w:vMerge/>
            <w:tcBorders>
              <w:top w:val="nil"/>
              <w:left w:val="single" w:sz="4" w:space="0" w:color="auto"/>
              <w:bottom w:val="single" w:sz="4" w:space="0" w:color="auto"/>
              <w:right w:val="single" w:sz="4" w:space="0" w:color="auto"/>
            </w:tcBorders>
            <w:vAlign w:val="center"/>
            <w:hideMark/>
          </w:tcPr>
          <w:p w14:paraId="01552AA3" w14:textId="77777777" w:rsidR="006B0A47" w:rsidRPr="00621640" w:rsidRDefault="006B0A47" w:rsidP="006B0A47">
            <w:pPr>
              <w:rPr>
                <w:rFonts w:ascii="Arial" w:hAnsi="Arial" w:cs="Arial"/>
                <w:b/>
                <w:bCs/>
                <w:color w:val="FFFFFF"/>
                <w:sz w:val="24"/>
                <w:szCs w:val="24"/>
                <w:lang w:val="en-GB" w:eastAsia="en-GB"/>
              </w:rPr>
            </w:pPr>
          </w:p>
        </w:tc>
        <w:tc>
          <w:tcPr>
            <w:tcW w:w="3054" w:type="pct"/>
            <w:tcBorders>
              <w:top w:val="nil"/>
              <w:left w:val="nil"/>
              <w:bottom w:val="single" w:sz="4" w:space="0" w:color="auto"/>
              <w:right w:val="single" w:sz="4" w:space="0" w:color="auto"/>
            </w:tcBorders>
            <w:shd w:val="clear" w:color="auto" w:fill="auto"/>
            <w:vAlign w:val="center"/>
            <w:hideMark/>
          </w:tcPr>
          <w:p w14:paraId="3B5171FA" w14:textId="77777777" w:rsidR="006B0A47" w:rsidRPr="00621640" w:rsidRDefault="007004BD" w:rsidP="006B0A47">
            <w:pPr>
              <w:rPr>
                <w:rFonts w:ascii="Arial" w:hAnsi="Arial" w:cs="Arial"/>
                <w:sz w:val="24"/>
                <w:szCs w:val="24"/>
                <w:lang w:val="en-GB" w:eastAsia="en-GB"/>
              </w:rPr>
            </w:pPr>
            <w:r w:rsidRPr="00621640">
              <w:rPr>
                <w:rFonts w:ascii="Arial" w:hAnsi="Arial" w:cs="Arial"/>
                <w:sz w:val="24"/>
                <w:szCs w:val="24"/>
                <w:lang w:val="en-GB" w:eastAsia="en-GB"/>
              </w:rPr>
              <w:t>Major income pressure due to economic conditions - Local Land Charges</w:t>
            </w:r>
          </w:p>
        </w:tc>
        <w:tc>
          <w:tcPr>
            <w:tcW w:w="668" w:type="pct"/>
            <w:tcBorders>
              <w:top w:val="nil"/>
              <w:left w:val="nil"/>
              <w:bottom w:val="single" w:sz="4" w:space="0" w:color="auto"/>
              <w:right w:val="single" w:sz="4" w:space="0" w:color="auto"/>
            </w:tcBorders>
            <w:shd w:val="clear" w:color="000000" w:fill="FFFFFF"/>
            <w:vAlign w:val="center"/>
            <w:hideMark/>
          </w:tcPr>
          <w:p w14:paraId="3E8E5797" w14:textId="77777777" w:rsidR="006B0A47" w:rsidRPr="00621640" w:rsidRDefault="007004BD" w:rsidP="006B0A47">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0.360</w:t>
            </w:r>
          </w:p>
        </w:tc>
        <w:tc>
          <w:tcPr>
            <w:tcW w:w="587" w:type="pct"/>
            <w:tcBorders>
              <w:top w:val="nil"/>
              <w:left w:val="nil"/>
              <w:bottom w:val="single" w:sz="4" w:space="0" w:color="auto"/>
              <w:right w:val="single" w:sz="4" w:space="0" w:color="auto"/>
            </w:tcBorders>
            <w:shd w:val="clear" w:color="000000" w:fill="FFFFFF"/>
            <w:vAlign w:val="center"/>
            <w:hideMark/>
          </w:tcPr>
          <w:p w14:paraId="75C32401" w14:textId="77777777" w:rsidR="006B0A47" w:rsidRPr="00621640" w:rsidRDefault="007004BD" w:rsidP="006B0A47">
            <w:pPr>
              <w:jc w:val="right"/>
              <w:rPr>
                <w:rFonts w:ascii="Arial" w:hAnsi="Arial" w:cs="Arial"/>
                <w:color w:val="FFFFFF"/>
                <w:sz w:val="24"/>
                <w:szCs w:val="24"/>
                <w:lang w:val="en-GB" w:eastAsia="en-GB"/>
              </w:rPr>
            </w:pPr>
            <w:r w:rsidRPr="00621640">
              <w:rPr>
                <w:rFonts w:ascii="Arial" w:hAnsi="Arial" w:cs="Arial"/>
                <w:color w:val="FFFFFF"/>
                <w:sz w:val="24"/>
                <w:szCs w:val="24"/>
                <w:lang w:val="en-GB" w:eastAsia="en-GB"/>
              </w:rPr>
              <w:t> </w:t>
            </w:r>
          </w:p>
        </w:tc>
        <w:tc>
          <w:tcPr>
            <w:tcW w:w="57" w:type="pct"/>
            <w:vAlign w:val="center"/>
            <w:hideMark/>
          </w:tcPr>
          <w:p w14:paraId="5A4926A2" w14:textId="77777777" w:rsidR="006B0A47" w:rsidRPr="00621640" w:rsidRDefault="006B0A47" w:rsidP="006B0A47">
            <w:pPr>
              <w:rPr>
                <w:rFonts w:ascii="Arial" w:hAnsi="Arial" w:cs="Arial"/>
                <w:sz w:val="24"/>
                <w:szCs w:val="24"/>
                <w:lang w:val="en-GB" w:eastAsia="en-GB"/>
              </w:rPr>
            </w:pPr>
          </w:p>
        </w:tc>
      </w:tr>
      <w:tr w:rsidR="00A53B77" w14:paraId="594FCCE8" w14:textId="77777777" w:rsidTr="00A14453">
        <w:trPr>
          <w:trHeight w:val="300"/>
        </w:trPr>
        <w:tc>
          <w:tcPr>
            <w:tcW w:w="634" w:type="pct"/>
            <w:vMerge/>
            <w:tcBorders>
              <w:top w:val="nil"/>
              <w:left w:val="single" w:sz="4" w:space="0" w:color="auto"/>
              <w:bottom w:val="single" w:sz="4" w:space="0" w:color="auto"/>
              <w:right w:val="single" w:sz="4" w:space="0" w:color="auto"/>
            </w:tcBorders>
            <w:vAlign w:val="center"/>
            <w:hideMark/>
          </w:tcPr>
          <w:p w14:paraId="3B986EAD" w14:textId="77777777" w:rsidR="006B0A47" w:rsidRPr="00621640" w:rsidRDefault="006B0A47" w:rsidP="006B0A47">
            <w:pPr>
              <w:rPr>
                <w:rFonts w:ascii="Arial" w:hAnsi="Arial" w:cs="Arial"/>
                <w:b/>
                <w:bCs/>
                <w:color w:val="FFFFFF"/>
                <w:sz w:val="24"/>
                <w:szCs w:val="24"/>
                <w:lang w:val="en-GB" w:eastAsia="en-GB"/>
              </w:rPr>
            </w:pPr>
          </w:p>
        </w:tc>
        <w:tc>
          <w:tcPr>
            <w:tcW w:w="3054" w:type="pct"/>
            <w:tcBorders>
              <w:top w:val="nil"/>
              <w:left w:val="nil"/>
              <w:bottom w:val="single" w:sz="4" w:space="0" w:color="auto"/>
              <w:right w:val="single" w:sz="4" w:space="0" w:color="auto"/>
            </w:tcBorders>
            <w:shd w:val="clear" w:color="auto" w:fill="auto"/>
            <w:vAlign w:val="center"/>
            <w:hideMark/>
          </w:tcPr>
          <w:p w14:paraId="61DABC63" w14:textId="2FF19B9A" w:rsidR="006B0A47" w:rsidRPr="00621640" w:rsidRDefault="007004BD" w:rsidP="006B0A47">
            <w:pPr>
              <w:rPr>
                <w:rFonts w:ascii="Arial" w:hAnsi="Arial" w:cs="Arial"/>
                <w:sz w:val="24"/>
                <w:szCs w:val="24"/>
                <w:lang w:val="en-GB" w:eastAsia="en-GB"/>
              </w:rPr>
            </w:pPr>
            <w:r w:rsidRPr="00621640">
              <w:rPr>
                <w:rFonts w:ascii="Arial" w:hAnsi="Arial" w:cs="Arial"/>
                <w:sz w:val="24"/>
                <w:szCs w:val="24"/>
                <w:lang w:val="en-GB" w:eastAsia="en-GB"/>
              </w:rPr>
              <w:t>Income pressure on booking fees due to transfer</w:t>
            </w:r>
            <w:r>
              <w:rPr>
                <w:rFonts w:ascii="Arial" w:hAnsi="Arial" w:cs="Arial"/>
                <w:sz w:val="24"/>
                <w:szCs w:val="24"/>
                <w:lang w:val="en-GB" w:eastAsia="en-GB"/>
              </w:rPr>
              <w:t xml:space="preserve"> out</w:t>
            </w:r>
            <w:r w:rsidRPr="00621640">
              <w:rPr>
                <w:rFonts w:ascii="Arial" w:hAnsi="Arial" w:cs="Arial"/>
                <w:sz w:val="24"/>
                <w:szCs w:val="24"/>
                <w:lang w:val="en-GB" w:eastAsia="en-GB"/>
              </w:rPr>
              <w:t xml:space="preserve"> of sports facilities</w:t>
            </w:r>
            <w:r>
              <w:rPr>
                <w:rFonts w:ascii="Arial" w:hAnsi="Arial" w:cs="Arial"/>
                <w:sz w:val="24"/>
                <w:szCs w:val="24"/>
                <w:lang w:val="en-GB" w:eastAsia="en-GB"/>
              </w:rPr>
              <w:t xml:space="preserve"> to other organisations</w:t>
            </w:r>
          </w:p>
        </w:tc>
        <w:tc>
          <w:tcPr>
            <w:tcW w:w="668" w:type="pct"/>
            <w:tcBorders>
              <w:top w:val="nil"/>
              <w:left w:val="nil"/>
              <w:bottom w:val="single" w:sz="4" w:space="0" w:color="auto"/>
              <w:right w:val="single" w:sz="4" w:space="0" w:color="auto"/>
            </w:tcBorders>
            <w:shd w:val="clear" w:color="000000" w:fill="FFFFFF"/>
            <w:vAlign w:val="center"/>
            <w:hideMark/>
          </w:tcPr>
          <w:p w14:paraId="1F79FE21" w14:textId="77777777" w:rsidR="006B0A47" w:rsidRPr="00621640" w:rsidRDefault="007004BD" w:rsidP="006B0A47">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0.083</w:t>
            </w:r>
          </w:p>
        </w:tc>
        <w:tc>
          <w:tcPr>
            <w:tcW w:w="587" w:type="pct"/>
            <w:tcBorders>
              <w:top w:val="nil"/>
              <w:left w:val="nil"/>
              <w:bottom w:val="single" w:sz="4" w:space="0" w:color="auto"/>
              <w:right w:val="single" w:sz="4" w:space="0" w:color="auto"/>
            </w:tcBorders>
            <w:shd w:val="clear" w:color="000000" w:fill="FFFFFF"/>
            <w:vAlign w:val="center"/>
            <w:hideMark/>
          </w:tcPr>
          <w:p w14:paraId="2616FB80" w14:textId="77777777" w:rsidR="006B0A47" w:rsidRPr="00621640" w:rsidRDefault="007004BD" w:rsidP="006B0A47">
            <w:pPr>
              <w:jc w:val="right"/>
              <w:rPr>
                <w:rFonts w:ascii="Arial" w:hAnsi="Arial" w:cs="Arial"/>
                <w:color w:val="FFFFFF"/>
                <w:sz w:val="24"/>
                <w:szCs w:val="24"/>
                <w:lang w:val="en-GB" w:eastAsia="en-GB"/>
              </w:rPr>
            </w:pPr>
            <w:r w:rsidRPr="00621640">
              <w:rPr>
                <w:rFonts w:ascii="Arial" w:hAnsi="Arial" w:cs="Arial"/>
                <w:color w:val="FFFFFF"/>
                <w:sz w:val="24"/>
                <w:szCs w:val="24"/>
                <w:lang w:val="en-GB" w:eastAsia="en-GB"/>
              </w:rPr>
              <w:t> </w:t>
            </w:r>
          </w:p>
        </w:tc>
        <w:tc>
          <w:tcPr>
            <w:tcW w:w="57" w:type="pct"/>
            <w:vAlign w:val="center"/>
            <w:hideMark/>
          </w:tcPr>
          <w:p w14:paraId="5ABB2A3A" w14:textId="77777777" w:rsidR="006B0A47" w:rsidRPr="00621640" w:rsidRDefault="006B0A47" w:rsidP="006B0A47">
            <w:pPr>
              <w:rPr>
                <w:rFonts w:ascii="Arial" w:hAnsi="Arial" w:cs="Arial"/>
                <w:sz w:val="24"/>
                <w:szCs w:val="24"/>
                <w:lang w:val="en-GB" w:eastAsia="en-GB"/>
              </w:rPr>
            </w:pPr>
          </w:p>
        </w:tc>
      </w:tr>
      <w:tr w:rsidR="00A53B77" w14:paraId="5C285B00" w14:textId="77777777" w:rsidTr="00A14453">
        <w:trPr>
          <w:trHeight w:val="300"/>
        </w:trPr>
        <w:tc>
          <w:tcPr>
            <w:tcW w:w="634" w:type="pct"/>
            <w:vMerge/>
            <w:tcBorders>
              <w:top w:val="nil"/>
              <w:left w:val="single" w:sz="4" w:space="0" w:color="auto"/>
              <w:bottom w:val="single" w:sz="4" w:space="0" w:color="auto"/>
              <w:right w:val="single" w:sz="4" w:space="0" w:color="auto"/>
            </w:tcBorders>
            <w:vAlign w:val="center"/>
            <w:hideMark/>
          </w:tcPr>
          <w:p w14:paraId="6574D850" w14:textId="77777777" w:rsidR="006B0A47" w:rsidRPr="00621640" w:rsidRDefault="006B0A47" w:rsidP="006B0A47">
            <w:pPr>
              <w:rPr>
                <w:rFonts w:ascii="Arial" w:hAnsi="Arial" w:cs="Arial"/>
                <w:b/>
                <w:bCs/>
                <w:color w:val="FFFFFF"/>
                <w:sz w:val="24"/>
                <w:szCs w:val="24"/>
                <w:lang w:val="en-GB" w:eastAsia="en-GB"/>
              </w:rPr>
            </w:pPr>
          </w:p>
        </w:tc>
        <w:tc>
          <w:tcPr>
            <w:tcW w:w="3054" w:type="pct"/>
            <w:tcBorders>
              <w:top w:val="nil"/>
              <w:left w:val="nil"/>
              <w:bottom w:val="single" w:sz="4" w:space="0" w:color="auto"/>
              <w:right w:val="single" w:sz="4" w:space="0" w:color="auto"/>
            </w:tcBorders>
            <w:shd w:val="clear" w:color="auto" w:fill="auto"/>
            <w:vAlign w:val="center"/>
            <w:hideMark/>
          </w:tcPr>
          <w:p w14:paraId="4E9B74D1" w14:textId="42B74D14" w:rsidR="006B0A47" w:rsidRPr="00621640" w:rsidRDefault="007004BD" w:rsidP="006B0A47">
            <w:pPr>
              <w:rPr>
                <w:rFonts w:ascii="Arial" w:hAnsi="Arial" w:cs="Arial"/>
                <w:sz w:val="24"/>
                <w:szCs w:val="24"/>
                <w:lang w:val="en-GB" w:eastAsia="en-GB"/>
              </w:rPr>
            </w:pPr>
            <w:r w:rsidRPr="00621640">
              <w:rPr>
                <w:rFonts w:ascii="Arial" w:hAnsi="Arial" w:cs="Arial"/>
                <w:sz w:val="24"/>
                <w:szCs w:val="24"/>
                <w:lang w:val="en-GB" w:eastAsia="en-GB"/>
              </w:rPr>
              <w:t xml:space="preserve">Provision for increased staff take up of Local Government Pension </w:t>
            </w:r>
            <w:r w:rsidR="0099398E">
              <w:rPr>
                <w:rFonts w:ascii="Arial" w:hAnsi="Arial" w:cs="Arial"/>
                <w:sz w:val="24"/>
                <w:szCs w:val="24"/>
                <w:lang w:val="en-GB" w:eastAsia="en-GB"/>
              </w:rPr>
              <w:t xml:space="preserve">Scheme </w:t>
            </w:r>
            <w:r w:rsidRPr="00621640">
              <w:rPr>
                <w:rFonts w:ascii="Arial" w:hAnsi="Arial" w:cs="Arial"/>
                <w:sz w:val="24"/>
                <w:szCs w:val="24"/>
                <w:lang w:val="en-GB" w:eastAsia="en-GB"/>
              </w:rPr>
              <w:t>enrolment</w:t>
            </w:r>
          </w:p>
        </w:tc>
        <w:tc>
          <w:tcPr>
            <w:tcW w:w="668" w:type="pct"/>
            <w:tcBorders>
              <w:top w:val="nil"/>
              <w:left w:val="nil"/>
              <w:bottom w:val="single" w:sz="4" w:space="0" w:color="auto"/>
              <w:right w:val="single" w:sz="4" w:space="0" w:color="auto"/>
            </w:tcBorders>
            <w:shd w:val="clear" w:color="000000" w:fill="FFFFFF"/>
            <w:vAlign w:val="center"/>
            <w:hideMark/>
          </w:tcPr>
          <w:p w14:paraId="3CDD4427" w14:textId="77777777" w:rsidR="006B0A47" w:rsidRPr="00621640" w:rsidRDefault="007004BD" w:rsidP="006B0A47">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0.400</w:t>
            </w:r>
          </w:p>
        </w:tc>
        <w:tc>
          <w:tcPr>
            <w:tcW w:w="587" w:type="pct"/>
            <w:tcBorders>
              <w:top w:val="nil"/>
              <w:left w:val="nil"/>
              <w:bottom w:val="single" w:sz="4" w:space="0" w:color="auto"/>
              <w:right w:val="single" w:sz="4" w:space="0" w:color="auto"/>
            </w:tcBorders>
            <w:shd w:val="clear" w:color="000000" w:fill="FFFFFF"/>
            <w:vAlign w:val="center"/>
            <w:hideMark/>
          </w:tcPr>
          <w:p w14:paraId="0F8C57EC" w14:textId="77777777" w:rsidR="006B0A47" w:rsidRPr="00621640" w:rsidRDefault="007004BD" w:rsidP="006B0A47">
            <w:pPr>
              <w:jc w:val="right"/>
              <w:rPr>
                <w:rFonts w:ascii="Arial" w:hAnsi="Arial" w:cs="Arial"/>
                <w:color w:val="FFFFFF"/>
                <w:sz w:val="24"/>
                <w:szCs w:val="24"/>
                <w:lang w:val="en-GB" w:eastAsia="en-GB"/>
              </w:rPr>
            </w:pPr>
            <w:r w:rsidRPr="00621640">
              <w:rPr>
                <w:rFonts w:ascii="Arial" w:hAnsi="Arial" w:cs="Arial"/>
                <w:color w:val="FFFFFF"/>
                <w:sz w:val="24"/>
                <w:szCs w:val="24"/>
                <w:lang w:val="en-GB" w:eastAsia="en-GB"/>
              </w:rPr>
              <w:t> </w:t>
            </w:r>
          </w:p>
        </w:tc>
        <w:tc>
          <w:tcPr>
            <w:tcW w:w="57" w:type="pct"/>
            <w:vAlign w:val="center"/>
            <w:hideMark/>
          </w:tcPr>
          <w:p w14:paraId="1615C4B7" w14:textId="77777777" w:rsidR="006B0A47" w:rsidRPr="00621640" w:rsidRDefault="006B0A47" w:rsidP="006B0A47">
            <w:pPr>
              <w:rPr>
                <w:rFonts w:ascii="Arial" w:hAnsi="Arial" w:cs="Arial"/>
                <w:sz w:val="24"/>
                <w:szCs w:val="24"/>
                <w:lang w:val="en-GB" w:eastAsia="en-GB"/>
              </w:rPr>
            </w:pPr>
          </w:p>
        </w:tc>
      </w:tr>
      <w:tr w:rsidR="00A53B77" w14:paraId="7BE1D9B0" w14:textId="77777777" w:rsidTr="00A14453">
        <w:trPr>
          <w:trHeight w:val="300"/>
        </w:trPr>
        <w:tc>
          <w:tcPr>
            <w:tcW w:w="634" w:type="pct"/>
            <w:vMerge/>
            <w:tcBorders>
              <w:top w:val="nil"/>
              <w:left w:val="single" w:sz="4" w:space="0" w:color="auto"/>
              <w:bottom w:val="single" w:sz="4" w:space="0" w:color="auto"/>
              <w:right w:val="single" w:sz="4" w:space="0" w:color="auto"/>
            </w:tcBorders>
            <w:vAlign w:val="center"/>
            <w:hideMark/>
          </w:tcPr>
          <w:p w14:paraId="1337E386" w14:textId="77777777" w:rsidR="006B0A47" w:rsidRPr="00621640" w:rsidRDefault="006B0A47" w:rsidP="006B0A47">
            <w:pPr>
              <w:rPr>
                <w:rFonts w:ascii="Arial" w:hAnsi="Arial" w:cs="Arial"/>
                <w:b/>
                <w:bCs/>
                <w:color w:val="FFFFFF"/>
                <w:sz w:val="24"/>
                <w:szCs w:val="24"/>
                <w:lang w:val="en-GB" w:eastAsia="en-GB"/>
              </w:rPr>
            </w:pPr>
          </w:p>
        </w:tc>
        <w:tc>
          <w:tcPr>
            <w:tcW w:w="3054" w:type="pct"/>
            <w:tcBorders>
              <w:top w:val="nil"/>
              <w:left w:val="nil"/>
              <w:bottom w:val="single" w:sz="4" w:space="0" w:color="auto"/>
              <w:right w:val="single" w:sz="4" w:space="0" w:color="auto"/>
            </w:tcBorders>
            <w:shd w:val="clear" w:color="auto" w:fill="auto"/>
            <w:vAlign w:val="center"/>
            <w:hideMark/>
          </w:tcPr>
          <w:p w14:paraId="62203AF5" w14:textId="75014F74" w:rsidR="006B0A47" w:rsidRPr="00621640" w:rsidRDefault="007004BD" w:rsidP="006B0A47">
            <w:pPr>
              <w:rPr>
                <w:rFonts w:ascii="Arial" w:hAnsi="Arial" w:cs="Arial"/>
                <w:sz w:val="24"/>
                <w:szCs w:val="24"/>
                <w:lang w:val="en-GB" w:eastAsia="en-GB"/>
              </w:rPr>
            </w:pPr>
            <w:r w:rsidRPr="00621640">
              <w:rPr>
                <w:rFonts w:ascii="Arial" w:hAnsi="Arial" w:cs="Arial"/>
                <w:sz w:val="24"/>
                <w:szCs w:val="24"/>
                <w:lang w:val="en-GB" w:eastAsia="en-GB"/>
              </w:rPr>
              <w:t>Investment in tech</w:t>
            </w:r>
            <w:r>
              <w:rPr>
                <w:rFonts w:ascii="Arial" w:hAnsi="Arial" w:cs="Arial"/>
                <w:sz w:val="24"/>
                <w:szCs w:val="24"/>
                <w:lang w:val="en-GB" w:eastAsia="en-GB"/>
              </w:rPr>
              <w:t>n</w:t>
            </w:r>
            <w:r w:rsidRPr="00621640">
              <w:rPr>
                <w:rFonts w:ascii="Arial" w:hAnsi="Arial" w:cs="Arial"/>
                <w:sz w:val="24"/>
                <w:szCs w:val="24"/>
                <w:lang w:val="en-GB" w:eastAsia="en-GB"/>
              </w:rPr>
              <w:t>ology to improve City Clean service and round management</w:t>
            </w:r>
          </w:p>
        </w:tc>
        <w:tc>
          <w:tcPr>
            <w:tcW w:w="668" w:type="pct"/>
            <w:tcBorders>
              <w:top w:val="nil"/>
              <w:left w:val="nil"/>
              <w:bottom w:val="single" w:sz="4" w:space="0" w:color="auto"/>
              <w:right w:val="single" w:sz="4" w:space="0" w:color="auto"/>
            </w:tcBorders>
            <w:shd w:val="clear" w:color="000000" w:fill="FFFFFF"/>
            <w:vAlign w:val="center"/>
            <w:hideMark/>
          </w:tcPr>
          <w:p w14:paraId="0982BA73" w14:textId="77777777" w:rsidR="006B0A47" w:rsidRPr="00621640" w:rsidRDefault="007004BD" w:rsidP="006B0A47">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0.108</w:t>
            </w:r>
          </w:p>
        </w:tc>
        <w:tc>
          <w:tcPr>
            <w:tcW w:w="587" w:type="pct"/>
            <w:tcBorders>
              <w:top w:val="nil"/>
              <w:left w:val="nil"/>
              <w:bottom w:val="single" w:sz="4" w:space="0" w:color="auto"/>
              <w:right w:val="single" w:sz="4" w:space="0" w:color="auto"/>
            </w:tcBorders>
            <w:shd w:val="clear" w:color="000000" w:fill="FFFFFF"/>
            <w:vAlign w:val="center"/>
            <w:hideMark/>
          </w:tcPr>
          <w:p w14:paraId="77378166" w14:textId="77777777" w:rsidR="006B0A47" w:rsidRPr="00621640" w:rsidRDefault="007004BD" w:rsidP="006B0A47">
            <w:pPr>
              <w:jc w:val="right"/>
              <w:rPr>
                <w:rFonts w:ascii="Arial" w:hAnsi="Arial" w:cs="Arial"/>
                <w:color w:val="FFFFFF"/>
                <w:sz w:val="24"/>
                <w:szCs w:val="24"/>
                <w:lang w:val="en-GB" w:eastAsia="en-GB"/>
              </w:rPr>
            </w:pPr>
            <w:r w:rsidRPr="00621640">
              <w:rPr>
                <w:rFonts w:ascii="Arial" w:hAnsi="Arial" w:cs="Arial"/>
                <w:color w:val="FFFFFF"/>
                <w:sz w:val="24"/>
                <w:szCs w:val="24"/>
                <w:lang w:val="en-GB" w:eastAsia="en-GB"/>
              </w:rPr>
              <w:t> </w:t>
            </w:r>
          </w:p>
        </w:tc>
        <w:tc>
          <w:tcPr>
            <w:tcW w:w="57" w:type="pct"/>
            <w:vAlign w:val="center"/>
            <w:hideMark/>
          </w:tcPr>
          <w:p w14:paraId="276C2C07" w14:textId="77777777" w:rsidR="006B0A47" w:rsidRPr="00621640" w:rsidRDefault="006B0A47" w:rsidP="006B0A47">
            <w:pPr>
              <w:rPr>
                <w:rFonts w:ascii="Arial" w:hAnsi="Arial" w:cs="Arial"/>
                <w:sz w:val="24"/>
                <w:szCs w:val="24"/>
                <w:lang w:val="en-GB" w:eastAsia="en-GB"/>
              </w:rPr>
            </w:pPr>
          </w:p>
        </w:tc>
      </w:tr>
      <w:tr w:rsidR="00A53B77" w14:paraId="499660A3" w14:textId="77777777" w:rsidTr="00A14453">
        <w:trPr>
          <w:trHeight w:val="300"/>
        </w:trPr>
        <w:tc>
          <w:tcPr>
            <w:tcW w:w="634" w:type="pct"/>
            <w:vMerge/>
            <w:tcBorders>
              <w:top w:val="nil"/>
              <w:left w:val="single" w:sz="4" w:space="0" w:color="auto"/>
              <w:bottom w:val="single" w:sz="4" w:space="0" w:color="auto"/>
              <w:right w:val="single" w:sz="4" w:space="0" w:color="auto"/>
            </w:tcBorders>
            <w:vAlign w:val="center"/>
            <w:hideMark/>
          </w:tcPr>
          <w:p w14:paraId="22692A47" w14:textId="77777777" w:rsidR="006B0A47" w:rsidRPr="00621640" w:rsidRDefault="006B0A47" w:rsidP="006B0A47">
            <w:pPr>
              <w:rPr>
                <w:rFonts w:ascii="Arial" w:hAnsi="Arial" w:cs="Arial"/>
                <w:b/>
                <w:bCs/>
                <w:color w:val="FFFFFF"/>
                <w:sz w:val="24"/>
                <w:szCs w:val="24"/>
                <w:lang w:val="en-GB" w:eastAsia="en-GB"/>
              </w:rPr>
            </w:pPr>
          </w:p>
        </w:tc>
        <w:tc>
          <w:tcPr>
            <w:tcW w:w="3054" w:type="pct"/>
            <w:tcBorders>
              <w:top w:val="nil"/>
              <w:left w:val="nil"/>
              <w:bottom w:val="single" w:sz="4" w:space="0" w:color="auto"/>
              <w:right w:val="single" w:sz="4" w:space="0" w:color="auto"/>
            </w:tcBorders>
            <w:shd w:val="clear" w:color="auto" w:fill="auto"/>
            <w:vAlign w:val="center"/>
            <w:hideMark/>
          </w:tcPr>
          <w:p w14:paraId="3787AAA7" w14:textId="74E10FB1" w:rsidR="006B0A47" w:rsidRPr="00621640" w:rsidRDefault="007004BD" w:rsidP="006B0A47">
            <w:pPr>
              <w:rPr>
                <w:rFonts w:ascii="Arial" w:hAnsi="Arial" w:cs="Arial"/>
                <w:sz w:val="24"/>
                <w:szCs w:val="24"/>
                <w:lang w:val="en-GB" w:eastAsia="en-GB"/>
              </w:rPr>
            </w:pPr>
            <w:r w:rsidRPr="00621640">
              <w:rPr>
                <w:rFonts w:ascii="Arial" w:hAnsi="Arial" w:cs="Arial"/>
                <w:sz w:val="24"/>
                <w:szCs w:val="24"/>
                <w:lang w:val="en-GB" w:eastAsia="en-GB"/>
              </w:rPr>
              <w:t>Provision for increased cost of the Schools PFI contract</w:t>
            </w:r>
          </w:p>
        </w:tc>
        <w:tc>
          <w:tcPr>
            <w:tcW w:w="668" w:type="pct"/>
            <w:tcBorders>
              <w:top w:val="nil"/>
              <w:left w:val="nil"/>
              <w:bottom w:val="single" w:sz="4" w:space="0" w:color="auto"/>
              <w:right w:val="single" w:sz="4" w:space="0" w:color="auto"/>
            </w:tcBorders>
            <w:shd w:val="clear" w:color="000000" w:fill="FFFFFF"/>
            <w:vAlign w:val="center"/>
            <w:hideMark/>
          </w:tcPr>
          <w:p w14:paraId="6AAA9FBB" w14:textId="77777777" w:rsidR="006B0A47" w:rsidRPr="00621640" w:rsidRDefault="007004BD" w:rsidP="006B0A47">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0.643</w:t>
            </w:r>
          </w:p>
        </w:tc>
        <w:tc>
          <w:tcPr>
            <w:tcW w:w="587" w:type="pct"/>
            <w:tcBorders>
              <w:top w:val="nil"/>
              <w:left w:val="nil"/>
              <w:bottom w:val="single" w:sz="4" w:space="0" w:color="auto"/>
              <w:right w:val="single" w:sz="4" w:space="0" w:color="auto"/>
            </w:tcBorders>
            <w:shd w:val="clear" w:color="000000" w:fill="FFFFFF"/>
            <w:vAlign w:val="center"/>
            <w:hideMark/>
          </w:tcPr>
          <w:p w14:paraId="2EBECBAF" w14:textId="77777777" w:rsidR="006B0A47" w:rsidRPr="00621640" w:rsidRDefault="007004BD" w:rsidP="006B0A47">
            <w:pPr>
              <w:jc w:val="right"/>
              <w:rPr>
                <w:rFonts w:ascii="Arial" w:hAnsi="Arial" w:cs="Arial"/>
                <w:color w:val="FFFFFF"/>
                <w:sz w:val="24"/>
                <w:szCs w:val="24"/>
                <w:lang w:val="en-GB" w:eastAsia="en-GB"/>
              </w:rPr>
            </w:pPr>
            <w:r w:rsidRPr="00621640">
              <w:rPr>
                <w:rFonts w:ascii="Arial" w:hAnsi="Arial" w:cs="Arial"/>
                <w:color w:val="FFFFFF"/>
                <w:sz w:val="24"/>
                <w:szCs w:val="24"/>
                <w:lang w:val="en-GB" w:eastAsia="en-GB"/>
              </w:rPr>
              <w:t> </w:t>
            </w:r>
          </w:p>
        </w:tc>
        <w:tc>
          <w:tcPr>
            <w:tcW w:w="57" w:type="pct"/>
            <w:vAlign w:val="center"/>
            <w:hideMark/>
          </w:tcPr>
          <w:p w14:paraId="6898D0FD" w14:textId="77777777" w:rsidR="006B0A47" w:rsidRPr="00621640" w:rsidRDefault="006B0A47" w:rsidP="006B0A47">
            <w:pPr>
              <w:rPr>
                <w:rFonts w:ascii="Arial" w:hAnsi="Arial" w:cs="Arial"/>
                <w:sz w:val="24"/>
                <w:szCs w:val="24"/>
                <w:lang w:val="en-GB" w:eastAsia="en-GB"/>
              </w:rPr>
            </w:pPr>
          </w:p>
        </w:tc>
      </w:tr>
      <w:tr w:rsidR="00A53B77" w14:paraId="34413082" w14:textId="77777777" w:rsidTr="00A14453">
        <w:trPr>
          <w:trHeight w:val="300"/>
        </w:trPr>
        <w:tc>
          <w:tcPr>
            <w:tcW w:w="634" w:type="pct"/>
            <w:vMerge/>
            <w:tcBorders>
              <w:top w:val="nil"/>
              <w:left w:val="single" w:sz="4" w:space="0" w:color="auto"/>
              <w:bottom w:val="single" w:sz="4" w:space="0" w:color="auto"/>
              <w:right w:val="single" w:sz="4" w:space="0" w:color="auto"/>
            </w:tcBorders>
            <w:vAlign w:val="center"/>
            <w:hideMark/>
          </w:tcPr>
          <w:p w14:paraId="2906282E" w14:textId="77777777" w:rsidR="006B0A47" w:rsidRPr="00621640" w:rsidRDefault="006B0A47" w:rsidP="006B0A47">
            <w:pPr>
              <w:rPr>
                <w:rFonts w:ascii="Arial" w:hAnsi="Arial" w:cs="Arial"/>
                <w:b/>
                <w:bCs/>
                <w:color w:val="FFFFFF"/>
                <w:sz w:val="24"/>
                <w:szCs w:val="24"/>
                <w:lang w:val="en-GB" w:eastAsia="en-GB"/>
              </w:rPr>
            </w:pPr>
          </w:p>
        </w:tc>
        <w:tc>
          <w:tcPr>
            <w:tcW w:w="3054" w:type="pct"/>
            <w:tcBorders>
              <w:top w:val="nil"/>
              <w:left w:val="nil"/>
              <w:bottom w:val="single" w:sz="4" w:space="0" w:color="auto"/>
              <w:right w:val="single" w:sz="4" w:space="0" w:color="auto"/>
            </w:tcBorders>
            <w:shd w:val="clear" w:color="auto" w:fill="auto"/>
            <w:vAlign w:val="center"/>
            <w:hideMark/>
          </w:tcPr>
          <w:p w14:paraId="6C4033D1" w14:textId="77777777" w:rsidR="006B0A47" w:rsidRPr="00621640" w:rsidRDefault="007004BD" w:rsidP="006B0A47">
            <w:pPr>
              <w:rPr>
                <w:rFonts w:ascii="Arial" w:hAnsi="Arial" w:cs="Arial"/>
                <w:sz w:val="24"/>
                <w:szCs w:val="24"/>
                <w:lang w:val="en-GB" w:eastAsia="en-GB"/>
              </w:rPr>
            </w:pPr>
            <w:r w:rsidRPr="00621640">
              <w:rPr>
                <w:rFonts w:ascii="Arial" w:hAnsi="Arial" w:cs="Arial"/>
                <w:sz w:val="24"/>
                <w:szCs w:val="24"/>
                <w:lang w:val="en-GB" w:eastAsia="en-GB"/>
              </w:rPr>
              <w:t>Provision for increased IT licensing costs including Office 365</w:t>
            </w:r>
          </w:p>
        </w:tc>
        <w:tc>
          <w:tcPr>
            <w:tcW w:w="668" w:type="pct"/>
            <w:tcBorders>
              <w:top w:val="nil"/>
              <w:left w:val="nil"/>
              <w:bottom w:val="single" w:sz="4" w:space="0" w:color="auto"/>
              <w:right w:val="single" w:sz="4" w:space="0" w:color="auto"/>
            </w:tcBorders>
            <w:shd w:val="clear" w:color="000000" w:fill="FFFFFF"/>
            <w:vAlign w:val="center"/>
            <w:hideMark/>
          </w:tcPr>
          <w:p w14:paraId="7610C139" w14:textId="77777777" w:rsidR="006B0A47" w:rsidRPr="00621640" w:rsidRDefault="007004BD" w:rsidP="006B0A47">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0.139</w:t>
            </w:r>
          </w:p>
        </w:tc>
        <w:tc>
          <w:tcPr>
            <w:tcW w:w="587" w:type="pct"/>
            <w:tcBorders>
              <w:top w:val="nil"/>
              <w:left w:val="nil"/>
              <w:bottom w:val="single" w:sz="4" w:space="0" w:color="auto"/>
              <w:right w:val="single" w:sz="4" w:space="0" w:color="auto"/>
            </w:tcBorders>
            <w:shd w:val="clear" w:color="000000" w:fill="FFFFFF"/>
            <w:vAlign w:val="center"/>
            <w:hideMark/>
          </w:tcPr>
          <w:p w14:paraId="7BD1A1E9" w14:textId="77777777" w:rsidR="006B0A47" w:rsidRPr="00621640" w:rsidRDefault="007004BD" w:rsidP="006B0A47">
            <w:pPr>
              <w:jc w:val="right"/>
              <w:rPr>
                <w:rFonts w:ascii="Arial" w:hAnsi="Arial" w:cs="Arial"/>
                <w:color w:val="FFFFFF"/>
                <w:sz w:val="24"/>
                <w:szCs w:val="24"/>
                <w:lang w:val="en-GB" w:eastAsia="en-GB"/>
              </w:rPr>
            </w:pPr>
            <w:r w:rsidRPr="00621640">
              <w:rPr>
                <w:rFonts w:ascii="Arial" w:hAnsi="Arial" w:cs="Arial"/>
                <w:color w:val="FFFFFF"/>
                <w:sz w:val="24"/>
                <w:szCs w:val="24"/>
                <w:lang w:val="en-GB" w:eastAsia="en-GB"/>
              </w:rPr>
              <w:t> </w:t>
            </w:r>
          </w:p>
        </w:tc>
        <w:tc>
          <w:tcPr>
            <w:tcW w:w="57" w:type="pct"/>
            <w:vAlign w:val="center"/>
            <w:hideMark/>
          </w:tcPr>
          <w:p w14:paraId="343D71BD" w14:textId="77777777" w:rsidR="006B0A47" w:rsidRPr="00621640" w:rsidRDefault="006B0A47" w:rsidP="006B0A47">
            <w:pPr>
              <w:rPr>
                <w:rFonts w:ascii="Arial" w:hAnsi="Arial" w:cs="Arial"/>
                <w:sz w:val="24"/>
                <w:szCs w:val="24"/>
                <w:lang w:val="en-GB" w:eastAsia="en-GB"/>
              </w:rPr>
            </w:pPr>
          </w:p>
        </w:tc>
      </w:tr>
      <w:tr w:rsidR="00A53B77" w14:paraId="72AF9335" w14:textId="77777777" w:rsidTr="00A14453">
        <w:trPr>
          <w:trHeight w:val="300"/>
        </w:trPr>
        <w:tc>
          <w:tcPr>
            <w:tcW w:w="634" w:type="pct"/>
            <w:vMerge/>
            <w:tcBorders>
              <w:top w:val="nil"/>
              <w:left w:val="single" w:sz="4" w:space="0" w:color="auto"/>
              <w:bottom w:val="single" w:sz="4" w:space="0" w:color="auto"/>
              <w:right w:val="single" w:sz="4" w:space="0" w:color="auto"/>
            </w:tcBorders>
            <w:vAlign w:val="center"/>
            <w:hideMark/>
          </w:tcPr>
          <w:p w14:paraId="43EEC4B1" w14:textId="77777777" w:rsidR="006B0A47" w:rsidRPr="00621640" w:rsidRDefault="006B0A47" w:rsidP="006B0A47">
            <w:pPr>
              <w:rPr>
                <w:rFonts w:ascii="Arial" w:hAnsi="Arial" w:cs="Arial"/>
                <w:b/>
                <w:bCs/>
                <w:color w:val="FFFFFF"/>
                <w:sz w:val="24"/>
                <w:szCs w:val="24"/>
                <w:lang w:val="en-GB" w:eastAsia="en-GB"/>
              </w:rPr>
            </w:pPr>
          </w:p>
        </w:tc>
        <w:tc>
          <w:tcPr>
            <w:tcW w:w="3054" w:type="pct"/>
            <w:tcBorders>
              <w:top w:val="nil"/>
              <w:left w:val="nil"/>
              <w:bottom w:val="single" w:sz="4" w:space="0" w:color="auto"/>
              <w:right w:val="single" w:sz="4" w:space="0" w:color="auto"/>
            </w:tcBorders>
            <w:shd w:val="clear" w:color="auto" w:fill="auto"/>
            <w:vAlign w:val="center"/>
            <w:hideMark/>
          </w:tcPr>
          <w:p w14:paraId="39FC8F7F" w14:textId="77777777" w:rsidR="006B0A47" w:rsidRPr="00621640" w:rsidRDefault="007004BD" w:rsidP="006B0A47">
            <w:pPr>
              <w:rPr>
                <w:rFonts w:ascii="Arial" w:hAnsi="Arial" w:cs="Arial"/>
                <w:sz w:val="24"/>
                <w:szCs w:val="24"/>
                <w:lang w:val="en-GB" w:eastAsia="en-GB"/>
              </w:rPr>
            </w:pPr>
            <w:r w:rsidRPr="00621640">
              <w:rPr>
                <w:rFonts w:ascii="Arial" w:hAnsi="Arial" w:cs="Arial"/>
                <w:sz w:val="24"/>
                <w:szCs w:val="24"/>
                <w:lang w:val="en-GB" w:eastAsia="en-GB"/>
              </w:rPr>
              <w:t>Investment to improve Council Tax customer service and address backlogs</w:t>
            </w:r>
          </w:p>
        </w:tc>
        <w:tc>
          <w:tcPr>
            <w:tcW w:w="668" w:type="pct"/>
            <w:tcBorders>
              <w:top w:val="nil"/>
              <w:left w:val="nil"/>
              <w:bottom w:val="single" w:sz="4" w:space="0" w:color="auto"/>
              <w:right w:val="single" w:sz="4" w:space="0" w:color="auto"/>
            </w:tcBorders>
            <w:shd w:val="clear" w:color="000000" w:fill="FFFFFF"/>
            <w:vAlign w:val="center"/>
            <w:hideMark/>
          </w:tcPr>
          <w:p w14:paraId="2919C2C5" w14:textId="77777777" w:rsidR="006B0A47" w:rsidRPr="00621640" w:rsidRDefault="007004BD" w:rsidP="006B0A47">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0.150</w:t>
            </w:r>
          </w:p>
        </w:tc>
        <w:tc>
          <w:tcPr>
            <w:tcW w:w="587" w:type="pct"/>
            <w:tcBorders>
              <w:top w:val="nil"/>
              <w:left w:val="nil"/>
              <w:bottom w:val="single" w:sz="4" w:space="0" w:color="auto"/>
              <w:right w:val="single" w:sz="4" w:space="0" w:color="auto"/>
            </w:tcBorders>
            <w:shd w:val="clear" w:color="000000" w:fill="FFFFFF"/>
            <w:vAlign w:val="center"/>
            <w:hideMark/>
          </w:tcPr>
          <w:p w14:paraId="5C51CBEB" w14:textId="77777777" w:rsidR="006B0A47" w:rsidRPr="00621640" w:rsidRDefault="007004BD" w:rsidP="006B0A47">
            <w:pPr>
              <w:jc w:val="right"/>
              <w:rPr>
                <w:rFonts w:ascii="Arial" w:hAnsi="Arial" w:cs="Arial"/>
                <w:color w:val="FFFFFF"/>
                <w:sz w:val="24"/>
                <w:szCs w:val="24"/>
                <w:lang w:val="en-GB" w:eastAsia="en-GB"/>
              </w:rPr>
            </w:pPr>
            <w:r w:rsidRPr="00621640">
              <w:rPr>
                <w:rFonts w:ascii="Arial" w:hAnsi="Arial" w:cs="Arial"/>
                <w:color w:val="FFFFFF"/>
                <w:sz w:val="24"/>
                <w:szCs w:val="24"/>
                <w:lang w:val="en-GB" w:eastAsia="en-GB"/>
              </w:rPr>
              <w:t> </w:t>
            </w:r>
          </w:p>
        </w:tc>
        <w:tc>
          <w:tcPr>
            <w:tcW w:w="57" w:type="pct"/>
            <w:vAlign w:val="center"/>
            <w:hideMark/>
          </w:tcPr>
          <w:p w14:paraId="4908D3BB" w14:textId="77777777" w:rsidR="006B0A47" w:rsidRPr="00621640" w:rsidRDefault="006B0A47" w:rsidP="006B0A47">
            <w:pPr>
              <w:rPr>
                <w:rFonts w:ascii="Arial" w:hAnsi="Arial" w:cs="Arial"/>
                <w:sz w:val="24"/>
                <w:szCs w:val="24"/>
                <w:lang w:val="en-GB" w:eastAsia="en-GB"/>
              </w:rPr>
            </w:pPr>
          </w:p>
        </w:tc>
      </w:tr>
      <w:tr w:rsidR="00A53B77" w14:paraId="18CAAB39" w14:textId="77777777" w:rsidTr="00A14453">
        <w:trPr>
          <w:trHeight w:val="300"/>
        </w:trPr>
        <w:tc>
          <w:tcPr>
            <w:tcW w:w="634" w:type="pct"/>
            <w:vMerge/>
            <w:tcBorders>
              <w:top w:val="nil"/>
              <w:left w:val="single" w:sz="4" w:space="0" w:color="auto"/>
              <w:bottom w:val="single" w:sz="4" w:space="0" w:color="auto"/>
              <w:right w:val="single" w:sz="4" w:space="0" w:color="auto"/>
            </w:tcBorders>
            <w:vAlign w:val="center"/>
            <w:hideMark/>
          </w:tcPr>
          <w:p w14:paraId="54AF5622" w14:textId="77777777" w:rsidR="006B0A47" w:rsidRPr="00621640" w:rsidRDefault="006B0A47" w:rsidP="006B0A47">
            <w:pPr>
              <w:rPr>
                <w:rFonts w:ascii="Arial" w:hAnsi="Arial" w:cs="Arial"/>
                <w:b/>
                <w:bCs/>
                <w:color w:val="FFFFFF"/>
                <w:sz w:val="24"/>
                <w:szCs w:val="24"/>
                <w:lang w:val="en-GB" w:eastAsia="en-GB"/>
              </w:rPr>
            </w:pPr>
          </w:p>
        </w:tc>
        <w:tc>
          <w:tcPr>
            <w:tcW w:w="3054" w:type="pct"/>
            <w:tcBorders>
              <w:top w:val="nil"/>
              <w:left w:val="nil"/>
              <w:bottom w:val="single" w:sz="4" w:space="0" w:color="auto"/>
              <w:right w:val="single" w:sz="4" w:space="0" w:color="auto"/>
            </w:tcBorders>
            <w:shd w:val="clear" w:color="auto" w:fill="auto"/>
            <w:vAlign w:val="center"/>
            <w:hideMark/>
          </w:tcPr>
          <w:p w14:paraId="6588362F" w14:textId="77777777" w:rsidR="006B0A47" w:rsidRPr="00621640" w:rsidRDefault="007004BD" w:rsidP="006B0A47">
            <w:pPr>
              <w:rPr>
                <w:rFonts w:ascii="Arial" w:hAnsi="Arial" w:cs="Arial"/>
                <w:sz w:val="24"/>
                <w:szCs w:val="24"/>
                <w:lang w:val="en-GB" w:eastAsia="en-GB"/>
              </w:rPr>
            </w:pPr>
            <w:r w:rsidRPr="00621640">
              <w:rPr>
                <w:rFonts w:ascii="Arial" w:hAnsi="Arial" w:cs="Arial"/>
                <w:sz w:val="24"/>
                <w:szCs w:val="24"/>
                <w:lang w:val="en-GB" w:eastAsia="en-GB"/>
              </w:rPr>
              <w:t>Other minor service contractual uplift and income pressures</w:t>
            </w:r>
          </w:p>
        </w:tc>
        <w:tc>
          <w:tcPr>
            <w:tcW w:w="668" w:type="pct"/>
            <w:tcBorders>
              <w:top w:val="nil"/>
              <w:left w:val="nil"/>
              <w:bottom w:val="single" w:sz="4" w:space="0" w:color="auto"/>
              <w:right w:val="single" w:sz="4" w:space="0" w:color="auto"/>
            </w:tcBorders>
            <w:shd w:val="clear" w:color="000000" w:fill="FFFFFF"/>
            <w:vAlign w:val="center"/>
            <w:hideMark/>
          </w:tcPr>
          <w:p w14:paraId="35938F21" w14:textId="77777777" w:rsidR="006B0A47" w:rsidRPr="00621640" w:rsidRDefault="007004BD" w:rsidP="006B0A47">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0.090</w:t>
            </w:r>
          </w:p>
        </w:tc>
        <w:tc>
          <w:tcPr>
            <w:tcW w:w="587" w:type="pct"/>
            <w:tcBorders>
              <w:top w:val="nil"/>
              <w:left w:val="nil"/>
              <w:bottom w:val="single" w:sz="4" w:space="0" w:color="auto"/>
              <w:right w:val="single" w:sz="4" w:space="0" w:color="auto"/>
            </w:tcBorders>
            <w:shd w:val="clear" w:color="000000" w:fill="FFFFFF"/>
            <w:vAlign w:val="center"/>
            <w:hideMark/>
          </w:tcPr>
          <w:p w14:paraId="78E6A799" w14:textId="77777777" w:rsidR="006B0A47" w:rsidRPr="00621640" w:rsidRDefault="007004BD" w:rsidP="006B0A47">
            <w:pPr>
              <w:jc w:val="right"/>
              <w:rPr>
                <w:rFonts w:ascii="Arial" w:hAnsi="Arial" w:cs="Arial"/>
                <w:color w:val="FFFFFF"/>
                <w:sz w:val="24"/>
                <w:szCs w:val="24"/>
                <w:lang w:val="en-GB" w:eastAsia="en-GB"/>
              </w:rPr>
            </w:pPr>
            <w:r w:rsidRPr="00621640">
              <w:rPr>
                <w:rFonts w:ascii="Arial" w:hAnsi="Arial" w:cs="Arial"/>
                <w:color w:val="FFFFFF"/>
                <w:sz w:val="24"/>
                <w:szCs w:val="24"/>
                <w:lang w:val="en-GB" w:eastAsia="en-GB"/>
              </w:rPr>
              <w:t> </w:t>
            </w:r>
          </w:p>
        </w:tc>
        <w:tc>
          <w:tcPr>
            <w:tcW w:w="57" w:type="pct"/>
            <w:vAlign w:val="center"/>
            <w:hideMark/>
          </w:tcPr>
          <w:p w14:paraId="43B884C7" w14:textId="77777777" w:rsidR="006B0A47" w:rsidRPr="00621640" w:rsidRDefault="006B0A47" w:rsidP="006B0A47">
            <w:pPr>
              <w:rPr>
                <w:rFonts w:ascii="Arial" w:hAnsi="Arial" w:cs="Arial"/>
                <w:sz w:val="24"/>
                <w:szCs w:val="24"/>
                <w:lang w:val="en-GB" w:eastAsia="en-GB"/>
              </w:rPr>
            </w:pPr>
          </w:p>
        </w:tc>
      </w:tr>
      <w:tr w:rsidR="00A53B77" w14:paraId="2B616294" w14:textId="77777777" w:rsidTr="00A14453">
        <w:trPr>
          <w:trHeight w:val="300"/>
        </w:trPr>
        <w:tc>
          <w:tcPr>
            <w:tcW w:w="634" w:type="pct"/>
            <w:vMerge/>
            <w:tcBorders>
              <w:top w:val="nil"/>
              <w:left w:val="single" w:sz="4" w:space="0" w:color="auto"/>
              <w:bottom w:val="single" w:sz="4" w:space="0" w:color="auto"/>
              <w:right w:val="single" w:sz="4" w:space="0" w:color="auto"/>
            </w:tcBorders>
            <w:vAlign w:val="center"/>
            <w:hideMark/>
          </w:tcPr>
          <w:p w14:paraId="321776E2" w14:textId="77777777" w:rsidR="006B0A47" w:rsidRPr="00621640" w:rsidRDefault="006B0A47" w:rsidP="006B0A47">
            <w:pPr>
              <w:rPr>
                <w:rFonts w:ascii="Arial" w:hAnsi="Arial" w:cs="Arial"/>
                <w:b/>
                <w:bCs/>
                <w:color w:val="FFFFFF"/>
                <w:sz w:val="24"/>
                <w:szCs w:val="24"/>
                <w:lang w:val="en-GB" w:eastAsia="en-GB"/>
              </w:rPr>
            </w:pPr>
          </w:p>
        </w:tc>
        <w:tc>
          <w:tcPr>
            <w:tcW w:w="3054" w:type="pct"/>
            <w:tcBorders>
              <w:top w:val="nil"/>
              <w:left w:val="nil"/>
              <w:bottom w:val="single" w:sz="4" w:space="0" w:color="auto"/>
              <w:right w:val="single" w:sz="4" w:space="0" w:color="auto"/>
            </w:tcBorders>
            <w:shd w:val="clear" w:color="auto" w:fill="auto"/>
            <w:vAlign w:val="center"/>
            <w:hideMark/>
          </w:tcPr>
          <w:p w14:paraId="49389963" w14:textId="057305B0" w:rsidR="006B0A47" w:rsidRPr="00621640" w:rsidRDefault="007004BD" w:rsidP="006B0A47">
            <w:pPr>
              <w:rPr>
                <w:rFonts w:ascii="Arial" w:hAnsi="Arial" w:cs="Arial"/>
                <w:sz w:val="24"/>
                <w:szCs w:val="24"/>
                <w:lang w:val="en-GB" w:eastAsia="en-GB"/>
              </w:rPr>
            </w:pPr>
            <w:r>
              <w:rPr>
                <w:rFonts w:ascii="Arial" w:hAnsi="Arial" w:cs="Arial"/>
                <w:sz w:val="24"/>
                <w:szCs w:val="24"/>
                <w:lang w:val="en-GB" w:eastAsia="en-GB"/>
              </w:rPr>
              <w:t>All o</w:t>
            </w:r>
            <w:r w:rsidRPr="00621640">
              <w:rPr>
                <w:rFonts w:ascii="Arial" w:hAnsi="Arial" w:cs="Arial"/>
                <w:sz w:val="24"/>
                <w:szCs w:val="24"/>
                <w:lang w:val="en-GB" w:eastAsia="en-GB"/>
              </w:rPr>
              <w:t>ther corporate income and contractual pressures</w:t>
            </w:r>
          </w:p>
        </w:tc>
        <w:tc>
          <w:tcPr>
            <w:tcW w:w="668" w:type="pct"/>
            <w:tcBorders>
              <w:top w:val="nil"/>
              <w:left w:val="nil"/>
              <w:bottom w:val="single" w:sz="4" w:space="0" w:color="auto"/>
              <w:right w:val="single" w:sz="4" w:space="0" w:color="auto"/>
            </w:tcBorders>
            <w:shd w:val="clear" w:color="000000" w:fill="FFFFFF"/>
            <w:vAlign w:val="center"/>
            <w:hideMark/>
          </w:tcPr>
          <w:p w14:paraId="1B614A47" w14:textId="77777777" w:rsidR="006B0A47" w:rsidRPr="00621640" w:rsidRDefault="007004BD" w:rsidP="006B0A47">
            <w:pPr>
              <w:jc w:val="right"/>
              <w:rPr>
                <w:rFonts w:ascii="Arial" w:hAnsi="Arial" w:cs="Arial"/>
                <w:color w:val="000000"/>
                <w:sz w:val="24"/>
                <w:szCs w:val="24"/>
                <w:lang w:val="en-GB" w:eastAsia="en-GB"/>
              </w:rPr>
            </w:pPr>
            <w:r w:rsidRPr="00621640">
              <w:rPr>
                <w:rFonts w:ascii="Arial" w:hAnsi="Arial" w:cs="Arial"/>
                <w:color w:val="000000"/>
                <w:sz w:val="24"/>
                <w:szCs w:val="24"/>
                <w:lang w:val="en-GB" w:eastAsia="en-GB"/>
              </w:rPr>
              <w:t>0.349</w:t>
            </w:r>
          </w:p>
        </w:tc>
        <w:tc>
          <w:tcPr>
            <w:tcW w:w="587" w:type="pct"/>
            <w:tcBorders>
              <w:top w:val="nil"/>
              <w:left w:val="nil"/>
              <w:bottom w:val="single" w:sz="4" w:space="0" w:color="auto"/>
              <w:right w:val="single" w:sz="4" w:space="0" w:color="auto"/>
            </w:tcBorders>
            <w:shd w:val="clear" w:color="000000" w:fill="FFFFFF"/>
            <w:vAlign w:val="center"/>
            <w:hideMark/>
          </w:tcPr>
          <w:p w14:paraId="7E6B3B10" w14:textId="77777777" w:rsidR="006B0A47" w:rsidRPr="00621640" w:rsidRDefault="007004BD" w:rsidP="006B0A47">
            <w:pPr>
              <w:jc w:val="right"/>
              <w:rPr>
                <w:rFonts w:ascii="Arial" w:hAnsi="Arial" w:cs="Arial"/>
                <w:color w:val="FFFFFF"/>
                <w:sz w:val="24"/>
                <w:szCs w:val="24"/>
                <w:lang w:val="en-GB" w:eastAsia="en-GB"/>
              </w:rPr>
            </w:pPr>
            <w:r w:rsidRPr="00621640">
              <w:rPr>
                <w:rFonts w:ascii="Arial" w:hAnsi="Arial" w:cs="Arial"/>
                <w:color w:val="FFFFFF"/>
                <w:sz w:val="24"/>
                <w:szCs w:val="24"/>
                <w:lang w:val="en-GB" w:eastAsia="en-GB"/>
              </w:rPr>
              <w:t> </w:t>
            </w:r>
          </w:p>
        </w:tc>
        <w:tc>
          <w:tcPr>
            <w:tcW w:w="57" w:type="pct"/>
            <w:vAlign w:val="center"/>
            <w:hideMark/>
          </w:tcPr>
          <w:p w14:paraId="72C5DAA2" w14:textId="77777777" w:rsidR="006B0A47" w:rsidRPr="00621640" w:rsidRDefault="006B0A47" w:rsidP="006B0A47">
            <w:pPr>
              <w:rPr>
                <w:rFonts w:ascii="Arial" w:hAnsi="Arial" w:cs="Arial"/>
                <w:sz w:val="24"/>
                <w:szCs w:val="24"/>
                <w:lang w:val="en-GB" w:eastAsia="en-GB"/>
              </w:rPr>
            </w:pPr>
          </w:p>
        </w:tc>
      </w:tr>
      <w:tr w:rsidR="00A53B77" w14:paraId="0D71E5D0" w14:textId="77777777" w:rsidTr="00A14453">
        <w:trPr>
          <w:trHeight w:val="300"/>
        </w:trPr>
        <w:tc>
          <w:tcPr>
            <w:tcW w:w="634" w:type="pct"/>
            <w:vMerge/>
            <w:tcBorders>
              <w:top w:val="nil"/>
              <w:left w:val="single" w:sz="4" w:space="0" w:color="auto"/>
              <w:bottom w:val="single" w:sz="4" w:space="0" w:color="auto"/>
              <w:right w:val="single" w:sz="4" w:space="0" w:color="auto"/>
            </w:tcBorders>
            <w:vAlign w:val="center"/>
          </w:tcPr>
          <w:p w14:paraId="352298B6" w14:textId="77777777" w:rsidR="006B0A47" w:rsidRPr="00621640" w:rsidRDefault="006B0A47" w:rsidP="006B0A47">
            <w:pPr>
              <w:rPr>
                <w:rFonts w:ascii="Arial" w:hAnsi="Arial" w:cs="Arial"/>
                <w:b/>
                <w:bCs/>
                <w:color w:val="FFFFFF"/>
                <w:sz w:val="24"/>
                <w:szCs w:val="24"/>
                <w:lang w:val="en-GB" w:eastAsia="en-GB"/>
              </w:rPr>
            </w:pPr>
          </w:p>
        </w:tc>
        <w:tc>
          <w:tcPr>
            <w:tcW w:w="3054" w:type="pct"/>
            <w:tcBorders>
              <w:top w:val="nil"/>
              <w:left w:val="nil"/>
              <w:bottom w:val="single" w:sz="4" w:space="0" w:color="auto"/>
              <w:right w:val="single" w:sz="4" w:space="0" w:color="auto"/>
            </w:tcBorders>
            <w:shd w:val="clear" w:color="auto" w:fill="auto"/>
            <w:vAlign w:val="center"/>
          </w:tcPr>
          <w:p w14:paraId="0B495D0E" w14:textId="423C0A47" w:rsidR="006B0A47" w:rsidRPr="00621640" w:rsidRDefault="007004BD" w:rsidP="006B0A47">
            <w:pPr>
              <w:rPr>
                <w:rFonts w:ascii="Arial" w:hAnsi="Arial" w:cs="Arial"/>
                <w:sz w:val="24"/>
                <w:szCs w:val="24"/>
                <w:lang w:val="en-GB" w:eastAsia="en-GB"/>
              </w:rPr>
            </w:pPr>
            <w:r>
              <w:rPr>
                <w:rFonts w:ascii="Arial" w:hAnsi="Arial" w:cs="Arial"/>
                <w:sz w:val="24"/>
                <w:szCs w:val="24"/>
                <w:lang w:val="en-GB" w:eastAsia="en-GB"/>
              </w:rPr>
              <w:t>One-off Contingency for diseased tree management, school organisation and other potential year-end liabilities (subject to final outturn)</w:t>
            </w:r>
          </w:p>
        </w:tc>
        <w:tc>
          <w:tcPr>
            <w:tcW w:w="668" w:type="pct"/>
            <w:tcBorders>
              <w:top w:val="nil"/>
              <w:left w:val="nil"/>
              <w:bottom w:val="single" w:sz="4" w:space="0" w:color="auto"/>
              <w:right w:val="single" w:sz="4" w:space="0" w:color="auto"/>
            </w:tcBorders>
            <w:shd w:val="clear" w:color="000000" w:fill="FFFFFF"/>
            <w:vAlign w:val="center"/>
          </w:tcPr>
          <w:p w14:paraId="18839AE2" w14:textId="77777777" w:rsidR="006B0A47" w:rsidRPr="00621640" w:rsidRDefault="006B0A47" w:rsidP="006B0A47">
            <w:pPr>
              <w:jc w:val="right"/>
              <w:rPr>
                <w:rFonts w:ascii="Arial" w:hAnsi="Arial" w:cs="Arial"/>
                <w:color w:val="000000"/>
                <w:sz w:val="24"/>
                <w:szCs w:val="24"/>
                <w:lang w:val="en-GB" w:eastAsia="en-GB"/>
              </w:rPr>
            </w:pPr>
          </w:p>
        </w:tc>
        <w:tc>
          <w:tcPr>
            <w:tcW w:w="587" w:type="pct"/>
            <w:tcBorders>
              <w:top w:val="nil"/>
              <w:left w:val="nil"/>
              <w:bottom w:val="single" w:sz="4" w:space="0" w:color="auto"/>
              <w:right w:val="single" w:sz="4" w:space="0" w:color="auto"/>
            </w:tcBorders>
            <w:shd w:val="clear" w:color="000000" w:fill="FFFFFF"/>
            <w:vAlign w:val="center"/>
          </w:tcPr>
          <w:p w14:paraId="0BD99DCE" w14:textId="30F6B10B" w:rsidR="006B0A47" w:rsidRPr="00621640" w:rsidRDefault="007004BD" w:rsidP="006B0A47">
            <w:pPr>
              <w:jc w:val="right"/>
              <w:rPr>
                <w:rFonts w:ascii="Arial" w:hAnsi="Arial" w:cs="Arial"/>
                <w:color w:val="FFFFFF"/>
                <w:sz w:val="24"/>
                <w:szCs w:val="24"/>
                <w:lang w:val="en-GB" w:eastAsia="en-GB"/>
              </w:rPr>
            </w:pPr>
            <w:r w:rsidRPr="00A35BFB">
              <w:rPr>
                <w:rFonts w:ascii="Arial" w:hAnsi="Arial" w:cs="Arial"/>
                <w:sz w:val="24"/>
                <w:szCs w:val="24"/>
                <w:lang w:val="en-GB" w:eastAsia="en-GB"/>
              </w:rPr>
              <w:t>0.</w:t>
            </w:r>
            <w:r>
              <w:rPr>
                <w:rFonts w:ascii="Arial" w:hAnsi="Arial" w:cs="Arial"/>
                <w:sz w:val="24"/>
                <w:szCs w:val="24"/>
                <w:lang w:val="en-GB" w:eastAsia="en-GB"/>
              </w:rPr>
              <w:t>430</w:t>
            </w:r>
          </w:p>
        </w:tc>
        <w:tc>
          <w:tcPr>
            <w:tcW w:w="57" w:type="pct"/>
            <w:vAlign w:val="center"/>
          </w:tcPr>
          <w:p w14:paraId="3687A92D" w14:textId="77777777" w:rsidR="006B0A47" w:rsidRPr="00621640" w:rsidRDefault="006B0A47" w:rsidP="006B0A47">
            <w:pPr>
              <w:rPr>
                <w:rFonts w:ascii="Arial" w:hAnsi="Arial" w:cs="Arial"/>
                <w:sz w:val="24"/>
                <w:szCs w:val="24"/>
                <w:lang w:val="en-GB" w:eastAsia="en-GB"/>
              </w:rPr>
            </w:pPr>
          </w:p>
        </w:tc>
      </w:tr>
      <w:tr w:rsidR="00A53B77" w14:paraId="0DEB4591" w14:textId="77777777" w:rsidTr="00A14453">
        <w:trPr>
          <w:trHeight w:val="315"/>
        </w:trPr>
        <w:tc>
          <w:tcPr>
            <w:tcW w:w="634" w:type="pct"/>
            <w:vMerge/>
            <w:tcBorders>
              <w:top w:val="nil"/>
              <w:left w:val="single" w:sz="4" w:space="0" w:color="auto"/>
              <w:bottom w:val="single" w:sz="4" w:space="0" w:color="auto"/>
              <w:right w:val="single" w:sz="4" w:space="0" w:color="auto"/>
            </w:tcBorders>
            <w:vAlign w:val="center"/>
            <w:hideMark/>
          </w:tcPr>
          <w:p w14:paraId="470368A6" w14:textId="77777777" w:rsidR="006B0A47" w:rsidRPr="00621640" w:rsidRDefault="006B0A47" w:rsidP="006B0A47">
            <w:pPr>
              <w:rPr>
                <w:rFonts w:ascii="Arial" w:hAnsi="Arial" w:cs="Arial"/>
                <w:b/>
                <w:bCs/>
                <w:color w:val="FFFFFF"/>
                <w:sz w:val="24"/>
                <w:szCs w:val="24"/>
                <w:lang w:val="en-GB" w:eastAsia="en-GB"/>
              </w:rPr>
            </w:pPr>
          </w:p>
        </w:tc>
        <w:tc>
          <w:tcPr>
            <w:tcW w:w="3054" w:type="pct"/>
            <w:tcBorders>
              <w:top w:val="nil"/>
              <w:left w:val="nil"/>
              <w:bottom w:val="single" w:sz="4" w:space="0" w:color="auto"/>
              <w:right w:val="single" w:sz="4" w:space="0" w:color="auto"/>
            </w:tcBorders>
            <w:shd w:val="clear" w:color="000000" w:fill="BF0953"/>
            <w:vAlign w:val="center"/>
            <w:hideMark/>
          </w:tcPr>
          <w:p w14:paraId="68D281B1" w14:textId="77777777" w:rsidR="006B0A47" w:rsidRPr="00621640" w:rsidRDefault="007004BD" w:rsidP="006B0A47">
            <w:pPr>
              <w:rPr>
                <w:rFonts w:ascii="Arial" w:hAnsi="Arial" w:cs="Arial"/>
                <w:b/>
                <w:bCs/>
                <w:color w:val="FFFFFF"/>
                <w:sz w:val="24"/>
                <w:szCs w:val="24"/>
                <w:lang w:val="en-GB" w:eastAsia="en-GB"/>
              </w:rPr>
            </w:pPr>
            <w:r w:rsidRPr="00621640">
              <w:rPr>
                <w:rFonts w:ascii="Arial" w:hAnsi="Arial" w:cs="Arial"/>
                <w:b/>
                <w:bCs/>
                <w:color w:val="FFFFFF"/>
                <w:sz w:val="24"/>
                <w:szCs w:val="24"/>
                <w:lang w:val="en-GB" w:eastAsia="en-GB"/>
              </w:rPr>
              <w:t>Total Investments to maintain Well-Run Services</w:t>
            </w:r>
          </w:p>
        </w:tc>
        <w:tc>
          <w:tcPr>
            <w:tcW w:w="668" w:type="pct"/>
            <w:tcBorders>
              <w:top w:val="nil"/>
              <w:left w:val="nil"/>
              <w:bottom w:val="single" w:sz="4" w:space="0" w:color="auto"/>
              <w:right w:val="single" w:sz="4" w:space="0" w:color="auto"/>
            </w:tcBorders>
            <w:shd w:val="clear" w:color="000000" w:fill="BF0953"/>
            <w:vAlign w:val="center"/>
            <w:hideMark/>
          </w:tcPr>
          <w:p w14:paraId="6EC657E3" w14:textId="77777777" w:rsidR="006B0A47" w:rsidRPr="00621640" w:rsidRDefault="007004BD" w:rsidP="006B0A47">
            <w:pPr>
              <w:jc w:val="right"/>
              <w:rPr>
                <w:rFonts w:ascii="Arial" w:hAnsi="Arial" w:cs="Arial"/>
                <w:b/>
                <w:bCs/>
                <w:color w:val="FFFFFF"/>
                <w:sz w:val="24"/>
                <w:szCs w:val="24"/>
                <w:lang w:val="en-GB" w:eastAsia="en-GB"/>
              </w:rPr>
            </w:pPr>
            <w:r w:rsidRPr="00621640">
              <w:rPr>
                <w:rFonts w:ascii="Arial" w:hAnsi="Arial" w:cs="Arial"/>
                <w:b/>
                <w:bCs/>
                <w:color w:val="FFFFFF"/>
                <w:sz w:val="24"/>
                <w:szCs w:val="24"/>
                <w:lang w:val="en-GB" w:eastAsia="en-GB"/>
              </w:rPr>
              <w:t>9.077</w:t>
            </w:r>
          </w:p>
        </w:tc>
        <w:tc>
          <w:tcPr>
            <w:tcW w:w="587" w:type="pct"/>
            <w:tcBorders>
              <w:top w:val="nil"/>
              <w:left w:val="nil"/>
              <w:bottom w:val="single" w:sz="4" w:space="0" w:color="auto"/>
              <w:right w:val="single" w:sz="4" w:space="0" w:color="auto"/>
            </w:tcBorders>
            <w:shd w:val="clear" w:color="000000" w:fill="BF0953"/>
            <w:vAlign w:val="center"/>
            <w:hideMark/>
          </w:tcPr>
          <w:p w14:paraId="4A269195" w14:textId="6F6ECE42" w:rsidR="006B0A47" w:rsidRPr="00621640" w:rsidRDefault="007004BD" w:rsidP="006B0A47">
            <w:pPr>
              <w:jc w:val="right"/>
              <w:rPr>
                <w:rFonts w:ascii="Arial" w:hAnsi="Arial" w:cs="Arial"/>
                <w:b/>
                <w:bCs/>
                <w:color w:val="FFFFFF"/>
                <w:sz w:val="24"/>
                <w:szCs w:val="24"/>
                <w:lang w:val="en-GB" w:eastAsia="en-GB"/>
              </w:rPr>
            </w:pPr>
            <w:r w:rsidRPr="00621640">
              <w:rPr>
                <w:rFonts w:ascii="Arial" w:hAnsi="Arial" w:cs="Arial"/>
                <w:b/>
                <w:bCs/>
                <w:color w:val="FFFFFF"/>
                <w:sz w:val="24"/>
                <w:szCs w:val="24"/>
                <w:lang w:val="en-GB" w:eastAsia="en-GB"/>
              </w:rPr>
              <w:t>0.</w:t>
            </w:r>
            <w:r>
              <w:rPr>
                <w:rFonts w:ascii="Arial" w:hAnsi="Arial" w:cs="Arial"/>
                <w:b/>
                <w:bCs/>
                <w:color w:val="FFFFFF"/>
                <w:sz w:val="24"/>
                <w:szCs w:val="24"/>
                <w:lang w:val="en-GB" w:eastAsia="en-GB"/>
              </w:rPr>
              <w:t>430</w:t>
            </w:r>
          </w:p>
        </w:tc>
        <w:tc>
          <w:tcPr>
            <w:tcW w:w="57" w:type="pct"/>
            <w:vAlign w:val="center"/>
            <w:hideMark/>
          </w:tcPr>
          <w:p w14:paraId="44ABCD2E" w14:textId="77777777" w:rsidR="006B0A47" w:rsidRPr="00621640" w:rsidRDefault="006B0A47" w:rsidP="006B0A47">
            <w:pPr>
              <w:rPr>
                <w:rFonts w:ascii="Arial" w:hAnsi="Arial" w:cs="Arial"/>
                <w:sz w:val="24"/>
                <w:szCs w:val="24"/>
                <w:lang w:val="en-GB" w:eastAsia="en-GB"/>
              </w:rPr>
            </w:pPr>
          </w:p>
        </w:tc>
      </w:tr>
      <w:tr w:rsidR="00A53B77" w14:paraId="455761E6" w14:textId="77777777" w:rsidTr="00A14453">
        <w:trPr>
          <w:trHeight w:val="315"/>
        </w:trPr>
        <w:tc>
          <w:tcPr>
            <w:tcW w:w="634" w:type="pct"/>
            <w:tcBorders>
              <w:top w:val="nil"/>
              <w:left w:val="single" w:sz="4" w:space="0" w:color="auto"/>
              <w:bottom w:val="single" w:sz="4" w:space="0" w:color="auto"/>
              <w:right w:val="single" w:sz="4" w:space="0" w:color="auto"/>
            </w:tcBorders>
            <w:shd w:val="clear" w:color="000000" w:fill="BF0953"/>
            <w:vAlign w:val="center"/>
            <w:hideMark/>
          </w:tcPr>
          <w:p w14:paraId="15D875B7" w14:textId="77777777" w:rsidR="006B0A47" w:rsidRPr="00621640" w:rsidRDefault="007004BD" w:rsidP="006B0A47">
            <w:pPr>
              <w:jc w:val="center"/>
              <w:rPr>
                <w:rFonts w:ascii="Arial" w:hAnsi="Arial" w:cs="Arial"/>
                <w:b/>
                <w:bCs/>
                <w:color w:val="FFFFFF"/>
                <w:sz w:val="24"/>
                <w:szCs w:val="24"/>
                <w:lang w:val="en-GB" w:eastAsia="en-GB"/>
              </w:rPr>
            </w:pPr>
            <w:r w:rsidRPr="00621640">
              <w:rPr>
                <w:rFonts w:ascii="Arial" w:hAnsi="Arial" w:cs="Arial"/>
                <w:b/>
                <w:bCs/>
                <w:color w:val="FFFFFF"/>
                <w:sz w:val="24"/>
                <w:szCs w:val="24"/>
                <w:lang w:val="en-GB" w:eastAsia="en-GB"/>
              </w:rPr>
              <w:t> </w:t>
            </w:r>
          </w:p>
        </w:tc>
        <w:tc>
          <w:tcPr>
            <w:tcW w:w="3054" w:type="pct"/>
            <w:tcBorders>
              <w:top w:val="nil"/>
              <w:left w:val="nil"/>
              <w:bottom w:val="single" w:sz="4" w:space="0" w:color="auto"/>
              <w:right w:val="single" w:sz="4" w:space="0" w:color="auto"/>
            </w:tcBorders>
            <w:shd w:val="clear" w:color="000000" w:fill="BF0953"/>
            <w:vAlign w:val="center"/>
            <w:hideMark/>
          </w:tcPr>
          <w:p w14:paraId="2C289D23" w14:textId="77777777" w:rsidR="006B0A47" w:rsidRPr="00621640" w:rsidRDefault="007004BD" w:rsidP="006B0A47">
            <w:pPr>
              <w:rPr>
                <w:rFonts w:ascii="Arial" w:hAnsi="Arial" w:cs="Arial"/>
                <w:b/>
                <w:bCs/>
                <w:color w:val="FFFFFF"/>
                <w:sz w:val="24"/>
                <w:szCs w:val="24"/>
                <w:lang w:val="en-GB" w:eastAsia="en-GB"/>
              </w:rPr>
            </w:pPr>
            <w:r w:rsidRPr="00621640">
              <w:rPr>
                <w:rFonts w:ascii="Arial" w:hAnsi="Arial" w:cs="Arial"/>
                <w:b/>
                <w:bCs/>
                <w:color w:val="FFFFFF"/>
                <w:sz w:val="24"/>
                <w:szCs w:val="24"/>
                <w:lang w:val="en-GB" w:eastAsia="en-GB"/>
              </w:rPr>
              <w:t>TOTAL COUNCIL PLAN INVESTMENTS 2024/25</w:t>
            </w:r>
          </w:p>
        </w:tc>
        <w:tc>
          <w:tcPr>
            <w:tcW w:w="668" w:type="pct"/>
            <w:tcBorders>
              <w:top w:val="nil"/>
              <w:left w:val="nil"/>
              <w:bottom w:val="single" w:sz="4" w:space="0" w:color="auto"/>
              <w:right w:val="single" w:sz="4" w:space="0" w:color="auto"/>
            </w:tcBorders>
            <w:shd w:val="clear" w:color="000000" w:fill="BF0953"/>
            <w:vAlign w:val="center"/>
            <w:hideMark/>
          </w:tcPr>
          <w:p w14:paraId="2D210F46" w14:textId="77777777" w:rsidR="006B0A47" w:rsidRPr="00621640" w:rsidRDefault="007004BD" w:rsidP="006B0A47">
            <w:pPr>
              <w:jc w:val="right"/>
              <w:rPr>
                <w:rFonts w:ascii="Arial" w:hAnsi="Arial" w:cs="Arial"/>
                <w:b/>
                <w:bCs/>
                <w:color w:val="FFFFFF"/>
                <w:sz w:val="24"/>
                <w:szCs w:val="24"/>
                <w:lang w:val="en-GB" w:eastAsia="en-GB"/>
              </w:rPr>
            </w:pPr>
            <w:r w:rsidRPr="00621640">
              <w:rPr>
                <w:rFonts w:ascii="Arial" w:hAnsi="Arial" w:cs="Arial"/>
                <w:b/>
                <w:bCs/>
                <w:color w:val="FFFFFF"/>
                <w:sz w:val="24"/>
                <w:szCs w:val="24"/>
                <w:lang w:val="en-GB" w:eastAsia="en-GB"/>
              </w:rPr>
              <w:t>27.229</w:t>
            </w:r>
          </w:p>
        </w:tc>
        <w:tc>
          <w:tcPr>
            <w:tcW w:w="587" w:type="pct"/>
            <w:tcBorders>
              <w:top w:val="nil"/>
              <w:left w:val="nil"/>
              <w:bottom w:val="single" w:sz="4" w:space="0" w:color="auto"/>
              <w:right w:val="single" w:sz="4" w:space="0" w:color="auto"/>
            </w:tcBorders>
            <w:shd w:val="clear" w:color="000000" w:fill="BF0953"/>
            <w:vAlign w:val="center"/>
            <w:hideMark/>
          </w:tcPr>
          <w:p w14:paraId="6853B5D0" w14:textId="00B4E964" w:rsidR="006B0A47" w:rsidRPr="00621640" w:rsidRDefault="007004BD" w:rsidP="006B0A47">
            <w:pPr>
              <w:jc w:val="right"/>
              <w:rPr>
                <w:rFonts w:ascii="Arial" w:hAnsi="Arial" w:cs="Arial"/>
                <w:b/>
                <w:bCs/>
                <w:color w:val="FFFFFF"/>
                <w:sz w:val="24"/>
                <w:szCs w:val="24"/>
                <w:lang w:val="en-GB" w:eastAsia="en-GB"/>
              </w:rPr>
            </w:pPr>
            <w:r w:rsidRPr="00621640">
              <w:rPr>
                <w:rFonts w:ascii="Arial" w:hAnsi="Arial" w:cs="Arial"/>
                <w:b/>
                <w:bCs/>
                <w:color w:val="FFFFFF"/>
                <w:sz w:val="24"/>
                <w:szCs w:val="24"/>
                <w:lang w:val="en-GB" w:eastAsia="en-GB"/>
              </w:rPr>
              <w:t>0.</w:t>
            </w:r>
            <w:r>
              <w:rPr>
                <w:rFonts w:ascii="Arial" w:hAnsi="Arial" w:cs="Arial"/>
                <w:b/>
                <w:bCs/>
                <w:color w:val="FFFFFF"/>
                <w:sz w:val="24"/>
                <w:szCs w:val="24"/>
                <w:lang w:val="en-GB" w:eastAsia="en-GB"/>
              </w:rPr>
              <w:t>956</w:t>
            </w:r>
          </w:p>
        </w:tc>
        <w:tc>
          <w:tcPr>
            <w:tcW w:w="57" w:type="pct"/>
            <w:vAlign w:val="center"/>
            <w:hideMark/>
          </w:tcPr>
          <w:p w14:paraId="6E72CE0B" w14:textId="77777777" w:rsidR="006B0A47" w:rsidRPr="00621640" w:rsidRDefault="006B0A47" w:rsidP="006B0A47">
            <w:pPr>
              <w:rPr>
                <w:rFonts w:ascii="Arial" w:hAnsi="Arial" w:cs="Arial"/>
                <w:sz w:val="24"/>
                <w:szCs w:val="24"/>
                <w:lang w:val="en-GB" w:eastAsia="en-GB"/>
              </w:rPr>
            </w:pPr>
          </w:p>
        </w:tc>
      </w:tr>
    </w:tbl>
    <w:p w14:paraId="24726786" w14:textId="77777777" w:rsidR="00621640" w:rsidRPr="00DA6D29" w:rsidRDefault="00621640" w:rsidP="009B058F">
      <w:pPr>
        <w:ind w:left="284" w:hanging="284"/>
        <w:rPr>
          <w:rFonts w:ascii="Arial" w:hAnsi="Arial" w:cs="Arial"/>
          <w:color w:val="FF0000"/>
          <w:sz w:val="24"/>
          <w:szCs w:val="24"/>
          <w:lang w:val="en-GB"/>
        </w:rPr>
        <w:sectPr w:rsidR="00621640" w:rsidRPr="00DA6D29" w:rsidSect="00A14453">
          <w:headerReference w:type="first" r:id="rId11"/>
          <w:pgSz w:w="11900" w:h="16832" w:code="9"/>
          <w:pgMar w:top="1134" w:right="992" w:bottom="1134" w:left="992" w:header="709" w:footer="709" w:gutter="0"/>
          <w:paperSrc w:first="7" w:other="7"/>
          <w:cols w:space="720"/>
          <w:titlePg/>
          <w:docGrid w:linePitch="326"/>
        </w:sectPr>
      </w:pPr>
    </w:p>
    <w:p w14:paraId="53FA412B" w14:textId="0005568F" w:rsidR="009B058F" w:rsidRPr="00E945CB" w:rsidRDefault="007004BD" w:rsidP="00E945CB">
      <w:pPr>
        <w:pStyle w:val="Heading1"/>
      </w:pPr>
      <w:r w:rsidRPr="00E945CB">
        <w:t xml:space="preserve">RESERVES POSITION AND ONE-OFF FUNDING </w:t>
      </w:r>
    </w:p>
    <w:p w14:paraId="42A2DF05" w14:textId="2153B12A" w:rsidR="009B058F" w:rsidRPr="00E945CB" w:rsidRDefault="007004BD" w:rsidP="00E945CB">
      <w:pPr>
        <w:keepNext/>
        <w:spacing w:before="120" w:after="120"/>
        <w:ind w:left="709"/>
        <w:rPr>
          <w:rFonts w:ascii="Arial" w:hAnsi="Arial" w:cs="Arial"/>
          <w:b/>
          <w:bCs/>
          <w:i/>
          <w:iCs/>
          <w:sz w:val="24"/>
          <w:szCs w:val="24"/>
        </w:rPr>
      </w:pPr>
      <w:r w:rsidRPr="00E945CB">
        <w:rPr>
          <w:rFonts w:ascii="Arial" w:hAnsi="Arial" w:cs="Arial"/>
          <w:b/>
          <w:bCs/>
          <w:i/>
          <w:iCs/>
          <w:sz w:val="24"/>
          <w:szCs w:val="24"/>
        </w:rPr>
        <w:t>Latest Financial Performance in 202</w:t>
      </w:r>
      <w:r w:rsidR="0040445E" w:rsidRPr="00E945CB">
        <w:rPr>
          <w:rFonts w:ascii="Arial" w:hAnsi="Arial" w:cs="Arial"/>
          <w:b/>
          <w:bCs/>
          <w:i/>
          <w:iCs/>
          <w:sz w:val="24"/>
          <w:szCs w:val="24"/>
        </w:rPr>
        <w:t>3</w:t>
      </w:r>
      <w:r w:rsidRPr="00E945CB">
        <w:rPr>
          <w:rFonts w:ascii="Arial" w:hAnsi="Arial" w:cs="Arial"/>
          <w:b/>
          <w:bCs/>
          <w:i/>
          <w:iCs/>
          <w:sz w:val="24"/>
          <w:szCs w:val="24"/>
        </w:rPr>
        <w:t>/2</w:t>
      </w:r>
      <w:r w:rsidR="0040445E" w:rsidRPr="00E945CB">
        <w:rPr>
          <w:rFonts w:ascii="Arial" w:hAnsi="Arial" w:cs="Arial"/>
          <w:b/>
          <w:bCs/>
          <w:i/>
          <w:iCs/>
          <w:sz w:val="24"/>
          <w:szCs w:val="24"/>
        </w:rPr>
        <w:t>4</w:t>
      </w:r>
    </w:p>
    <w:p w14:paraId="7D5298D5" w14:textId="6054AF58" w:rsidR="009B058F" w:rsidRPr="00DA6D29" w:rsidRDefault="007004BD" w:rsidP="00E945CB">
      <w:pPr>
        <w:pStyle w:val="Heading2"/>
      </w:pPr>
      <w:r w:rsidRPr="00DA6D29">
        <w:t xml:space="preserve">Targeted Budget Management (TBM) is the council’s system of budget monitoring and the TBM Month 9 (December) report included on this committee agenda </w:t>
      </w:r>
      <w:r w:rsidR="00FB0761">
        <w:t xml:space="preserve">indicates a near break-even position with </w:t>
      </w:r>
      <w:r w:rsidRPr="00DA6D29">
        <w:t xml:space="preserve">a </w:t>
      </w:r>
      <w:r w:rsidR="00FB0761">
        <w:t xml:space="preserve">small </w:t>
      </w:r>
      <w:r w:rsidRPr="00DA6D29">
        <w:t>projected overspend of £</w:t>
      </w:r>
      <w:r w:rsidR="00FB0761">
        <w:t>0.021</w:t>
      </w:r>
      <w:r w:rsidRPr="00DA6D29">
        <w:t>m on the General Fund, which includes a projected underspend of £0.</w:t>
      </w:r>
      <w:r w:rsidR="00FB0761">
        <w:t>159</w:t>
      </w:r>
      <w:r w:rsidRPr="00DA6D29">
        <w:t>m on the council’s share of NHS controlled Section 75 partnership services. The overall overspend is a substantial improvement of £</w:t>
      </w:r>
      <w:r w:rsidR="00FB0761">
        <w:t>2.849</w:t>
      </w:r>
      <w:r w:rsidRPr="00DA6D29">
        <w:t>m since Month 7 (October).</w:t>
      </w:r>
    </w:p>
    <w:p w14:paraId="2AB73001" w14:textId="6C9EB503" w:rsidR="00FB0761" w:rsidRDefault="007004BD" w:rsidP="00E945CB">
      <w:pPr>
        <w:pStyle w:val="Heading2"/>
      </w:pPr>
      <w:r w:rsidRPr="00DA6D29">
        <w:t xml:space="preserve">The improved position has resulted from a combination of </w:t>
      </w:r>
      <w:r>
        <w:t>continuing</w:t>
      </w:r>
      <w:r w:rsidRPr="00DA6D29">
        <w:t xml:space="preserve"> recruitment and spending control</w:t>
      </w:r>
      <w:r w:rsidR="00FD618B">
        <w:t>s</w:t>
      </w:r>
      <w:r w:rsidRPr="00DA6D29">
        <w:t xml:space="preserve"> since </w:t>
      </w:r>
      <w:r>
        <w:t>July</w:t>
      </w:r>
      <w:r w:rsidRPr="00DA6D29">
        <w:t xml:space="preserve">, alongside normal financial management actions and </w:t>
      </w:r>
      <w:r>
        <w:t>a number of one-off measures, including using the one-off Public Health reserve to support eligible General Fund services, particularly the development of Family Hubs.</w:t>
      </w:r>
    </w:p>
    <w:p w14:paraId="64BE114C" w14:textId="65A40DFC" w:rsidR="009B058F" w:rsidRPr="00DA6D29" w:rsidRDefault="007004BD" w:rsidP="00E945CB">
      <w:pPr>
        <w:pStyle w:val="Heading2"/>
      </w:pPr>
      <w:r>
        <w:t>Conversely, the net C</w:t>
      </w:r>
      <w:r w:rsidRPr="00DA6D29">
        <w:t xml:space="preserve">ollection </w:t>
      </w:r>
      <w:r>
        <w:t>F</w:t>
      </w:r>
      <w:r w:rsidRPr="00DA6D29">
        <w:t>und deficit</w:t>
      </w:r>
      <w:r>
        <w:t xml:space="preserve"> across Council Tax and Business Rates has increased to £2.695m due to a range of factors including pressures on collection performance, a sustained Council Tax Reduction caseload and increased Business Rate appeals against 2017 rateable values. The one-off resources table below indicates that New Homes Bonus funding will need to be utilised to mitigate the net Collection Fund deficit.</w:t>
      </w:r>
    </w:p>
    <w:p w14:paraId="2974706A" w14:textId="77777777" w:rsidR="009B058F" w:rsidRPr="00E945CB" w:rsidRDefault="007004BD" w:rsidP="00E945CB">
      <w:pPr>
        <w:keepNext/>
        <w:spacing w:before="120" w:after="120"/>
        <w:ind w:left="709"/>
        <w:rPr>
          <w:rFonts w:ascii="Arial" w:hAnsi="Arial" w:cs="Arial"/>
          <w:b/>
          <w:bCs/>
          <w:i/>
          <w:iCs/>
          <w:sz w:val="24"/>
          <w:szCs w:val="24"/>
        </w:rPr>
      </w:pPr>
      <w:r w:rsidRPr="00E945CB">
        <w:rPr>
          <w:rFonts w:ascii="Arial" w:hAnsi="Arial" w:cs="Arial"/>
          <w:b/>
          <w:bCs/>
          <w:i/>
          <w:iCs/>
          <w:sz w:val="24"/>
          <w:szCs w:val="24"/>
        </w:rPr>
        <w:t>One-off Resource Liabilities and Proposed Allocations</w:t>
      </w:r>
    </w:p>
    <w:p w14:paraId="73094DEC" w14:textId="413DF7B2" w:rsidR="009B058F" w:rsidRPr="00E11B8C" w:rsidRDefault="007004BD" w:rsidP="00E945CB">
      <w:pPr>
        <w:pStyle w:val="Heading2"/>
      </w:pPr>
      <w:r w:rsidRPr="00E11B8C">
        <w:t>The working balance will be recommended to continue at a minimum of £9.0</w:t>
      </w:r>
      <w:r w:rsidR="00E11B8C" w:rsidRPr="00E11B8C">
        <w:t>00</w:t>
      </w:r>
      <w:r w:rsidRPr="00E11B8C">
        <w:t xml:space="preserve">m to meet general risks applicable to a unitary authority. </w:t>
      </w:r>
      <w:r w:rsidR="00E11B8C" w:rsidRPr="00E11B8C">
        <w:t>The overspend in 2022/23 resulted in the working balance being reduced by £3.374m to £5.626m. This is planned to be replenished over the next 3 financial years to support the council</w:t>
      </w:r>
      <w:r w:rsidR="00EB6D0B">
        <w:t>’</w:t>
      </w:r>
      <w:r w:rsidR="00E11B8C" w:rsidRPr="00E11B8C">
        <w:t>s overall financial resilience</w:t>
      </w:r>
      <w:r w:rsidR="00371EC2">
        <w:t xml:space="preserve"> and the first repayment of £1.125m is included in the budget </w:t>
      </w:r>
      <w:r w:rsidR="00FD618B">
        <w:t>proposals</w:t>
      </w:r>
      <w:r w:rsidR="00371EC2">
        <w:t xml:space="preserve"> for 2024/25</w:t>
      </w:r>
      <w:r w:rsidR="00E11B8C" w:rsidRPr="00E11B8C">
        <w:t>.</w:t>
      </w:r>
    </w:p>
    <w:p w14:paraId="46FF5883" w14:textId="269A75F0" w:rsidR="009B058F" w:rsidRPr="00DA6D29" w:rsidRDefault="007004BD" w:rsidP="00E945CB">
      <w:pPr>
        <w:pStyle w:val="Heading2"/>
        <w:rPr>
          <w:color w:val="FF0000"/>
        </w:rPr>
      </w:pPr>
      <w:r w:rsidRPr="00E11B8C">
        <w:t xml:space="preserve">Table 3 identifies the potential </w:t>
      </w:r>
      <w:r w:rsidR="00EB6D0B">
        <w:t xml:space="preserve">one-off </w:t>
      </w:r>
      <w:r w:rsidRPr="00E11B8C">
        <w:t>resources and liabilities that will need to be taken into account in setting the 202</w:t>
      </w:r>
      <w:r w:rsidR="00E11B8C" w:rsidRPr="00E11B8C">
        <w:t>4</w:t>
      </w:r>
      <w:r w:rsidRPr="00E11B8C">
        <w:t>/2</w:t>
      </w:r>
      <w:r w:rsidR="00E11B8C" w:rsidRPr="00E11B8C">
        <w:t>5</w:t>
      </w:r>
      <w:r w:rsidRPr="00E11B8C">
        <w:t xml:space="preserve"> budget. At this stage, this assumes that spending in 202</w:t>
      </w:r>
      <w:r w:rsidR="00E11B8C" w:rsidRPr="00E11B8C">
        <w:t>3</w:t>
      </w:r>
      <w:r w:rsidRPr="00E11B8C">
        <w:t>/2</w:t>
      </w:r>
      <w:r w:rsidR="00E11B8C" w:rsidRPr="00E11B8C">
        <w:t>4</w:t>
      </w:r>
      <w:r w:rsidRPr="00E11B8C">
        <w:t xml:space="preserve"> </w:t>
      </w:r>
      <w:r w:rsidRPr="00371EC2">
        <w:t xml:space="preserve">will </w:t>
      </w:r>
      <w:r w:rsidR="003803F9">
        <w:t>reduce by a further £0.500m from</w:t>
      </w:r>
      <w:r w:rsidRPr="00371EC2">
        <w:t xml:space="preserve"> the TBM Month 9 (December) projection</w:t>
      </w:r>
      <w:r w:rsidR="00371EC2" w:rsidRPr="00CB3CD5">
        <w:t>.</w:t>
      </w:r>
      <w:r w:rsidRPr="00CB3CD5">
        <w:t xml:space="preserve"> </w:t>
      </w:r>
      <w:bookmarkStart w:id="6" w:name="_Ref62923648"/>
      <w:r w:rsidR="00CB3CD5" w:rsidRPr="00CB3CD5">
        <w:t xml:space="preserve">Any change to the TBM position </w:t>
      </w:r>
      <w:r w:rsidR="00EB6D0B">
        <w:t>by</w:t>
      </w:r>
      <w:r w:rsidR="00CB3CD5" w:rsidRPr="00CB3CD5">
        <w:t xml:space="preserve"> the end of the </w:t>
      </w:r>
      <w:r w:rsidR="00EB6D0B">
        <w:t xml:space="preserve">financial </w:t>
      </w:r>
      <w:r w:rsidR="00CB3CD5" w:rsidRPr="00CB3CD5">
        <w:t xml:space="preserve">year will be reflected in the 2023/24 </w:t>
      </w:r>
      <w:r w:rsidR="00CB3CD5">
        <w:t>o</w:t>
      </w:r>
      <w:r w:rsidR="00CB3CD5" w:rsidRPr="00CB3CD5">
        <w:t>utturn report to this committee</w:t>
      </w:r>
      <w:r w:rsidR="00EB6D0B">
        <w:t>, usually in July</w:t>
      </w:r>
      <w:r w:rsidR="00CB3CD5">
        <w:rPr>
          <w:color w:val="FF0000"/>
        </w:rPr>
        <w:t>.</w:t>
      </w:r>
    </w:p>
    <w:bookmarkEnd w:id="6"/>
    <w:p w14:paraId="6228028B" w14:textId="77777777" w:rsidR="009B058F" w:rsidRPr="00DA6D29" w:rsidRDefault="009B058F" w:rsidP="009B058F">
      <w:pPr>
        <w:rPr>
          <w:rFonts w:ascii="Arial" w:hAnsi="Arial" w:cs="Arial"/>
          <w:color w:val="FF0000"/>
          <w:sz w:val="24"/>
          <w:szCs w:val="24"/>
          <w:lang w:val="en-GB"/>
        </w:rPr>
      </w:pPr>
    </w:p>
    <w:tbl>
      <w:tblPr>
        <w:tblW w:w="4641" w:type="pct"/>
        <w:tblInd w:w="699" w:type="dxa"/>
        <w:tblCellMar>
          <w:left w:w="57" w:type="dxa"/>
          <w:right w:w="57" w:type="dxa"/>
        </w:tblCellMar>
        <w:tblLook w:val="04A0" w:firstRow="1" w:lastRow="0" w:firstColumn="1" w:lastColumn="0" w:noHBand="0" w:noVBand="1"/>
      </w:tblPr>
      <w:tblGrid>
        <w:gridCol w:w="6759"/>
        <w:gridCol w:w="1037"/>
        <w:gridCol w:w="1037"/>
      </w:tblGrid>
      <w:tr w:rsidR="00A53B77" w14:paraId="08FF8E7B" w14:textId="77777777" w:rsidTr="00BF5B70">
        <w:tc>
          <w:tcPr>
            <w:tcW w:w="3826"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3F68363" w14:textId="77777777" w:rsidR="009B058F" w:rsidRPr="00371EC2" w:rsidRDefault="007004BD" w:rsidP="00BF5B70">
            <w:pPr>
              <w:rPr>
                <w:rFonts w:ascii="Arial" w:hAnsi="Arial" w:cs="Arial"/>
                <w:b/>
                <w:bCs/>
                <w:sz w:val="24"/>
                <w:szCs w:val="24"/>
                <w:lang w:val="en-GB"/>
              </w:rPr>
            </w:pPr>
            <w:r w:rsidRPr="00371EC2">
              <w:rPr>
                <w:rFonts w:ascii="Arial" w:hAnsi="Arial" w:cs="Arial"/>
                <w:b/>
                <w:bCs/>
                <w:sz w:val="24"/>
                <w:szCs w:val="24"/>
                <w:lang w:val="en-GB"/>
              </w:rPr>
              <w:t>Table 3: One-off Resources, Liabilities and Proposed Allocations</w:t>
            </w:r>
          </w:p>
        </w:tc>
        <w:tc>
          <w:tcPr>
            <w:tcW w:w="587" w:type="pct"/>
            <w:tcBorders>
              <w:top w:val="single" w:sz="8" w:space="0" w:color="auto"/>
              <w:left w:val="nil"/>
              <w:bottom w:val="single" w:sz="8" w:space="0" w:color="auto"/>
              <w:right w:val="single" w:sz="8" w:space="0" w:color="auto"/>
            </w:tcBorders>
            <w:shd w:val="clear" w:color="auto" w:fill="D9D9D9" w:themeFill="background1" w:themeFillShade="D9"/>
            <w:vAlign w:val="bottom"/>
            <w:hideMark/>
          </w:tcPr>
          <w:p w14:paraId="131B2E3B" w14:textId="77777777" w:rsidR="009B058F" w:rsidRPr="00371EC2" w:rsidRDefault="007004BD" w:rsidP="00BF5B70">
            <w:pPr>
              <w:jc w:val="center"/>
              <w:rPr>
                <w:rFonts w:ascii="Arial" w:hAnsi="Arial" w:cs="Arial"/>
                <w:b/>
                <w:bCs/>
                <w:sz w:val="24"/>
                <w:szCs w:val="24"/>
                <w:lang w:val="en-GB"/>
              </w:rPr>
            </w:pPr>
            <w:r w:rsidRPr="00371EC2">
              <w:rPr>
                <w:rFonts w:ascii="Arial" w:hAnsi="Arial" w:cs="Arial"/>
                <w:b/>
                <w:bCs/>
                <w:sz w:val="24"/>
                <w:szCs w:val="24"/>
                <w:lang w:val="en-GB"/>
              </w:rPr>
              <w:t>£m</w:t>
            </w:r>
          </w:p>
        </w:tc>
        <w:tc>
          <w:tcPr>
            <w:tcW w:w="587" w:type="pct"/>
            <w:tcBorders>
              <w:top w:val="single" w:sz="8" w:space="0" w:color="auto"/>
              <w:left w:val="nil"/>
              <w:bottom w:val="single" w:sz="8" w:space="0" w:color="auto"/>
              <w:right w:val="single" w:sz="8" w:space="0" w:color="auto"/>
            </w:tcBorders>
            <w:shd w:val="clear" w:color="auto" w:fill="D9D9D9" w:themeFill="background1" w:themeFillShade="D9"/>
            <w:vAlign w:val="bottom"/>
            <w:hideMark/>
          </w:tcPr>
          <w:p w14:paraId="14C948EE" w14:textId="77777777" w:rsidR="009B058F" w:rsidRPr="00DA6D29" w:rsidRDefault="007004BD" w:rsidP="00BF5B70">
            <w:pPr>
              <w:jc w:val="center"/>
              <w:rPr>
                <w:rFonts w:ascii="Arial" w:hAnsi="Arial" w:cs="Arial"/>
                <w:b/>
                <w:bCs/>
                <w:color w:val="FF0000"/>
                <w:sz w:val="24"/>
                <w:szCs w:val="24"/>
                <w:lang w:val="en-GB"/>
              </w:rPr>
            </w:pPr>
            <w:r w:rsidRPr="001325E5">
              <w:rPr>
                <w:rFonts w:ascii="Arial" w:hAnsi="Arial" w:cs="Arial"/>
                <w:b/>
                <w:bCs/>
                <w:sz w:val="24"/>
                <w:szCs w:val="24"/>
                <w:lang w:val="en-GB"/>
              </w:rPr>
              <w:t>£m</w:t>
            </w:r>
          </w:p>
        </w:tc>
      </w:tr>
      <w:tr w:rsidR="00A53B77" w14:paraId="71741FB3" w14:textId="77777777" w:rsidTr="00BF5B70">
        <w:tc>
          <w:tcPr>
            <w:tcW w:w="3826" w:type="pct"/>
            <w:tcBorders>
              <w:top w:val="nil"/>
              <w:left w:val="single" w:sz="8" w:space="0" w:color="auto"/>
              <w:bottom w:val="single" w:sz="8" w:space="0" w:color="auto"/>
              <w:right w:val="single" w:sz="8" w:space="0" w:color="auto"/>
            </w:tcBorders>
            <w:shd w:val="clear" w:color="auto" w:fill="auto"/>
            <w:vAlign w:val="center"/>
            <w:hideMark/>
          </w:tcPr>
          <w:p w14:paraId="4F09CB1E" w14:textId="717942A4" w:rsidR="009B058F" w:rsidRPr="00371EC2" w:rsidRDefault="007004BD" w:rsidP="00BF5B70">
            <w:pPr>
              <w:rPr>
                <w:rFonts w:ascii="Arial" w:hAnsi="Arial" w:cs="Arial"/>
                <w:b/>
                <w:bCs/>
                <w:i/>
                <w:iCs/>
                <w:sz w:val="24"/>
                <w:szCs w:val="24"/>
                <w:lang w:val="en-GB"/>
              </w:rPr>
            </w:pPr>
            <w:r w:rsidRPr="00371EC2">
              <w:rPr>
                <w:rFonts w:ascii="Arial" w:hAnsi="Arial" w:cs="Arial"/>
                <w:b/>
                <w:bCs/>
                <w:i/>
                <w:iCs/>
                <w:sz w:val="24"/>
                <w:szCs w:val="24"/>
                <w:lang w:val="en-GB"/>
              </w:rPr>
              <w:t>Revenue Budget position 202</w:t>
            </w:r>
            <w:r w:rsidR="00E11B8C" w:rsidRPr="00371EC2">
              <w:rPr>
                <w:rFonts w:ascii="Arial" w:hAnsi="Arial" w:cs="Arial"/>
                <w:b/>
                <w:bCs/>
                <w:i/>
                <w:iCs/>
                <w:sz w:val="24"/>
                <w:szCs w:val="24"/>
                <w:lang w:val="en-GB"/>
              </w:rPr>
              <w:t>3</w:t>
            </w:r>
            <w:r w:rsidRPr="00371EC2">
              <w:rPr>
                <w:rFonts w:ascii="Arial" w:hAnsi="Arial" w:cs="Arial"/>
                <w:b/>
                <w:bCs/>
                <w:i/>
                <w:iCs/>
                <w:sz w:val="24"/>
                <w:szCs w:val="24"/>
                <w:lang w:val="en-GB"/>
              </w:rPr>
              <w:t>/2</w:t>
            </w:r>
            <w:r w:rsidR="00E11B8C" w:rsidRPr="00371EC2">
              <w:rPr>
                <w:rFonts w:ascii="Arial" w:hAnsi="Arial" w:cs="Arial"/>
                <w:b/>
                <w:bCs/>
                <w:i/>
                <w:iCs/>
                <w:sz w:val="24"/>
                <w:szCs w:val="24"/>
                <w:lang w:val="en-GB"/>
              </w:rPr>
              <w:t>4</w:t>
            </w:r>
            <w:r w:rsidRPr="00371EC2">
              <w:rPr>
                <w:rFonts w:ascii="Arial" w:hAnsi="Arial" w:cs="Arial"/>
                <w:b/>
                <w:bCs/>
                <w:i/>
                <w:iCs/>
                <w:sz w:val="24"/>
                <w:szCs w:val="24"/>
                <w:lang w:val="en-GB"/>
              </w:rPr>
              <w:t xml:space="preserve"> (TBM):</w:t>
            </w:r>
          </w:p>
        </w:tc>
        <w:tc>
          <w:tcPr>
            <w:tcW w:w="587" w:type="pct"/>
            <w:tcBorders>
              <w:top w:val="nil"/>
              <w:left w:val="nil"/>
              <w:bottom w:val="single" w:sz="8" w:space="0" w:color="auto"/>
              <w:right w:val="single" w:sz="8" w:space="0" w:color="auto"/>
            </w:tcBorders>
            <w:shd w:val="clear" w:color="auto" w:fill="auto"/>
            <w:vAlign w:val="center"/>
          </w:tcPr>
          <w:p w14:paraId="45C20DD9" w14:textId="77777777" w:rsidR="009B058F" w:rsidRPr="00371EC2" w:rsidRDefault="009B058F" w:rsidP="00BF5B70">
            <w:pPr>
              <w:jc w:val="right"/>
              <w:rPr>
                <w:rFonts w:ascii="Arial" w:hAnsi="Arial" w:cs="Arial"/>
                <w:sz w:val="24"/>
                <w:szCs w:val="24"/>
                <w:lang w:val="en-GB"/>
              </w:rPr>
            </w:pPr>
          </w:p>
        </w:tc>
        <w:tc>
          <w:tcPr>
            <w:tcW w:w="587" w:type="pct"/>
            <w:tcBorders>
              <w:top w:val="nil"/>
              <w:left w:val="nil"/>
              <w:bottom w:val="single" w:sz="8" w:space="0" w:color="auto"/>
              <w:right w:val="single" w:sz="8" w:space="0" w:color="auto"/>
            </w:tcBorders>
            <w:shd w:val="clear" w:color="auto" w:fill="auto"/>
            <w:vAlign w:val="center"/>
          </w:tcPr>
          <w:p w14:paraId="409A1067" w14:textId="77777777" w:rsidR="009B058F" w:rsidRPr="00DA6D29" w:rsidRDefault="009B058F" w:rsidP="00BF5B70">
            <w:pPr>
              <w:jc w:val="right"/>
              <w:rPr>
                <w:rFonts w:ascii="Arial" w:hAnsi="Arial" w:cs="Arial"/>
                <w:color w:val="FF0000"/>
                <w:sz w:val="24"/>
                <w:szCs w:val="24"/>
                <w:lang w:val="en-GB"/>
              </w:rPr>
            </w:pPr>
          </w:p>
        </w:tc>
      </w:tr>
      <w:tr w:rsidR="00A53B77" w14:paraId="298ED551" w14:textId="77777777" w:rsidTr="00BF5B70">
        <w:tc>
          <w:tcPr>
            <w:tcW w:w="3826" w:type="pct"/>
            <w:tcBorders>
              <w:top w:val="nil"/>
              <w:left w:val="single" w:sz="8" w:space="0" w:color="auto"/>
              <w:bottom w:val="single" w:sz="8" w:space="0" w:color="auto"/>
              <w:right w:val="single" w:sz="8" w:space="0" w:color="auto"/>
            </w:tcBorders>
            <w:shd w:val="clear" w:color="auto" w:fill="auto"/>
            <w:vAlign w:val="center"/>
            <w:hideMark/>
          </w:tcPr>
          <w:p w14:paraId="0EF0FF88" w14:textId="0A8A8ABD" w:rsidR="009B058F" w:rsidRPr="00371EC2" w:rsidRDefault="007004BD" w:rsidP="00BF5B70">
            <w:pPr>
              <w:rPr>
                <w:rFonts w:ascii="Arial" w:hAnsi="Arial" w:cs="Arial"/>
                <w:sz w:val="24"/>
                <w:szCs w:val="24"/>
                <w:lang w:val="en-GB"/>
              </w:rPr>
            </w:pPr>
            <w:r w:rsidRPr="00371EC2">
              <w:rPr>
                <w:rFonts w:ascii="Arial" w:hAnsi="Arial" w:cs="Arial"/>
                <w:sz w:val="24"/>
                <w:szCs w:val="24"/>
                <w:lang w:val="en-GB"/>
              </w:rPr>
              <w:t xml:space="preserve">Forecast outturn </w:t>
            </w:r>
            <w:r w:rsidR="00E11B8C" w:rsidRPr="00371EC2">
              <w:rPr>
                <w:rFonts w:ascii="Arial" w:hAnsi="Arial" w:cs="Arial"/>
                <w:sz w:val="24"/>
                <w:szCs w:val="24"/>
                <w:lang w:val="en-GB"/>
              </w:rPr>
              <w:t>overspend</w:t>
            </w:r>
            <w:r w:rsidRPr="00371EC2">
              <w:rPr>
                <w:rFonts w:ascii="Arial" w:hAnsi="Arial" w:cs="Arial"/>
                <w:sz w:val="24"/>
                <w:szCs w:val="24"/>
                <w:lang w:val="en-GB"/>
              </w:rPr>
              <w:t xml:space="preserve"> (as at TBM Month 9 / December)</w:t>
            </w:r>
          </w:p>
        </w:tc>
        <w:tc>
          <w:tcPr>
            <w:tcW w:w="587" w:type="pct"/>
            <w:tcBorders>
              <w:top w:val="nil"/>
              <w:left w:val="nil"/>
              <w:bottom w:val="single" w:sz="8" w:space="0" w:color="auto"/>
              <w:right w:val="single" w:sz="8" w:space="0" w:color="auto"/>
            </w:tcBorders>
            <w:shd w:val="clear" w:color="auto" w:fill="auto"/>
            <w:vAlign w:val="center"/>
          </w:tcPr>
          <w:p w14:paraId="4E87AE4A" w14:textId="38A4D51D" w:rsidR="009B058F" w:rsidRPr="00371EC2" w:rsidRDefault="007004BD" w:rsidP="00BF5B70">
            <w:pPr>
              <w:jc w:val="right"/>
              <w:rPr>
                <w:rFonts w:ascii="Arial" w:hAnsi="Arial" w:cs="Arial"/>
                <w:sz w:val="24"/>
                <w:szCs w:val="24"/>
                <w:lang w:val="en-GB"/>
              </w:rPr>
            </w:pPr>
            <w:r w:rsidRPr="00371EC2">
              <w:rPr>
                <w:rFonts w:ascii="Arial" w:hAnsi="Arial" w:cs="Arial"/>
                <w:sz w:val="24"/>
                <w:szCs w:val="24"/>
                <w:lang w:val="en-GB"/>
              </w:rPr>
              <w:t>-</w:t>
            </w:r>
            <w:r w:rsidR="00E11B8C" w:rsidRPr="00371EC2">
              <w:rPr>
                <w:rFonts w:ascii="Arial" w:hAnsi="Arial" w:cs="Arial"/>
                <w:sz w:val="24"/>
                <w:szCs w:val="24"/>
                <w:lang w:val="en-GB"/>
              </w:rPr>
              <w:t>0</w:t>
            </w:r>
            <w:r w:rsidRPr="00371EC2">
              <w:rPr>
                <w:rFonts w:ascii="Arial" w:hAnsi="Arial" w:cs="Arial"/>
                <w:sz w:val="24"/>
                <w:szCs w:val="24"/>
                <w:lang w:val="en-GB"/>
              </w:rPr>
              <w:t>.</w:t>
            </w:r>
            <w:r w:rsidR="00E11B8C" w:rsidRPr="00371EC2">
              <w:rPr>
                <w:rFonts w:ascii="Arial" w:hAnsi="Arial" w:cs="Arial"/>
                <w:sz w:val="24"/>
                <w:szCs w:val="24"/>
                <w:lang w:val="en-GB"/>
              </w:rPr>
              <w:t>021</w:t>
            </w:r>
          </w:p>
        </w:tc>
        <w:tc>
          <w:tcPr>
            <w:tcW w:w="587" w:type="pct"/>
            <w:tcBorders>
              <w:top w:val="nil"/>
              <w:left w:val="nil"/>
              <w:bottom w:val="single" w:sz="8" w:space="0" w:color="auto"/>
              <w:right w:val="single" w:sz="8" w:space="0" w:color="auto"/>
            </w:tcBorders>
            <w:shd w:val="clear" w:color="auto" w:fill="auto"/>
            <w:vAlign w:val="center"/>
          </w:tcPr>
          <w:p w14:paraId="46363B54" w14:textId="77777777" w:rsidR="009B058F" w:rsidRPr="00DA6D29" w:rsidRDefault="009B058F" w:rsidP="00BF5B70">
            <w:pPr>
              <w:jc w:val="right"/>
              <w:rPr>
                <w:rFonts w:ascii="Arial" w:hAnsi="Arial" w:cs="Arial"/>
                <w:b/>
                <w:bCs/>
                <w:color w:val="FF0000"/>
                <w:sz w:val="24"/>
                <w:szCs w:val="24"/>
                <w:lang w:val="en-GB"/>
              </w:rPr>
            </w:pPr>
          </w:p>
        </w:tc>
      </w:tr>
      <w:tr w:rsidR="00A53B77" w14:paraId="3285898C" w14:textId="77777777" w:rsidTr="00BF5B70">
        <w:trPr>
          <w:trHeight w:val="278"/>
        </w:trPr>
        <w:tc>
          <w:tcPr>
            <w:tcW w:w="382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79A490F" w14:textId="13B24123" w:rsidR="009B058F" w:rsidRPr="00371EC2" w:rsidRDefault="007004BD" w:rsidP="00BF5B70">
            <w:pPr>
              <w:rPr>
                <w:rFonts w:ascii="Arial" w:hAnsi="Arial" w:cs="Arial"/>
                <w:sz w:val="24"/>
                <w:szCs w:val="24"/>
                <w:lang w:val="en-GB"/>
              </w:rPr>
            </w:pPr>
            <w:r>
              <w:rPr>
                <w:rFonts w:ascii="Arial" w:hAnsi="Arial" w:cs="Arial"/>
                <w:sz w:val="24"/>
                <w:szCs w:val="24"/>
                <w:lang w:val="en-GB"/>
              </w:rPr>
              <w:t xml:space="preserve">Assumed </w:t>
            </w:r>
            <w:r w:rsidRPr="00371EC2">
              <w:rPr>
                <w:rFonts w:ascii="Arial" w:hAnsi="Arial" w:cs="Arial"/>
                <w:sz w:val="24"/>
                <w:szCs w:val="24"/>
                <w:lang w:val="en-GB"/>
              </w:rPr>
              <w:t>further improvement between Month 9 and Outturn</w:t>
            </w:r>
          </w:p>
        </w:tc>
        <w:tc>
          <w:tcPr>
            <w:tcW w:w="587" w:type="pct"/>
            <w:tcBorders>
              <w:top w:val="single" w:sz="8" w:space="0" w:color="auto"/>
              <w:left w:val="single" w:sz="8" w:space="0" w:color="auto"/>
              <w:bottom w:val="single" w:sz="8" w:space="0" w:color="auto"/>
              <w:right w:val="single" w:sz="8" w:space="0" w:color="auto"/>
            </w:tcBorders>
            <w:shd w:val="clear" w:color="auto" w:fill="auto"/>
            <w:vAlign w:val="center"/>
          </w:tcPr>
          <w:p w14:paraId="24F1ACFA" w14:textId="2B25FDCE" w:rsidR="009B058F" w:rsidRPr="00371EC2" w:rsidRDefault="007004BD" w:rsidP="00BF5B70">
            <w:pPr>
              <w:jc w:val="right"/>
              <w:rPr>
                <w:rFonts w:ascii="Arial" w:hAnsi="Arial" w:cs="Arial"/>
                <w:sz w:val="24"/>
                <w:szCs w:val="24"/>
                <w:lang w:val="en-GB"/>
              </w:rPr>
            </w:pPr>
            <w:r>
              <w:rPr>
                <w:rFonts w:ascii="Arial" w:hAnsi="Arial" w:cs="Arial"/>
                <w:sz w:val="24"/>
                <w:szCs w:val="24"/>
                <w:lang w:val="en-GB"/>
              </w:rPr>
              <w:t>+</w:t>
            </w:r>
            <w:r w:rsidR="00EB6D0B">
              <w:rPr>
                <w:rFonts w:ascii="Arial" w:hAnsi="Arial" w:cs="Arial"/>
                <w:sz w:val="24"/>
                <w:szCs w:val="24"/>
                <w:lang w:val="en-GB"/>
              </w:rPr>
              <w:t>0.</w:t>
            </w:r>
            <w:r w:rsidR="003232FA">
              <w:rPr>
                <w:rFonts w:ascii="Arial" w:hAnsi="Arial" w:cs="Arial"/>
                <w:sz w:val="24"/>
                <w:szCs w:val="24"/>
                <w:lang w:val="en-GB"/>
              </w:rPr>
              <w:t>5</w:t>
            </w:r>
            <w:r w:rsidR="00EB6D0B">
              <w:rPr>
                <w:rFonts w:ascii="Arial" w:hAnsi="Arial" w:cs="Arial"/>
                <w:sz w:val="24"/>
                <w:szCs w:val="24"/>
                <w:lang w:val="en-GB"/>
              </w:rPr>
              <w:t>00</w:t>
            </w:r>
          </w:p>
        </w:tc>
        <w:tc>
          <w:tcPr>
            <w:tcW w:w="587" w:type="pct"/>
            <w:tcBorders>
              <w:top w:val="single" w:sz="8" w:space="0" w:color="auto"/>
              <w:left w:val="single" w:sz="8" w:space="0" w:color="auto"/>
              <w:bottom w:val="single" w:sz="8" w:space="0" w:color="auto"/>
              <w:right w:val="single" w:sz="8" w:space="0" w:color="auto"/>
            </w:tcBorders>
            <w:shd w:val="clear" w:color="auto" w:fill="auto"/>
            <w:vAlign w:val="center"/>
          </w:tcPr>
          <w:p w14:paraId="6685B534" w14:textId="77777777" w:rsidR="009B058F" w:rsidRPr="00DA6D29" w:rsidRDefault="009B058F" w:rsidP="00BF5B70">
            <w:pPr>
              <w:jc w:val="right"/>
              <w:rPr>
                <w:rFonts w:ascii="Arial" w:hAnsi="Arial" w:cs="Arial"/>
                <w:b/>
                <w:bCs/>
                <w:color w:val="FF0000"/>
                <w:sz w:val="24"/>
                <w:szCs w:val="24"/>
                <w:lang w:val="en-GB"/>
              </w:rPr>
            </w:pPr>
          </w:p>
        </w:tc>
      </w:tr>
      <w:tr w:rsidR="00A53B77" w14:paraId="085CBBE6" w14:textId="77777777" w:rsidTr="00BF5B70">
        <w:tc>
          <w:tcPr>
            <w:tcW w:w="3826" w:type="pct"/>
            <w:tcBorders>
              <w:top w:val="nil"/>
              <w:left w:val="single" w:sz="8" w:space="0" w:color="auto"/>
              <w:bottom w:val="single" w:sz="8" w:space="0" w:color="auto"/>
              <w:right w:val="single" w:sz="8" w:space="0" w:color="auto"/>
            </w:tcBorders>
            <w:shd w:val="clear" w:color="auto" w:fill="auto"/>
            <w:vAlign w:val="center"/>
          </w:tcPr>
          <w:p w14:paraId="47FA8ACA" w14:textId="77777777" w:rsidR="009B058F" w:rsidRPr="00371EC2" w:rsidRDefault="007004BD" w:rsidP="00BF5B70">
            <w:pPr>
              <w:jc w:val="right"/>
              <w:rPr>
                <w:rFonts w:ascii="Arial" w:hAnsi="Arial" w:cs="Arial"/>
                <w:sz w:val="24"/>
                <w:szCs w:val="24"/>
                <w:lang w:val="en-GB"/>
              </w:rPr>
            </w:pPr>
            <w:r w:rsidRPr="00371EC2">
              <w:rPr>
                <w:rFonts w:ascii="Arial" w:hAnsi="Arial" w:cs="Arial"/>
                <w:sz w:val="24"/>
                <w:szCs w:val="24"/>
                <w:lang w:val="en-GB"/>
              </w:rPr>
              <w:t>Sub-total Estimated Year-end TBM Outturn</w:t>
            </w:r>
          </w:p>
        </w:tc>
        <w:tc>
          <w:tcPr>
            <w:tcW w:w="587" w:type="pct"/>
            <w:tcBorders>
              <w:top w:val="nil"/>
              <w:left w:val="nil"/>
              <w:bottom w:val="single" w:sz="8" w:space="0" w:color="auto"/>
              <w:right w:val="single" w:sz="8" w:space="0" w:color="auto"/>
            </w:tcBorders>
            <w:shd w:val="clear" w:color="auto" w:fill="auto"/>
            <w:vAlign w:val="center"/>
          </w:tcPr>
          <w:p w14:paraId="71AB336F" w14:textId="77777777" w:rsidR="009B058F" w:rsidRPr="00371EC2" w:rsidRDefault="009B058F" w:rsidP="00BF5B70">
            <w:pPr>
              <w:jc w:val="right"/>
              <w:rPr>
                <w:rFonts w:ascii="Arial" w:hAnsi="Arial" w:cs="Arial"/>
                <w:sz w:val="24"/>
                <w:szCs w:val="24"/>
                <w:lang w:val="en-GB"/>
              </w:rPr>
            </w:pPr>
          </w:p>
        </w:tc>
        <w:tc>
          <w:tcPr>
            <w:tcW w:w="587" w:type="pct"/>
            <w:tcBorders>
              <w:top w:val="nil"/>
              <w:left w:val="nil"/>
              <w:bottom w:val="single" w:sz="8" w:space="0" w:color="auto"/>
              <w:right w:val="single" w:sz="8" w:space="0" w:color="auto"/>
            </w:tcBorders>
            <w:shd w:val="clear" w:color="auto" w:fill="auto"/>
            <w:vAlign w:val="center"/>
          </w:tcPr>
          <w:p w14:paraId="4FE1112D" w14:textId="5F81B943" w:rsidR="009B058F" w:rsidRPr="00EB6D0B" w:rsidRDefault="007004BD" w:rsidP="00BF5B70">
            <w:pPr>
              <w:jc w:val="right"/>
              <w:rPr>
                <w:rFonts w:ascii="Arial" w:hAnsi="Arial" w:cs="Arial"/>
                <w:sz w:val="24"/>
                <w:szCs w:val="24"/>
                <w:lang w:val="en-GB"/>
              </w:rPr>
            </w:pPr>
            <w:r>
              <w:rPr>
                <w:rFonts w:ascii="Arial" w:hAnsi="Arial" w:cs="Arial"/>
                <w:sz w:val="24"/>
                <w:szCs w:val="24"/>
                <w:lang w:val="en-GB"/>
              </w:rPr>
              <w:t>+</w:t>
            </w:r>
            <w:r w:rsidR="00371EC2" w:rsidRPr="00EB6D0B">
              <w:rPr>
                <w:rFonts w:ascii="Arial" w:hAnsi="Arial" w:cs="Arial"/>
                <w:sz w:val="24"/>
                <w:szCs w:val="24"/>
                <w:lang w:val="en-GB"/>
              </w:rPr>
              <w:t>0.</w:t>
            </w:r>
            <w:r w:rsidR="003232FA">
              <w:rPr>
                <w:rFonts w:ascii="Arial" w:hAnsi="Arial" w:cs="Arial"/>
                <w:sz w:val="24"/>
                <w:szCs w:val="24"/>
                <w:lang w:val="en-GB"/>
              </w:rPr>
              <w:t>479</w:t>
            </w:r>
          </w:p>
        </w:tc>
      </w:tr>
      <w:tr w:rsidR="00A53B77" w14:paraId="4F7F4921" w14:textId="77777777" w:rsidTr="00BF5B70">
        <w:tc>
          <w:tcPr>
            <w:tcW w:w="3826" w:type="pct"/>
            <w:tcBorders>
              <w:top w:val="nil"/>
              <w:left w:val="single" w:sz="8" w:space="0" w:color="auto"/>
              <w:bottom w:val="single" w:sz="8" w:space="0" w:color="auto"/>
              <w:right w:val="single" w:sz="8" w:space="0" w:color="auto"/>
            </w:tcBorders>
            <w:shd w:val="clear" w:color="auto" w:fill="auto"/>
            <w:vAlign w:val="center"/>
          </w:tcPr>
          <w:p w14:paraId="68A12425" w14:textId="77777777" w:rsidR="009B058F" w:rsidRPr="00371EC2" w:rsidRDefault="009B058F" w:rsidP="00BF5B70">
            <w:pPr>
              <w:rPr>
                <w:rFonts w:ascii="Arial" w:hAnsi="Arial" w:cs="Arial"/>
                <w:sz w:val="24"/>
                <w:szCs w:val="24"/>
                <w:lang w:val="en-GB"/>
              </w:rPr>
            </w:pPr>
          </w:p>
        </w:tc>
        <w:tc>
          <w:tcPr>
            <w:tcW w:w="587" w:type="pct"/>
            <w:tcBorders>
              <w:top w:val="nil"/>
              <w:left w:val="nil"/>
              <w:bottom w:val="single" w:sz="8" w:space="0" w:color="auto"/>
              <w:right w:val="single" w:sz="8" w:space="0" w:color="auto"/>
            </w:tcBorders>
            <w:shd w:val="clear" w:color="auto" w:fill="auto"/>
            <w:vAlign w:val="center"/>
          </w:tcPr>
          <w:p w14:paraId="08F4851F" w14:textId="77777777" w:rsidR="009B058F" w:rsidRPr="00371EC2" w:rsidRDefault="009B058F" w:rsidP="00BF5B70">
            <w:pPr>
              <w:jc w:val="right"/>
              <w:rPr>
                <w:rFonts w:ascii="Arial" w:hAnsi="Arial" w:cs="Arial"/>
                <w:sz w:val="24"/>
                <w:szCs w:val="24"/>
                <w:lang w:val="en-GB"/>
              </w:rPr>
            </w:pPr>
          </w:p>
        </w:tc>
        <w:tc>
          <w:tcPr>
            <w:tcW w:w="587" w:type="pct"/>
            <w:tcBorders>
              <w:top w:val="nil"/>
              <w:left w:val="nil"/>
              <w:bottom w:val="single" w:sz="8" w:space="0" w:color="auto"/>
              <w:right w:val="single" w:sz="8" w:space="0" w:color="auto"/>
            </w:tcBorders>
            <w:shd w:val="clear" w:color="auto" w:fill="auto"/>
            <w:vAlign w:val="center"/>
          </w:tcPr>
          <w:p w14:paraId="27A3BC65" w14:textId="77777777" w:rsidR="009B058F" w:rsidRPr="00DA6D29" w:rsidRDefault="009B058F" w:rsidP="00BF5B70">
            <w:pPr>
              <w:jc w:val="right"/>
              <w:rPr>
                <w:rFonts w:ascii="Arial" w:hAnsi="Arial" w:cs="Arial"/>
                <w:b/>
                <w:bCs/>
                <w:color w:val="FF0000"/>
                <w:sz w:val="24"/>
                <w:szCs w:val="24"/>
                <w:lang w:val="en-GB"/>
              </w:rPr>
            </w:pPr>
          </w:p>
        </w:tc>
      </w:tr>
      <w:tr w:rsidR="00A53B77" w14:paraId="0773F8AF" w14:textId="77777777" w:rsidTr="00BF5B70">
        <w:trPr>
          <w:trHeight w:val="330"/>
        </w:trPr>
        <w:tc>
          <w:tcPr>
            <w:tcW w:w="3826" w:type="pct"/>
            <w:tcBorders>
              <w:top w:val="nil"/>
              <w:left w:val="single" w:sz="8" w:space="0" w:color="auto"/>
              <w:bottom w:val="single" w:sz="8" w:space="0" w:color="auto"/>
              <w:right w:val="single" w:sz="8" w:space="0" w:color="auto"/>
            </w:tcBorders>
            <w:shd w:val="clear" w:color="auto" w:fill="auto"/>
            <w:vAlign w:val="center"/>
            <w:hideMark/>
          </w:tcPr>
          <w:p w14:paraId="61255A0B" w14:textId="77777777" w:rsidR="009B058F" w:rsidRPr="00371EC2" w:rsidRDefault="007004BD" w:rsidP="00BF5B70">
            <w:pPr>
              <w:rPr>
                <w:rFonts w:ascii="Arial" w:hAnsi="Arial" w:cs="Arial"/>
                <w:b/>
                <w:bCs/>
                <w:i/>
                <w:iCs/>
                <w:sz w:val="24"/>
                <w:szCs w:val="24"/>
                <w:lang w:val="en-GB"/>
              </w:rPr>
            </w:pPr>
            <w:r w:rsidRPr="00371EC2">
              <w:rPr>
                <w:rFonts w:ascii="Arial" w:hAnsi="Arial" w:cs="Arial"/>
                <w:b/>
                <w:bCs/>
                <w:i/>
                <w:iCs/>
                <w:sz w:val="24"/>
                <w:szCs w:val="24"/>
                <w:lang w:val="en-GB"/>
              </w:rPr>
              <w:t xml:space="preserve"> Collection Fund Position:</w:t>
            </w:r>
          </w:p>
        </w:tc>
        <w:tc>
          <w:tcPr>
            <w:tcW w:w="587" w:type="pct"/>
            <w:tcBorders>
              <w:top w:val="nil"/>
              <w:left w:val="nil"/>
              <w:bottom w:val="single" w:sz="8" w:space="0" w:color="auto"/>
              <w:right w:val="single" w:sz="8" w:space="0" w:color="auto"/>
            </w:tcBorders>
            <w:shd w:val="clear" w:color="auto" w:fill="auto"/>
            <w:vAlign w:val="center"/>
          </w:tcPr>
          <w:p w14:paraId="70FC36C7" w14:textId="77777777" w:rsidR="009B058F" w:rsidRPr="00371EC2" w:rsidRDefault="009B058F" w:rsidP="00BF5B70">
            <w:pPr>
              <w:jc w:val="right"/>
              <w:rPr>
                <w:rFonts w:ascii="Arial" w:hAnsi="Arial" w:cs="Arial"/>
                <w:sz w:val="24"/>
                <w:szCs w:val="24"/>
                <w:lang w:val="en-GB"/>
              </w:rPr>
            </w:pPr>
          </w:p>
        </w:tc>
        <w:tc>
          <w:tcPr>
            <w:tcW w:w="587" w:type="pct"/>
            <w:tcBorders>
              <w:top w:val="nil"/>
              <w:left w:val="nil"/>
              <w:bottom w:val="single" w:sz="8" w:space="0" w:color="auto"/>
              <w:right w:val="single" w:sz="8" w:space="0" w:color="auto"/>
            </w:tcBorders>
            <w:shd w:val="clear" w:color="auto" w:fill="auto"/>
            <w:vAlign w:val="center"/>
          </w:tcPr>
          <w:p w14:paraId="16CE67E2" w14:textId="77777777" w:rsidR="009B058F" w:rsidRPr="00DA6D29" w:rsidRDefault="009B058F" w:rsidP="00BF5B70">
            <w:pPr>
              <w:jc w:val="right"/>
              <w:rPr>
                <w:rFonts w:ascii="Arial" w:hAnsi="Arial" w:cs="Arial"/>
                <w:b/>
                <w:bCs/>
                <w:color w:val="FF0000"/>
                <w:sz w:val="24"/>
                <w:szCs w:val="24"/>
                <w:lang w:val="en-GB"/>
              </w:rPr>
            </w:pPr>
          </w:p>
        </w:tc>
      </w:tr>
      <w:tr w:rsidR="00A53B77" w14:paraId="44795057" w14:textId="77777777" w:rsidTr="00BF5B70">
        <w:trPr>
          <w:trHeight w:val="330"/>
        </w:trPr>
        <w:tc>
          <w:tcPr>
            <w:tcW w:w="3826" w:type="pct"/>
            <w:tcBorders>
              <w:top w:val="nil"/>
              <w:left w:val="single" w:sz="8" w:space="0" w:color="auto"/>
              <w:bottom w:val="single" w:sz="8" w:space="0" w:color="auto"/>
              <w:right w:val="single" w:sz="8" w:space="0" w:color="auto"/>
            </w:tcBorders>
            <w:shd w:val="clear" w:color="auto" w:fill="auto"/>
          </w:tcPr>
          <w:p w14:paraId="0718122B" w14:textId="5B0BED8C" w:rsidR="009B058F" w:rsidRPr="00371EC2" w:rsidRDefault="007004BD" w:rsidP="00CE70A3">
            <w:pPr>
              <w:pStyle w:val="ListParagraph"/>
              <w:numPr>
                <w:ilvl w:val="0"/>
                <w:numId w:val="12"/>
              </w:numPr>
              <w:ind w:left="444" w:hanging="283"/>
              <w:rPr>
                <w:rFonts w:ascii="Arial" w:eastAsia="Arial" w:hAnsi="Arial" w:cs="Arial"/>
                <w:sz w:val="24"/>
                <w:szCs w:val="24"/>
                <w:lang w:val="en-GB"/>
              </w:rPr>
            </w:pPr>
            <w:r w:rsidRPr="00371EC2">
              <w:rPr>
                <w:rFonts w:ascii="Arial" w:hAnsi="Arial" w:cs="Arial"/>
                <w:sz w:val="24"/>
                <w:szCs w:val="24"/>
                <w:lang w:val="en-GB"/>
              </w:rPr>
              <w:t>Estimated 202</w:t>
            </w:r>
            <w:r w:rsidR="00E11B8C" w:rsidRPr="00371EC2">
              <w:rPr>
                <w:rFonts w:ascii="Arial" w:hAnsi="Arial" w:cs="Arial"/>
                <w:sz w:val="24"/>
                <w:szCs w:val="24"/>
                <w:lang w:val="en-GB"/>
              </w:rPr>
              <w:t>3</w:t>
            </w:r>
            <w:r w:rsidRPr="00371EC2">
              <w:rPr>
                <w:rFonts w:ascii="Arial" w:hAnsi="Arial" w:cs="Arial"/>
                <w:sz w:val="24"/>
                <w:szCs w:val="24"/>
                <w:lang w:val="en-GB"/>
              </w:rPr>
              <w:t>/2</w:t>
            </w:r>
            <w:r w:rsidR="00E11B8C" w:rsidRPr="00371EC2">
              <w:rPr>
                <w:rFonts w:ascii="Arial" w:hAnsi="Arial" w:cs="Arial"/>
                <w:sz w:val="24"/>
                <w:szCs w:val="24"/>
                <w:lang w:val="en-GB"/>
              </w:rPr>
              <w:t>4</w:t>
            </w:r>
            <w:r w:rsidRPr="00371EC2">
              <w:rPr>
                <w:rFonts w:ascii="Arial" w:hAnsi="Arial" w:cs="Arial"/>
                <w:sz w:val="24"/>
                <w:szCs w:val="24"/>
                <w:lang w:val="en-GB"/>
              </w:rPr>
              <w:t xml:space="preserve"> Council Tax collection fund net deficit</w:t>
            </w:r>
          </w:p>
        </w:tc>
        <w:tc>
          <w:tcPr>
            <w:tcW w:w="587" w:type="pct"/>
            <w:tcBorders>
              <w:top w:val="nil"/>
              <w:left w:val="nil"/>
              <w:bottom w:val="single" w:sz="8" w:space="0" w:color="auto"/>
              <w:right w:val="single" w:sz="8" w:space="0" w:color="auto"/>
            </w:tcBorders>
            <w:shd w:val="clear" w:color="auto" w:fill="auto"/>
          </w:tcPr>
          <w:p w14:paraId="417D9EC3" w14:textId="6B3CBAF5" w:rsidR="009B058F" w:rsidRPr="00371EC2" w:rsidRDefault="007004BD" w:rsidP="00BF5B70">
            <w:pPr>
              <w:ind w:left="111"/>
              <w:jc w:val="right"/>
              <w:rPr>
                <w:rFonts w:ascii="Arial" w:eastAsia="Arial" w:hAnsi="Arial" w:cs="Arial"/>
                <w:sz w:val="24"/>
                <w:szCs w:val="24"/>
                <w:lang w:val="en-GB"/>
              </w:rPr>
            </w:pPr>
            <w:r w:rsidRPr="00371EC2">
              <w:rPr>
                <w:rFonts w:ascii="Arial" w:hAnsi="Arial" w:cs="Arial"/>
                <w:sz w:val="24"/>
                <w:szCs w:val="24"/>
                <w:lang w:val="en-GB"/>
              </w:rPr>
              <w:t>-1.</w:t>
            </w:r>
            <w:r w:rsidR="00E11B8C" w:rsidRPr="00371EC2">
              <w:rPr>
                <w:rFonts w:ascii="Arial" w:hAnsi="Arial" w:cs="Arial"/>
                <w:sz w:val="24"/>
                <w:szCs w:val="24"/>
                <w:lang w:val="en-GB"/>
              </w:rPr>
              <w:t>174</w:t>
            </w:r>
          </w:p>
        </w:tc>
        <w:tc>
          <w:tcPr>
            <w:tcW w:w="587" w:type="pct"/>
            <w:tcBorders>
              <w:top w:val="nil"/>
              <w:left w:val="nil"/>
              <w:bottom w:val="single" w:sz="8" w:space="0" w:color="auto"/>
              <w:right w:val="single" w:sz="8" w:space="0" w:color="auto"/>
            </w:tcBorders>
            <w:shd w:val="clear" w:color="auto" w:fill="auto"/>
            <w:vAlign w:val="center"/>
          </w:tcPr>
          <w:p w14:paraId="0B407FF3" w14:textId="77777777" w:rsidR="009B058F" w:rsidRPr="00DA6D29" w:rsidRDefault="009B058F" w:rsidP="00BF5B70">
            <w:pPr>
              <w:ind w:left="111"/>
              <w:jc w:val="right"/>
              <w:rPr>
                <w:rFonts w:ascii="Arial" w:eastAsia="Arial" w:hAnsi="Arial" w:cs="Arial"/>
                <w:color w:val="FF0000"/>
                <w:sz w:val="24"/>
                <w:szCs w:val="24"/>
                <w:lang w:val="en-GB"/>
              </w:rPr>
            </w:pPr>
          </w:p>
        </w:tc>
      </w:tr>
      <w:tr w:rsidR="00A53B77" w14:paraId="43B1AFE3" w14:textId="77777777" w:rsidTr="00BF5B70">
        <w:trPr>
          <w:trHeight w:val="330"/>
        </w:trPr>
        <w:tc>
          <w:tcPr>
            <w:tcW w:w="3826" w:type="pct"/>
            <w:tcBorders>
              <w:top w:val="nil"/>
              <w:left w:val="single" w:sz="8" w:space="0" w:color="auto"/>
              <w:bottom w:val="single" w:sz="8" w:space="0" w:color="auto"/>
              <w:right w:val="single" w:sz="8" w:space="0" w:color="auto"/>
            </w:tcBorders>
            <w:shd w:val="clear" w:color="auto" w:fill="auto"/>
          </w:tcPr>
          <w:p w14:paraId="7D0BE2E2" w14:textId="57CE5C6F" w:rsidR="009B058F" w:rsidRPr="00371EC2" w:rsidRDefault="007004BD" w:rsidP="00CE70A3">
            <w:pPr>
              <w:pStyle w:val="ListParagraph"/>
              <w:numPr>
                <w:ilvl w:val="0"/>
                <w:numId w:val="12"/>
              </w:numPr>
              <w:ind w:left="444" w:hanging="283"/>
              <w:rPr>
                <w:rFonts w:ascii="Arial" w:eastAsia="Arial" w:hAnsi="Arial" w:cs="Arial"/>
                <w:sz w:val="24"/>
                <w:szCs w:val="24"/>
                <w:lang w:val="en-GB"/>
              </w:rPr>
            </w:pPr>
            <w:r w:rsidRPr="00371EC2">
              <w:rPr>
                <w:rFonts w:ascii="Arial" w:hAnsi="Arial" w:cs="Arial"/>
                <w:sz w:val="24"/>
                <w:szCs w:val="24"/>
                <w:lang w:val="en-GB"/>
              </w:rPr>
              <w:t>Estimated 202</w:t>
            </w:r>
            <w:r w:rsidR="00E11B8C" w:rsidRPr="00371EC2">
              <w:rPr>
                <w:rFonts w:ascii="Arial" w:hAnsi="Arial" w:cs="Arial"/>
                <w:sz w:val="24"/>
                <w:szCs w:val="24"/>
                <w:lang w:val="en-GB"/>
              </w:rPr>
              <w:t>3</w:t>
            </w:r>
            <w:r w:rsidRPr="00371EC2">
              <w:rPr>
                <w:rFonts w:ascii="Arial" w:hAnsi="Arial" w:cs="Arial"/>
                <w:sz w:val="24"/>
                <w:szCs w:val="24"/>
                <w:lang w:val="en-GB"/>
              </w:rPr>
              <w:t>/2</w:t>
            </w:r>
            <w:r w:rsidR="00E11B8C" w:rsidRPr="00371EC2">
              <w:rPr>
                <w:rFonts w:ascii="Arial" w:hAnsi="Arial" w:cs="Arial"/>
                <w:sz w:val="24"/>
                <w:szCs w:val="24"/>
                <w:lang w:val="en-GB"/>
              </w:rPr>
              <w:t>4</w:t>
            </w:r>
            <w:r w:rsidRPr="00371EC2">
              <w:rPr>
                <w:rFonts w:ascii="Arial" w:hAnsi="Arial" w:cs="Arial"/>
                <w:sz w:val="24"/>
                <w:szCs w:val="24"/>
                <w:lang w:val="en-GB"/>
              </w:rPr>
              <w:t xml:space="preserve"> Business Rates Retention collection fund </w:t>
            </w:r>
            <w:r w:rsidR="00292B5C" w:rsidRPr="00371EC2">
              <w:rPr>
                <w:rFonts w:ascii="Arial" w:hAnsi="Arial" w:cs="Arial"/>
                <w:sz w:val="24"/>
                <w:szCs w:val="24"/>
                <w:lang w:val="en-GB"/>
              </w:rPr>
              <w:t>deficit</w:t>
            </w:r>
          </w:p>
        </w:tc>
        <w:tc>
          <w:tcPr>
            <w:tcW w:w="587" w:type="pct"/>
            <w:tcBorders>
              <w:top w:val="nil"/>
              <w:left w:val="nil"/>
              <w:bottom w:val="single" w:sz="8" w:space="0" w:color="auto"/>
              <w:right w:val="single" w:sz="8" w:space="0" w:color="auto"/>
            </w:tcBorders>
            <w:shd w:val="clear" w:color="auto" w:fill="auto"/>
          </w:tcPr>
          <w:p w14:paraId="4C0BEAAB" w14:textId="4E6386B7" w:rsidR="009B058F" w:rsidRPr="00371EC2" w:rsidRDefault="007004BD" w:rsidP="00BF5B70">
            <w:pPr>
              <w:ind w:left="111"/>
              <w:jc w:val="right"/>
              <w:rPr>
                <w:rFonts w:ascii="Arial" w:eastAsia="Arial" w:hAnsi="Arial" w:cs="Arial"/>
                <w:sz w:val="24"/>
                <w:szCs w:val="24"/>
                <w:lang w:val="en-GB"/>
              </w:rPr>
            </w:pPr>
            <w:r w:rsidRPr="00371EC2">
              <w:rPr>
                <w:rFonts w:ascii="Arial" w:eastAsia="Arial" w:hAnsi="Arial" w:cs="Arial"/>
                <w:sz w:val="24"/>
                <w:szCs w:val="24"/>
                <w:lang w:val="en-GB"/>
              </w:rPr>
              <w:t>-1.816</w:t>
            </w:r>
          </w:p>
        </w:tc>
        <w:tc>
          <w:tcPr>
            <w:tcW w:w="587" w:type="pct"/>
            <w:tcBorders>
              <w:top w:val="nil"/>
              <w:left w:val="nil"/>
              <w:bottom w:val="single" w:sz="8" w:space="0" w:color="auto"/>
              <w:right w:val="single" w:sz="8" w:space="0" w:color="auto"/>
            </w:tcBorders>
            <w:shd w:val="clear" w:color="auto" w:fill="auto"/>
            <w:vAlign w:val="center"/>
          </w:tcPr>
          <w:p w14:paraId="003671A0" w14:textId="77777777" w:rsidR="009B058F" w:rsidRPr="00371EC2" w:rsidRDefault="009B058F" w:rsidP="00BF5B70">
            <w:pPr>
              <w:ind w:left="111"/>
              <w:jc w:val="right"/>
              <w:rPr>
                <w:rFonts w:ascii="Arial" w:eastAsia="Arial" w:hAnsi="Arial" w:cs="Arial"/>
                <w:sz w:val="24"/>
                <w:szCs w:val="24"/>
                <w:lang w:val="en-GB"/>
              </w:rPr>
            </w:pPr>
          </w:p>
        </w:tc>
      </w:tr>
      <w:tr w:rsidR="00A53B77" w14:paraId="3EC52080" w14:textId="77777777" w:rsidTr="00BF5B70">
        <w:trPr>
          <w:trHeight w:val="315"/>
        </w:trPr>
        <w:tc>
          <w:tcPr>
            <w:tcW w:w="3826" w:type="pct"/>
            <w:tcBorders>
              <w:top w:val="nil"/>
              <w:left w:val="single" w:sz="8" w:space="0" w:color="auto"/>
              <w:bottom w:val="single" w:sz="8" w:space="0" w:color="auto"/>
              <w:right w:val="single" w:sz="8" w:space="0" w:color="auto"/>
            </w:tcBorders>
            <w:shd w:val="clear" w:color="auto" w:fill="auto"/>
          </w:tcPr>
          <w:p w14:paraId="4C16AB53" w14:textId="77777777" w:rsidR="009B058F" w:rsidRPr="00EB6D0B" w:rsidRDefault="007004BD" w:rsidP="00CE70A3">
            <w:pPr>
              <w:pStyle w:val="ListParagraph"/>
              <w:numPr>
                <w:ilvl w:val="0"/>
                <w:numId w:val="12"/>
              </w:numPr>
              <w:ind w:left="444" w:hanging="283"/>
              <w:rPr>
                <w:rFonts w:ascii="Arial" w:hAnsi="Arial" w:cs="Arial"/>
                <w:sz w:val="24"/>
                <w:szCs w:val="24"/>
                <w:lang w:val="en-GB"/>
              </w:rPr>
            </w:pPr>
            <w:r w:rsidRPr="00371EC2">
              <w:rPr>
                <w:rFonts w:ascii="Arial" w:hAnsi="Arial" w:cs="Arial"/>
                <w:sz w:val="24"/>
                <w:szCs w:val="24"/>
                <w:lang w:val="en-GB"/>
              </w:rPr>
              <w:t>Contribution from Section 31 grant towards 3 year smoothing</w:t>
            </w:r>
          </w:p>
        </w:tc>
        <w:tc>
          <w:tcPr>
            <w:tcW w:w="587" w:type="pct"/>
            <w:tcBorders>
              <w:top w:val="nil"/>
              <w:left w:val="nil"/>
              <w:bottom w:val="single" w:sz="8" w:space="0" w:color="auto"/>
              <w:right w:val="single" w:sz="8" w:space="0" w:color="auto"/>
            </w:tcBorders>
            <w:shd w:val="clear" w:color="auto" w:fill="auto"/>
          </w:tcPr>
          <w:p w14:paraId="1CB77AAD" w14:textId="4D7FDAED" w:rsidR="009B058F" w:rsidRPr="00371EC2" w:rsidRDefault="007004BD" w:rsidP="00BF5B70">
            <w:pPr>
              <w:jc w:val="right"/>
              <w:rPr>
                <w:rFonts w:ascii="Arial" w:hAnsi="Arial" w:cs="Arial"/>
                <w:sz w:val="24"/>
                <w:szCs w:val="24"/>
                <w:lang w:val="en-GB"/>
              </w:rPr>
            </w:pPr>
            <w:r w:rsidRPr="00371EC2">
              <w:rPr>
                <w:rFonts w:ascii="Arial" w:hAnsi="Arial" w:cs="Arial"/>
                <w:sz w:val="24"/>
                <w:szCs w:val="24"/>
                <w:lang w:val="en-GB"/>
              </w:rPr>
              <w:t>+</w:t>
            </w:r>
            <w:r w:rsidR="00292B5C" w:rsidRPr="00371EC2">
              <w:rPr>
                <w:rFonts w:ascii="Arial" w:hAnsi="Arial" w:cs="Arial"/>
                <w:sz w:val="24"/>
                <w:szCs w:val="24"/>
                <w:lang w:val="en-GB"/>
              </w:rPr>
              <w:t>0</w:t>
            </w:r>
            <w:r w:rsidRPr="00371EC2">
              <w:rPr>
                <w:rFonts w:ascii="Arial" w:hAnsi="Arial" w:cs="Arial"/>
                <w:sz w:val="24"/>
                <w:szCs w:val="24"/>
                <w:lang w:val="en-GB"/>
              </w:rPr>
              <w:t>.2</w:t>
            </w:r>
            <w:r w:rsidR="00292B5C" w:rsidRPr="00371EC2">
              <w:rPr>
                <w:rFonts w:ascii="Arial" w:hAnsi="Arial" w:cs="Arial"/>
                <w:sz w:val="24"/>
                <w:szCs w:val="24"/>
                <w:lang w:val="en-GB"/>
              </w:rPr>
              <w:t>95</w:t>
            </w:r>
          </w:p>
        </w:tc>
        <w:tc>
          <w:tcPr>
            <w:tcW w:w="587" w:type="pct"/>
            <w:tcBorders>
              <w:top w:val="nil"/>
              <w:left w:val="nil"/>
              <w:bottom w:val="single" w:sz="8" w:space="0" w:color="auto"/>
              <w:right w:val="single" w:sz="8" w:space="0" w:color="auto"/>
            </w:tcBorders>
            <w:shd w:val="clear" w:color="auto" w:fill="auto"/>
            <w:vAlign w:val="center"/>
          </w:tcPr>
          <w:p w14:paraId="45EA0B6D" w14:textId="77777777" w:rsidR="009B058F" w:rsidRPr="00371EC2" w:rsidRDefault="009B058F" w:rsidP="00BF5B70">
            <w:pPr>
              <w:jc w:val="right"/>
              <w:rPr>
                <w:rFonts w:ascii="Arial" w:hAnsi="Arial" w:cs="Arial"/>
                <w:b/>
                <w:bCs/>
                <w:sz w:val="24"/>
                <w:szCs w:val="24"/>
                <w:lang w:val="en-GB"/>
              </w:rPr>
            </w:pPr>
          </w:p>
        </w:tc>
      </w:tr>
      <w:tr w:rsidR="00A53B77" w14:paraId="6A21CD80" w14:textId="77777777" w:rsidTr="00BF5B70">
        <w:trPr>
          <w:trHeight w:val="330"/>
        </w:trPr>
        <w:tc>
          <w:tcPr>
            <w:tcW w:w="3826" w:type="pct"/>
            <w:tcBorders>
              <w:top w:val="nil"/>
              <w:left w:val="single" w:sz="8" w:space="0" w:color="auto"/>
              <w:bottom w:val="single" w:sz="8" w:space="0" w:color="auto"/>
              <w:right w:val="single" w:sz="8" w:space="0" w:color="auto"/>
            </w:tcBorders>
            <w:shd w:val="clear" w:color="auto" w:fill="auto"/>
            <w:vAlign w:val="center"/>
            <w:hideMark/>
          </w:tcPr>
          <w:p w14:paraId="2B7CA86A" w14:textId="77777777" w:rsidR="009B058F" w:rsidRPr="00371EC2" w:rsidRDefault="007004BD" w:rsidP="00BF5B70">
            <w:pPr>
              <w:ind w:firstLineChars="200" w:firstLine="480"/>
              <w:jc w:val="right"/>
              <w:rPr>
                <w:rFonts w:ascii="Arial" w:hAnsi="Arial" w:cs="Arial"/>
                <w:sz w:val="24"/>
                <w:szCs w:val="24"/>
                <w:lang w:val="en-GB"/>
              </w:rPr>
            </w:pPr>
            <w:r w:rsidRPr="00371EC2">
              <w:rPr>
                <w:rFonts w:ascii="Arial" w:hAnsi="Arial" w:cs="Arial"/>
                <w:sz w:val="24"/>
                <w:szCs w:val="24"/>
                <w:lang w:val="en-GB"/>
              </w:rPr>
              <w:t> Sub-total Collection funds net position</w:t>
            </w:r>
          </w:p>
        </w:tc>
        <w:tc>
          <w:tcPr>
            <w:tcW w:w="587" w:type="pct"/>
            <w:tcBorders>
              <w:top w:val="nil"/>
              <w:left w:val="nil"/>
              <w:bottom w:val="single" w:sz="8" w:space="0" w:color="auto"/>
              <w:right w:val="single" w:sz="8" w:space="0" w:color="auto"/>
            </w:tcBorders>
            <w:shd w:val="clear" w:color="auto" w:fill="auto"/>
            <w:vAlign w:val="center"/>
          </w:tcPr>
          <w:p w14:paraId="6855C325" w14:textId="77777777" w:rsidR="009B058F" w:rsidRPr="00371EC2" w:rsidRDefault="009B058F" w:rsidP="00BF5B70">
            <w:pPr>
              <w:jc w:val="right"/>
              <w:rPr>
                <w:rFonts w:ascii="Arial" w:hAnsi="Arial" w:cs="Arial"/>
                <w:sz w:val="24"/>
                <w:szCs w:val="24"/>
                <w:lang w:val="en-GB"/>
              </w:rPr>
            </w:pPr>
          </w:p>
        </w:tc>
        <w:tc>
          <w:tcPr>
            <w:tcW w:w="587" w:type="pct"/>
            <w:tcBorders>
              <w:top w:val="nil"/>
              <w:left w:val="nil"/>
              <w:bottom w:val="single" w:sz="8" w:space="0" w:color="auto"/>
              <w:right w:val="single" w:sz="8" w:space="0" w:color="auto"/>
            </w:tcBorders>
            <w:shd w:val="clear" w:color="auto" w:fill="auto"/>
            <w:vAlign w:val="center"/>
          </w:tcPr>
          <w:p w14:paraId="3D2C5E13" w14:textId="25F645A4" w:rsidR="009B058F" w:rsidRPr="00371EC2" w:rsidRDefault="007004BD" w:rsidP="00BF5B70">
            <w:pPr>
              <w:jc w:val="right"/>
              <w:rPr>
                <w:rFonts w:ascii="Arial" w:hAnsi="Arial" w:cs="Arial"/>
                <w:b/>
                <w:bCs/>
                <w:sz w:val="24"/>
                <w:szCs w:val="24"/>
                <w:lang w:val="en-GB"/>
              </w:rPr>
            </w:pPr>
            <w:r w:rsidRPr="00371EC2">
              <w:rPr>
                <w:rFonts w:ascii="Arial" w:hAnsi="Arial" w:cs="Arial"/>
                <w:b/>
                <w:bCs/>
                <w:sz w:val="24"/>
                <w:szCs w:val="24"/>
                <w:lang w:val="en-GB"/>
              </w:rPr>
              <w:t>-2.695</w:t>
            </w:r>
          </w:p>
        </w:tc>
      </w:tr>
      <w:tr w:rsidR="00A53B77" w14:paraId="6261BD2E" w14:textId="77777777" w:rsidTr="00BF5B70">
        <w:tc>
          <w:tcPr>
            <w:tcW w:w="3826" w:type="pct"/>
            <w:tcBorders>
              <w:top w:val="nil"/>
              <w:left w:val="single" w:sz="8" w:space="0" w:color="auto"/>
              <w:bottom w:val="single" w:sz="8" w:space="0" w:color="auto"/>
              <w:right w:val="single" w:sz="8" w:space="0" w:color="auto"/>
            </w:tcBorders>
            <w:shd w:val="clear" w:color="auto" w:fill="auto"/>
            <w:vAlign w:val="center"/>
          </w:tcPr>
          <w:p w14:paraId="1D1BB0C1" w14:textId="63EE6937" w:rsidR="009B058F" w:rsidRPr="00371EC2" w:rsidRDefault="009B058F" w:rsidP="00BF5B70">
            <w:pPr>
              <w:rPr>
                <w:rFonts w:ascii="Arial" w:hAnsi="Arial" w:cs="Arial"/>
                <w:b/>
                <w:bCs/>
                <w:sz w:val="24"/>
                <w:szCs w:val="24"/>
                <w:lang w:val="en-GB"/>
              </w:rPr>
            </w:pPr>
          </w:p>
        </w:tc>
        <w:tc>
          <w:tcPr>
            <w:tcW w:w="587" w:type="pct"/>
            <w:tcBorders>
              <w:top w:val="nil"/>
              <w:left w:val="nil"/>
              <w:bottom w:val="single" w:sz="8" w:space="0" w:color="auto"/>
              <w:right w:val="single" w:sz="8" w:space="0" w:color="auto"/>
            </w:tcBorders>
            <w:shd w:val="clear" w:color="auto" w:fill="auto"/>
            <w:vAlign w:val="center"/>
          </w:tcPr>
          <w:p w14:paraId="4A58AF49" w14:textId="77777777" w:rsidR="009B058F" w:rsidRPr="00371EC2" w:rsidRDefault="009B058F" w:rsidP="00BF5B70">
            <w:pPr>
              <w:jc w:val="right"/>
              <w:rPr>
                <w:rFonts w:ascii="Arial" w:hAnsi="Arial" w:cs="Arial"/>
                <w:sz w:val="24"/>
                <w:szCs w:val="24"/>
                <w:lang w:val="en-GB"/>
              </w:rPr>
            </w:pPr>
          </w:p>
        </w:tc>
        <w:tc>
          <w:tcPr>
            <w:tcW w:w="587" w:type="pct"/>
            <w:tcBorders>
              <w:top w:val="nil"/>
              <w:left w:val="nil"/>
              <w:bottom w:val="single" w:sz="8" w:space="0" w:color="auto"/>
              <w:right w:val="single" w:sz="8" w:space="0" w:color="auto"/>
            </w:tcBorders>
            <w:shd w:val="clear" w:color="auto" w:fill="auto"/>
            <w:vAlign w:val="center"/>
          </w:tcPr>
          <w:p w14:paraId="47494ED3" w14:textId="77777777" w:rsidR="009B058F" w:rsidRPr="00371EC2" w:rsidRDefault="009B058F" w:rsidP="00BF5B70">
            <w:pPr>
              <w:jc w:val="right"/>
              <w:rPr>
                <w:rFonts w:ascii="Arial" w:hAnsi="Arial" w:cs="Arial"/>
                <w:b/>
                <w:bCs/>
                <w:sz w:val="24"/>
                <w:szCs w:val="24"/>
                <w:lang w:val="en-GB"/>
              </w:rPr>
            </w:pPr>
          </w:p>
        </w:tc>
      </w:tr>
      <w:tr w:rsidR="00A53B77" w14:paraId="2FE03F54" w14:textId="77777777" w:rsidTr="00BF5B70">
        <w:tc>
          <w:tcPr>
            <w:tcW w:w="3826" w:type="pct"/>
            <w:tcBorders>
              <w:top w:val="nil"/>
              <w:left w:val="single" w:sz="8" w:space="0" w:color="auto"/>
              <w:bottom w:val="single" w:sz="8" w:space="0" w:color="auto"/>
              <w:right w:val="single" w:sz="8" w:space="0" w:color="auto"/>
            </w:tcBorders>
            <w:shd w:val="clear" w:color="auto" w:fill="auto"/>
            <w:vAlign w:val="center"/>
          </w:tcPr>
          <w:p w14:paraId="5AA38751" w14:textId="4AF4B089" w:rsidR="009B058F" w:rsidRPr="00371EC2" w:rsidRDefault="007004BD" w:rsidP="00BF5B70">
            <w:pPr>
              <w:rPr>
                <w:rFonts w:ascii="Arial" w:hAnsi="Arial" w:cs="Arial"/>
                <w:sz w:val="24"/>
                <w:szCs w:val="24"/>
                <w:lang w:val="en-GB"/>
              </w:rPr>
            </w:pPr>
            <w:r w:rsidRPr="00371EC2">
              <w:rPr>
                <w:rFonts w:ascii="Arial" w:hAnsi="Arial" w:cs="Arial"/>
                <w:sz w:val="24"/>
                <w:szCs w:val="24"/>
                <w:lang w:val="en-GB"/>
              </w:rPr>
              <w:t>New homes bonus one off allocation</w:t>
            </w:r>
          </w:p>
        </w:tc>
        <w:tc>
          <w:tcPr>
            <w:tcW w:w="587" w:type="pct"/>
            <w:tcBorders>
              <w:top w:val="nil"/>
              <w:left w:val="nil"/>
              <w:bottom w:val="single" w:sz="8" w:space="0" w:color="auto"/>
              <w:right w:val="single" w:sz="8" w:space="0" w:color="auto"/>
            </w:tcBorders>
            <w:shd w:val="clear" w:color="auto" w:fill="auto"/>
            <w:vAlign w:val="center"/>
          </w:tcPr>
          <w:p w14:paraId="4E8B270F" w14:textId="77777777" w:rsidR="009B058F" w:rsidRPr="00371EC2" w:rsidRDefault="009B058F" w:rsidP="00BF5B70">
            <w:pPr>
              <w:jc w:val="right"/>
              <w:rPr>
                <w:rFonts w:ascii="Arial" w:hAnsi="Arial" w:cs="Arial"/>
                <w:sz w:val="24"/>
                <w:szCs w:val="24"/>
                <w:lang w:val="en-GB"/>
              </w:rPr>
            </w:pPr>
          </w:p>
        </w:tc>
        <w:tc>
          <w:tcPr>
            <w:tcW w:w="587" w:type="pct"/>
            <w:tcBorders>
              <w:top w:val="nil"/>
              <w:left w:val="nil"/>
              <w:bottom w:val="single" w:sz="8" w:space="0" w:color="auto"/>
              <w:right w:val="single" w:sz="8" w:space="0" w:color="auto"/>
            </w:tcBorders>
            <w:shd w:val="clear" w:color="auto" w:fill="auto"/>
            <w:vAlign w:val="center"/>
          </w:tcPr>
          <w:p w14:paraId="4B665539" w14:textId="13A1BC6F" w:rsidR="009B058F" w:rsidRPr="00371EC2" w:rsidRDefault="007004BD" w:rsidP="00BF5B70">
            <w:pPr>
              <w:jc w:val="right"/>
              <w:rPr>
                <w:rFonts w:ascii="Arial" w:hAnsi="Arial" w:cs="Arial"/>
                <w:b/>
                <w:bCs/>
                <w:sz w:val="24"/>
                <w:szCs w:val="24"/>
                <w:lang w:val="en-GB"/>
              </w:rPr>
            </w:pPr>
            <w:r w:rsidRPr="00371EC2">
              <w:rPr>
                <w:rFonts w:ascii="Arial" w:hAnsi="Arial" w:cs="Arial"/>
                <w:sz w:val="24"/>
                <w:szCs w:val="24"/>
                <w:lang w:val="en-GB"/>
              </w:rPr>
              <w:t>+</w:t>
            </w:r>
            <w:r w:rsidR="00292B5C" w:rsidRPr="00371EC2">
              <w:rPr>
                <w:rFonts w:ascii="Arial" w:hAnsi="Arial" w:cs="Arial"/>
                <w:sz w:val="24"/>
                <w:szCs w:val="24"/>
                <w:lang w:val="en-GB"/>
              </w:rPr>
              <w:t>2</w:t>
            </w:r>
            <w:r w:rsidRPr="00371EC2">
              <w:rPr>
                <w:rFonts w:ascii="Arial" w:hAnsi="Arial" w:cs="Arial"/>
                <w:sz w:val="24"/>
                <w:szCs w:val="24"/>
                <w:lang w:val="en-GB"/>
              </w:rPr>
              <w:t>.</w:t>
            </w:r>
            <w:r w:rsidR="00292B5C" w:rsidRPr="00371EC2">
              <w:rPr>
                <w:rFonts w:ascii="Arial" w:hAnsi="Arial" w:cs="Arial"/>
                <w:sz w:val="24"/>
                <w:szCs w:val="24"/>
                <w:lang w:val="en-GB"/>
              </w:rPr>
              <w:t>627</w:t>
            </w:r>
          </w:p>
        </w:tc>
      </w:tr>
      <w:tr w:rsidR="00A53B77" w14:paraId="63C2965E" w14:textId="77777777" w:rsidTr="00BF5B70">
        <w:tc>
          <w:tcPr>
            <w:tcW w:w="3826" w:type="pct"/>
            <w:tcBorders>
              <w:top w:val="nil"/>
              <w:left w:val="single" w:sz="8" w:space="0" w:color="auto"/>
              <w:bottom w:val="single" w:sz="8" w:space="0" w:color="auto"/>
              <w:right w:val="single" w:sz="8" w:space="0" w:color="auto"/>
            </w:tcBorders>
            <w:shd w:val="clear" w:color="auto" w:fill="auto"/>
            <w:vAlign w:val="center"/>
          </w:tcPr>
          <w:p w14:paraId="48EA4844" w14:textId="3D1223CD" w:rsidR="009B058F" w:rsidRPr="00371EC2" w:rsidRDefault="007004BD" w:rsidP="00BF5B70">
            <w:pPr>
              <w:rPr>
                <w:rFonts w:ascii="Arial" w:hAnsi="Arial" w:cs="Arial"/>
                <w:sz w:val="24"/>
                <w:szCs w:val="24"/>
                <w:lang w:val="en-GB"/>
              </w:rPr>
            </w:pPr>
            <w:r w:rsidRPr="00371EC2">
              <w:rPr>
                <w:rFonts w:ascii="Arial" w:hAnsi="Arial" w:cs="Arial"/>
                <w:sz w:val="24"/>
                <w:szCs w:val="24"/>
                <w:lang w:val="en-GB"/>
              </w:rPr>
              <w:t xml:space="preserve">Outcome of </w:t>
            </w:r>
            <w:r w:rsidR="00EB6D0B">
              <w:rPr>
                <w:rFonts w:ascii="Arial" w:hAnsi="Arial" w:cs="Arial"/>
                <w:sz w:val="24"/>
                <w:szCs w:val="24"/>
                <w:lang w:val="en-GB"/>
              </w:rPr>
              <w:t xml:space="preserve">the </w:t>
            </w:r>
            <w:r w:rsidRPr="00371EC2">
              <w:rPr>
                <w:rFonts w:ascii="Arial" w:hAnsi="Arial" w:cs="Arial"/>
                <w:sz w:val="24"/>
                <w:szCs w:val="24"/>
                <w:lang w:val="en-GB"/>
              </w:rPr>
              <w:t>review of reserves</w:t>
            </w:r>
          </w:p>
        </w:tc>
        <w:tc>
          <w:tcPr>
            <w:tcW w:w="587" w:type="pct"/>
            <w:tcBorders>
              <w:top w:val="nil"/>
              <w:left w:val="nil"/>
              <w:bottom w:val="single" w:sz="8" w:space="0" w:color="auto"/>
              <w:right w:val="single" w:sz="8" w:space="0" w:color="auto"/>
            </w:tcBorders>
            <w:shd w:val="clear" w:color="auto" w:fill="auto"/>
            <w:vAlign w:val="center"/>
          </w:tcPr>
          <w:p w14:paraId="5EE32EDE" w14:textId="77777777" w:rsidR="009B058F" w:rsidRPr="00371EC2" w:rsidRDefault="009B058F" w:rsidP="00BF5B70">
            <w:pPr>
              <w:jc w:val="right"/>
              <w:rPr>
                <w:rFonts w:ascii="Arial" w:hAnsi="Arial" w:cs="Arial"/>
                <w:sz w:val="24"/>
                <w:szCs w:val="24"/>
                <w:lang w:val="en-GB"/>
              </w:rPr>
            </w:pPr>
          </w:p>
        </w:tc>
        <w:tc>
          <w:tcPr>
            <w:tcW w:w="587" w:type="pct"/>
            <w:tcBorders>
              <w:top w:val="nil"/>
              <w:left w:val="nil"/>
              <w:bottom w:val="single" w:sz="8" w:space="0" w:color="auto"/>
              <w:right w:val="single" w:sz="8" w:space="0" w:color="auto"/>
            </w:tcBorders>
            <w:shd w:val="clear" w:color="auto" w:fill="auto"/>
            <w:vAlign w:val="center"/>
          </w:tcPr>
          <w:p w14:paraId="4C89F681" w14:textId="76915360" w:rsidR="009B058F" w:rsidRPr="00371EC2" w:rsidRDefault="007004BD" w:rsidP="00BF5B70">
            <w:pPr>
              <w:jc w:val="right"/>
              <w:rPr>
                <w:rFonts w:ascii="Arial" w:hAnsi="Arial" w:cs="Arial"/>
                <w:sz w:val="24"/>
                <w:szCs w:val="24"/>
                <w:lang w:val="en-GB"/>
              </w:rPr>
            </w:pPr>
            <w:r w:rsidRPr="00371EC2">
              <w:rPr>
                <w:rFonts w:ascii="Arial" w:hAnsi="Arial" w:cs="Arial"/>
                <w:sz w:val="24"/>
                <w:szCs w:val="24"/>
                <w:lang w:val="en-GB"/>
              </w:rPr>
              <w:t>+0.545</w:t>
            </w:r>
          </w:p>
        </w:tc>
      </w:tr>
      <w:tr w:rsidR="00A53B77" w14:paraId="51A8D4B7" w14:textId="77777777" w:rsidTr="00BF5B70">
        <w:trPr>
          <w:trHeight w:val="278"/>
        </w:trPr>
        <w:tc>
          <w:tcPr>
            <w:tcW w:w="3826" w:type="pct"/>
            <w:tcBorders>
              <w:top w:val="single" w:sz="8" w:space="0" w:color="auto"/>
              <w:left w:val="single" w:sz="8" w:space="0" w:color="auto"/>
              <w:bottom w:val="single" w:sz="8" w:space="0" w:color="auto"/>
              <w:right w:val="single" w:sz="8" w:space="0" w:color="auto"/>
            </w:tcBorders>
            <w:shd w:val="clear" w:color="auto" w:fill="auto"/>
            <w:vAlign w:val="center"/>
          </w:tcPr>
          <w:p w14:paraId="69AC1E93" w14:textId="775CC990" w:rsidR="009B058F" w:rsidRPr="00371EC2" w:rsidRDefault="007004BD" w:rsidP="00BF5B70">
            <w:pPr>
              <w:rPr>
                <w:rFonts w:ascii="Arial" w:hAnsi="Arial" w:cs="Arial"/>
                <w:sz w:val="24"/>
                <w:szCs w:val="24"/>
                <w:lang w:val="en-GB"/>
              </w:rPr>
            </w:pPr>
            <w:r w:rsidRPr="00371EC2">
              <w:rPr>
                <w:rFonts w:ascii="Arial" w:hAnsi="Arial" w:cs="Arial"/>
                <w:b/>
                <w:bCs/>
                <w:sz w:val="24"/>
                <w:szCs w:val="24"/>
                <w:lang w:val="en-GB"/>
              </w:rPr>
              <w:t>Projected One-off Resources from 202</w:t>
            </w:r>
            <w:r w:rsidR="00292B5C" w:rsidRPr="00371EC2">
              <w:rPr>
                <w:rFonts w:ascii="Arial" w:hAnsi="Arial" w:cs="Arial"/>
                <w:b/>
                <w:bCs/>
                <w:sz w:val="24"/>
                <w:szCs w:val="24"/>
                <w:lang w:val="en-GB"/>
              </w:rPr>
              <w:t>4</w:t>
            </w:r>
            <w:r w:rsidRPr="00371EC2">
              <w:rPr>
                <w:rFonts w:ascii="Arial" w:hAnsi="Arial" w:cs="Arial"/>
                <w:b/>
                <w:bCs/>
                <w:sz w:val="24"/>
                <w:szCs w:val="24"/>
                <w:lang w:val="en-GB"/>
              </w:rPr>
              <w:t>/2</w:t>
            </w:r>
            <w:r w:rsidR="00292B5C" w:rsidRPr="00371EC2">
              <w:rPr>
                <w:rFonts w:ascii="Arial" w:hAnsi="Arial" w:cs="Arial"/>
                <w:b/>
                <w:bCs/>
                <w:sz w:val="24"/>
                <w:szCs w:val="24"/>
                <w:lang w:val="en-GB"/>
              </w:rPr>
              <w:t>5</w:t>
            </w:r>
          </w:p>
        </w:tc>
        <w:tc>
          <w:tcPr>
            <w:tcW w:w="587" w:type="pct"/>
            <w:tcBorders>
              <w:top w:val="single" w:sz="8" w:space="0" w:color="auto"/>
              <w:left w:val="single" w:sz="8" w:space="0" w:color="auto"/>
              <w:bottom w:val="single" w:sz="8" w:space="0" w:color="auto"/>
              <w:right w:val="single" w:sz="8" w:space="0" w:color="auto"/>
            </w:tcBorders>
            <w:shd w:val="clear" w:color="auto" w:fill="auto"/>
            <w:vAlign w:val="center"/>
          </w:tcPr>
          <w:p w14:paraId="0B1DD9C1" w14:textId="77777777" w:rsidR="009B058F" w:rsidRPr="00371EC2" w:rsidRDefault="009B058F" w:rsidP="00BF5B70">
            <w:pPr>
              <w:jc w:val="right"/>
              <w:rPr>
                <w:rFonts w:ascii="Arial" w:hAnsi="Arial" w:cs="Arial"/>
                <w:sz w:val="24"/>
                <w:szCs w:val="24"/>
                <w:lang w:val="en-GB"/>
              </w:rPr>
            </w:pPr>
          </w:p>
        </w:tc>
        <w:tc>
          <w:tcPr>
            <w:tcW w:w="587" w:type="pct"/>
            <w:tcBorders>
              <w:top w:val="single" w:sz="8" w:space="0" w:color="auto"/>
              <w:left w:val="single" w:sz="8" w:space="0" w:color="auto"/>
              <w:bottom w:val="single" w:sz="8" w:space="0" w:color="auto"/>
              <w:right w:val="single" w:sz="8" w:space="0" w:color="auto"/>
            </w:tcBorders>
            <w:shd w:val="clear" w:color="auto" w:fill="auto"/>
            <w:vAlign w:val="center"/>
          </w:tcPr>
          <w:p w14:paraId="133775A4" w14:textId="71F360A6" w:rsidR="009B058F" w:rsidRPr="00371EC2" w:rsidRDefault="007004BD" w:rsidP="00BF5B70">
            <w:pPr>
              <w:jc w:val="right"/>
              <w:rPr>
                <w:rFonts w:ascii="Arial" w:hAnsi="Arial" w:cs="Arial"/>
                <w:b/>
                <w:bCs/>
                <w:sz w:val="24"/>
                <w:szCs w:val="24"/>
                <w:lang w:val="en-GB"/>
              </w:rPr>
            </w:pPr>
            <w:r w:rsidRPr="00371EC2">
              <w:rPr>
                <w:rFonts w:ascii="Arial" w:hAnsi="Arial" w:cs="Arial"/>
                <w:b/>
                <w:bCs/>
                <w:sz w:val="24"/>
                <w:szCs w:val="24"/>
                <w:lang w:val="en-GB"/>
              </w:rPr>
              <w:t>+0.</w:t>
            </w:r>
            <w:r w:rsidR="003232FA">
              <w:rPr>
                <w:rFonts w:ascii="Arial" w:hAnsi="Arial" w:cs="Arial"/>
                <w:b/>
                <w:bCs/>
                <w:sz w:val="24"/>
                <w:szCs w:val="24"/>
                <w:lang w:val="en-GB"/>
              </w:rPr>
              <w:t>9</w:t>
            </w:r>
            <w:r w:rsidRPr="00371EC2">
              <w:rPr>
                <w:rFonts w:ascii="Arial" w:hAnsi="Arial" w:cs="Arial"/>
                <w:b/>
                <w:bCs/>
                <w:sz w:val="24"/>
                <w:szCs w:val="24"/>
                <w:lang w:val="en-GB"/>
              </w:rPr>
              <w:t>56</w:t>
            </w:r>
          </w:p>
        </w:tc>
      </w:tr>
      <w:tr w:rsidR="00A53B77" w14:paraId="6C8B717C" w14:textId="77777777" w:rsidTr="00BF5B70">
        <w:tc>
          <w:tcPr>
            <w:tcW w:w="3826" w:type="pct"/>
            <w:tcBorders>
              <w:top w:val="single" w:sz="8" w:space="0" w:color="auto"/>
              <w:left w:val="single" w:sz="8" w:space="0" w:color="auto"/>
              <w:bottom w:val="single" w:sz="8" w:space="0" w:color="auto"/>
              <w:right w:val="single" w:sz="8" w:space="0" w:color="auto"/>
            </w:tcBorders>
            <w:shd w:val="clear" w:color="auto" w:fill="auto"/>
            <w:vAlign w:val="center"/>
          </w:tcPr>
          <w:p w14:paraId="54F55CE7" w14:textId="77777777" w:rsidR="009B058F" w:rsidRPr="00371EC2" w:rsidRDefault="009B058F" w:rsidP="00BF5B70">
            <w:pPr>
              <w:rPr>
                <w:rFonts w:ascii="Arial" w:hAnsi="Arial" w:cs="Arial"/>
                <w:b/>
                <w:bCs/>
                <w:sz w:val="24"/>
                <w:szCs w:val="24"/>
                <w:lang w:val="en-GB"/>
              </w:rPr>
            </w:pPr>
          </w:p>
        </w:tc>
        <w:tc>
          <w:tcPr>
            <w:tcW w:w="587" w:type="pct"/>
            <w:tcBorders>
              <w:top w:val="single" w:sz="8" w:space="0" w:color="auto"/>
              <w:left w:val="nil"/>
              <w:bottom w:val="single" w:sz="8" w:space="0" w:color="auto"/>
              <w:right w:val="single" w:sz="8" w:space="0" w:color="auto"/>
            </w:tcBorders>
            <w:shd w:val="clear" w:color="auto" w:fill="auto"/>
            <w:vAlign w:val="center"/>
          </w:tcPr>
          <w:p w14:paraId="63F9DD63" w14:textId="77777777" w:rsidR="009B058F" w:rsidRPr="00371EC2" w:rsidRDefault="009B058F" w:rsidP="00BF5B70">
            <w:pPr>
              <w:jc w:val="right"/>
              <w:rPr>
                <w:rFonts w:ascii="Arial" w:hAnsi="Arial" w:cs="Arial"/>
                <w:sz w:val="24"/>
                <w:szCs w:val="24"/>
                <w:lang w:val="en-GB"/>
              </w:rPr>
            </w:pPr>
          </w:p>
        </w:tc>
        <w:tc>
          <w:tcPr>
            <w:tcW w:w="587" w:type="pct"/>
            <w:tcBorders>
              <w:top w:val="single" w:sz="8" w:space="0" w:color="auto"/>
              <w:left w:val="nil"/>
              <w:bottom w:val="single" w:sz="8" w:space="0" w:color="auto"/>
              <w:right w:val="single" w:sz="8" w:space="0" w:color="auto"/>
            </w:tcBorders>
            <w:shd w:val="clear" w:color="auto" w:fill="auto"/>
            <w:vAlign w:val="center"/>
          </w:tcPr>
          <w:p w14:paraId="03AF0625" w14:textId="77777777" w:rsidR="009B058F" w:rsidRPr="00371EC2" w:rsidRDefault="009B058F" w:rsidP="00BF5B70">
            <w:pPr>
              <w:jc w:val="right"/>
              <w:rPr>
                <w:rFonts w:ascii="Arial" w:hAnsi="Arial" w:cs="Arial"/>
                <w:b/>
                <w:bCs/>
                <w:sz w:val="24"/>
                <w:szCs w:val="24"/>
                <w:lang w:val="en-GB"/>
              </w:rPr>
            </w:pPr>
          </w:p>
        </w:tc>
      </w:tr>
      <w:tr w:rsidR="00A53B77" w14:paraId="747482F3" w14:textId="77777777" w:rsidTr="00BF5B70">
        <w:tc>
          <w:tcPr>
            <w:tcW w:w="382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C8D9D28" w14:textId="687BB4C2" w:rsidR="009B058F" w:rsidRPr="00371EC2" w:rsidRDefault="007004BD" w:rsidP="00BF5B70">
            <w:pPr>
              <w:rPr>
                <w:rFonts w:ascii="Arial" w:hAnsi="Arial" w:cs="Arial"/>
                <w:b/>
                <w:bCs/>
                <w:sz w:val="24"/>
                <w:szCs w:val="24"/>
                <w:lang w:val="en-GB"/>
              </w:rPr>
            </w:pPr>
            <w:r w:rsidRPr="00371EC2">
              <w:rPr>
                <w:rFonts w:ascii="Arial" w:hAnsi="Arial" w:cs="Arial"/>
                <w:b/>
                <w:bCs/>
                <w:sz w:val="24"/>
                <w:szCs w:val="24"/>
                <w:lang w:val="en-GB"/>
              </w:rPr>
              <w:t>One-off Allocations in 202</w:t>
            </w:r>
            <w:r w:rsidR="00292B5C" w:rsidRPr="00371EC2">
              <w:rPr>
                <w:rFonts w:ascii="Arial" w:hAnsi="Arial" w:cs="Arial"/>
                <w:b/>
                <w:bCs/>
                <w:sz w:val="24"/>
                <w:szCs w:val="24"/>
                <w:lang w:val="en-GB"/>
              </w:rPr>
              <w:t>4</w:t>
            </w:r>
            <w:r w:rsidRPr="00371EC2">
              <w:rPr>
                <w:rFonts w:ascii="Arial" w:hAnsi="Arial" w:cs="Arial"/>
                <w:b/>
                <w:bCs/>
                <w:sz w:val="24"/>
                <w:szCs w:val="24"/>
                <w:lang w:val="en-GB"/>
              </w:rPr>
              <w:t>/2</w:t>
            </w:r>
            <w:r w:rsidR="00292B5C" w:rsidRPr="00371EC2">
              <w:rPr>
                <w:rFonts w:ascii="Arial" w:hAnsi="Arial" w:cs="Arial"/>
                <w:b/>
                <w:bCs/>
                <w:sz w:val="24"/>
                <w:szCs w:val="24"/>
                <w:lang w:val="en-GB"/>
              </w:rPr>
              <w:t>5</w:t>
            </w:r>
            <w:r w:rsidRPr="00371EC2">
              <w:rPr>
                <w:rFonts w:ascii="Arial" w:hAnsi="Arial" w:cs="Arial"/>
                <w:b/>
                <w:bCs/>
                <w:sz w:val="24"/>
                <w:szCs w:val="24"/>
                <w:lang w:val="en-GB"/>
              </w:rPr>
              <w:t>:</w:t>
            </w:r>
          </w:p>
        </w:tc>
        <w:tc>
          <w:tcPr>
            <w:tcW w:w="587" w:type="pct"/>
            <w:tcBorders>
              <w:top w:val="single" w:sz="8" w:space="0" w:color="auto"/>
              <w:left w:val="nil"/>
              <w:bottom w:val="single" w:sz="8" w:space="0" w:color="auto"/>
              <w:right w:val="single" w:sz="8" w:space="0" w:color="auto"/>
            </w:tcBorders>
            <w:shd w:val="clear" w:color="auto" w:fill="auto"/>
            <w:vAlign w:val="center"/>
          </w:tcPr>
          <w:p w14:paraId="1FD2CBCB" w14:textId="77777777" w:rsidR="009B058F" w:rsidRPr="00371EC2" w:rsidRDefault="009B058F" w:rsidP="00BF5B70">
            <w:pPr>
              <w:jc w:val="right"/>
              <w:rPr>
                <w:rFonts w:ascii="Arial" w:hAnsi="Arial" w:cs="Arial"/>
                <w:sz w:val="24"/>
                <w:szCs w:val="24"/>
                <w:lang w:val="en-GB"/>
              </w:rPr>
            </w:pPr>
          </w:p>
        </w:tc>
        <w:tc>
          <w:tcPr>
            <w:tcW w:w="587" w:type="pct"/>
            <w:tcBorders>
              <w:top w:val="single" w:sz="8" w:space="0" w:color="auto"/>
              <w:left w:val="nil"/>
              <w:bottom w:val="single" w:sz="8" w:space="0" w:color="auto"/>
              <w:right w:val="single" w:sz="8" w:space="0" w:color="auto"/>
            </w:tcBorders>
            <w:shd w:val="clear" w:color="auto" w:fill="auto"/>
            <w:vAlign w:val="center"/>
          </w:tcPr>
          <w:p w14:paraId="74E0F06D" w14:textId="77777777" w:rsidR="009B058F" w:rsidRPr="00371EC2" w:rsidRDefault="009B058F" w:rsidP="00BF5B70">
            <w:pPr>
              <w:jc w:val="right"/>
              <w:rPr>
                <w:rFonts w:ascii="Arial" w:hAnsi="Arial" w:cs="Arial"/>
                <w:b/>
                <w:bCs/>
                <w:sz w:val="24"/>
                <w:szCs w:val="24"/>
                <w:lang w:val="en-GB"/>
              </w:rPr>
            </w:pPr>
          </w:p>
        </w:tc>
      </w:tr>
      <w:tr w:rsidR="00A53B77" w14:paraId="631DC822" w14:textId="77777777" w:rsidTr="00BF5B70">
        <w:tc>
          <w:tcPr>
            <w:tcW w:w="3826" w:type="pct"/>
            <w:tcBorders>
              <w:top w:val="nil"/>
              <w:left w:val="single" w:sz="8" w:space="0" w:color="auto"/>
              <w:bottom w:val="single" w:sz="8" w:space="0" w:color="auto"/>
              <w:right w:val="single" w:sz="8" w:space="0" w:color="auto"/>
            </w:tcBorders>
            <w:shd w:val="clear" w:color="auto" w:fill="auto"/>
            <w:vAlign w:val="center"/>
          </w:tcPr>
          <w:p w14:paraId="34D0A023" w14:textId="035BE3D4" w:rsidR="009B058F" w:rsidRPr="00371EC2" w:rsidRDefault="009B058F" w:rsidP="00BF5B70">
            <w:pPr>
              <w:ind w:left="111"/>
              <w:rPr>
                <w:rFonts w:ascii="Arial" w:hAnsi="Arial" w:cs="Arial"/>
                <w:sz w:val="24"/>
                <w:szCs w:val="24"/>
                <w:lang w:val="en-GB"/>
              </w:rPr>
            </w:pPr>
          </w:p>
        </w:tc>
        <w:tc>
          <w:tcPr>
            <w:tcW w:w="587" w:type="pct"/>
            <w:tcBorders>
              <w:top w:val="nil"/>
              <w:left w:val="nil"/>
              <w:bottom w:val="single" w:sz="8" w:space="0" w:color="auto"/>
              <w:right w:val="single" w:sz="8" w:space="0" w:color="auto"/>
            </w:tcBorders>
            <w:shd w:val="clear" w:color="auto" w:fill="auto"/>
            <w:vAlign w:val="center"/>
          </w:tcPr>
          <w:p w14:paraId="429C1BEE" w14:textId="4793922F" w:rsidR="009B058F" w:rsidRPr="00371EC2" w:rsidRDefault="009B058F" w:rsidP="00BF5B70">
            <w:pPr>
              <w:jc w:val="right"/>
              <w:rPr>
                <w:rFonts w:ascii="Arial" w:hAnsi="Arial" w:cs="Arial"/>
                <w:sz w:val="24"/>
                <w:szCs w:val="24"/>
                <w:lang w:val="en-GB"/>
              </w:rPr>
            </w:pPr>
          </w:p>
        </w:tc>
        <w:tc>
          <w:tcPr>
            <w:tcW w:w="587" w:type="pct"/>
            <w:tcBorders>
              <w:top w:val="nil"/>
              <w:left w:val="nil"/>
              <w:bottom w:val="single" w:sz="8" w:space="0" w:color="auto"/>
              <w:right w:val="single" w:sz="8" w:space="0" w:color="auto"/>
            </w:tcBorders>
            <w:shd w:val="clear" w:color="auto" w:fill="auto"/>
            <w:vAlign w:val="center"/>
          </w:tcPr>
          <w:p w14:paraId="79E862A8" w14:textId="77777777" w:rsidR="009B058F" w:rsidRPr="00371EC2" w:rsidRDefault="009B058F" w:rsidP="00BF5B70">
            <w:pPr>
              <w:jc w:val="right"/>
              <w:rPr>
                <w:rFonts w:ascii="Arial" w:hAnsi="Arial" w:cs="Arial"/>
                <w:b/>
                <w:bCs/>
                <w:sz w:val="24"/>
                <w:szCs w:val="24"/>
                <w:lang w:val="en-GB"/>
              </w:rPr>
            </w:pPr>
          </w:p>
        </w:tc>
      </w:tr>
      <w:tr w:rsidR="00A53B77" w14:paraId="7F23834F" w14:textId="77777777" w:rsidTr="00BF5B70">
        <w:tc>
          <w:tcPr>
            <w:tcW w:w="3826" w:type="pct"/>
            <w:tcBorders>
              <w:top w:val="nil"/>
              <w:left w:val="single" w:sz="8" w:space="0" w:color="auto"/>
              <w:bottom w:val="single" w:sz="8" w:space="0" w:color="auto"/>
              <w:right w:val="single" w:sz="8" w:space="0" w:color="auto"/>
            </w:tcBorders>
            <w:shd w:val="clear" w:color="auto" w:fill="auto"/>
          </w:tcPr>
          <w:p w14:paraId="089398FF" w14:textId="11AED696" w:rsidR="009B058F" w:rsidRPr="00371EC2" w:rsidRDefault="007004BD" w:rsidP="00BF5B70">
            <w:pPr>
              <w:ind w:left="111"/>
              <w:rPr>
                <w:rFonts w:ascii="Arial" w:hAnsi="Arial" w:cs="Arial"/>
                <w:sz w:val="24"/>
                <w:szCs w:val="24"/>
                <w:lang w:val="en-GB"/>
              </w:rPr>
            </w:pPr>
            <w:r>
              <w:rPr>
                <w:rFonts w:ascii="Arial" w:hAnsi="Arial" w:cs="Arial"/>
                <w:sz w:val="24"/>
                <w:szCs w:val="24"/>
                <w:lang w:val="en-GB"/>
              </w:rPr>
              <w:t>Minimum requirement for D</w:t>
            </w:r>
            <w:r w:rsidRPr="00371EC2">
              <w:rPr>
                <w:rFonts w:ascii="Arial" w:hAnsi="Arial" w:cs="Arial"/>
                <w:sz w:val="24"/>
                <w:szCs w:val="24"/>
                <w:lang w:val="en-GB"/>
              </w:rPr>
              <w:t>iseased Tree removal</w:t>
            </w:r>
            <w:r>
              <w:rPr>
                <w:rFonts w:ascii="Arial" w:hAnsi="Arial" w:cs="Arial"/>
                <w:sz w:val="24"/>
                <w:szCs w:val="24"/>
                <w:lang w:val="en-GB"/>
              </w:rPr>
              <w:t>s</w:t>
            </w:r>
          </w:p>
        </w:tc>
        <w:tc>
          <w:tcPr>
            <w:tcW w:w="587" w:type="pct"/>
            <w:tcBorders>
              <w:top w:val="nil"/>
              <w:left w:val="nil"/>
              <w:bottom w:val="single" w:sz="8" w:space="0" w:color="auto"/>
              <w:right w:val="single" w:sz="8" w:space="0" w:color="auto"/>
            </w:tcBorders>
            <w:shd w:val="clear" w:color="auto" w:fill="auto"/>
          </w:tcPr>
          <w:p w14:paraId="21611D8B" w14:textId="6A46ACC8" w:rsidR="009B058F" w:rsidRPr="00371EC2" w:rsidRDefault="007004BD" w:rsidP="00BF5B70">
            <w:pPr>
              <w:jc w:val="right"/>
              <w:rPr>
                <w:rFonts w:ascii="Arial" w:hAnsi="Arial" w:cs="Arial"/>
                <w:sz w:val="24"/>
                <w:szCs w:val="24"/>
                <w:lang w:val="en-GB"/>
              </w:rPr>
            </w:pPr>
            <w:r w:rsidRPr="00371EC2">
              <w:rPr>
                <w:rFonts w:ascii="Arial" w:hAnsi="Arial" w:cs="Arial"/>
                <w:sz w:val="24"/>
                <w:szCs w:val="24"/>
                <w:lang w:val="en-GB"/>
              </w:rPr>
              <w:t>-0.</w:t>
            </w:r>
            <w:r w:rsidR="00292B5C" w:rsidRPr="00371EC2">
              <w:rPr>
                <w:rFonts w:ascii="Arial" w:hAnsi="Arial" w:cs="Arial"/>
                <w:sz w:val="24"/>
                <w:szCs w:val="24"/>
                <w:lang w:val="en-GB"/>
              </w:rPr>
              <w:t>2</w:t>
            </w:r>
            <w:r w:rsidRPr="00371EC2">
              <w:rPr>
                <w:rFonts w:ascii="Arial" w:hAnsi="Arial" w:cs="Arial"/>
                <w:sz w:val="24"/>
                <w:szCs w:val="24"/>
                <w:lang w:val="en-GB"/>
              </w:rPr>
              <w:t>00</w:t>
            </w:r>
          </w:p>
        </w:tc>
        <w:tc>
          <w:tcPr>
            <w:tcW w:w="587" w:type="pct"/>
            <w:tcBorders>
              <w:top w:val="nil"/>
              <w:left w:val="nil"/>
              <w:bottom w:val="single" w:sz="8" w:space="0" w:color="auto"/>
              <w:right w:val="single" w:sz="8" w:space="0" w:color="auto"/>
            </w:tcBorders>
            <w:shd w:val="clear" w:color="auto" w:fill="auto"/>
            <w:vAlign w:val="center"/>
          </w:tcPr>
          <w:p w14:paraId="25B72C19" w14:textId="77777777" w:rsidR="009B058F" w:rsidRPr="00371EC2" w:rsidRDefault="009B058F" w:rsidP="00BF5B70">
            <w:pPr>
              <w:jc w:val="right"/>
              <w:rPr>
                <w:rFonts w:ascii="Arial" w:hAnsi="Arial" w:cs="Arial"/>
                <w:b/>
                <w:bCs/>
                <w:sz w:val="24"/>
                <w:szCs w:val="24"/>
                <w:lang w:val="en-GB"/>
              </w:rPr>
            </w:pPr>
          </w:p>
        </w:tc>
      </w:tr>
      <w:tr w:rsidR="00A53B77" w14:paraId="496C8DB2" w14:textId="77777777" w:rsidTr="00BF5B70">
        <w:tc>
          <w:tcPr>
            <w:tcW w:w="3826" w:type="pct"/>
            <w:tcBorders>
              <w:top w:val="nil"/>
              <w:left w:val="single" w:sz="8" w:space="0" w:color="auto"/>
              <w:bottom w:val="single" w:sz="8" w:space="0" w:color="auto"/>
              <w:right w:val="single" w:sz="8" w:space="0" w:color="auto"/>
            </w:tcBorders>
            <w:shd w:val="clear" w:color="auto" w:fill="auto"/>
          </w:tcPr>
          <w:p w14:paraId="107171CD" w14:textId="7D7EAB6F" w:rsidR="009B058F" w:rsidRPr="0040445E" w:rsidRDefault="007004BD" w:rsidP="00BF5B70">
            <w:pPr>
              <w:ind w:left="111"/>
              <w:rPr>
                <w:rFonts w:ascii="Arial" w:hAnsi="Arial" w:cs="Arial"/>
                <w:sz w:val="24"/>
                <w:szCs w:val="24"/>
                <w:lang w:val="en-GB"/>
              </w:rPr>
            </w:pPr>
            <w:r>
              <w:rPr>
                <w:rFonts w:ascii="Arial" w:hAnsi="Arial" w:cs="Arial"/>
                <w:sz w:val="24"/>
                <w:szCs w:val="24"/>
                <w:lang w:val="en-GB"/>
              </w:rPr>
              <w:t>Minimum additional r</w:t>
            </w:r>
            <w:r w:rsidR="00371EC2" w:rsidRPr="0040445E">
              <w:rPr>
                <w:rFonts w:ascii="Arial" w:hAnsi="Arial" w:cs="Arial"/>
                <w:sz w:val="24"/>
                <w:szCs w:val="24"/>
                <w:lang w:val="en-GB"/>
              </w:rPr>
              <w:t>esource</w:t>
            </w:r>
            <w:r>
              <w:rPr>
                <w:rFonts w:ascii="Arial" w:hAnsi="Arial" w:cs="Arial"/>
                <w:sz w:val="24"/>
                <w:szCs w:val="24"/>
                <w:lang w:val="en-GB"/>
              </w:rPr>
              <w:t xml:space="preserve"> requirement </w:t>
            </w:r>
            <w:r w:rsidR="00371EC2" w:rsidRPr="0040445E">
              <w:rPr>
                <w:rFonts w:ascii="Arial" w:hAnsi="Arial" w:cs="Arial"/>
                <w:sz w:val="24"/>
                <w:szCs w:val="24"/>
                <w:lang w:val="en-GB"/>
              </w:rPr>
              <w:t>to support additional costs of school reorganisation</w:t>
            </w:r>
            <w:r>
              <w:rPr>
                <w:rFonts w:ascii="Arial" w:hAnsi="Arial" w:cs="Arial"/>
                <w:sz w:val="24"/>
                <w:szCs w:val="24"/>
                <w:lang w:val="en-GB"/>
              </w:rPr>
              <w:t xml:space="preserve"> closures</w:t>
            </w:r>
          </w:p>
        </w:tc>
        <w:tc>
          <w:tcPr>
            <w:tcW w:w="587" w:type="pct"/>
            <w:tcBorders>
              <w:top w:val="nil"/>
              <w:left w:val="nil"/>
              <w:bottom w:val="single" w:sz="8" w:space="0" w:color="auto"/>
              <w:right w:val="single" w:sz="8" w:space="0" w:color="auto"/>
            </w:tcBorders>
            <w:shd w:val="clear" w:color="auto" w:fill="auto"/>
          </w:tcPr>
          <w:p w14:paraId="6B2781F0" w14:textId="11BD628B" w:rsidR="009B058F" w:rsidRPr="0040445E" w:rsidRDefault="007004BD" w:rsidP="00BF5B70">
            <w:pPr>
              <w:jc w:val="right"/>
              <w:rPr>
                <w:rFonts w:ascii="Arial" w:hAnsi="Arial" w:cs="Arial"/>
                <w:sz w:val="24"/>
                <w:szCs w:val="24"/>
                <w:lang w:val="en-GB"/>
              </w:rPr>
            </w:pPr>
            <w:r w:rsidRPr="0040445E">
              <w:rPr>
                <w:rFonts w:ascii="Arial" w:hAnsi="Arial" w:cs="Arial"/>
                <w:sz w:val="24"/>
                <w:szCs w:val="24"/>
                <w:lang w:val="en-GB"/>
              </w:rPr>
              <w:t>-0.</w:t>
            </w:r>
            <w:r w:rsidR="003232FA">
              <w:rPr>
                <w:rFonts w:ascii="Arial" w:hAnsi="Arial" w:cs="Arial"/>
                <w:sz w:val="24"/>
                <w:szCs w:val="24"/>
                <w:lang w:val="en-GB"/>
              </w:rPr>
              <w:t>2</w:t>
            </w:r>
            <w:r w:rsidRPr="0040445E">
              <w:rPr>
                <w:rFonts w:ascii="Arial" w:hAnsi="Arial" w:cs="Arial"/>
                <w:sz w:val="24"/>
                <w:szCs w:val="24"/>
                <w:lang w:val="en-GB"/>
              </w:rPr>
              <w:t>56</w:t>
            </w:r>
          </w:p>
        </w:tc>
        <w:tc>
          <w:tcPr>
            <w:tcW w:w="587" w:type="pct"/>
            <w:tcBorders>
              <w:top w:val="nil"/>
              <w:left w:val="nil"/>
              <w:bottom w:val="single" w:sz="8" w:space="0" w:color="auto"/>
              <w:right w:val="single" w:sz="8" w:space="0" w:color="auto"/>
            </w:tcBorders>
            <w:shd w:val="clear" w:color="auto" w:fill="auto"/>
            <w:vAlign w:val="center"/>
          </w:tcPr>
          <w:p w14:paraId="65B0C46E" w14:textId="77777777" w:rsidR="009B058F" w:rsidRPr="0040445E" w:rsidRDefault="009B058F" w:rsidP="00BF5B70">
            <w:pPr>
              <w:jc w:val="right"/>
              <w:rPr>
                <w:rFonts w:ascii="Arial" w:hAnsi="Arial" w:cs="Arial"/>
                <w:b/>
                <w:bCs/>
                <w:sz w:val="24"/>
                <w:szCs w:val="24"/>
                <w:lang w:val="en-GB"/>
              </w:rPr>
            </w:pPr>
          </w:p>
        </w:tc>
      </w:tr>
      <w:tr w:rsidR="00A53B77" w14:paraId="3E118FCC" w14:textId="77777777" w:rsidTr="00BF5B70">
        <w:tc>
          <w:tcPr>
            <w:tcW w:w="3826" w:type="pct"/>
            <w:tcBorders>
              <w:top w:val="nil"/>
              <w:left w:val="single" w:sz="8" w:space="0" w:color="auto"/>
              <w:bottom w:val="single" w:sz="8" w:space="0" w:color="auto"/>
              <w:right w:val="single" w:sz="8" w:space="0" w:color="auto"/>
            </w:tcBorders>
            <w:shd w:val="clear" w:color="auto" w:fill="auto"/>
            <w:vAlign w:val="center"/>
          </w:tcPr>
          <w:p w14:paraId="00CF189B" w14:textId="6FB07845" w:rsidR="004413E9" w:rsidRPr="003232FA" w:rsidRDefault="007004BD" w:rsidP="003232FA">
            <w:pPr>
              <w:ind w:left="111"/>
              <w:rPr>
                <w:rFonts w:ascii="Arial" w:hAnsi="Arial" w:cs="Arial"/>
                <w:sz w:val="24"/>
                <w:szCs w:val="24"/>
                <w:lang w:val="en-GB"/>
              </w:rPr>
            </w:pPr>
            <w:r>
              <w:rPr>
                <w:rFonts w:ascii="Arial" w:hAnsi="Arial" w:cs="Arial"/>
                <w:sz w:val="24"/>
                <w:szCs w:val="24"/>
                <w:lang w:val="en-GB"/>
              </w:rPr>
              <w:t>Development of a Business Prospectus and a potential additional BID district for the city</w:t>
            </w:r>
            <w:r w:rsidR="00C6640E">
              <w:rPr>
                <w:rFonts w:ascii="Arial" w:hAnsi="Arial" w:cs="Arial"/>
                <w:sz w:val="24"/>
                <w:szCs w:val="24"/>
                <w:lang w:val="en-GB"/>
              </w:rPr>
              <w:t xml:space="preserve"> from assumed TBM improvement</w:t>
            </w:r>
            <w:r>
              <w:rPr>
                <w:rFonts w:ascii="Arial" w:hAnsi="Arial" w:cs="Arial"/>
                <w:sz w:val="24"/>
                <w:szCs w:val="24"/>
                <w:lang w:val="en-GB"/>
              </w:rPr>
              <w:t xml:space="preserve"> *</w:t>
            </w:r>
          </w:p>
        </w:tc>
        <w:tc>
          <w:tcPr>
            <w:tcW w:w="587" w:type="pct"/>
            <w:tcBorders>
              <w:top w:val="nil"/>
              <w:left w:val="nil"/>
              <w:bottom w:val="single" w:sz="8" w:space="0" w:color="auto"/>
              <w:right w:val="single" w:sz="8" w:space="0" w:color="auto"/>
            </w:tcBorders>
            <w:shd w:val="clear" w:color="auto" w:fill="auto"/>
            <w:vAlign w:val="center"/>
          </w:tcPr>
          <w:p w14:paraId="23EF99B9" w14:textId="0B97A478" w:rsidR="004413E9" w:rsidRDefault="007004BD" w:rsidP="00BF5B70">
            <w:pPr>
              <w:jc w:val="right"/>
              <w:rPr>
                <w:rFonts w:ascii="Arial" w:hAnsi="Arial" w:cs="Arial"/>
                <w:sz w:val="24"/>
                <w:szCs w:val="24"/>
                <w:lang w:val="en-GB"/>
              </w:rPr>
            </w:pPr>
            <w:r>
              <w:rPr>
                <w:rFonts w:ascii="Arial" w:hAnsi="Arial" w:cs="Arial"/>
                <w:sz w:val="24"/>
                <w:szCs w:val="24"/>
                <w:lang w:val="en-GB"/>
              </w:rPr>
              <w:t>-0.070</w:t>
            </w:r>
          </w:p>
        </w:tc>
        <w:tc>
          <w:tcPr>
            <w:tcW w:w="587" w:type="pct"/>
            <w:tcBorders>
              <w:top w:val="nil"/>
              <w:left w:val="nil"/>
              <w:bottom w:val="single" w:sz="8" w:space="0" w:color="auto"/>
              <w:right w:val="single" w:sz="8" w:space="0" w:color="auto"/>
            </w:tcBorders>
            <w:shd w:val="clear" w:color="auto" w:fill="auto"/>
            <w:vAlign w:val="center"/>
          </w:tcPr>
          <w:p w14:paraId="39E91684" w14:textId="77777777" w:rsidR="004413E9" w:rsidRPr="0040445E" w:rsidRDefault="004413E9" w:rsidP="00BF5B70">
            <w:pPr>
              <w:jc w:val="right"/>
              <w:rPr>
                <w:rFonts w:ascii="Arial" w:hAnsi="Arial" w:cs="Arial"/>
                <w:b/>
                <w:bCs/>
                <w:sz w:val="24"/>
                <w:szCs w:val="24"/>
                <w:lang w:val="en-GB"/>
              </w:rPr>
            </w:pPr>
          </w:p>
        </w:tc>
      </w:tr>
      <w:tr w:rsidR="00A53B77" w14:paraId="75B315E6" w14:textId="77777777" w:rsidTr="00BF5B70">
        <w:tc>
          <w:tcPr>
            <w:tcW w:w="3826" w:type="pct"/>
            <w:tcBorders>
              <w:top w:val="nil"/>
              <w:left w:val="single" w:sz="8" w:space="0" w:color="auto"/>
              <w:bottom w:val="single" w:sz="8" w:space="0" w:color="auto"/>
              <w:right w:val="single" w:sz="8" w:space="0" w:color="auto"/>
            </w:tcBorders>
            <w:shd w:val="clear" w:color="auto" w:fill="auto"/>
            <w:vAlign w:val="center"/>
          </w:tcPr>
          <w:p w14:paraId="57FF9D65" w14:textId="156D58AC" w:rsidR="003232FA" w:rsidRPr="003232FA" w:rsidRDefault="007004BD" w:rsidP="003232FA">
            <w:pPr>
              <w:ind w:left="111"/>
              <w:rPr>
                <w:rFonts w:ascii="Arial" w:hAnsi="Arial" w:cs="Arial"/>
                <w:sz w:val="24"/>
                <w:szCs w:val="24"/>
                <w:lang w:val="en-GB"/>
              </w:rPr>
            </w:pPr>
            <w:r w:rsidRPr="003232FA">
              <w:rPr>
                <w:rFonts w:ascii="Arial" w:hAnsi="Arial" w:cs="Arial"/>
                <w:sz w:val="24"/>
                <w:szCs w:val="24"/>
                <w:lang w:val="en-GB"/>
              </w:rPr>
              <w:t xml:space="preserve">Contingency for </w:t>
            </w:r>
            <w:r w:rsidR="00C6640E">
              <w:rPr>
                <w:rFonts w:ascii="Arial" w:hAnsi="Arial" w:cs="Arial"/>
                <w:sz w:val="24"/>
                <w:szCs w:val="24"/>
                <w:lang w:val="en-GB"/>
              </w:rPr>
              <w:t>diseased trees and/or school organisation changes</w:t>
            </w:r>
            <w:r w:rsidRPr="003232FA">
              <w:rPr>
                <w:rFonts w:ascii="Arial" w:hAnsi="Arial" w:cs="Arial"/>
                <w:sz w:val="24"/>
                <w:szCs w:val="24"/>
                <w:lang w:val="en-GB"/>
              </w:rPr>
              <w:t xml:space="preserve"> from assumed TBM improvement</w:t>
            </w:r>
          </w:p>
        </w:tc>
        <w:tc>
          <w:tcPr>
            <w:tcW w:w="587" w:type="pct"/>
            <w:tcBorders>
              <w:top w:val="nil"/>
              <w:left w:val="nil"/>
              <w:bottom w:val="single" w:sz="8" w:space="0" w:color="auto"/>
              <w:right w:val="single" w:sz="8" w:space="0" w:color="auto"/>
            </w:tcBorders>
            <w:shd w:val="clear" w:color="auto" w:fill="auto"/>
            <w:vAlign w:val="center"/>
          </w:tcPr>
          <w:p w14:paraId="0446193E" w14:textId="6C47873C" w:rsidR="003232FA" w:rsidRPr="0040445E" w:rsidRDefault="007004BD" w:rsidP="00BF5B70">
            <w:pPr>
              <w:jc w:val="right"/>
              <w:rPr>
                <w:rFonts w:ascii="Arial" w:hAnsi="Arial" w:cs="Arial"/>
                <w:sz w:val="24"/>
                <w:szCs w:val="24"/>
                <w:lang w:val="en-GB"/>
              </w:rPr>
            </w:pPr>
            <w:r>
              <w:rPr>
                <w:rFonts w:ascii="Arial" w:hAnsi="Arial" w:cs="Arial"/>
                <w:sz w:val="24"/>
                <w:szCs w:val="24"/>
                <w:lang w:val="en-GB"/>
              </w:rPr>
              <w:t>-0.</w:t>
            </w:r>
            <w:r w:rsidR="004413E9">
              <w:rPr>
                <w:rFonts w:ascii="Arial" w:hAnsi="Arial" w:cs="Arial"/>
                <w:sz w:val="24"/>
                <w:szCs w:val="24"/>
                <w:lang w:val="en-GB"/>
              </w:rPr>
              <w:t>430</w:t>
            </w:r>
          </w:p>
        </w:tc>
        <w:tc>
          <w:tcPr>
            <w:tcW w:w="587" w:type="pct"/>
            <w:tcBorders>
              <w:top w:val="nil"/>
              <w:left w:val="nil"/>
              <w:bottom w:val="single" w:sz="8" w:space="0" w:color="auto"/>
              <w:right w:val="single" w:sz="8" w:space="0" w:color="auto"/>
            </w:tcBorders>
            <w:shd w:val="clear" w:color="auto" w:fill="auto"/>
            <w:vAlign w:val="center"/>
          </w:tcPr>
          <w:p w14:paraId="10430212" w14:textId="77777777" w:rsidR="003232FA" w:rsidRPr="0040445E" w:rsidRDefault="003232FA" w:rsidP="00BF5B70">
            <w:pPr>
              <w:jc w:val="right"/>
              <w:rPr>
                <w:rFonts w:ascii="Arial" w:hAnsi="Arial" w:cs="Arial"/>
                <w:b/>
                <w:bCs/>
                <w:sz w:val="24"/>
                <w:szCs w:val="24"/>
                <w:lang w:val="en-GB"/>
              </w:rPr>
            </w:pPr>
          </w:p>
        </w:tc>
      </w:tr>
      <w:tr w:rsidR="00A53B77" w14:paraId="2893559D" w14:textId="77777777" w:rsidTr="00BF5B70">
        <w:tc>
          <w:tcPr>
            <w:tcW w:w="3826" w:type="pct"/>
            <w:tcBorders>
              <w:top w:val="nil"/>
              <w:left w:val="single" w:sz="8" w:space="0" w:color="auto"/>
              <w:bottom w:val="single" w:sz="8" w:space="0" w:color="auto"/>
              <w:right w:val="single" w:sz="8" w:space="0" w:color="auto"/>
            </w:tcBorders>
            <w:shd w:val="clear" w:color="auto" w:fill="auto"/>
            <w:vAlign w:val="center"/>
          </w:tcPr>
          <w:p w14:paraId="74722F96" w14:textId="475D34E8" w:rsidR="009B058F" w:rsidRPr="00EB6D0B" w:rsidRDefault="007004BD" w:rsidP="00EB6D0B">
            <w:pPr>
              <w:rPr>
                <w:rFonts w:ascii="Arial" w:hAnsi="Arial" w:cs="Arial"/>
                <w:b/>
                <w:bCs/>
                <w:sz w:val="24"/>
                <w:szCs w:val="24"/>
                <w:lang w:val="en-GB"/>
              </w:rPr>
            </w:pPr>
            <w:r w:rsidRPr="00EB6D0B">
              <w:rPr>
                <w:rFonts w:ascii="Arial" w:hAnsi="Arial" w:cs="Arial"/>
                <w:b/>
                <w:bCs/>
                <w:sz w:val="24"/>
                <w:szCs w:val="24"/>
                <w:lang w:val="en-GB"/>
              </w:rPr>
              <w:t>Total One</w:t>
            </w:r>
            <w:r w:rsidR="00EB6D0B">
              <w:rPr>
                <w:rFonts w:ascii="Arial" w:hAnsi="Arial" w:cs="Arial"/>
                <w:b/>
                <w:bCs/>
                <w:sz w:val="24"/>
                <w:szCs w:val="24"/>
                <w:lang w:val="en-GB"/>
              </w:rPr>
              <w:t>-</w:t>
            </w:r>
            <w:r w:rsidRPr="00EB6D0B">
              <w:rPr>
                <w:rFonts w:ascii="Arial" w:hAnsi="Arial" w:cs="Arial"/>
                <w:b/>
                <w:bCs/>
                <w:sz w:val="24"/>
                <w:szCs w:val="24"/>
                <w:lang w:val="en-GB"/>
              </w:rPr>
              <w:t>off allocations</w:t>
            </w:r>
          </w:p>
        </w:tc>
        <w:tc>
          <w:tcPr>
            <w:tcW w:w="587" w:type="pct"/>
            <w:tcBorders>
              <w:top w:val="nil"/>
              <w:left w:val="nil"/>
              <w:bottom w:val="single" w:sz="8" w:space="0" w:color="auto"/>
              <w:right w:val="single" w:sz="8" w:space="0" w:color="auto"/>
            </w:tcBorders>
            <w:shd w:val="clear" w:color="auto" w:fill="auto"/>
            <w:vAlign w:val="center"/>
          </w:tcPr>
          <w:p w14:paraId="5B989303" w14:textId="77777777" w:rsidR="009B058F" w:rsidRPr="0040445E" w:rsidRDefault="009B058F" w:rsidP="00BF5B70">
            <w:pPr>
              <w:jc w:val="right"/>
              <w:rPr>
                <w:rFonts w:ascii="Arial" w:hAnsi="Arial" w:cs="Arial"/>
                <w:sz w:val="24"/>
                <w:szCs w:val="24"/>
                <w:lang w:val="en-GB"/>
              </w:rPr>
            </w:pPr>
          </w:p>
        </w:tc>
        <w:tc>
          <w:tcPr>
            <w:tcW w:w="587" w:type="pct"/>
            <w:tcBorders>
              <w:top w:val="nil"/>
              <w:left w:val="nil"/>
              <w:bottom w:val="single" w:sz="8" w:space="0" w:color="auto"/>
              <w:right w:val="single" w:sz="8" w:space="0" w:color="auto"/>
            </w:tcBorders>
            <w:shd w:val="clear" w:color="auto" w:fill="auto"/>
            <w:vAlign w:val="center"/>
          </w:tcPr>
          <w:p w14:paraId="074CCE4F" w14:textId="352B7E0F" w:rsidR="009B058F" w:rsidRPr="0040445E" w:rsidRDefault="007004BD" w:rsidP="00BF5B70">
            <w:pPr>
              <w:jc w:val="right"/>
              <w:rPr>
                <w:rFonts w:ascii="Arial" w:hAnsi="Arial" w:cs="Arial"/>
                <w:b/>
                <w:bCs/>
                <w:sz w:val="24"/>
                <w:szCs w:val="24"/>
                <w:lang w:val="en-GB"/>
              </w:rPr>
            </w:pPr>
            <w:r w:rsidRPr="0040445E">
              <w:rPr>
                <w:rFonts w:ascii="Arial" w:hAnsi="Arial" w:cs="Arial"/>
                <w:b/>
                <w:bCs/>
                <w:sz w:val="24"/>
                <w:szCs w:val="24"/>
                <w:lang w:val="en-GB"/>
              </w:rPr>
              <w:t>-0.</w:t>
            </w:r>
            <w:r w:rsidR="00EB6D0B">
              <w:rPr>
                <w:rFonts w:ascii="Arial" w:hAnsi="Arial" w:cs="Arial"/>
                <w:b/>
                <w:bCs/>
                <w:sz w:val="24"/>
                <w:szCs w:val="24"/>
                <w:lang w:val="en-GB"/>
              </w:rPr>
              <w:t>9</w:t>
            </w:r>
            <w:r w:rsidRPr="0040445E">
              <w:rPr>
                <w:rFonts w:ascii="Arial" w:hAnsi="Arial" w:cs="Arial"/>
                <w:b/>
                <w:bCs/>
                <w:sz w:val="24"/>
                <w:szCs w:val="24"/>
                <w:lang w:val="en-GB"/>
              </w:rPr>
              <w:t>56</w:t>
            </w:r>
          </w:p>
        </w:tc>
      </w:tr>
      <w:tr w:rsidR="00A53B77" w14:paraId="39E14F69" w14:textId="77777777" w:rsidTr="00BF5B70">
        <w:tc>
          <w:tcPr>
            <w:tcW w:w="3826" w:type="pct"/>
            <w:tcBorders>
              <w:top w:val="nil"/>
              <w:left w:val="single" w:sz="8" w:space="0" w:color="auto"/>
              <w:bottom w:val="single" w:sz="8" w:space="0" w:color="auto"/>
              <w:right w:val="single" w:sz="8" w:space="0" w:color="auto"/>
            </w:tcBorders>
            <w:shd w:val="clear" w:color="auto" w:fill="auto"/>
            <w:vAlign w:val="center"/>
          </w:tcPr>
          <w:p w14:paraId="37482241" w14:textId="77777777" w:rsidR="009B058F" w:rsidRPr="0040445E" w:rsidRDefault="009B058F" w:rsidP="00BF5B70">
            <w:pPr>
              <w:ind w:left="111"/>
              <w:rPr>
                <w:rFonts w:ascii="Arial" w:hAnsi="Arial" w:cs="Arial"/>
                <w:sz w:val="24"/>
                <w:szCs w:val="24"/>
                <w:lang w:val="en-GB"/>
              </w:rPr>
            </w:pPr>
          </w:p>
        </w:tc>
        <w:tc>
          <w:tcPr>
            <w:tcW w:w="587" w:type="pct"/>
            <w:tcBorders>
              <w:top w:val="nil"/>
              <w:left w:val="nil"/>
              <w:bottom w:val="single" w:sz="8" w:space="0" w:color="auto"/>
              <w:right w:val="single" w:sz="8" w:space="0" w:color="auto"/>
            </w:tcBorders>
            <w:shd w:val="clear" w:color="auto" w:fill="auto"/>
            <w:vAlign w:val="center"/>
          </w:tcPr>
          <w:p w14:paraId="6556F69F" w14:textId="77777777" w:rsidR="009B058F" w:rsidRPr="0040445E" w:rsidRDefault="009B058F" w:rsidP="00BF5B70">
            <w:pPr>
              <w:jc w:val="right"/>
              <w:rPr>
                <w:rFonts w:ascii="Arial" w:hAnsi="Arial" w:cs="Arial"/>
                <w:sz w:val="24"/>
                <w:szCs w:val="24"/>
                <w:lang w:val="en-GB"/>
              </w:rPr>
            </w:pPr>
          </w:p>
        </w:tc>
        <w:tc>
          <w:tcPr>
            <w:tcW w:w="587" w:type="pct"/>
            <w:tcBorders>
              <w:top w:val="nil"/>
              <w:left w:val="nil"/>
              <w:bottom w:val="single" w:sz="8" w:space="0" w:color="auto"/>
              <w:right w:val="single" w:sz="8" w:space="0" w:color="auto"/>
            </w:tcBorders>
            <w:shd w:val="clear" w:color="auto" w:fill="auto"/>
            <w:vAlign w:val="center"/>
          </w:tcPr>
          <w:p w14:paraId="544017E3" w14:textId="77777777" w:rsidR="009B058F" w:rsidRPr="0040445E" w:rsidRDefault="009B058F" w:rsidP="00BF5B70">
            <w:pPr>
              <w:jc w:val="right"/>
              <w:rPr>
                <w:rFonts w:ascii="Arial" w:hAnsi="Arial" w:cs="Arial"/>
                <w:b/>
                <w:bCs/>
                <w:sz w:val="24"/>
                <w:szCs w:val="24"/>
                <w:lang w:val="en-GB"/>
              </w:rPr>
            </w:pPr>
          </w:p>
        </w:tc>
      </w:tr>
      <w:tr w:rsidR="00A53B77" w14:paraId="435AA73B" w14:textId="77777777" w:rsidTr="00BF5B70">
        <w:tc>
          <w:tcPr>
            <w:tcW w:w="38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B030DC" w14:textId="77777777" w:rsidR="009B058F" w:rsidRPr="0040445E" w:rsidRDefault="007004BD" w:rsidP="00BF5B70">
            <w:pPr>
              <w:rPr>
                <w:rFonts w:ascii="Arial" w:hAnsi="Arial" w:cs="Arial"/>
                <w:b/>
                <w:bCs/>
                <w:sz w:val="24"/>
                <w:szCs w:val="24"/>
                <w:lang w:val="en-GB"/>
              </w:rPr>
            </w:pPr>
            <w:r w:rsidRPr="0040445E">
              <w:rPr>
                <w:rFonts w:ascii="Arial" w:hAnsi="Arial" w:cs="Arial"/>
                <w:b/>
                <w:bCs/>
                <w:sz w:val="24"/>
                <w:szCs w:val="24"/>
                <w:lang w:val="en-GB"/>
              </w:rPr>
              <w:t>Balance</w:t>
            </w:r>
          </w:p>
        </w:tc>
        <w:tc>
          <w:tcPr>
            <w:tcW w:w="5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4F26DC" w14:textId="77777777" w:rsidR="009B058F" w:rsidRPr="0040445E" w:rsidRDefault="009B058F" w:rsidP="00BF5B70">
            <w:pPr>
              <w:jc w:val="right"/>
              <w:rPr>
                <w:rFonts w:ascii="Arial" w:hAnsi="Arial" w:cs="Arial"/>
                <w:sz w:val="24"/>
                <w:szCs w:val="24"/>
                <w:lang w:val="en-GB"/>
              </w:rPr>
            </w:pPr>
          </w:p>
        </w:tc>
        <w:tc>
          <w:tcPr>
            <w:tcW w:w="5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92B5F1" w14:textId="77777777" w:rsidR="009B058F" w:rsidRPr="0040445E" w:rsidRDefault="007004BD" w:rsidP="00BF5B70">
            <w:pPr>
              <w:jc w:val="right"/>
              <w:rPr>
                <w:rFonts w:ascii="Arial" w:hAnsi="Arial" w:cs="Arial"/>
                <w:b/>
                <w:bCs/>
                <w:sz w:val="24"/>
                <w:szCs w:val="24"/>
                <w:lang w:val="en-GB"/>
              </w:rPr>
            </w:pPr>
            <w:r w:rsidRPr="0040445E">
              <w:rPr>
                <w:rFonts w:ascii="Arial" w:hAnsi="Arial" w:cs="Arial"/>
                <w:b/>
                <w:bCs/>
                <w:sz w:val="24"/>
                <w:szCs w:val="24"/>
                <w:lang w:val="en-GB"/>
              </w:rPr>
              <w:t>0.000</w:t>
            </w:r>
          </w:p>
        </w:tc>
      </w:tr>
    </w:tbl>
    <w:p w14:paraId="07CE639F" w14:textId="1BCA774C" w:rsidR="009B058F" w:rsidRPr="004413E9" w:rsidRDefault="007004BD" w:rsidP="001C0AFD">
      <w:pPr>
        <w:pStyle w:val="Heading2"/>
        <w:numPr>
          <w:ilvl w:val="0"/>
          <w:numId w:val="0"/>
        </w:numPr>
        <w:ind w:left="1134" w:hanging="425"/>
      </w:pPr>
      <w:r w:rsidRPr="004413E9">
        <w:t>*</w:t>
      </w:r>
      <w:r w:rsidRPr="004413E9">
        <w:tab/>
        <w:t>Subject to the liabilities arising from diseased trees and/or school organisation changes which would be a first call on available resources.</w:t>
      </w:r>
    </w:p>
    <w:p w14:paraId="13D06E6E" w14:textId="6F2584A4" w:rsidR="009B058F" w:rsidRPr="0040445E" w:rsidRDefault="007004BD" w:rsidP="00E945CB">
      <w:pPr>
        <w:pStyle w:val="Heading2"/>
      </w:pPr>
      <w:r w:rsidRPr="0040445E">
        <w:t>The proposed one-off allocations for 202</w:t>
      </w:r>
      <w:r w:rsidR="00CB3CD5" w:rsidRPr="0040445E">
        <w:t>4</w:t>
      </w:r>
      <w:r w:rsidRPr="0040445E">
        <w:t>/2</w:t>
      </w:r>
      <w:r w:rsidR="00CB3CD5" w:rsidRPr="0040445E">
        <w:t>5</w:t>
      </w:r>
      <w:r w:rsidRPr="0040445E">
        <w:t xml:space="preserve"> are explained in more detail below:</w:t>
      </w:r>
    </w:p>
    <w:p w14:paraId="4E346CD7" w14:textId="2A0AD82C" w:rsidR="009B058F" w:rsidRPr="00E07B85" w:rsidRDefault="007004BD" w:rsidP="004413E9">
      <w:pPr>
        <w:pStyle w:val="ListParagraph"/>
        <w:numPr>
          <w:ilvl w:val="0"/>
          <w:numId w:val="6"/>
        </w:numPr>
        <w:spacing w:before="40" w:after="40"/>
        <w:ind w:left="1134" w:hanging="425"/>
        <w:contextualSpacing w:val="0"/>
        <w:rPr>
          <w:rFonts w:ascii="Arial" w:hAnsi="Arial" w:cs="Arial"/>
          <w:sz w:val="24"/>
          <w:szCs w:val="24"/>
          <w:lang w:val="en-GB"/>
        </w:rPr>
      </w:pPr>
      <w:r w:rsidRPr="009E4BA3">
        <w:rPr>
          <w:rFonts w:ascii="Arial" w:hAnsi="Arial" w:cs="Arial"/>
          <w:b/>
          <w:bCs/>
          <w:sz w:val="24"/>
          <w:szCs w:val="24"/>
          <w:lang w:val="en-GB"/>
        </w:rPr>
        <w:t>Ongoing management of Ash &amp; Elm dieback (health &amp; safety works) (£0.</w:t>
      </w:r>
      <w:r w:rsidR="00CB3CD5" w:rsidRPr="009E4BA3">
        <w:rPr>
          <w:rFonts w:ascii="Arial" w:hAnsi="Arial" w:cs="Arial"/>
          <w:b/>
          <w:bCs/>
          <w:sz w:val="24"/>
          <w:szCs w:val="24"/>
          <w:lang w:val="en-GB"/>
        </w:rPr>
        <w:t>2</w:t>
      </w:r>
      <w:r w:rsidRPr="009E4BA3">
        <w:rPr>
          <w:rFonts w:ascii="Arial" w:hAnsi="Arial" w:cs="Arial"/>
          <w:b/>
          <w:bCs/>
          <w:sz w:val="24"/>
          <w:szCs w:val="24"/>
          <w:lang w:val="en-GB"/>
        </w:rPr>
        <w:t>00m):</w:t>
      </w:r>
      <w:r w:rsidRPr="00E07B85">
        <w:rPr>
          <w:rFonts w:ascii="Arial" w:hAnsi="Arial" w:cs="Arial"/>
          <w:sz w:val="24"/>
          <w:szCs w:val="24"/>
          <w:lang w:val="en-GB"/>
        </w:rPr>
        <w:t xml:space="preserve"> </w:t>
      </w:r>
      <w:r w:rsidR="003232FA" w:rsidRPr="00E07B85">
        <w:rPr>
          <w:rFonts w:ascii="Arial" w:hAnsi="Arial" w:cs="Arial"/>
          <w:sz w:val="24"/>
          <w:szCs w:val="24"/>
          <w:lang w:val="en-GB"/>
        </w:rPr>
        <w:t>T</w:t>
      </w:r>
      <w:r w:rsidRPr="00E07B85">
        <w:rPr>
          <w:rFonts w:ascii="Arial" w:hAnsi="Arial" w:cs="Arial"/>
          <w:sz w:val="24"/>
          <w:szCs w:val="24"/>
          <w:lang w:val="en-GB"/>
        </w:rPr>
        <w:t>his allocation is in relation to the recommendations emanating from the Tree Diseases report, which were approved by the Environment, Transport &amp; Sustainability Committee at its meeting on 24 November 2020 (Item 43).</w:t>
      </w:r>
      <w:r w:rsidR="003232FA" w:rsidRPr="00E07B85">
        <w:rPr>
          <w:rFonts w:ascii="Arial" w:hAnsi="Arial" w:cs="Arial"/>
          <w:sz w:val="24"/>
          <w:szCs w:val="24"/>
          <w:lang w:val="en-GB"/>
        </w:rPr>
        <w:t xml:space="preserve"> Investment of £0.600m has been provided for the last 3 years.</w:t>
      </w:r>
      <w:r w:rsidRPr="00E07B85">
        <w:rPr>
          <w:rFonts w:ascii="Arial" w:hAnsi="Arial" w:cs="Arial"/>
          <w:sz w:val="24"/>
          <w:szCs w:val="24"/>
          <w:lang w:val="en-GB"/>
        </w:rPr>
        <w:t xml:space="preserve"> The allocation </w:t>
      </w:r>
      <w:r w:rsidR="003232FA" w:rsidRPr="00E07B85">
        <w:rPr>
          <w:rFonts w:ascii="Arial" w:hAnsi="Arial" w:cs="Arial"/>
          <w:sz w:val="24"/>
          <w:szCs w:val="24"/>
          <w:lang w:val="en-GB"/>
        </w:rPr>
        <w:t xml:space="preserve">above </w:t>
      </w:r>
      <w:r w:rsidR="00CB3CD5" w:rsidRPr="00E07B85">
        <w:rPr>
          <w:rFonts w:ascii="Arial" w:hAnsi="Arial" w:cs="Arial"/>
          <w:sz w:val="24"/>
          <w:szCs w:val="24"/>
          <w:lang w:val="en-GB"/>
        </w:rPr>
        <w:t xml:space="preserve">is a minimum level of investment with overall resources for this financial liability being reviewed at outturn. This </w:t>
      </w:r>
      <w:r w:rsidRPr="00E07B85">
        <w:rPr>
          <w:rFonts w:ascii="Arial" w:hAnsi="Arial" w:cs="Arial"/>
          <w:sz w:val="24"/>
          <w:szCs w:val="24"/>
          <w:lang w:val="en-GB"/>
        </w:rPr>
        <w:t>will help to manage the ongoing spread of the diseases as well as safely removing dying and unsafe trees from public spaces.</w:t>
      </w:r>
    </w:p>
    <w:p w14:paraId="5693D4C9" w14:textId="3FC3BE1B" w:rsidR="009B058F" w:rsidRPr="00E07B85" w:rsidRDefault="007004BD" w:rsidP="004413E9">
      <w:pPr>
        <w:pStyle w:val="ListParagraph"/>
        <w:numPr>
          <w:ilvl w:val="0"/>
          <w:numId w:val="6"/>
        </w:numPr>
        <w:spacing w:before="40" w:after="40"/>
        <w:ind w:left="1134" w:hanging="425"/>
        <w:contextualSpacing w:val="0"/>
        <w:rPr>
          <w:rFonts w:ascii="Arial" w:hAnsi="Arial" w:cs="Arial"/>
          <w:sz w:val="24"/>
          <w:szCs w:val="24"/>
          <w:lang w:val="en-GB"/>
        </w:rPr>
      </w:pPr>
      <w:r w:rsidRPr="009E4BA3">
        <w:rPr>
          <w:rFonts w:ascii="Arial" w:hAnsi="Arial" w:cs="Arial"/>
          <w:b/>
          <w:bCs/>
          <w:sz w:val="24"/>
          <w:szCs w:val="24"/>
          <w:lang w:val="en-GB"/>
        </w:rPr>
        <w:t xml:space="preserve">School </w:t>
      </w:r>
      <w:r w:rsidR="009E4BA3">
        <w:rPr>
          <w:rFonts w:ascii="Arial" w:hAnsi="Arial" w:cs="Arial"/>
          <w:b/>
          <w:bCs/>
          <w:sz w:val="24"/>
          <w:szCs w:val="24"/>
          <w:lang w:val="en-GB"/>
        </w:rPr>
        <w:t>R</w:t>
      </w:r>
      <w:r w:rsidRPr="009E4BA3">
        <w:rPr>
          <w:rFonts w:ascii="Arial" w:hAnsi="Arial" w:cs="Arial"/>
          <w:b/>
          <w:bCs/>
          <w:sz w:val="24"/>
          <w:szCs w:val="24"/>
          <w:lang w:val="en-GB"/>
        </w:rPr>
        <w:t>eorganisation</w:t>
      </w:r>
      <w:r w:rsidR="009E4BA3">
        <w:rPr>
          <w:rFonts w:ascii="Arial" w:hAnsi="Arial" w:cs="Arial"/>
          <w:b/>
          <w:bCs/>
          <w:sz w:val="24"/>
          <w:szCs w:val="24"/>
          <w:lang w:val="en-GB"/>
        </w:rPr>
        <w:t>:</w:t>
      </w:r>
      <w:r w:rsidRPr="00E07B85">
        <w:rPr>
          <w:rFonts w:ascii="Arial" w:hAnsi="Arial" w:cs="Arial"/>
          <w:sz w:val="24"/>
          <w:szCs w:val="24"/>
          <w:lang w:val="en-GB"/>
        </w:rPr>
        <w:t xml:space="preserve"> The council has set aside a provision for costs relating to school reorganisation but some costs are not fully known at this stage</w:t>
      </w:r>
      <w:r w:rsidR="003232FA" w:rsidRPr="00E07B85">
        <w:rPr>
          <w:rFonts w:ascii="Arial" w:hAnsi="Arial" w:cs="Arial"/>
          <w:sz w:val="24"/>
          <w:szCs w:val="24"/>
          <w:lang w:val="en-GB"/>
        </w:rPr>
        <w:t xml:space="preserve">. Provision of £0.500m for school closures and £0.315m for Homewood College have been provided but </w:t>
      </w:r>
      <w:r w:rsidR="00CD7591" w:rsidRPr="00E07B85">
        <w:rPr>
          <w:rFonts w:ascii="Arial" w:hAnsi="Arial" w:cs="Arial"/>
          <w:sz w:val="24"/>
          <w:szCs w:val="24"/>
          <w:lang w:val="en-GB"/>
        </w:rPr>
        <w:t>a</w:t>
      </w:r>
      <w:r w:rsidR="003232FA" w:rsidRPr="00E07B85">
        <w:rPr>
          <w:rFonts w:ascii="Arial" w:hAnsi="Arial" w:cs="Arial"/>
          <w:sz w:val="24"/>
          <w:szCs w:val="24"/>
          <w:lang w:val="en-GB"/>
        </w:rPr>
        <w:t xml:space="preserve"> minimum additional </w:t>
      </w:r>
      <w:r w:rsidR="00CD7591" w:rsidRPr="00E07B85">
        <w:rPr>
          <w:rFonts w:ascii="Arial" w:hAnsi="Arial" w:cs="Arial"/>
          <w:sz w:val="24"/>
          <w:szCs w:val="24"/>
          <w:lang w:val="en-GB"/>
        </w:rPr>
        <w:t>allocation of £0.256m</w:t>
      </w:r>
      <w:r w:rsidR="003232FA" w:rsidRPr="00E07B85">
        <w:rPr>
          <w:rFonts w:ascii="Arial" w:hAnsi="Arial" w:cs="Arial"/>
          <w:sz w:val="24"/>
          <w:szCs w:val="24"/>
          <w:lang w:val="en-GB"/>
        </w:rPr>
        <w:t xml:space="preserve"> will be required to meet</w:t>
      </w:r>
      <w:r w:rsidR="009E4BA3">
        <w:rPr>
          <w:rFonts w:ascii="Arial" w:hAnsi="Arial" w:cs="Arial"/>
          <w:sz w:val="24"/>
          <w:szCs w:val="24"/>
          <w:lang w:val="en-GB"/>
        </w:rPr>
        <w:t xml:space="preserve"> growing</w:t>
      </w:r>
      <w:r w:rsidR="003232FA" w:rsidRPr="00E07B85">
        <w:rPr>
          <w:rFonts w:ascii="Arial" w:hAnsi="Arial" w:cs="Arial"/>
          <w:sz w:val="24"/>
          <w:szCs w:val="24"/>
          <w:lang w:val="en-GB"/>
        </w:rPr>
        <w:t xml:space="preserve"> school deficits and severance costs</w:t>
      </w:r>
      <w:r w:rsidR="009E4BA3">
        <w:rPr>
          <w:rFonts w:ascii="Arial" w:hAnsi="Arial" w:cs="Arial"/>
          <w:sz w:val="24"/>
          <w:szCs w:val="24"/>
          <w:lang w:val="en-GB"/>
        </w:rPr>
        <w:t xml:space="preserve"> of the relevant schools</w:t>
      </w:r>
      <w:r w:rsidR="00CD7591" w:rsidRPr="00E07B85">
        <w:rPr>
          <w:rFonts w:ascii="Arial" w:hAnsi="Arial" w:cs="Arial"/>
          <w:sz w:val="24"/>
          <w:szCs w:val="24"/>
          <w:lang w:val="en-GB"/>
        </w:rPr>
        <w:t>. As the costs become clearer</w:t>
      </w:r>
      <w:r w:rsidR="009E4BA3">
        <w:rPr>
          <w:rFonts w:ascii="Arial" w:hAnsi="Arial" w:cs="Arial"/>
          <w:sz w:val="24"/>
          <w:szCs w:val="24"/>
          <w:lang w:val="en-GB"/>
        </w:rPr>
        <w:t>,</w:t>
      </w:r>
      <w:r w:rsidR="00CD7591" w:rsidRPr="00E07B85">
        <w:rPr>
          <w:rFonts w:ascii="Arial" w:hAnsi="Arial" w:cs="Arial"/>
          <w:sz w:val="24"/>
          <w:szCs w:val="24"/>
          <w:lang w:val="en-GB"/>
        </w:rPr>
        <w:t xml:space="preserve"> the level of additional funding required will be reviewed at 2023/24 outturn and reflected in TBM reports in 2024/25.</w:t>
      </w:r>
    </w:p>
    <w:p w14:paraId="4F79F65E" w14:textId="38AABBF6" w:rsidR="004413E9" w:rsidRPr="004413E9" w:rsidRDefault="007004BD" w:rsidP="004413E9">
      <w:pPr>
        <w:pStyle w:val="ListParagraph"/>
        <w:numPr>
          <w:ilvl w:val="0"/>
          <w:numId w:val="6"/>
        </w:numPr>
        <w:spacing w:before="40" w:after="40"/>
        <w:ind w:left="1134" w:hanging="425"/>
        <w:contextualSpacing w:val="0"/>
        <w:rPr>
          <w:rFonts w:ascii="Arial" w:hAnsi="Arial" w:cs="Arial"/>
          <w:sz w:val="24"/>
          <w:szCs w:val="24"/>
          <w:lang w:val="en-GB"/>
        </w:rPr>
      </w:pPr>
      <w:r w:rsidRPr="00C6640E">
        <w:rPr>
          <w:rFonts w:ascii="Arial" w:hAnsi="Arial" w:cs="Arial"/>
          <w:b/>
          <w:bCs/>
          <w:sz w:val="24"/>
          <w:szCs w:val="24"/>
          <w:lang w:val="en-GB"/>
        </w:rPr>
        <w:t>Business Development:</w:t>
      </w:r>
      <w:r>
        <w:rPr>
          <w:rFonts w:ascii="Arial" w:hAnsi="Arial" w:cs="Arial"/>
          <w:sz w:val="24"/>
          <w:szCs w:val="24"/>
          <w:lang w:val="en-GB"/>
        </w:rPr>
        <w:t xml:space="preserve"> Subject to available resources</w:t>
      </w:r>
      <w:r w:rsidR="00C6640E">
        <w:rPr>
          <w:rFonts w:ascii="Arial" w:hAnsi="Arial" w:cs="Arial"/>
          <w:sz w:val="24"/>
          <w:szCs w:val="24"/>
          <w:lang w:val="en-GB"/>
        </w:rPr>
        <w:t xml:space="preserve"> it is proposed to set aside £0.040m funding to develop a Business Prospectus for the city to attract investment into the city and potentially increase</w:t>
      </w:r>
      <w:r w:rsidR="00932ECA">
        <w:rPr>
          <w:rFonts w:ascii="Arial" w:hAnsi="Arial" w:cs="Arial"/>
          <w:sz w:val="24"/>
          <w:szCs w:val="24"/>
          <w:lang w:val="en-GB"/>
        </w:rPr>
        <w:t xml:space="preserve"> both employment and</w:t>
      </w:r>
      <w:r w:rsidR="00C6640E">
        <w:rPr>
          <w:rFonts w:ascii="Arial" w:hAnsi="Arial" w:cs="Arial"/>
          <w:sz w:val="24"/>
          <w:szCs w:val="24"/>
          <w:lang w:val="en-GB"/>
        </w:rPr>
        <w:t xml:space="preserve"> Business Rates. Similarly, one-off funding of £0.030m is proposed to research the feasibility of an additional Business Improvement District (BID) for the city. Both are subject to availability of funding after meeting unavoidable liabilities as noted above.</w:t>
      </w:r>
    </w:p>
    <w:p w14:paraId="609815B6" w14:textId="7324B443" w:rsidR="003232FA" w:rsidRPr="00E07B85" w:rsidRDefault="007004BD" w:rsidP="004413E9">
      <w:pPr>
        <w:pStyle w:val="ListParagraph"/>
        <w:numPr>
          <w:ilvl w:val="0"/>
          <w:numId w:val="6"/>
        </w:numPr>
        <w:spacing w:before="40" w:after="40"/>
        <w:ind w:left="1134" w:hanging="425"/>
        <w:contextualSpacing w:val="0"/>
        <w:rPr>
          <w:rFonts w:ascii="Arial" w:hAnsi="Arial" w:cs="Arial"/>
          <w:sz w:val="24"/>
          <w:szCs w:val="24"/>
          <w:lang w:val="en-GB"/>
        </w:rPr>
      </w:pPr>
      <w:r w:rsidRPr="009E4BA3">
        <w:rPr>
          <w:rFonts w:ascii="Arial" w:hAnsi="Arial" w:cs="Arial"/>
          <w:b/>
          <w:bCs/>
          <w:sz w:val="24"/>
          <w:szCs w:val="24"/>
          <w:lang w:val="en-GB"/>
        </w:rPr>
        <w:t xml:space="preserve">Contingency: </w:t>
      </w:r>
      <w:r w:rsidRPr="00E07B85">
        <w:rPr>
          <w:rFonts w:ascii="Arial" w:hAnsi="Arial" w:cs="Arial"/>
          <w:sz w:val="24"/>
          <w:szCs w:val="24"/>
          <w:lang w:val="en-GB"/>
        </w:rPr>
        <w:t xml:space="preserve">Improvement in the TBM forecast between month 9 and outturn is </w:t>
      </w:r>
      <w:r>
        <w:rPr>
          <w:rFonts w:ascii="Arial" w:hAnsi="Arial" w:cs="Arial"/>
          <w:sz w:val="24"/>
          <w:szCs w:val="24"/>
          <w:lang w:val="en-GB"/>
        </w:rPr>
        <w:t>anticipated</w:t>
      </w:r>
      <w:r w:rsidRPr="00E07B85">
        <w:rPr>
          <w:rFonts w:ascii="Arial" w:hAnsi="Arial" w:cs="Arial"/>
          <w:sz w:val="24"/>
          <w:szCs w:val="24"/>
          <w:lang w:val="en-GB"/>
        </w:rPr>
        <w:t xml:space="preserve"> given the continuation of recruitment and spending controls and further expected improvements in Waste PFI energy incomes. A prudent assumption of</w:t>
      </w:r>
      <w:r w:rsidR="00E83105">
        <w:rPr>
          <w:rFonts w:ascii="Arial" w:hAnsi="Arial" w:cs="Arial"/>
          <w:sz w:val="24"/>
          <w:szCs w:val="24"/>
          <w:lang w:val="en-GB"/>
        </w:rPr>
        <w:t xml:space="preserve"> a</w:t>
      </w:r>
      <w:r w:rsidRPr="00E07B85">
        <w:rPr>
          <w:rFonts w:ascii="Arial" w:hAnsi="Arial" w:cs="Arial"/>
          <w:sz w:val="24"/>
          <w:szCs w:val="24"/>
          <w:lang w:val="en-GB"/>
        </w:rPr>
        <w:t xml:space="preserve"> £0.</w:t>
      </w:r>
      <w:r w:rsidR="00932ECA">
        <w:rPr>
          <w:rFonts w:ascii="Arial" w:hAnsi="Arial" w:cs="Arial"/>
          <w:sz w:val="24"/>
          <w:szCs w:val="24"/>
          <w:lang w:val="en-GB"/>
        </w:rPr>
        <w:t>500</w:t>
      </w:r>
      <w:r w:rsidRPr="00E07B85">
        <w:rPr>
          <w:rFonts w:ascii="Arial" w:hAnsi="Arial" w:cs="Arial"/>
          <w:sz w:val="24"/>
          <w:szCs w:val="24"/>
          <w:lang w:val="en-GB"/>
        </w:rPr>
        <w:t xml:space="preserve">m improvement </w:t>
      </w:r>
      <w:r w:rsidR="00932ECA">
        <w:rPr>
          <w:rFonts w:ascii="Arial" w:hAnsi="Arial" w:cs="Arial"/>
          <w:sz w:val="24"/>
          <w:szCs w:val="24"/>
          <w:lang w:val="en-GB"/>
        </w:rPr>
        <w:t xml:space="preserve">by year-end </w:t>
      </w:r>
      <w:r w:rsidRPr="00E07B85">
        <w:rPr>
          <w:rFonts w:ascii="Arial" w:hAnsi="Arial" w:cs="Arial"/>
          <w:sz w:val="24"/>
          <w:szCs w:val="24"/>
          <w:lang w:val="en-GB"/>
        </w:rPr>
        <w:t xml:space="preserve">is included </w:t>
      </w:r>
      <w:r w:rsidR="00932ECA">
        <w:rPr>
          <w:rFonts w:ascii="Arial" w:hAnsi="Arial" w:cs="Arial"/>
          <w:sz w:val="24"/>
          <w:szCs w:val="24"/>
          <w:lang w:val="en-GB"/>
        </w:rPr>
        <w:t xml:space="preserve">in the resource assumptions </w:t>
      </w:r>
      <w:r w:rsidRPr="00E07B85">
        <w:rPr>
          <w:rFonts w:ascii="Arial" w:hAnsi="Arial" w:cs="Arial"/>
          <w:sz w:val="24"/>
          <w:szCs w:val="24"/>
          <w:lang w:val="en-GB"/>
        </w:rPr>
        <w:t>above</w:t>
      </w:r>
      <w:r w:rsidR="00932ECA">
        <w:rPr>
          <w:rFonts w:ascii="Arial" w:hAnsi="Arial" w:cs="Arial"/>
          <w:sz w:val="24"/>
          <w:szCs w:val="24"/>
          <w:lang w:val="en-GB"/>
        </w:rPr>
        <w:t xml:space="preserve">. The first call on this resource will be the two </w:t>
      </w:r>
      <w:r w:rsidRPr="00E07B85">
        <w:rPr>
          <w:rFonts w:ascii="Arial" w:hAnsi="Arial" w:cs="Arial"/>
          <w:sz w:val="24"/>
          <w:szCs w:val="24"/>
          <w:lang w:val="en-GB"/>
        </w:rPr>
        <w:t>pressures above</w:t>
      </w:r>
      <w:r w:rsidR="00932ECA">
        <w:rPr>
          <w:rFonts w:ascii="Arial" w:hAnsi="Arial" w:cs="Arial"/>
          <w:sz w:val="24"/>
          <w:szCs w:val="24"/>
          <w:lang w:val="en-GB"/>
        </w:rPr>
        <w:t xml:space="preserve">, diseased trees and school reorganisation. Subject to availability up to £0.070m will be utilised to support the Business Development initiatives </w:t>
      </w:r>
      <w:r w:rsidR="00E83105">
        <w:rPr>
          <w:rFonts w:ascii="Arial" w:hAnsi="Arial" w:cs="Arial"/>
          <w:sz w:val="24"/>
          <w:szCs w:val="24"/>
          <w:lang w:val="en-GB"/>
        </w:rPr>
        <w:t xml:space="preserve">as </w:t>
      </w:r>
      <w:r w:rsidR="00932ECA">
        <w:rPr>
          <w:rFonts w:ascii="Arial" w:hAnsi="Arial" w:cs="Arial"/>
          <w:sz w:val="24"/>
          <w:szCs w:val="24"/>
          <w:lang w:val="en-GB"/>
        </w:rPr>
        <w:t>described above.</w:t>
      </w:r>
    </w:p>
    <w:p w14:paraId="0056F931" w14:textId="10096EF1" w:rsidR="009B058F" w:rsidRPr="00D33C18" w:rsidRDefault="007004BD" w:rsidP="0057041E">
      <w:pPr>
        <w:pStyle w:val="Heading1"/>
        <w:rPr>
          <w:lang w:val="en-GB"/>
        </w:rPr>
      </w:pPr>
      <w:r w:rsidRPr="00D33C18">
        <w:rPr>
          <w:lang w:val="en-GB"/>
        </w:rPr>
        <w:t>SAVINGS PROPOSALS 202</w:t>
      </w:r>
      <w:r w:rsidR="00D33C18">
        <w:rPr>
          <w:lang w:val="en-GB"/>
        </w:rPr>
        <w:t>4</w:t>
      </w:r>
      <w:r w:rsidRPr="00D33C18">
        <w:rPr>
          <w:lang w:val="en-GB"/>
        </w:rPr>
        <w:t>/2</w:t>
      </w:r>
      <w:r w:rsidR="00D33C18">
        <w:rPr>
          <w:lang w:val="en-GB"/>
        </w:rPr>
        <w:t>5</w:t>
      </w:r>
    </w:p>
    <w:p w14:paraId="23A27BEF" w14:textId="0D2BBBD2" w:rsidR="009B058F" w:rsidRPr="00DA6D29" w:rsidRDefault="007004BD" w:rsidP="00E945CB">
      <w:pPr>
        <w:pStyle w:val="Heading2"/>
      </w:pPr>
      <w:r>
        <w:t xml:space="preserve">Council </w:t>
      </w:r>
      <w:r w:rsidRPr="00DA6D29">
        <w:t>Tax</w:t>
      </w:r>
      <w:r>
        <w:t>, Business Rate Retention</w:t>
      </w:r>
      <w:r w:rsidRPr="00DA6D29">
        <w:t xml:space="preserve"> and Adult Social Care precept increases, together with additional resources provided by the Autumn Statement, are not sufficient to balance the budget due to the need to provide cover for substantial </w:t>
      </w:r>
      <w:r>
        <w:t xml:space="preserve">excess </w:t>
      </w:r>
      <w:r w:rsidRPr="00DA6D29">
        <w:t xml:space="preserve">pay award </w:t>
      </w:r>
      <w:r w:rsidR="00E83105">
        <w:t>costs and</w:t>
      </w:r>
      <w:r w:rsidRPr="00DA6D29">
        <w:t xml:space="preserve"> provide for</w:t>
      </w:r>
      <w:r>
        <w:t xml:space="preserve"> ongoing </w:t>
      </w:r>
      <w:r w:rsidRPr="00DA6D29">
        <w:t xml:space="preserve">inflationary increases and growing demands across critical statutory services such as </w:t>
      </w:r>
      <w:r w:rsidR="00500A50">
        <w:t xml:space="preserve">Adult and Children’s </w:t>
      </w:r>
      <w:r w:rsidRPr="00DA6D29">
        <w:t>social care</w:t>
      </w:r>
      <w:r>
        <w:t>,</w:t>
      </w:r>
      <w:r w:rsidRPr="00DA6D29">
        <w:t xml:space="preserve"> homelessness</w:t>
      </w:r>
      <w:r>
        <w:t xml:space="preserve"> and home-to-school transport</w:t>
      </w:r>
      <w:r w:rsidRPr="00DA6D29">
        <w:t>. To balance the budget therefore requires a substantial savings programme as has been the case for the previous 1</w:t>
      </w:r>
      <w:r w:rsidR="00E83105">
        <w:t>3</w:t>
      </w:r>
      <w:r w:rsidRPr="00DA6D29">
        <w:t xml:space="preserve"> years since 2010.</w:t>
      </w:r>
    </w:p>
    <w:p w14:paraId="2B793CF8" w14:textId="1E9AC75D" w:rsidR="009B058F" w:rsidRPr="00DA6D29" w:rsidRDefault="007004BD" w:rsidP="00E945CB">
      <w:pPr>
        <w:pStyle w:val="Heading2"/>
      </w:pPr>
      <w:r>
        <w:t>However, t</w:t>
      </w:r>
      <w:r w:rsidRPr="00DA6D29">
        <w:t xml:space="preserve">he </w:t>
      </w:r>
      <w:r>
        <w:t xml:space="preserve">level of budget shortfall next year is the highest the authority has </w:t>
      </w:r>
      <w:r w:rsidR="00013061">
        <w:t xml:space="preserve">ever </w:t>
      </w:r>
      <w:r>
        <w:t xml:space="preserve">seen at </w:t>
      </w:r>
      <w:r w:rsidR="00D33C18" w:rsidRPr="00EB614A">
        <w:t>over</w:t>
      </w:r>
      <w:r w:rsidRPr="00EB614A">
        <w:t xml:space="preserve"> £3</w:t>
      </w:r>
      <w:r w:rsidR="00D33C18" w:rsidRPr="00EB614A">
        <w:t>0</w:t>
      </w:r>
      <w:r w:rsidRPr="00EB614A">
        <w:t xml:space="preserve"> million</w:t>
      </w:r>
      <w:r w:rsidR="00A35BFB">
        <w:t>.</w:t>
      </w:r>
      <w:r>
        <w:t xml:space="preserve"> </w:t>
      </w:r>
      <w:r w:rsidR="00013061">
        <w:t xml:space="preserve">Whilst some of this can be mitigated by changes to the tax base, including introducing the long-term empty premium after one year instead of two, significantly reducing capital financing charges through the review of the Capital Investment Programme, and reviewing </w:t>
      </w:r>
      <w:r w:rsidR="00500A50">
        <w:t xml:space="preserve">planned </w:t>
      </w:r>
      <w:r w:rsidR="00013061">
        <w:t xml:space="preserve">contributions to earmarked reserves, a very substantial package of cuts and savings is </w:t>
      </w:r>
      <w:r w:rsidR="00500A50">
        <w:t xml:space="preserve">inevitably </w:t>
      </w:r>
      <w:r w:rsidR="00013061">
        <w:t xml:space="preserve">required to achieve a legally balanced budget. The savings package </w:t>
      </w:r>
      <w:r w:rsidRPr="00DA6D29">
        <w:t xml:space="preserve">proposed </w:t>
      </w:r>
      <w:r w:rsidR="00013061">
        <w:t>totals so</w:t>
      </w:r>
      <w:r w:rsidR="00013061" w:rsidRPr="00F87A9A">
        <w:t xml:space="preserve">me </w:t>
      </w:r>
      <w:r w:rsidRPr="00F87A9A">
        <w:t>£</w:t>
      </w:r>
      <w:r w:rsidR="00500A50" w:rsidRPr="00F87A9A">
        <w:t>23.</w:t>
      </w:r>
      <w:r w:rsidR="00A835AC">
        <w:t>730</w:t>
      </w:r>
      <w:r w:rsidRPr="00F87A9A">
        <w:t>m</w:t>
      </w:r>
      <w:r w:rsidR="00500A50" w:rsidRPr="00F87A9A">
        <w:t xml:space="preserve"> for 2024/25, almost £10m greater than in the current</w:t>
      </w:r>
      <w:r w:rsidR="00500A50">
        <w:t xml:space="preserve"> year, and therefore clearly presents a higher level of risk</w:t>
      </w:r>
      <w:r w:rsidRPr="00DA6D29">
        <w:t>. Savings proposals are provided at Appendix 1</w:t>
      </w:r>
      <w:r w:rsidR="00500A50">
        <w:t xml:space="preserve"> and are accompanied by Equality Impact Assessments (EIAs) at Appendix 6 where appropriate</w:t>
      </w:r>
      <w:r w:rsidRPr="00DA6D29">
        <w:t xml:space="preserve">. </w:t>
      </w:r>
    </w:p>
    <w:p w14:paraId="7A53D917" w14:textId="7448ACB3" w:rsidR="009B058F" w:rsidRPr="0040445E" w:rsidRDefault="007004BD" w:rsidP="0057041E">
      <w:pPr>
        <w:pStyle w:val="Heading1"/>
        <w:rPr>
          <w:lang w:val="en-GB"/>
        </w:rPr>
      </w:pPr>
      <w:bookmarkStart w:id="7" w:name="_Ref63059709"/>
      <w:bookmarkStart w:id="8" w:name="_Ref125917346"/>
      <w:bookmarkStart w:id="9" w:name="_Ref126098759"/>
      <w:r w:rsidRPr="0040445E">
        <w:rPr>
          <w:lang w:val="en-GB"/>
        </w:rPr>
        <w:t>CAPITAL INVESTMENT PROGRAMME AND CAPITAL STRATEGY 202</w:t>
      </w:r>
      <w:r w:rsidR="00CD7591" w:rsidRPr="0040445E">
        <w:rPr>
          <w:lang w:val="en-GB"/>
        </w:rPr>
        <w:t>4</w:t>
      </w:r>
      <w:r w:rsidRPr="0040445E">
        <w:rPr>
          <w:lang w:val="en-GB"/>
        </w:rPr>
        <w:t>/2</w:t>
      </w:r>
      <w:bookmarkEnd w:id="7"/>
      <w:bookmarkEnd w:id="8"/>
      <w:bookmarkEnd w:id="9"/>
      <w:r w:rsidR="00CD7591" w:rsidRPr="0040445E">
        <w:rPr>
          <w:lang w:val="en-GB"/>
        </w:rPr>
        <w:t>5</w:t>
      </w:r>
    </w:p>
    <w:p w14:paraId="7DBC3D10" w14:textId="6D2437AC" w:rsidR="009B058F" w:rsidRPr="00E945CB" w:rsidRDefault="007004BD" w:rsidP="00E945CB">
      <w:pPr>
        <w:keepNext/>
        <w:spacing w:before="120" w:after="120"/>
        <w:ind w:left="709"/>
        <w:rPr>
          <w:rFonts w:ascii="Arial" w:hAnsi="Arial" w:cs="Arial"/>
          <w:b/>
          <w:bCs/>
          <w:i/>
          <w:iCs/>
          <w:sz w:val="24"/>
          <w:szCs w:val="24"/>
        </w:rPr>
      </w:pPr>
      <w:bookmarkStart w:id="10" w:name="_Ref499043165"/>
      <w:bookmarkStart w:id="11" w:name="_Ref530679593"/>
      <w:r w:rsidRPr="00E945CB">
        <w:rPr>
          <w:rFonts w:ascii="Arial" w:hAnsi="Arial" w:cs="Arial"/>
          <w:b/>
          <w:bCs/>
          <w:i/>
          <w:iCs/>
          <w:sz w:val="24"/>
          <w:szCs w:val="24"/>
        </w:rPr>
        <w:t>Capital Strategy 202</w:t>
      </w:r>
      <w:r w:rsidR="0040445E" w:rsidRPr="00E945CB">
        <w:rPr>
          <w:rFonts w:ascii="Arial" w:hAnsi="Arial" w:cs="Arial"/>
          <w:b/>
          <w:bCs/>
          <w:i/>
          <w:iCs/>
          <w:sz w:val="24"/>
          <w:szCs w:val="24"/>
        </w:rPr>
        <w:t>4</w:t>
      </w:r>
      <w:r w:rsidRPr="00E945CB">
        <w:rPr>
          <w:rFonts w:ascii="Arial" w:hAnsi="Arial" w:cs="Arial"/>
          <w:b/>
          <w:bCs/>
          <w:i/>
          <w:iCs/>
          <w:sz w:val="24"/>
          <w:szCs w:val="24"/>
        </w:rPr>
        <w:t>/2</w:t>
      </w:r>
      <w:r w:rsidR="0040445E" w:rsidRPr="00E945CB">
        <w:rPr>
          <w:rFonts w:ascii="Arial" w:hAnsi="Arial" w:cs="Arial"/>
          <w:b/>
          <w:bCs/>
          <w:i/>
          <w:iCs/>
          <w:sz w:val="24"/>
          <w:szCs w:val="24"/>
        </w:rPr>
        <w:t>5</w:t>
      </w:r>
    </w:p>
    <w:p w14:paraId="397F9CCD" w14:textId="72C0F42F" w:rsidR="009B058F" w:rsidRPr="0040445E" w:rsidRDefault="007004BD" w:rsidP="00E945CB">
      <w:pPr>
        <w:pStyle w:val="Heading2"/>
      </w:pPr>
      <w:r w:rsidRPr="0040445E">
        <w:t xml:space="preserve">The Prudential Framework requires local authorities to produce a Capital Strategy which is to be presented and approved by </w:t>
      </w:r>
      <w:r w:rsidR="00500A50">
        <w:t>full Council</w:t>
      </w:r>
      <w:r w:rsidRPr="0040445E">
        <w:t xml:space="preserve"> each year. The purpose of the Capital Strategy is to provide a single place for transparency and accountability of local authority non-financial investments and its </w:t>
      </w:r>
      <w:r w:rsidR="00500A50">
        <w:t>C</w:t>
      </w:r>
      <w:r w:rsidRPr="0040445E">
        <w:t xml:space="preserve">apital </w:t>
      </w:r>
      <w:r w:rsidR="00500A50">
        <w:t>I</w:t>
      </w:r>
      <w:r w:rsidRPr="0040445E">
        <w:t xml:space="preserve">nvestment </w:t>
      </w:r>
      <w:r w:rsidR="00500A50">
        <w:t>P</w:t>
      </w:r>
      <w:r w:rsidRPr="0040445E">
        <w:t>rogramme, including any commercial investments in property or loans to third parties.</w:t>
      </w:r>
    </w:p>
    <w:p w14:paraId="6FAF4667" w14:textId="7546EE95" w:rsidR="009B058F" w:rsidRPr="0040445E" w:rsidRDefault="007004BD" w:rsidP="00E945CB">
      <w:pPr>
        <w:pStyle w:val="Heading2"/>
      </w:pPr>
      <w:r w:rsidRPr="0040445E">
        <w:t xml:space="preserve">The aim of the Capital Strategy is to ensure members are fully conversant with the risks of </w:t>
      </w:r>
      <w:r w:rsidR="00500A50">
        <w:t>capital</w:t>
      </w:r>
      <w:r w:rsidRPr="0040445E">
        <w:t xml:space="preserve"> investments and are aware of how the risks are proportional to the council’s core service activity. The document will include:</w:t>
      </w:r>
    </w:p>
    <w:p w14:paraId="322CC6C5" w14:textId="77777777" w:rsidR="009B058F" w:rsidRPr="0040445E" w:rsidRDefault="007004BD" w:rsidP="00A35550">
      <w:pPr>
        <w:pStyle w:val="ListParagraph"/>
        <w:numPr>
          <w:ilvl w:val="0"/>
          <w:numId w:val="4"/>
        </w:numPr>
        <w:spacing w:after="60"/>
        <w:ind w:left="1134" w:hanging="425"/>
        <w:contextualSpacing w:val="0"/>
        <w:rPr>
          <w:rFonts w:ascii="Arial" w:hAnsi="Arial" w:cs="Arial"/>
          <w:sz w:val="24"/>
          <w:szCs w:val="24"/>
          <w:lang w:val="en-GB"/>
        </w:rPr>
      </w:pPr>
      <w:r w:rsidRPr="0040445E">
        <w:rPr>
          <w:rFonts w:ascii="Arial" w:hAnsi="Arial" w:cs="Arial"/>
          <w:sz w:val="24"/>
          <w:szCs w:val="24"/>
          <w:lang w:val="en-GB"/>
        </w:rPr>
        <w:t>The proposed Capital Investment Programme</w:t>
      </w:r>
    </w:p>
    <w:p w14:paraId="7AD23606" w14:textId="77777777" w:rsidR="009B058F" w:rsidRPr="0040445E" w:rsidRDefault="007004BD" w:rsidP="00A35550">
      <w:pPr>
        <w:pStyle w:val="ListParagraph"/>
        <w:numPr>
          <w:ilvl w:val="0"/>
          <w:numId w:val="4"/>
        </w:numPr>
        <w:spacing w:after="60"/>
        <w:ind w:left="1134" w:hanging="425"/>
        <w:contextualSpacing w:val="0"/>
        <w:rPr>
          <w:rFonts w:ascii="Arial" w:hAnsi="Arial" w:cs="Arial"/>
          <w:sz w:val="24"/>
          <w:szCs w:val="24"/>
          <w:lang w:val="en-GB"/>
        </w:rPr>
      </w:pPr>
      <w:r w:rsidRPr="0040445E">
        <w:rPr>
          <w:rFonts w:ascii="Arial" w:hAnsi="Arial" w:cs="Arial"/>
          <w:sz w:val="24"/>
          <w:szCs w:val="24"/>
          <w:lang w:val="en-GB"/>
        </w:rPr>
        <w:t>The Governance &amp; Risk Framework</w:t>
      </w:r>
    </w:p>
    <w:p w14:paraId="6D6F88CD" w14:textId="381EC406" w:rsidR="009B058F" w:rsidRPr="0040445E" w:rsidRDefault="007004BD" w:rsidP="00A35550">
      <w:pPr>
        <w:pStyle w:val="ListParagraph"/>
        <w:numPr>
          <w:ilvl w:val="0"/>
          <w:numId w:val="4"/>
        </w:numPr>
        <w:spacing w:after="60"/>
        <w:ind w:left="1134" w:hanging="425"/>
        <w:contextualSpacing w:val="0"/>
        <w:rPr>
          <w:rFonts w:ascii="Arial" w:hAnsi="Arial" w:cs="Arial"/>
          <w:sz w:val="24"/>
          <w:szCs w:val="24"/>
          <w:lang w:val="en-GB"/>
        </w:rPr>
      </w:pPr>
      <w:r w:rsidRPr="0040445E">
        <w:rPr>
          <w:rFonts w:ascii="Arial" w:hAnsi="Arial" w:cs="Arial"/>
          <w:sz w:val="24"/>
          <w:szCs w:val="24"/>
          <w:lang w:val="en-GB"/>
        </w:rPr>
        <w:t>Potential and pending non-financial</w:t>
      </w:r>
      <w:r>
        <w:rPr>
          <w:rStyle w:val="FootnoteReference"/>
          <w:rFonts w:ascii="Arial" w:hAnsi="Arial" w:cs="Arial"/>
          <w:sz w:val="24"/>
          <w:szCs w:val="24"/>
          <w:lang w:val="en-GB"/>
        </w:rPr>
        <w:footnoteReference w:id="1"/>
      </w:r>
      <w:r w:rsidRPr="0040445E">
        <w:rPr>
          <w:rFonts w:ascii="Arial" w:hAnsi="Arial" w:cs="Arial"/>
          <w:sz w:val="24"/>
          <w:szCs w:val="24"/>
          <w:lang w:val="en-GB"/>
        </w:rPr>
        <w:t xml:space="preserve"> investments</w:t>
      </w:r>
    </w:p>
    <w:p w14:paraId="6AE00DCA" w14:textId="2E09432C" w:rsidR="009B058F" w:rsidRPr="0040445E" w:rsidRDefault="007004BD" w:rsidP="00A35550">
      <w:pPr>
        <w:pStyle w:val="ListParagraph"/>
        <w:numPr>
          <w:ilvl w:val="0"/>
          <w:numId w:val="4"/>
        </w:numPr>
        <w:spacing w:after="60"/>
        <w:ind w:left="1134" w:hanging="425"/>
        <w:contextualSpacing w:val="0"/>
        <w:rPr>
          <w:rFonts w:ascii="Arial" w:hAnsi="Arial" w:cs="Arial"/>
          <w:sz w:val="24"/>
          <w:szCs w:val="24"/>
          <w:lang w:val="en-GB"/>
        </w:rPr>
      </w:pPr>
      <w:r w:rsidRPr="0040445E">
        <w:rPr>
          <w:rFonts w:ascii="Arial" w:hAnsi="Arial" w:cs="Arial"/>
          <w:sz w:val="24"/>
          <w:szCs w:val="24"/>
          <w:lang w:val="en-GB"/>
        </w:rPr>
        <w:t xml:space="preserve">An overview of the council’s </w:t>
      </w:r>
      <w:r w:rsidR="00C10B1A">
        <w:rPr>
          <w:rFonts w:ascii="Arial" w:hAnsi="Arial" w:cs="Arial"/>
          <w:sz w:val="24"/>
          <w:szCs w:val="24"/>
          <w:lang w:val="en-GB"/>
        </w:rPr>
        <w:t>r</w:t>
      </w:r>
      <w:r w:rsidRPr="0040445E">
        <w:rPr>
          <w:rFonts w:ascii="Arial" w:hAnsi="Arial" w:cs="Arial"/>
          <w:sz w:val="24"/>
          <w:szCs w:val="24"/>
          <w:lang w:val="en-GB"/>
        </w:rPr>
        <w:t xml:space="preserve">isk </w:t>
      </w:r>
      <w:r w:rsidR="00C10B1A">
        <w:rPr>
          <w:rFonts w:ascii="Arial" w:hAnsi="Arial" w:cs="Arial"/>
          <w:sz w:val="24"/>
          <w:szCs w:val="24"/>
          <w:lang w:val="en-GB"/>
        </w:rPr>
        <w:t>e</w:t>
      </w:r>
      <w:r w:rsidRPr="0040445E">
        <w:rPr>
          <w:rFonts w:ascii="Arial" w:hAnsi="Arial" w:cs="Arial"/>
          <w:sz w:val="24"/>
          <w:szCs w:val="24"/>
          <w:lang w:val="en-GB"/>
        </w:rPr>
        <w:t>xposure</w:t>
      </w:r>
    </w:p>
    <w:p w14:paraId="307DFF30" w14:textId="4D18C43B" w:rsidR="009B058F" w:rsidRPr="009D1114" w:rsidRDefault="007004BD" w:rsidP="00E945CB">
      <w:pPr>
        <w:pStyle w:val="Heading2"/>
      </w:pPr>
      <w:r w:rsidRPr="0040445E">
        <w:t xml:space="preserve">The new Prudential Code for Capital Finance issued in 2021 prohibits </w:t>
      </w:r>
      <w:r w:rsidR="003568CF">
        <w:t>Public Works Loan Board (</w:t>
      </w:r>
      <w:r w:rsidRPr="0040445E">
        <w:t>PWLB</w:t>
      </w:r>
      <w:r w:rsidR="003568CF">
        <w:t>)</w:t>
      </w:r>
      <w:r w:rsidRPr="0040445E">
        <w:t xml:space="preserve"> lending to local authorities that plan to </w:t>
      </w:r>
      <w:r w:rsidR="00C10B1A">
        <w:t xml:space="preserve">borrow to </w:t>
      </w:r>
      <w:r w:rsidRPr="0040445E">
        <w:t xml:space="preserve">buy commercial assets primarily for yield. The PWLB will still be available to all local authorities for refinancing. In order to borrow from the PWLB, local authorities are now required to submit a </w:t>
      </w:r>
      <w:r w:rsidRPr="009D1114">
        <w:t>summary of their planned capital spending and PWLB borrowing for the following three years. The Capital Strategy and Treasury Management Strategy are compliant with the new code and do not include capital investment activity for commercial yield only.</w:t>
      </w:r>
    </w:p>
    <w:bookmarkEnd w:id="10"/>
    <w:bookmarkEnd w:id="11"/>
    <w:p w14:paraId="6CB39134" w14:textId="07F6D298" w:rsidR="009B058F" w:rsidRPr="009D1114" w:rsidRDefault="007004BD" w:rsidP="00E945CB">
      <w:pPr>
        <w:pStyle w:val="Heading2"/>
      </w:pPr>
      <w:r w:rsidRPr="009D1114">
        <w:t>The Capital Strategy forms part of the General Fund budget report to ensure that the link between capital and revenue decisions is maintained and to ensure that budget resourcing decisions are taken in the context of the full range of proposed revenue and capital budgets, resources, investments and savings.</w:t>
      </w:r>
    </w:p>
    <w:p w14:paraId="3FD65DA5" w14:textId="77777777" w:rsidR="009B058F" w:rsidRPr="00E945CB" w:rsidRDefault="007004BD" w:rsidP="00E945CB">
      <w:pPr>
        <w:keepNext/>
        <w:spacing w:before="120" w:after="120"/>
        <w:ind w:left="709"/>
        <w:rPr>
          <w:rFonts w:ascii="Arial" w:hAnsi="Arial" w:cs="Arial"/>
          <w:b/>
          <w:bCs/>
          <w:i/>
          <w:iCs/>
          <w:sz w:val="24"/>
          <w:szCs w:val="24"/>
        </w:rPr>
      </w:pPr>
      <w:r w:rsidRPr="00E945CB">
        <w:rPr>
          <w:rFonts w:ascii="Arial" w:hAnsi="Arial" w:cs="Arial"/>
          <w:b/>
          <w:bCs/>
          <w:i/>
          <w:iCs/>
          <w:sz w:val="24"/>
          <w:szCs w:val="24"/>
        </w:rPr>
        <w:t xml:space="preserve">Capital Investment </w:t>
      </w:r>
      <w:proofErr w:type="spellStart"/>
      <w:r w:rsidRPr="00E945CB">
        <w:rPr>
          <w:rFonts w:ascii="Arial" w:hAnsi="Arial" w:cs="Arial"/>
          <w:b/>
          <w:bCs/>
          <w:i/>
          <w:iCs/>
          <w:sz w:val="24"/>
          <w:szCs w:val="24"/>
        </w:rPr>
        <w:t>Programme</w:t>
      </w:r>
      <w:proofErr w:type="spellEnd"/>
    </w:p>
    <w:p w14:paraId="63D63F80" w14:textId="3F608E43" w:rsidR="009D1114" w:rsidRPr="009D1114" w:rsidRDefault="007004BD" w:rsidP="00E945CB">
      <w:pPr>
        <w:pStyle w:val="Heading2"/>
      </w:pPr>
      <w:bookmarkStart w:id="12" w:name="_Ref530679596"/>
      <w:r w:rsidRPr="009D1114">
        <w:t xml:space="preserve">As previously, a 5-year capital programme has been developed and the associated capital financing implications will be included in the </w:t>
      </w:r>
      <w:r w:rsidR="003568CF">
        <w:t>MTFS</w:t>
      </w:r>
      <w:r w:rsidRPr="009D1114">
        <w:t>.</w:t>
      </w:r>
      <w:bookmarkEnd w:id="12"/>
      <w:r w:rsidRPr="009D1114">
        <w:t xml:space="preserve"> </w:t>
      </w:r>
    </w:p>
    <w:p w14:paraId="6358B3BD" w14:textId="4932CFBE" w:rsidR="00716EC8" w:rsidRPr="00716EC8" w:rsidRDefault="007004BD" w:rsidP="00E945CB">
      <w:pPr>
        <w:pStyle w:val="Heading2"/>
        <w:rPr>
          <w:color w:val="FF0000"/>
        </w:rPr>
      </w:pPr>
      <w:r w:rsidRPr="009D1114">
        <w:t>During 2023/24</w:t>
      </w:r>
      <w:r w:rsidR="00C10B1A">
        <w:t>,</w:t>
      </w:r>
      <w:r>
        <w:t xml:space="preserve"> the council established an </w:t>
      </w:r>
      <w:r w:rsidR="00DB77B8">
        <w:t>o</w:t>
      </w:r>
      <w:r>
        <w:t>fficer Capital Programme Board to provide governance and monitoring of the Capital Investment Programme</w:t>
      </w:r>
      <w:r w:rsidR="00C10B1A">
        <w:t xml:space="preserve"> and undertake a detailed review of the programme within the context of the severe financial challenge facing the authority</w:t>
      </w:r>
      <w:r>
        <w:t>. A large element of the capital programme is fund</w:t>
      </w:r>
      <w:r w:rsidR="00DB77B8">
        <w:t>ed</w:t>
      </w:r>
      <w:r>
        <w:t xml:space="preserve"> through borrowing and the </w:t>
      </w:r>
      <w:r w:rsidR="00C10B1A">
        <w:t>B</w:t>
      </w:r>
      <w:r>
        <w:t>oard</w:t>
      </w:r>
      <w:r w:rsidR="00C10B1A">
        <w:t>’</w:t>
      </w:r>
      <w:r>
        <w:t xml:space="preserve">s initial focus was to review schemes that had not progressed </w:t>
      </w:r>
      <w:r w:rsidR="00DB77B8">
        <w:t xml:space="preserve">to potentially </w:t>
      </w:r>
      <w:r>
        <w:t>decommit them as well as update the expenditure profile of continuing schemes. These actions have helped reduce financing costs and increase investment interest in 2023/24 and</w:t>
      </w:r>
      <w:r w:rsidR="00DB77B8">
        <w:t xml:space="preserve"> for</w:t>
      </w:r>
      <w:r>
        <w:t xml:space="preserve"> future years. The schemes decommitted are included in the TBM </w:t>
      </w:r>
      <w:r w:rsidR="00C10B1A">
        <w:t xml:space="preserve">month </w:t>
      </w:r>
      <w:r>
        <w:t>9 report elsewhere on the agenda</w:t>
      </w:r>
      <w:r w:rsidR="00C10B1A">
        <w:t xml:space="preserve"> which will ensure that the council’s capital budget is amended accordingly</w:t>
      </w:r>
      <w:r>
        <w:t>.</w:t>
      </w:r>
    </w:p>
    <w:p w14:paraId="1DD35032" w14:textId="32DEEF03" w:rsidR="009B058F" w:rsidRPr="00D47BA9" w:rsidRDefault="007004BD" w:rsidP="00E945CB">
      <w:pPr>
        <w:pStyle w:val="Heading2"/>
      </w:pPr>
      <w:r w:rsidRPr="00DB77B8">
        <w:t xml:space="preserve">The capital expenditure estimates incorporate planned rolling investment programmes alongside major infrastructure projects. The creation of a Commercial Asset Investment Fund (CAIF) was approved by this committee in December 2023 and this has been incorporated into the capital programme, funded from net capital receipts generated from the commercial </w:t>
      </w:r>
      <w:r w:rsidRPr="00D47BA9">
        <w:t xml:space="preserve">property portfolio. </w:t>
      </w:r>
    </w:p>
    <w:p w14:paraId="4EB84C0E" w14:textId="3BA939D1" w:rsidR="009B058F" w:rsidRPr="00D47BA9" w:rsidRDefault="007004BD" w:rsidP="00E945CB">
      <w:pPr>
        <w:pStyle w:val="Heading2"/>
      </w:pPr>
      <w:r w:rsidRPr="00D47BA9">
        <w:t xml:space="preserve">The key </w:t>
      </w:r>
      <w:r w:rsidR="00DB77B8" w:rsidRPr="00D47BA9">
        <w:t xml:space="preserve">rolling </w:t>
      </w:r>
      <w:r w:rsidRPr="00D47BA9">
        <w:t xml:space="preserve">programmes, including those re-focused to support </w:t>
      </w:r>
      <w:r w:rsidR="008F2272">
        <w:t>Council</w:t>
      </w:r>
      <w:r w:rsidRPr="00D47BA9">
        <w:t xml:space="preserve"> Plan priorities, are as follows:</w:t>
      </w:r>
    </w:p>
    <w:p w14:paraId="0F4A9047" w14:textId="77777777" w:rsidR="009B058F" w:rsidRPr="004413E9" w:rsidRDefault="007004BD" w:rsidP="004413E9">
      <w:pPr>
        <w:pStyle w:val="ListParagraph"/>
        <w:numPr>
          <w:ilvl w:val="0"/>
          <w:numId w:val="4"/>
        </w:numPr>
        <w:spacing w:after="60"/>
        <w:ind w:left="1134" w:hanging="425"/>
        <w:contextualSpacing w:val="0"/>
        <w:rPr>
          <w:rFonts w:ascii="Arial" w:hAnsi="Arial" w:cs="Arial"/>
          <w:sz w:val="24"/>
          <w:szCs w:val="24"/>
          <w:lang w:val="en-GB"/>
        </w:rPr>
      </w:pPr>
      <w:r w:rsidRPr="004413E9">
        <w:rPr>
          <w:rFonts w:ascii="Arial" w:hAnsi="Arial" w:cs="Arial"/>
          <w:sz w:val="24"/>
          <w:szCs w:val="24"/>
          <w:lang w:val="en-GB"/>
        </w:rPr>
        <w:t>Investment in Housing Stock and acquisition through the Housing Revenue Account;</w:t>
      </w:r>
    </w:p>
    <w:p w14:paraId="3A8DA971" w14:textId="6D5E5D46" w:rsidR="009B058F" w:rsidRPr="004413E9" w:rsidRDefault="007004BD" w:rsidP="004413E9">
      <w:pPr>
        <w:pStyle w:val="ListParagraph"/>
        <w:numPr>
          <w:ilvl w:val="0"/>
          <w:numId w:val="4"/>
        </w:numPr>
        <w:spacing w:after="60"/>
        <w:ind w:left="1134" w:hanging="425"/>
        <w:contextualSpacing w:val="0"/>
        <w:rPr>
          <w:rFonts w:ascii="Arial" w:hAnsi="Arial" w:cs="Arial"/>
          <w:sz w:val="24"/>
          <w:szCs w:val="24"/>
          <w:lang w:val="en-GB"/>
        </w:rPr>
      </w:pPr>
      <w:r w:rsidRPr="004413E9">
        <w:rPr>
          <w:rFonts w:ascii="Arial" w:hAnsi="Arial" w:cs="Arial"/>
          <w:sz w:val="24"/>
          <w:szCs w:val="24"/>
          <w:lang w:val="en-GB"/>
        </w:rPr>
        <w:t>The Education Capital programme, which provides investment from central government for</w:t>
      </w:r>
      <w:r w:rsidR="00DB77B8" w:rsidRPr="004413E9">
        <w:rPr>
          <w:rFonts w:ascii="Arial" w:hAnsi="Arial" w:cs="Arial"/>
          <w:sz w:val="24"/>
          <w:szCs w:val="24"/>
          <w:lang w:val="en-GB"/>
        </w:rPr>
        <w:t xml:space="preserve"> </w:t>
      </w:r>
      <w:r w:rsidRPr="004413E9">
        <w:rPr>
          <w:rFonts w:ascii="Arial" w:hAnsi="Arial" w:cs="Arial"/>
          <w:sz w:val="24"/>
          <w:szCs w:val="24"/>
          <w:lang w:val="en-GB"/>
        </w:rPr>
        <w:t xml:space="preserve"> Education Capital Maintenance, High Needs provision and Devolved Formula Capital for schools;</w:t>
      </w:r>
    </w:p>
    <w:p w14:paraId="67AA2FFC" w14:textId="77777777" w:rsidR="009B058F" w:rsidRPr="004413E9" w:rsidRDefault="007004BD" w:rsidP="004413E9">
      <w:pPr>
        <w:pStyle w:val="ListParagraph"/>
        <w:numPr>
          <w:ilvl w:val="0"/>
          <w:numId w:val="4"/>
        </w:numPr>
        <w:spacing w:after="60"/>
        <w:ind w:left="1134" w:hanging="425"/>
        <w:contextualSpacing w:val="0"/>
        <w:rPr>
          <w:rFonts w:ascii="Arial" w:hAnsi="Arial" w:cs="Arial"/>
          <w:sz w:val="24"/>
          <w:szCs w:val="24"/>
          <w:lang w:val="en-GB"/>
        </w:rPr>
      </w:pPr>
      <w:r w:rsidRPr="004413E9">
        <w:rPr>
          <w:rFonts w:ascii="Arial" w:hAnsi="Arial" w:cs="Arial"/>
          <w:sz w:val="24"/>
          <w:szCs w:val="24"/>
          <w:lang w:val="en-GB"/>
        </w:rPr>
        <w:t>Disabled Facilities Grants to help maintain people in their homes;</w:t>
      </w:r>
    </w:p>
    <w:p w14:paraId="06FFD1E2" w14:textId="5211F4F1" w:rsidR="009B058F" w:rsidRPr="004413E9" w:rsidRDefault="007004BD" w:rsidP="004413E9">
      <w:pPr>
        <w:pStyle w:val="ListParagraph"/>
        <w:numPr>
          <w:ilvl w:val="0"/>
          <w:numId w:val="4"/>
        </w:numPr>
        <w:spacing w:after="60"/>
        <w:ind w:left="1134" w:hanging="425"/>
        <w:contextualSpacing w:val="0"/>
        <w:rPr>
          <w:rFonts w:ascii="Arial" w:hAnsi="Arial" w:cs="Arial"/>
          <w:sz w:val="24"/>
          <w:szCs w:val="24"/>
          <w:lang w:val="en-GB"/>
        </w:rPr>
      </w:pPr>
      <w:r w:rsidRPr="004413E9">
        <w:rPr>
          <w:rFonts w:ascii="Arial" w:hAnsi="Arial" w:cs="Arial"/>
          <w:sz w:val="24"/>
          <w:szCs w:val="24"/>
          <w:lang w:val="en-GB"/>
        </w:rPr>
        <w:t>The Carbon Neutral Investment Programme</w:t>
      </w:r>
      <w:r w:rsidR="00C10B1A" w:rsidRPr="004413E9">
        <w:rPr>
          <w:rFonts w:ascii="Arial" w:hAnsi="Arial" w:cs="Arial"/>
          <w:sz w:val="24"/>
          <w:szCs w:val="24"/>
          <w:lang w:val="en-GB"/>
        </w:rPr>
        <w:t>;</w:t>
      </w:r>
    </w:p>
    <w:p w14:paraId="1F237DD5" w14:textId="77777777" w:rsidR="009B058F" w:rsidRPr="004413E9" w:rsidRDefault="007004BD" w:rsidP="004413E9">
      <w:pPr>
        <w:pStyle w:val="ListParagraph"/>
        <w:numPr>
          <w:ilvl w:val="0"/>
          <w:numId w:val="4"/>
        </w:numPr>
        <w:spacing w:after="60"/>
        <w:ind w:left="1134" w:hanging="425"/>
        <w:contextualSpacing w:val="0"/>
        <w:rPr>
          <w:rFonts w:ascii="Arial" w:hAnsi="Arial" w:cs="Arial"/>
          <w:sz w:val="24"/>
          <w:szCs w:val="24"/>
          <w:lang w:val="en-GB"/>
        </w:rPr>
      </w:pPr>
      <w:r w:rsidRPr="004413E9">
        <w:rPr>
          <w:rFonts w:ascii="Arial" w:hAnsi="Arial" w:cs="Arial"/>
          <w:sz w:val="24"/>
          <w:szCs w:val="24"/>
          <w:lang w:val="en-GB"/>
        </w:rPr>
        <w:t>The Local Transport Plan (LTP) to support sustainable transport and transport infrastructure;</w:t>
      </w:r>
    </w:p>
    <w:p w14:paraId="2F9F06BB" w14:textId="17E9DC2D" w:rsidR="009B058F" w:rsidRPr="004413E9" w:rsidRDefault="007004BD" w:rsidP="004413E9">
      <w:pPr>
        <w:pStyle w:val="ListParagraph"/>
        <w:numPr>
          <w:ilvl w:val="0"/>
          <w:numId w:val="4"/>
        </w:numPr>
        <w:spacing w:after="60"/>
        <w:ind w:left="1134" w:hanging="425"/>
        <w:contextualSpacing w:val="0"/>
        <w:rPr>
          <w:rFonts w:ascii="Arial" w:hAnsi="Arial" w:cs="Arial"/>
          <w:sz w:val="24"/>
          <w:szCs w:val="24"/>
          <w:lang w:val="en-GB"/>
        </w:rPr>
      </w:pPr>
      <w:r w:rsidRPr="004413E9">
        <w:rPr>
          <w:rFonts w:ascii="Arial" w:hAnsi="Arial" w:cs="Arial"/>
          <w:sz w:val="24"/>
          <w:szCs w:val="24"/>
          <w:lang w:val="en-GB"/>
        </w:rPr>
        <w:t>The Information Technology &amp; Digital Investment Fund and Modernisation Fund</w:t>
      </w:r>
      <w:r w:rsidR="00D47BA9" w:rsidRPr="004413E9">
        <w:rPr>
          <w:rFonts w:ascii="Arial" w:hAnsi="Arial" w:cs="Arial"/>
          <w:sz w:val="24"/>
          <w:szCs w:val="24"/>
          <w:lang w:val="en-GB"/>
        </w:rPr>
        <w:t xml:space="preserve"> delivering the Digital, Data and Technology Strategy </w:t>
      </w:r>
      <w:r w:rsidR="00C10B1A" w:rsidRPr="004413E9">
        <w:rPr>
          <w:rFonts w:ascii="Arial" w:hAnsi="Arial" w:cs="Arial"/>
          <w:sz w:val="24"/>
          <w:szCs w:val="24"/>
          <w:lang w:val="en-GB"/>
        </w:rPr>
        <w:t>(</w:t>
      </w:r>
      <w:proofErr w:type="spellStart"/>
      <w:r w:rsidR="00C10B1A" w:rsidRPr="004413E9">
        <w:rPr>
          <w:rFonts w:ascii="Arial" w:hAnsi="Arial" w:cs="Arial"/>
          <w:sz w:val="24"/>
          <w:szCs w:val="24"/>
          <w:lang w:val="en-GB"/>
        </w:rPr>
        <w:t>DDaT</w:t>
      </w:r>
      <w:proofErr w:type="spellEnd"/>
      <w:r w:rsidR="00C10B1A" w:rsidRPr="004413E9">
        <w:rPr>
          <w:rFonts w:ascii="Arial" w:hAnsi="Arial" w:cs="Arial"/>
          <w:sz w:val="24"/>
          <w:szCs w:val="24"/>
          <w:lang w:val="en-GB"/>
        </w:rPr>
        <w:t xml:space="preserve">) </w:t>
      </w:r>
      <w:r w:rsidR="00D47BA9" w:rsidRPr="004413E9">
        <w:rPr>
          <w:rFonts w:ascii="Arial" w:hAnsi="Arial" w:cs="Arial"/>
          <w:sz w:val="24"/>
          <w:szCs w:val="24"/>
          <w:lang w:val="en-GB"/>
        </w:rPr>
        <w:t>approved in March 2023;</w:t>
      </w:r>
    </w:p>
    <w:p w14:paraId="0C52CCF1" w14:textId="5F8CF378" w:rsidR="00D47BA9" w:rsidRPr="004413E9" w:rsidRDefault="007004BD" w:rsidP="004413E9">
      <w:pPr>
        <w:pStyle w:val="ListParagraph"/>
        <w:numPr>
          <w:ilvl w:val="0"/>
          <w:numId w:val="4"/>
        </w:numPr>
        <w:spacing w:after="60"/>
        <w:ind w:left="1134" w:hanging="425"/>
        <w:contextualSpacing w:val="0"/>
        <w:rPr>
          <w:rFonts w:ascii="Arial" w:hAnsi="Arial" w:cs="Arial"/>
          <w:sz w:val="24"/>
          <w:szCs w:val="24"/>
          <w:lang w:val="en-GB"/>
        </w:rPr>
      </w:pPr>
      <w:r w:rsidRPr="004413E9">
        <w:rPr>
          <w:rFonts w:ascii="Arial" w:hAnsi="Arial" w:cs="Arial"/>
          <w:sz w:val="24"/>
          <w:szCs w:val="24"/>
          <w:lang w:val="en-GB"/>
        </w:rPr>
        <w:t>The Asset Management Fund (AMF) to ensure the strategic elements of the Asset Management Plan can be supported;</w:t>
      </w:r>
    </w:p>
    <w:p w14:paraId="0C1333E0" w14:textId="04301838" w:rsidR="00D47BA9" w:rsidRPr="004413E9" w:rsidRDefault="007004BD" w:rsidP="004413E9">
      <w:pPr>
        <w:pStyle w:val="ListParagraph"/>
        <w:numPr>
          <w:ilvl w:val="0"/>
          <w:numId w:val="4"/>
        </w:numPr>
        <w:spacing w:after="60"/>
        <w:ind w:left="1134" w:hanging="425"/>
        <w:contextualSpacing w:val="0"/>
        <w:rPr>
          <w:rFonts w:ascii="Arial" w:hAnsi="Arial" w:cs="Arial"/>
          <w:sz w:val="24"/>
          <w:szCs w:val="24"/>
          <w:lang w:val="en-GB"/>
        </w:rPr>
      </w:pPr>
      <w:r w:rsidRPr="004413E9">
        <w:rPr>
          <w:rFonts w:ascii="Arial" w:hAnsi="Arial" w:cs="Arial"/>
          <w:sz w:val="24"/>
          <w:szCs w:val="24"/>
          <w:lang w:val="en-GB"/>
        </w:rPr>
        <w:t xml:space="preserve">The </w:t>
      </w:r>
      <w:r w:rsidR="00C10B1A" w:rsidRPr="004413E9">
        <w:rPr>
          <w:rFonts w:ascii="Arial" w:hAnsi="Arial" w:cs="Arial"/>
          <w:sz w:val="24"/>
          <w:szCs w:val="24"/>
          <w:lang w:val="en-GB"/>
        </w:rPr>
        <w:t xml:space="preserve">CAIF </w:t>
      </w:r>
      <w:r w:rsidRPr="004413E9">
        <w:rPr>
          <w:rFonts w:ascii="Arial" w:hAnsi="Arial" w:cs="Arial"/>
          <w:sz w:val="24"/>
          <w:szCs w:val="24"/>
          <w:lang w:val="en-GB"/>
        </w:rPr>
        <w:t>to protect and enhance the income generated from the existing commercial and farmland property portfolios;</w:t>
      </w:r>
    </w:p>
    <w:p w14:paraId="4FC33276" w14:textId="77777777" w:rsidR="009B058F" w:rsidRPr="004413E9" w:rsidRDefault="007004BD" w:rsidP="004413E9">
      <w:pPr>
        <w:pStyle w:val="ListParagraph"/>
        <w:numPr>
          <w:ilvl w:val="0"/>
          <w:numId w:val="4"/>
        </w:numPr>
        <w:spacing w:after="60"/>
        <w:ind w:left="1134" w:hanging="425"/>
        <w:contextualSpacing w:val="0"/>
        <w:rPr>
          <w:rFonts w:ascii="Arial" w:hAnsi="Arial" w:cs="Arial"/>
          <w:sz w:val="24"/>
          <w:szCs w:val="24"/>
          <w:lang w:val="en-GB"/>
        </w:rPr>
      </w:pPr>
      <w:r w:rsidRPr="004413E9">
        <w:rPr>
          <w:rFonts w:ascii="Arial" w:hAnsi="Arial" w:cs="Arial"/>
          <w:sz w:val="24"/>
          <w:szCs w:val="24"/>
          <w:lang w:val="en-GB"/>
        </w:rPr>
        <w:t>Corporate Planned Maintenance (PMB) to ensure the operational elements of the Asset Management Plan are supported and that backlog maintenance does not build up unduly;</w:t>
      </w:r>
    </w:p>
    <w:p w14:paraId="0E73C7D7" w14:textId="64E308DA" w:rsidR="009B058F" w:rsidRPr="004413E9" w:rsidRDefault="007004BD" w:rsidP="004413E9">
      <w:pPr>
        <w:pStyle w:val="ListParagraph"/>
        <w:numPr>
          <w:ilvl w:val="0"/>
          <w:numId w:val="4"/>
        </w:numPr>
        <w:spacing w:after="60"/>
        <w:ind w:left="1134" w:hanging="425"/>
        <w:contextualSpacing w:val="0"/>
        <w:rPr>
          <w:rFonts w:ascii="Arial" w:hAnsi="Arial" w:cs="Arial"/>
          <w:sz w:val="24"/>
          <w:szCs w:val="24"/>
          <w:lang w:val="en-GB"/>
        </w:rPr>
      </w:pPr>
      <w:r w:rsidRPr="004413E9">
        <w:rPr>
          <w:rFonts w:ascii="Arial" w:hAnsi="Arial" w:cs="Arial"/>
          <w:sz w:val="24"/>
          <w:szCs w:val="24"/>
          <w:lang w:val="en-GB"/>
        </w:rPr>
        <w:t>The Strategic Investment Fund (SIF) to support the advancement of major regeneration schemes and initiatives</w:t>
      </w:r>
      <w:r w:rsidR="00C10B1A" w:rsidRPr="004413E9">
        <w:rPr>
          <w:rFonts w:ascii="Arial" w:hAnsi="Arial" w:cs="Arial"/>
          <w:sz w:val="24"/>
          <w:szCs w:val="24"/>
          <w:lang w:val="en-GB"/>
        </w:rPr>
        <w:t>, and</w:t>
      </w:r>
      <w:r w:rsidRPr="004413E9">
        <w:rPr>
          <w:rFonts w:ascii="Arial" w:hAnsi="Arial" w:cs="Arial"/>
          <w:sz w:val="24"/>
          <w:szCs w:val="24"/>
          <w:lang w:val="en-GB"/>
        </w:rPr>
        <w:t>;</w:t>
      </w:r>
    </w:p>
    <w:p w14:paraId="0AC64DF6" w14:textId="3A60CC01" w:rsidR="009B058F" w:rsidRPr="004413E9" w:rsidRDefault="007004BD" w:rsidP="004413E9">
      <w:pPr>
        <w:pStyle w:val="ListParagraph"/>
        <w:numPr>
          <w:ilvl w:val="0"/>
          <w:numId w:val="4"/>
        </w:numPr>
        <w:spacing w:after="60"/>
        <w:ind w:left="1134" w:hanging="425"/>
        <w:contextualSpacing w:val="0"/>
        <w:rPr>
          <w:rFonts w:ascii="Arial" w:hAnsi="Arial" w:cs="Arial"/>
          <w:sz w:val="24"/>
          <w:szCs w:val="24"/>
          <w:lang w:val="en-GB"/>
        </w:rPr>
      </w:pPr>
      <w:r w:rsidRPr="004413E9">
        <w:rPr>
          <w:rFonts w:ascii="Arial" w:hAnsi="Arial" w:cs="Arial"/>
          <w:sz w:val="24"/>
          <w:szCs w:val="24"/>
          <w:lang w:val="en-GB"/>
        </w:rPr>
        <w:t>The Vehicle Fleet and plant replacement annual programme.</w:t>
      </w:r>
    </w:p>
    <w:p w14:paraId="74A99B73" w14:textId="33DF910F" w:rsidR="009B058F" w:rsidRPr="00661C73" w:rsidRDefault="007004BD" w:rsidP="00E945CB">
      <w:pPr>
        <w:pStyle w:val="Heading2"/>
      </w:pPr>
      <w:r w:rsidRPr="00661C73">
        <w:t xml:space="preserve">The current strategy identifies longer term capital investment plans as well as a funding strategy and the potential outcomes for each investment plan. This strategy includes major investment requirements such as investment </w:t>
      </w:r>
      <w:r w:rsidR="00C10B1A">
        <w:t xml:space="preserve">in </w:t>
      </w:r>
      <w:r w:rsidR="00661C73" w:rsidRPr="00661C73">
        <w:t>food waste collection, coast protection works, A27 junction works and investment in New England House.</w:t>
      </w:r>
    </w:p>
    <w:p w14:paraId="29BD76C0" w14:textId="0C78D46E" w:rsidR="009B058F" w:rsidRPr="00661C73" w:rsidRDefault="007004BD" w:rsidP="00E945CB">
      <w:pPr>
        <w:pStyle w:val="Heading2"/>
      </w:pPr>
      <w:r w:rsidRPr="00661C73">
        <w:t>Capital receipts from the sale of surplus land and buildings support the capital programme and the projections are regularly reviewed. The capital strategy allows for an assessment of the potential social value of surplus or underperforming assets against the potential disposal value and where possible will aim to maximise the use of assets to enhance social value across a 4</w:t>
      </w:r>
      <w:r w:rsidR="0049726C">
        <w:t>-</w:t>
      </w:r>
      <w:r w:rsidRPr="00661C73">
        <w:t xml:space="preserve">year Asset Management Plan. </w:t>
      </w:r>
    </w:p>
    <w:p w14:paraId="6186ED30" w14:textId="1F0C0911" w:rsidR="009B058F" w:rsidRPr="00661C73" w:rsidRDefault="007004BD" w:rsidP="00E945CB">
      <w:pPr>
        <w:pStyle w:val="Heading2"/>
      </w:pPr>
      <w:r w:rsidRPr="00661C73">
        <w:t xml:space="preserve">The detailed capital programme is set out in Appendix 1 (and will be included in the Budget Book) and shows the approved and proposed capital investments for each directorate. </w:t>
      </w:r>
    </w:p>
    <w:p w14:paraId="10463A03" w14:textId="00288F7F" w:rsidR="009B058F" w:rsidRPr="00661C73" w:rsidRDefault="007004BD" w:rsidP="00E945CB">
      <w:pPr>
        <w:pStyle w:val="Heading2"/>
      </w:pPr>
      <w:r w:rsidRPr="00661C73">
        <w:t>The overall Capital Investment Programme for 202</w:t>
      </w:r>
      <w:r w:rsidR="00661C73" w:rsidRPr="00661C73">
        <w:t>4</w:t>
      </w:r>
      <w:r w:rsidRPr="00661C73">
        <w:t>/2</w:t>
      </w:r>
      <w:r w:rsidR="00661C73" w:rsidRPr="00661C73">
        <w:t>5</w:t>
      </w:r>
      <w:r w:rsidRPr="00661C73">
        <w:t xml:space="preserve"> </w:t>
      </w:r>
      <w:r w:rsidRPr="00F87A9A">
        <w:t>is £21</w:t>
      </w:r>
      <w:r w:rsidR="006C776D" w:rsidRPr="00F87A9A">
        <w:t>1</w:t>
      </w:r>
      <w:r w:rsidRPr="00F87A9A">
        <w:t>.</w:t>
      </w:r>
      <w:r w:rsidR="006C776D" w:rsidRPr="00F87A9A">
        <w:t>470</w:t>
      </w:r>
      <w:r w:rsidRPr="00F87A9A">
        <w:t>m.</w:t>
      </w:r>
      <w:r w:rsidRPr="00661C73">
        <w:t xml:space="preserve"> The proposed investments are summarised as follows:</w:t>
      </w:r>
    </w:p>
    <w:p w14:paraId="712C3258" w14:textId="77777777" w:rsidR="009B058F" w:rsidRPr="00DA6D29" w:rsidRDefault="009B058F" w:rsidP="009B058F">
      <w:pPr>
        <w:rPr>
          <w:rFonts w:ascii="Arial" w:hAnsi="Arial" w:cs="Arial"/>
          <w:color w:val="FF0000"/>
          <w:sz w:val="24"/>
          <w:szCs w:val="24"/>
          <w:lang w:val="en-GB"/>
        </w:rPr>
      </w:pPr>
    </w:p>
    <w:tbl>
      <w:tblPr>
        <w:tblW w:w="4788"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1"/>
        <w:gridCol w:w="1231"/>
      </w:tblGrid>
      <w:tr w:rsidR="00A53B77" w14:paraId="0AF16A58" w14:textId="77777777" w:rsidTr="00A72C8C">
        <w:trPr>
          <w:trHeight w:val="315"/>
        </w:trPr>
        <w:tc>
          <w:tcPr>
            <w:tcW w:w="4325" w:type="pct"/>
            <w:shd w:val="clear" w:color="auto" w:fill="D9D9D9" w:themeFill="background1" w:themeFillShade="D9"/>
            <w:noWrap/>
          </w:tcPr>
          <w:p w14:paraId="47944F15" w14:textId="7743344D" w:rsidR="009B058F" w:rsidRPr="006C776D" w:rsidRDefault="007004BD" w:rsidP="00BF5B70">
            <w:pPr>
              <w:spacing w:before="20" w:after="20"/>
              <w:rPr>
                <w:rFonts w:ascii="Arial" w:hAnsi="Arial" w:cs="Arial"/>
                <w:b/>
                <w:bCs/>
                <w:sz w:val="24"/>
                <w:szCs w:val="24"/>
                <w:lang w:val="en-GB"/>
              </w:rPr>
            </w:pPr>
            <w:r w:rsidRPr="006C776D">
              <w:rPr>
                <w:rFonts w:ascii="Arial" w:hAnsi="Arial" w:cs="Arial"/>
                <w:b/>
                <w:bCs/>
                <w:sz w:val="24"/>
                <w:szCs w:val="24"/>
                <w:lang w:val="en-GB"/>
              </w:rPr>
              <w:t>Table 4: Capital Investment Programme 202</w:t>
            </w:r>
            <w:r w:rsidR="006C776D" w:rsidRPr="006C776D">
              <w:rPr>
                <w:rFonts w:ascii="Arial" w:hAnsi="Arial" w:cs="Arial"/>
                <w:b/>
                <w:bCs/>
                <w:sz w:val="24"/>
                <w:szCs w:val="24"/>
                <w:lang w:val="en-GB"/>
              </w:rPr>
              <w:t>4</w:t>
            </w:r>
            <w:r w:rsidRPr="006C776D">
              <w:rPr>
                <w:rFonts w:ascii="Arial" w:hAnsi="Arial" w:cs="Arial"/>
                <w:b/>
                <w:bCs/>
                <w:sz w:val="24"/>
                <w:szCs w:val="24"/>
                <w:lang w:val="en-GB"/>
              </w:rPr>
              <w:t>/2</w:t>
            </w:r>
            <w:r w:rsidR="006C776D" w:rsidRPr="006C776D">
              <w:rPr>
                <w:rFonts w:ascii="Arial" w:hAnsi="Arial" w:cs="Arial"/>
                <w:b/>
                <w:bCs/>
                <w:sz w:val="24"/>
                <w:szCs w:val="24"/>
                <w:lang w:val="en-GB"/>
              </w:rPr>
              <w:t>5</w:t>
            </w:r>
          </w:p>
        </w:tc>
        <w:tc>
          <w:tcPr>
            <w:tcW w:w="675" w:type="pct"/>
            <w:shd w:val="clear" w:color="auto" w:fill="D9D9D9" w:themeFill="background1" w:themeFillShade="D9"/>
            <w:noWrap/>
          </w:tcPr>
          <w:p w14:paraId="1FAAAEE0" w14:textId="77777777" w:rsidR="009B058F" w:rsidRPr="006C776D" w:rsidRDefault="007004BD" w:rsidP="00BF5B70">
            <w:pPr>
              <w:spacing w:before="20" w:after="20"/>
              <w:jc w:val="center"/>
              <w:rPr>
                <w:rFonts w:ascii="Arial" w:hAnsi="Arial" w:cs="Arial"/>
                <w:b/>
                <w:bCs/>
                <w:sz w:val="24"/>
                <w:szCs w:val="24"/>
                <w:lang w:val="en-GB"/>
              </w:rPr>
            </w:pPr>
            <w:r w:rsidRPr="006C776D">
              <w:rPr>
                <w:rFonts w:ascii="Arial" w:hAnsi="Arial" w:cs="Arial"/>
                <w:b/>
                <w:bCs/>
                <w:sz w:val="24"/>
                <w:szCs w:val="24"/>
                <w:lang w:val="en-GB"/>
              </w:rPr>
              <w:t>£m</w:t>
            </w:r>
          </w:p>
          <w:p w14:paraId="72037D78" w14:textId="77777777" w:rsidR="009B058F" w:rsidRPr="006C776D" w:rsidRDefault="009B058F" w:rsidP="00BF5B70">
            <w:pPr>
              <w:spacing w:before="20" w:after="20"/>
              <w:jc w:val="center"/>
              <w:rPr>
                <w:rFonts w:ascii="Arial" w:hAnsi="Arial" w:cs="Arial"/>
                <w:b/>
                <w:bCs/>
                <w:sz w:val="24"/>
                <w:szCs w:val="24"/>
                <w:lang w:val="en-GB"/>
              </w:rPr>
            </w:pPr>
          </w:p>
        </w:tc>
      </w:tr>
      <w:tr w:rsidR="00A53B77" w14:paraId="2A1D2C7B" w14:textId="77777777" w:rsidTr="0049726C">
        <w:trPr>
          <w:trHeight w:val="315"/>
        </w:trPr>
        <w:tc>
          <w:tcPr>
            <w:tcW w:w="4325" w:type="pct"/>
            <w:shd w:val="clear" w:color="auto" w:fill="auto"/>
            <w:noWrap/>
            <w:vAlign w:val="bottom"/>
            <w:hideMark/>
          </w:tcPr>
          <w:p w14:paraId="6A896E49" w14:textId="7A7DC0D2" w:rsidR="009B058F" w:rsidRPr="006C776D" w:rsidRDefault="007004BD" w:rsidP="00BF5B70">
            <w:pPr>
              <w:spacing w:before="20" w:after="20"/>
              <w:rPr>
                <w:rFonts w:ascii="Arial" w:hAnsi="Arial" w:cs="Arial"/>
                <w:sz w:val="24"/>
                <w:szCs w:val="24"/>
                <w:lang w:val="en-GB"/>
              </w:rPr>
            </w:pPr>
            <w:r w:rsidRPr="006C776D">
              <w:rPr>
                <w:rFonts w:ascii="Arial" w:hAnsi="Arial" w:cs="Arial"/>
                <w:b/>
                <w:bCs/>
                <w:sz w:val="24"/>
                <w:szCs w:val="24"/>
                <w:lang w:val="en-GB"/>
              </w:rPr>
              <w:t xml:space="preserve">Housing </w:t>
            </w:r>
            <w:r w:rsidRPr="006C776D">
              <w:rPr>
                <w:rFonts w:ascii="Arial" w:hAnsi="Arial" w:cs="Arial"/>
                <w:sz w:val="24"/>
                <w:szCs w:val="24"/>
                <w:lang w:val="en-GB"/>
              </w:rPr>
              <w:t>including New Homes for Neighbourhoods, the Home Purchase scheme, the Hidden Homes programme, the Housing Joint Venture, Temporary Accommodation purchases and conversions</w:t>
            </w:r>
          </w:p>
        </w:tc>
        <w:tc>
          <w:tcPr>
            <w:tcW w:w="675" w:type="pct"/>
            <w:shd w:val="clear" w:color="auto" w:fill="auto"/>
            <w:noWrap/>
            <w:vAlign w:val="center"/>
            <w:hideMark/>
          </w:tcPr>
          <w:p w14:paraId="3558C8D4" w14:textId="2FF922D5" w:rsidR="009B058F" w:rsidRPr="006C776D" w:rsidRDefault="007004BD" w:rsidP="00BF5B70">
            <w:pPr>
              <w:spacing w:before="20" w:after="20"/>
              <w:jc w:val="right"/>
              <w:rPr>
                <w:rFonts w:ascii="Arial" w:hAnsi="Arial" w:cs="Arial"/>
                <w:sz w:val="24"/>
                <w:szCs w:val="24"/>
                <w:lang w:val="en-GB"/>
              </w:rPr>
            </w:pPr>
            <w:r w:rsidRPr="006C776D">
              <w:rPr>
                <w:rFonts w:ascii="Arial" w:hAnsi="Arial" w:cs="Arial"/>
                <w:sz w:val="24"/>
                <w:szCs w:val="24"/>
                <w:lang w:val="en-GB"/>
              </w:rPr>
              <w:t xml:space="preserve">    </w:t>
            </w:r>
            <w:r w:rsidR="006C776D" w:rsidRPr="006C776D">
              <w:rPr>
                <w:rFonts w:ascii="Arial" w:hAnsi="Arial" w:cs="Arial"/>
                <w:sz w:val="24"/>
                <w:szCs w:val="24"/>
                <w:lang w:val="en-GB"/>
              </w:rPr>
              <w:t>78</w:t>
            </w:r>
            <w:r w:rsidRPr="006C776D">
              <w:rPr>
                <w:rFonts w:ascii="Arial" w:hAnsi="Arial" w:cs="Arial"/>
                <w:sz w:val="24"/>
                <w:szCs w:val="24"/>
                <w:lang w:val="en-GB"/>
              </w:rPr>
              <w:t>.</w:t>
            </w:r>
            <w:r w:rsidR="006C776D" w:rsidRPr="006C776D">
              <w:rPr>
                <w:rFonts w:ascii="Arial" w:hAnsi="Arial" w:cs="Arial"/>
                <w:sz w:val="24"/>
                <w:szCs w:val="24"/>
                <w:lang w:val="en-GB"/>
              </w:rPr>
              <w:t>846</w:t>
            </w:r>
            <w:r w:rsidRPr="006C776D">
              <w:rPr>
                <w:rFonts w:ascii="Arial" w:hAnsi="Arial" w:cs="Arial"/>
                <w:sz w:val="24"/>
                <w:szCs w:val="24"/>
                <w:lang w:val="en-GB"/>
              </w:rPr>
              <w:t xml:space="preserve"> </w:t>
            </w:r>
          </w:p>
        </w:tc>
      </w:tr>
      <w:tr w:rsidR="00A53B77" w14:paraId="29AD6E81" w14:textId="77777777" w:rsidTr="0049726C">
        <w:trPr>
          <w:trHeight w:val="315"/>
        </w:trPr>
        <w:tc>
          <w:tcPr>
            <w:tcW w:w="4325" w:type="pct"/>
            <w:shd w:val="clear" w:color="auto" w:fill="auto"/>
            <w:noWrap/>
            <w:vAlign w:val="bottom"/>
            <w:hideMark/>
          </w:tcPr>
          <w:p w14:paraId="3C403EC1" w14:textId="661BD73F" w:rsidR="009B058F" w:rsidRPr="006C776D" w:rsidRDefault="007004BD" w:rsidP="00BF5B70">
            <w:pPr>
              <w:spacing w:before="20" w:after="20"/>
              <w:rPr>
                <w:rFonts w:ascii="Arial" w:hAnsi="Arial" w:cs="Arial"/>
                <w:sz w:val="24"/>
                <w:szCs w:val="24"/>
                <w:lang w:val="en-GB"/>
              </w:rPr>
            </w:pPr>
            <w:r w:rsidRPr="006C776D">
              <w:rPr>
                <w:rFonts w:ascii="Arial" w:hAnsi="Arial" w:cs="Arial"/>
                <w:b/>
                <w:bCs/>
                <w:sz w:val="24"/>
                <w:szCs w:val="24"/>
                <w:lang w:val="en-GB"/>
              </w:rPr>
              <w:t>Sustainability &amp; Carbon Reduction</w:t>
            </w:r>
            <w:r w:rsidRPr="006C776D">
              <w:rPr>
                <w:rFonts w:ascii="Arial" w:hAnsi="Arial" w:cs="Arial"/>
                <w:sz w:val="24"/>
                <w:szCs w:val="24"/>
                <w:lang w:val="en-GB"/>
              </w:rPr>
              <w:t xml:space="preserve"> including Carbon Neutral</w:t>
            </w:r>
            <w:r w:rsidR="006C776D" w:rsidRPr="006C776D">
              <w:rPr>
                <w:rFonts w:ascii="Arial" w:hAnsi="Arial" w:cs="Arial"/>
                <w:sz w:val="24"/>
                <w:szCs w:val="24"/>
                <w:lang w:val="en-GB"/>
              </w:rPr>
              <w:t xml:space="preserve"> and Net Zero investment</w:t>
            </w:r>
            <w:r w:rsidRPr="006C776D">
              <w:rPr>
                <w:rFonts w:ascii="Arial" w:hAnsi="Arial" w:cs="Arial"/>
                <w:sz w:val="24"/>
                <w:szCs w:val="24"/>
                <w:lang w:val="en-GB"/>
              </w:rPr>
              <w:t>, Street Lighting and carbon reduction measures to operational buildings</w:t>
            </w:r>
          </w:p>
        </w:tc>
        <w:tc>
          <w:tcPr>
            <w:tcW w:w="675" w:type="pct"/>
            <w:shd w:val="clear" w:color="auto" w:fill="auto"/>
            <w:noWrap/>
            <w:vAlign w:val="center"/>
            <w:hideMark/>
          </w:tcPr>
          <w:p w14:paraId="07B44450" w14:textId="6E9BB415" w:rsidR="009B058F" w:rsidRPr="006C776D" w:rsidRDefault="007004BD" w:rsidP="00BF5B70">
            <w:pPr>
              <w:spacing w:before="20" w:after="20"/>
              <w:jc w:val="right"/>
              <w:rPr>
                <w:rFonts w:ascii="Arial" w:hAnsi="Arial" w:cs="Arial"/>
                <w:sz w:val="24"/>
                <w:szCs w:val="24"/>
                <w:lang w:val="en-GB"/>
              </w:rPr>
            </w:pPr>
            <w:r w:rsidRPr="006C776D">
              <w:rPr>
                <w:rFonts w:ascii="Arial" w:hAnsi="Arial" w:cs="Arial"/>
                <w:sz w:val="24"/>
                <w:szCs w:val="24"/>
                <w:lang w:val="en-GB"/>
              </w:rPr>
              <w:t xml:space="preserve">    1</w:t>
            </w:r>
            <w:r w:rsidR="006C776D" w:rsidRPr="006C776D">
              <w:rPr>
                <w:rFonts w:ascii="Arial" w:hAnsi="Arial" w:cs="Arial"/>
                <w:sz w:val="24"/>
                <w:szCs w:val="24"/>
                <w:lang w:val="en-GB"/>
              </w:rPr>
              <w:t>6</w:t>
            </w:r>
            <w:r w:rsidRPr="006C776D">
              <w:rPr>
                <w:rFonts w:ascii="Arial" w:hAnsi="Arial" w:cs="Arial"/>
                <w:sz w:val="24"/>
                <w:szCs w:val="24"/>
                <w:lang w:val="en-GB"/>
              </w:rPr>
              <w:t>.</w:t>
            </w:r>
            <w:r w:rsidR="006C776D" w:rsidRPr="006C776D">
              <w:rPr>
                <w:rFonts w:ascii="Arial" w:hAnsi="Arial" w:cs="Arial"/>
                <w:sz w:val="24"/>
                <w:szCs w:val="24"/>
                <w:lang w:val="en-GB"/>
              </w:rPr>
              <w:t>180</w:t>
            </w:r>
            <w:r w:rsidRPr="006C776D">
              <w:rPr>
                <w:rFonts w:ascii="Arial" w:hAnsi="Arial" w:cs="Arial"/>
                <w:sz w:val="24"/>
                <w:szCs w:val="24"/>
                <w:lang w:val="en-GB"/>
              </w:rPr>
              <w:t xml:space="preserve"> </w:t>
            </w:r>
          </w:p>
        </w:tc>
      </w:tr>
      <w:tr w:rsidR="00A53B77" w14:paraId="297FAD6A" w14:textId="77777777" w:rsidTr="0049726C">
        <w:trPr>
          <w:trHeight w:val="315"/>
        </w:trPr>
        <w:tc>
          <w:tcPr>
            <w:tcW w:w="4325" w:type="pct"/>
            <w:shd w:val="clear" w:color="auto" w:fill="auto"/>
            <w:noWrap/>
            <w:vAlign w:val="bottom"/>
            <w:hideMark/>
          </w:tcPr>
          <w:p w14:paraId="7D75229A" w14:textId="551D814C" w:rsidR="009B058F" w:rsidRPr="00DA6D29" w:rsidRDefault="007004BD" w:rsidP="00BF5B70">
            <w:pPr>
              <w:spacing w:before="20" w:after="20"/>
              <w:rPr>
                <w:rFonts w:ascii="Arial" w:hAnsi="Arial" w:cs="Arial"/>
                <w:color w:val="FF0000"/>
                <w:sz w:val="24"/>
                <w:szCs w:val="24"/>
                <w:lang w:val="en-GB"/>
              </w:rPr>
            </w:pPr>
            <w:r w:rsidRPr="0047304F">
              <w:rPr>
                <w:rFonts w:ascii="Arial" w:hAnsi="Arial" w:cs="Arial"/>
                <w:b/>
                <w:bCs/>
                <w:sz w:val="24"/>
                <w:szCs w:val="24"/>
                <w:lang w:val="en-GB"/>
              </w:rPr>
              <w:t>Parks &amp; Open Spaces</w:t>
            </w:r>
            <w:r w:rsidRPr="0047304F">
              <w:rPr>
                <w:rFonts w:ascii="Arial" w:hAnsi="Arial" w:cs="Arial"/>
                <w:sz w:val="24"/>
                <w:szCs w:val="24"/>
                <w:lang w:val="en-GB"/>
              </w:rPr>
              <w:t xml:space="preserve"> </w:t>
            </w:r>
            <w:r w:rsidR="00567291">
              <w:rPr>
                <w:rFonts w:ascii="Arial" w:hAnsi="Arial" w:cs="Arial"/>
                <w:sz w:val="24"/>
                <w:szCs w:val="24"/>
                <w:lang w:val="en-GB"/>
              </w:rPr>
              <w:t xml:space="preserve">including </w:t>
            </w:r>
            <w:r w:rsidRPr="0047304F">
              <w:rPr>
                <w:rFonts w:ascii="Arial" w:hAnsi="Arial" w:cs="Arial"/>
                <w:sz w:val="24"/>
                <w:szCs w:val="24"/>
                <w:lang w:val="en-GB"/>
              </w:rPr>
              <w:t>Kingsway to the Sea LUF</w:t>
            </w:r>
            <w:r w:rsidR="006C776D" w:rsidRPr="0047304F">
              <w:rPr>
                <w:rFonts w:ascii="Arial" w:hAnsi="Arial" w:cs="Arial"/>
                <w:sz w:val="24"/>
                <w:szCs w:val="24"/>
                <w:lang w:val="en-GB"/>
              </w:rPr>
              <w:t xml:space="preserve"> and </w:t>
            </w:r>
            <w:r w:rsidRPr="0047304F">
              <w:rPr>
                <w:rFonts w:ascii="Arial" w:hAnsi="Arial" w:cs="Arial"/>
                <w:sz w:val="24"/>
                <w:szCs w:val="24"/>
                <w:lang w:val="en-GB"/>
              </w:rPr>
              <w:t>parks infrastructure including tree replacement</w:t>
            </w:r>
          </w:p>
        </w:tc>
        <w:tc>
          <w:tcPr>
            <w:tcW w:w="675" w:type="pct"/>
            <w:shd w:val="clear" w:color="auto" w:fill="auto"/>
            <w:noWrap/>
            <w:vAlign w:val="center"/>
            <w:hideMark/>
          </w:tcPr>
          <w:p w14:paraId="11BD62B0" w14:textId="234AB168" w:rsidR="009B058F" w:rsidRPr="006C776D" w:rsidRDefault="007004BD" w:rsidP="00BF5B70">
            <w:pPr>
              <w:spacing w:before="20" w:after="20"/>
              <w:jc w:val="right"/>
              <w:rPr>
                <w:rFonts w:ascii="Arial" w:hAnsi="Arial" w:cs="Arial"/>
                <w:sz w:val="24"/>
                <w:szCs w:val="24"/>
                <w:lang w:val="en-GB"/>
              </w:rPr>
            </w:pPr>
            <w:r w:rsidRPr="006C776D">
              <w:rPr>
                <w:rFonts w:ascii="Arial" w:hAnsi="Arial" w:cs="Arial"/>
                <w:sz w:val="24"/>
                <w:szCs w:val="24"/>
                <w:lang w:val="en-GB"/>
              </w:rPr>
              <w:t xml:space="preserve">      </w:t>
            </w:r>
            <w:r w:rsidR="006C776D" w:rsidRPr="006C776D">
              <w:rPr>
                <w:rFonts w:ascii="Arial" w:hAnsi="Arial" w:cs="Arial"/>
                <w:sz w:val="24"/>
                <w:szCs w:val="24"/>
                <w:lang w:val="en-GB"/>
              </w:rPr>
              <w:t>8.784</w:t>
            </w:r>
            <w:r w:rsidRPr="006C776D">
              <w:rPr>
                <w:rFonts w:ascii="Arial" w:hAnsi="Arial" w:cs="Arial"/>
                <w:sz w:val="24"/>
                <w:szCs w:val="24"/>
                <w:lang w:val="en-GB"/>
              </w:rPr>
              <w:t xml:space="preserve"> </w:t>
            </w:r>
          </w:p>
        </w:tc>
      </w:tr>
      <w:tr w:rsidR="00A53B77" w14:paraId="4B846EAC" w14:textId="77777777" w:rsidTr="0049726C">
        <w:trPr>
          <w:trHeight w:val="315"/>
        </w:trPr>
        <w:tc>
          <w:tcPr>
            <w:tcW w:w="4325" w:type="pct"/>
            <w:shd w:val="clear" w:color="auto" w:fill="auto"/>
            <w:noWrap/>
            <w:vAlign w:val="bottom"/>
          </w:tcPr>
          <w:p w14:paraId="222C8D2F" w14:textId="4296F5FA" w:rsidR="009B058F" w:rsidRPr="00DA6D29" w:rsidRDefault="007004BD" w:rsidP="00BF5B70">
            <w:pPr>
              <w:spacing w:before="20" w:after="20"/>
              <w:rPr>
                <w:rFonts w:ascii="Arial" w:hAnsi="Arial" w:cs="Arial"/>
                <w:color w:val="FF0000"/>
                <w:sz w:val="24"/>
                <w:szCs w:val="24"/>
                <w:lang w:val="en-GB"/>
              </w:rPr>
            </w:pPr>
            <w:r w:rsidRPr="00567291">
              <w:rPr>
                <w:rFonts w:ascii="Arial" w:hAnsi="Arial" w:cs="Arial"/>
                <w:b/>
                <w:bCs/>
                <w:sz w:val="24"/>
                <w:szCs w:val="24"/>
                <w:lang w:val="en-GB"/>
              </w:rPr>
              <w:t>Sport &amp; Recreation</w:t>
            </w:r>
            <w:r w:rsidRPr="00567291">
              <w:rPr>
                <w:rFonts w:ascii="Arial" w:hAnsi="Arial" w:cs="Arial"/>
                <w:sz w:val="24"/>
                <w:szCs w:val="24"/>
                <w:lang w:val="en-GB"/>
              </w:rPr>
              <w:t xml:space="preserve"> including </w:t>
            </w:r>
            <w:r w:rsidR="00567291" w:rsidRPr="00567291">
              <w:rPr>
                <w:rFonts w:ascii="Arial" w:hAnsi="Arial" w:cs="Arial"/>
                <w:sz w:val="24"/>
                <w:szCs w:val="24"/>
                <w:lang w:val="en-GB"/>
              </w:rPr>
              <w:t xml:space="preserve">Playground refurbishment and </w:t>
            </w:r>
            <w:r w:rsidRPr="00567291">
              <w:rPr>
                <w:rFonts w:ascii="Arial" w:hAnsi="Arial" w:cs="Arial"/>
                <w:sz w:val="24"/>
                <w:szCs w:val="24"/>
                <w:lang w:val="en-GB"/>
              </w:rPr>
              <w:t>maintaining and improving the city’s swimming</w:t>
            </w:r>
            <w:r w:rsidR="00567291" w:rsidRPr="00567291">
              <w:rPr>
                <w:rFonts w:ascii="Arial" w:hAnsi="Arial" w:cs="Arial"/>
                <w:sz w:val="24"/>
                <w:szCs w:val="24"/>
                <w:lang w:val="en-GB"/>
              </w:rPr>
              <w:t xml:space="preserve"> facilities</w:t>
            </w:r>
            <w:r w:rsidRPr="00567291">
              <w:rPr>
                <w:rFonts w:ascii="Arial" w:hAnsi="Arial" w:cs="Arial"/>
                <w:sz w:val="24"/>
                <w:szCs w:val="24"/>
                <w:lang w:val="en-GB"/>
              </w:rPr>
              <w:t xml:space="preserve"> </w:t>
            </w:r>
          </w:p>
        </w:tc>
        <w:tc>
          <w:tcPr>
            <w:tcW w:w="675" w:type="pct"/>
            <w:shd w:val="clear" w:color="auto" w:fill="auto"/>
            <w:noWrap/>
            <w:vAlign w:val="center"/>
          </w:tcPr>
          <w:p w14:paraId="2230F71A" w14:textId="5A7ADE40" w:rsidR="009B058F" w:rsidRPr="006C776D" w:rsidRDefault="007004BD" w:rsidP="00BF5B70">
            <w:pPr>
              <w:spacing w:before="20" w:after="20"/>
              <w:jc w:val="right"/>
              <w:rPr>
                <w:rFonts w:ascii="Arial" w:hAnsi="Arial" w:cs="Arial"/>
                <w:sz w:val="24"/>
                <w:szCs w:val="24"/>
                <w:lang w:val="en-GB"/>
              </w:rPr>
            </w:pPr>
            <w:r w:rsidRPr="006C776D">
              <w:rPr>
                <w:rFonts w:ascii="Arial" w:hAnsi="Arial" w:cs="Arial"/>
                <w:sz w:val="24"/>
                <w:szCs w:val="24"/>
                <w:lang w:val="en-GB"/>
              </w:rPr>
              <w:t>2.</w:t>
            </w:r>
            <w:r w:rsidR="006C776D" w:rsidRPr="006C776D">
              <w:rPr>
                <w:rFonts w:ascii="Arial" w:hAnsi="Arial" w:cs="Arial"/>
                <w:sz w:val="24"/>
                <w:szCs w:val="24"/>
                <w:lang w:val="en-GB"/>
              </w:rPr>
              <w:t>514</w:t>
            </w:r>
          </w:p>
        </w:tc>
      </w:tr>
      <w:tr w:rsidR="00A53B77" w14:paraId="0643179A" w14:textId="77777777" w:rsidTr="0049726C">
        <w:trPr>
          <w:trHeight w:val="315"/>
        </w:trPr>
        <w:tc>
          <w:tcPr>
            <w:tcW w:w="4325" w:type="pct"/>
            <w:shd w:val="clear" w:color="auto" w:fill="auto"/>
            <w:noWrap/>
            <w:vAlign w:val="bottom"/>
            <w:hideMark/>
          </w:tcPr>
          <w:p w14:paraId="3296883D" w14:textId="2B1DFA3B" w:rsidR="009B058F" w:rsidRPr="00DA6D29" w:rsidRDefault="007004BD" w:rsidP="00BF5B70">
            <w:pPr>
              <w:spacing w:before="20" w:after="20"/>
              <w:rPr>
                <w:rFonts w:ascii="Arial" w:hAnsi="Arial" w:cs="Arial"/>
                <w:color w:val="FF0000"/>
                <w:sz w:val="24"/>
                <w:szCs w:val="24"/>
                <w:lang w:val="en-GB"/>
              </w:rPr>
            </w:pPr>
            <w:r w:rsidRPr="0047304F">
              <w:rPr>
                <w:rFonts w:ascii="Arial" w:hAnsi="Arial" w:cs="Arial"/>
                <w:b/>
                <w:bCs/>
                <w:sz w:val="24"/>
                <w:szCs w:val="24"/>
                <w:lang w:val="en-GB"/>
              </w:rPr>
              <w:t xml:space="preserve">Transport &amp; Highways </w:t>
            </w:r>
            <w:r w:rsidRPr="0047304F">
              <w:rPr>
                <w:rFonts w:ascii="Arial" w:hAnsi="Arial" w:cs="Arial"/>
                <w:sz w:val="24"/>
                <w:szCs w:val="24"/>
                <w:lang w:val="en-GB"/>
              </w:rPr>
              <w:t>reflecting the Local Transport Plan (LTP) allocation for 202</w:t>
            </w:r>
            <w:r w:rsidR="0032239B" w:rsidRPr="0047304F">
              <w:rPr>
                <w:rFonts w:ascii="Arial" w:hAnsi="Arial" w:cs="Arial"/>
                <w:sz w:val="24"/>
                <w:szCs w:val="24"/>
                <w:lang w:val="en-GB"/>
              </w:rPr>
              <w:t>4</w:t>
            </w:r>
            <w:r w:rsidRPr="0047304F">
              <w:rPr>
                <w:rFonts w:ascii="Arial" w:hAnsi="Arial" w:cs="Arial"/>
                <w:sz w:val="24"/>
                <w:szCs w:val="24"/>
                <w:lang w:val="en-GB"/>
              </w:rPr>
              <w:t>/2</w:t>
            </w:r>
            <w:r w:rsidR="0032239B" w:rsidRPr="0047304F">
              <w:rPr>
                <w:rFonts w:ascii="Arial" w:hAnsi="Arial" w:cs="Arial"/>
                <w:sz w:val="24"/>
                <w:szCs w:val="24"/>
                <w:lang w:val="en-GB"/>
              </w:rPr>
              <w:t>5</w:t>
            </w:r>
            <w:r w:rsidRPr="0047304F">
              <w:rPr>
                <w:rFonts w:ascii="Arial" w:hAnsi="Arial" w:cs="Arial"/>
                <w:sz w:val="24"/>
                <w:szCs w:val="24"/>
                <w:lang w:val="en-GB"/>
              </w:rPr>
              <w:t xml:space="preserve">, Pothole Action funding </w:t>
            </w:r>
            <w:r w:rsidR="0032239B" w:rsidRPr="0047304F">
              <w:rPr>
                <w:rFonts w:ascii="Arial" w:hAnsi="Arial" w:cs="Arial"/>
                <w:sz w:val="24"/>
                <w:szCs w:val="24"/>
                <w:lang w:val="en-GB"/>
              </w:rPr>
              <w:t>and</w:t>
            </w:r>
            <w:r w:rsidR="00F65CC5">
              <w:rPr>
                <w:rFonts w:ascii="Arial" w:hAnsi="Arial" w:cs="Arial"/>
                <w:sz w:val="24"/>
                <w:szCs w:val="24"/>
                <w:lang w:val="en-GB"/>
              </w:rPr>
              <w:t xml:space="preserve"> the major</w:t>
            </w:r>
            <w:r w:rsidR="0032239B" w:rsidRPr="0047304F">
              <w:rPr>
                <w:rFonts w:ascii="Arial" w:hAnsi="Arial" w:cs="Arial"/>
                <w:sz w:val="24"/>
                <w:szCs w:val="24"/>
                <w:lang w:val="en-GB"/>
              </w:rPr>
              <w:t xml:space="preserve"> Bus Service Improvement Scheme</w:t>
            </w:r>
          </w:p>
        </w:tc>
        <w:tc>
          <w:tcPr>
            <w:tcW w:w="675" w:type="pct"/>
            <w:shd w:val="clear" w:color="auto" w:fill="auto"/>
            <w:noWrap/>
            <w:vAlign w:val="center"/>
            <w:hideMark/>
          </w:tcPr>
          <w:p w14:paraId="53F55823" w14:textId="0399D03A" w:rsidR="009B058F" w:rsidRPr="006C776D" w:rsidRDefault="007004BD" w:rsidP="00BF5B70">
            <w:pPr>
              <w:spacing w:before="20" w:after="20"/>
              <w:jc w:val="right"/>
              <w:rPr>
                <w:rFonts w:ascii="Arial" w:hAnsi="Arial" w:cs="Arial"/>
                <w:sz w:val="24"/>
                <w:szCs w:val="24"/>
                <w:lang w:val="en-GB"/>
              </w:rPr>
            </w:pPr>
            <w:r w:rsidRPr="006C776D">
              <w:rPr>
                <w:rFonts w:ascii="Arial" w:hAnsi="Arial" w:cs="Arial"/>
                <w:sz w:val="24"/>
                <w:szCs w:val="24"/>
                <w:lang w:val="en-GB"/>
              </w:rPr>
              <w:t xml:space="preserve">      </w:t>
            </w:r>
            <w:r w:rsidR="006C776D" w:rsidRPr="006C776D">
              <w:rPr>
                <w:rFonts w:ascii="Arial" w:hAnsi="Arial" w:cs="Arial"/>
                <w:sz w:val="24"/>
                <w:szCs w:val="24"/>
                <w:lang w:val="en-GB"/>
              </w:rPr>
              <w:t>13.194</w:t>
            </w:r>
            <w:r w:rsidRPr="006C776D">
              <w:rPr>
                <w:rFonts w:ascii="Arial" w:hAnsi="Arial" w:cs="Arial"/>
                <w:sz w:val="24"/>
                <w:szCs w:val="24"/>
                <w:lang w:val="en-GB"/>
              </w:rPr>
              <w:t xml:space="preserve"> </w:t>
            </w:r>
          </w:p>
        </w:tc>
      </w:tr>
      <w:tr w:rsidR="00A53B77" w14:paraId="5D7AF16F" w14:textId="77777777" w:rsidTr="0049726C">
        <w:trPr>
          <w:trHeight w:val="315"/>
        </w:trPr>
        <w:tc>
          <w:tcPr>
            <w:tcW w:w="4325" w:type="pct"/>
            <w:shd w:val="clear" w:color="auto" w:fill="auto"/>
            <w:noWrap/>
            <w:vAlign w:val="bottom"/>
            <w:hideMark/>
          </w:tcPr>
          <w:p w14:paraId="56ED1D1A" w14:textId="3CFF3D04" w:rsidR="009B058F" w:rsidRPr="0032239B" w:rsidRDefault="007004BD" w:rsidP="00BF5B70">
            <w:pPr>
              <w:spacing w:before="20" w:after="20"/>
              <w:rPr>
                <w:rFonts w:ascii="Arial" w:hAnsi="Arial" w:cs="Arial"/>
                <w:sz w:val="24"/>
                <w:szCs w:val="24"/>
                <w:lang w:val="en-GB"/>
              </w:rPr>
            </w:pPr>
            <w:r w:rsidRPr="0032239B">
              <w:rPr>
                <w:rFonts w:ascii="Arial" w:hAnsi="Arial" w:cs="Arial"/>
                <w:b/>
                <w:bCs/>
                <w:sz w:val="24"/>
                <w:szCs w:val="24"/>
                <w:lang w:val="en-GB"/>
              </w:rPr>
              <w:t>Schools Investment</w:t>
            </w:r>
            <w:r w:rsidRPr="0032239B">
              <w:rPr>
                <w:rFonts w:ascii="Arial" w:hAnsi="Arial" w:cs="Arial"/>
                <w:sz w:val="24"/>
                <w:szCs w:val="24"/>
                <w:lang w:val="en-GB"/>
              </w:rPr>
              <w:t xml:space="preserve"> to provide educational places for pupils based on demographic changes in the city</w:t>
            </w:r>
          </w:p>
        </w:tc>
        <w:tc>
          <w:tcPr>
            <w:tcW w:w="675" w:type="pct"/>
            <w:shd w:val="clear" w:color="auto" w:fill="auto"/>
            <w:noWrap/>
            <w:vAlign w:val="center"/>
            <w:hideMark/>
          </w:tcPr>
          <w:p w14:paraId="61824416" w14:textId="73A77D22" w:rsidR="009B058F" w:rsidRPr="006C776D" w:rsidRDefault="007004BD" w:rsidP="00BF5B70">
            <w:pPr>
              <w:spacing w:before="20" w:after="20"/>
              <w:jc w:val="right"/>
              <w:rPr>
                <w:rFonts w:ascii="Arial" w:hAnsi="Arial" w:cs="Arial"/>
                <w:sz w:val="24"/>
                <w:szCs w:val="24"/>
                <w:lang w:val="en-GB"/>
              </w:rPr>
            </w:pPr>
            <w:r w:rsidRPr="006C776D">
              <w:rPr>
                <w:rFonts w:ascii="Arial" w:hAnsi="Arial" w:cs="Arial"/>
                <w:sz w:val="24"/>
                <w:szCs w:val="24"/>
                <w:lang w:val="en-GB"/>
              </w:rPr>
              <w:t xml:space="preserve">    </w:t>
            </w:r>
            <w:r w:rsidR="006C776D" w:rsidRPr="006C776D">
              <w:rPr>
                <w:rFonts w:ascii="Arial" w:hAnsi="Arial" w:cs="Arial"/>
                <w:sz w:val="24"/>
                <w:szCs w:val="24"/>
                <w:lang w:val="en-GB"/>
              </w:rPr>
              <w:t>4.534</w:t>
            </w:r>
            <w:r w:rsidRPr="006C776D">
              <w:rPr>
                <w:rFonts w:ascii="Arial" w:hAnsi="Arial" w:cs="Arial"/>
                <w:sz w:val="24"/>
                <w:szCs w:val="24"/>
                <w:lang w:val="en-GB"/>
              </w:rPr>
              <w:t xml:space="preserve"> </w:t>
            </w:r>
          </w:p>
        </w:tc>
      </w:tr>
      <w:tr w:rsidR="00A53B77" w14:paraId="393794A2" w14:textId="77777777" w:rsidTr="0049726C">
        <w:trPr>
          <w:trHeight w:val="315"/>
        </w:trPr>
        <w:tc>
          <w:tcPr>
            <w:tcW w:w="4325" w:type="pct"/>
            <w:shd w:val="clear" w:color="auto" w:fill="auto"/>
            <w:noWrap/>
            <w:vAlign w:val="bottom"/>
            <w:hideMark/>
          </w:tcPr>
          <w:p w14:paraId="508D0950" w14:textId="7A34D5F2" w:rsidR="009B058F" w:rsidRPr="0032239B" w:rsidRDefault="007004BD" w:rsidP="00BF5B70">
            <w:pPr>
              <w:spacing w:before="20" w:after="20"/>
              <w:rPr>
                <w:rFonts w:ascii="Arial" w:hAnsi="Arial" w:cs="Arial"/>
                <w:sz w:val="24"/>
                <w:szCs w:val="24"/>
                <w:lang w:val="en-GB"/>
              </w:rPr>
            </w:pPr>
            <w:r w:rsidRPr="0032239B">
              <w:rPr>
                <w:rFonts w:ascii="Arial" w:hAnsi="Arial" w:cs="Arial"/>
                <w:b/>
                <w:bCs/>
                <w:sz w:val="24"/>
                <w:szCs w:val="24"/>
                <w:lang w:val="en-GB"/>
              </w:rPr>
              <w:t xml:space="preserve">Regeneration </w:t>
            </w:r>
            <w:r w:rsidRPr="0032239B">
              <w:rPr>
                <w:rFonts w:ascii="Arial" w:hAnsi="Arial" w:cs="Arial"/>
                <w:sz w:val="24"/>
                <w:szCs w:val="24"/>
                <w:lang w:val="en-GB"/>
              </w:rPr>
              <w:t>including Madeira Terraces, Black Rock, Valley Gardens</w:t>
            </w:r>
            <w:r w:rsidR="0032239B" w:rsidRPr="0032239B">
              <w:rPr>
                <w:rFonts w:ascii="Arial" w:hAnsi="Arial" w:cs="Arial"/>
                <w:sz w:val="24"/>
                <w:szCs w:val="24"/>
                <w:lang w:val="en-GB"/>
              </w:rPr>
              <w:t>, The Royal Pavi</w:t>
            </w:r>
            <w:r w:rsidR="009A7731">
              <w:rPr>
                <w:rFonts w:ascii="Arial" w:hAnsi="Arial" w:cs="Arial"/>
                <w:sz w:val="24"/>
                <w:szCs w:val="24"/>
                <w:lang w:val="en-GB"/>
              </w:rPr>
              <w:t>li</w:t>
            </w:r>
            <w:r w:rsidR="0032239B" w:rsidRPr="0032239B">
              <w:rPr>
                <w:rFonts w:ascii="Arial" w:hAnsi="Arial" w:cs="Arial"/>
                <w:sz w:val="24"/>
                <w:szCs w:val="24"/>
                <w:lang w:val="en-GB"/>
              </w:rPr>
              <w:t>on Estate and New England House</w:t>
            </w:r>
          </w:p>
        </w:tc>
        <w:tc>
          <w:tcPr>
            <w:tcW w:w="675" w:type="pct"/>
            <w:shd w:val="clear" w:color="auto" w:fill="auto"/>
            <w:noWrap/>
            <w:vAlign w:val="center"/>
            <w:hideMark/>
          </w:tcPr>
          <w:p w14:paraId="4DAB21AC" w14:textId="3F516391" w:rsidR="009B058F" w:rsidRPr="006C776D" w:rsidRDefault="007004BD" w:rsidP="00BF5B70">
            <w:pPr>
              <w:spacing w:before="20" w:after="20"/>
              <w:jc w:val="right"/>
              <w:rPr>
                <w:rFonts w:ascii="Arial" w:hAnsi="Arial" w:cs="Arial"/>
                <w:sz w:val="24"/>
                <w:szCs w:val="24"/>
                <w:lang w:val="en-GB"/>
              </w:rPr>
            </w:pPr>
            <w:r w:rsidRPr="006C776D">
              <w:rPr>
                <w:rFonts w:ascii="Arial" w:hAnsi="Arial" w:cs="Arial"/>
                <w:sz w:val="24"/>
                <w:szCs w:val="24"/>
                <w:lang w:val="en-GB"/>
              </w:rPr>
              <w:t xml:space="preserve">    </w:t>
            </w:r>
            <w:r w:rsidR="006C776D" w:rsidRPr="006C776D">
              <w:rPr>
                <w:rFonts w:ascii="Arial" w:hAnsi="Arial" w:cs="Arial"/>
                <w:sz w:val="24"/>
                <w:szCs w:val="24"/>
                <w:lang w:val="en-GB"/>
              </w:rPr>
              <w:t>37.109</w:t>
            </w:r>
            <w:r w:rsidRPr="006C776D">
              <w:rPr>
                <w:rFonts w:ascii="Arial" w:hAnsi="Arial" w:cs="Arial"/>
                <w:sz w:val="24"/>
                <w:szCs w:val="24"/>
                <w:lang w:val="en-GB"/>
              </w:rPr>
              <w:t xml:space="preserve"> </w:t>
            </w:r>
          </w:p>
        </w:tc>
      </w:tr>
      <w:tr w:rsidR="00A53B77" w14:paraId="7800CEB2" w14:textId="77777777" w:rsidTr="0049726C">
        <w:trPr>
          <w:trHeight w:val="315"/>
        </w:trPr>
        <w:tc>
          <w:tcPr>
            <w:tcW w:w="4325" w:type="pct"/>
            <w:shd w:val="clear" w:color="auto" w:fill="auto"/>
            <w:noWrap/>
            <w:vAlign w:val="bottom"/>
            <w:hideMark/>
          </w:tcPr>
          <w:p w14:paraId="244DD9D4" w14:textId="77777777" w:rsidR="009B058F" w:rsidRPr="0032239B" w:rsidRDefault="007004BD" w:rsidP="00BF5B70">
            <w:pPr>
              <w:spacing w:before="20" w:after="20"/>
              <w:rPr>
                <w:rFonts w:ascii="Arial" w:hAnsi="Arial" w:cs="Arial"/>
                <w:sz w:val="24"/>
                <w:szCs w:val="24"/>
                <w:lang w:val="en-GB"/>
              </w:rPr>
            </w:pPr>
            <w:r w:rsidRPr="0032239B">
              <w:rPr>
                <w:rFonts w:ascii="Arial" w:hAnsi="Arial" w:cs="Arial"/>
                <w:b/>
                <w:bCs/>
                <w:sz w:val="24"/>
                <w:szCs w:val="24"/>
                <w:lang w:val="en-GB"/>
              </w:rPr>
              <w:t>Tackling Inequality</w:t>
            </w:r>
            <w:r w:rsidRPr="0032239B">
              <w:rPr>
                <w:rFonts w:ascii="Arial" w:hAnsi="Arial" w:cs="Arial"/>
                <w:sz w:val="24"/>
                <w:szCs w:val="24"/>
                <w:lang w:val="en-GB"/>
              </w:rPr>
              <w:t xml:space="preserve"> including Disabled Facilities Grant (DFG) projects and the Knoll House redevelopment</w:t>
            </w:r>
          </w:p>
        </w:tc>
        <w:tc>
          <w:tcPr>
            <w:tcW w:w="675" w:type="pct"/>
            <w:shd w:val="clear" w:color="auto" w:fill="auto"/>
            <w:noWrap/>
            <w:vAlign w:val="center"/>
            <w:hideMark/>
          </w:tcPr>
          <w:p w14:paraId="59AA5EB9" w14:textId="34FF0C14" w:rsidR="009B058F" w:rsidRPr="0032239B" w:rsidRDefault="007004BD" w:rsidP="00BF5B70">
            <w:pPr>
              <w:spacing w:before="20" w:after="20"/>
              <w:jc w:val="right"/>
              <w:rPr>
                <w:rFonts w:ascii="Arial" w:hAnsi="Arial" w:cs="Arial"/>
                <w:sz w:val="24"/>
                <w:szCs w:val="24"/>
                <w:lang w:val="en-GB"/>
              </w:rPr>
            </w:pPr>
            <w:r w:rsidRPr="0032239B">
              <w:rPr>
                <w:rFonts w:ascii="Arial" w:hAnsi="Arial" w:cs="Arial"/>
                <w:sz w:val="24"/>
                <w:szCs w:val="24"/>
                <w:lang w:val="en-GB"/>
              </w:rPr>
              <w:t xml:space="preserve">      </w:t>
            </w:r>
            <w:r w:rsidR="006C776D" w:rsidRPr="0032239B">
              <w:rPr>
                <w:rFonts w:ascii="Arial" w:hAnsi="Arial" w:cs="Arial"/>
                <w:sz w:val="24"/>
                <w:szCs w:val="24"/>
                <w:lang w:val="en-GB"/>
              </w:rPr>
              <w:t>10.679</w:t>
            </w:r>
            <w:r w:rsidRPr="0032239B">
              <w:rPr>
                <w:rFonts w:ascii="Arial" w:hAnsi="Arial" w:cs="Arial"/>
                <w:sz w:val="24"/>
                <w:szCs w:val="24"/>
                <w:lang w:val="en-GB"/>
              </w:rPr>
              <w:t xml:space="preserve"> </w:t>
            </w:r>
          </w:p>
        </w:tc>
      </w:tr>
      <w:tr w:rsidR="00A53B77" w14:paraId="0CCFA34F" w14:textId="77777777" w:rsidTr="0049726C">
        <w:trPr>
          <w:trHeight w:val="315"/>
        </w:trPr>
        <w:tc>
          <w:tcPr>
            <w:tcW w:w="4325" w:type="pct"/>
            <w:shd w:val="clear" w:color="auto" w:fill="auto"/>
            <w:noWrap/>
            <w:vAlign w:val="bottom"/>
            <w:hideMark/>
          </w:tcPr>
          <w:p w14:paraId="52068DA8" w14:textId="491E29F7" w:rsidR="009B058F" w:rsidRPr="0032239B" w:rsidRDefault="007004BD" w:rsidP="00BF5B70">
            <w:pPr>
              <w:spacing w:before="20" w:after="20"/>
              <w:rPr>
                <w:rFonts w:ascii="Arial" w:hAnsi="Arial" w:cs="Arial"/>
                <w:sz w:val="24"/>
                <w:szCs w:val="24"/>
                <w:lang w:val="en-GB"/>
              </w:rPr>
            </w:pPr>
            <w:r w:rsidRPr="0032239B">
              <w:rPr>
                <w:rFonts w:ascii="Arial" w:hAnsi="Arial" w:cs="Arial"/>
                <w:b/>
                <w:bCs/>
                <w:sz w:val="24"/>
                <w:szCs w:val="24"/>
                <w:lang w:val="en-GB"/>
              </w:rPr>
              <w:t>Building Maintenance</w:t>
            </w:r>
            <w:r w:rsidRPr="0032239B">
              <w:rPr>
                <w:rFonts w:ascii="Arial" w:hAnsi="Arial" w:cs="Arial"/>
                <w:sz w:val="24"/>
                <w:szCs w:val="24"/>
                <w:lang w:val="en-GB"/>
              </w:rPr>
              <w:t xml:space="preserve"> including the Workstyles programme, Planned Maintenance, Education </w:t>
            </w:r>
            <w:r w:rsidR="00F65CC5">
              <w:rPr>
                <w:rFonts w:ascii="Arial" w:hAnsi="Arial" w:cs="Arial"/>
                <w:sz w:val="24"/>
                <w:szCs w:val="24"/>
                <w:lang w:val="en-GB"/>
              </w:rPr>
              <w:t xml:space="preserve">and Social Care </w:t>
            </w:r>
            <w:r w:rsidRPr="0032239B">
              <w:rPr>
                <w:rFonts w:ascii="Arial" w:hAnsi="Arial" w:cs="Arial"/>
                <w:sz w:val="24"/>
                <w:szCs w:val="24"/>
                <w:lang w:val="en-GB"/>
              </w:rPr>
              <w:t>Buildings Maintenance, the Asset Management Fund and various security, fire and safety works</w:t>
            </w:r>
          </w:p>
        </w:tc>
        <w:tc>
          <w:tcPr>
            <w:tcW w:w="675" w:type="pct"/>
            <w:shd w:val="clear" w:color="auto" w:fill="auto"/>
            <w:noWrap/>
            <w:vAlign w:val="center"/>
            <w:hideMark/>
          </w:tcPr>
          <w:p w14:paraId="60753DC5" w14:textId="3DBAFE9C" w:rsidR="009B058F" w:rsidRPr="0032239B" w:rsidRDefault="007004BD" w:rsidP="00BF5B70">
            <w:pPr>
              <w:spacing w:before="20" w:after="20"/>
              <w:jc w:val="right"/>
              <w:rPr>
                <w:rFonts w:ascii="Arial" w:hAnsi="Arial" w:cs="Arial"/>
                <w:sz w:val="24"/>
                <w:szCs w:val="24"/>
                <w:lang w:val="en-GB"/>
              </w:rPr>
            </w:pPr>
            <w:r w:rsidRPr="0032239B">
              <w:rPr>
                <w:rFonts w:ascii="Arial" w:hAnsi="Arial" w:cs="Arial"/>
                <w:sz w:val="24"/>
                <w:szCs w:val="24"/>
                <w:lang w:val="en-GB"/>
              </w:rPr>
              <w:t xml:space="preserve">    2</w:t>
            </w:r>
            <w:r w:rsidR="006C776D" w:rsidRPr="0032239B">
              <w:rPr>
                <w:rFonts w:ascii="Arial" w:hAnsi="Arial" w:cs="Arial"/>
                <w:sz w:val="24"/>
                <w:szCs w:val="24"/>
                <w:lang w:val="en-GB"/>
              </w:rPr>
              <w:t>6.828</w:t>
            </w:r>
          </w:p>
        </w:tc>
      </w:tr>
      <w:tr w:rsidR="00A53B77" w14:paraId="26889E6D" w14:textId="77777777" w:rsidTr="0049726C">
        <w:trPr>
          <w:trHeight w:val="315"/>
        </w:trPr>
        <w:tc>
          <w:tcPr>
            <w:tcW w:w="4325" w:type="pct"/>
            <w:shd w:val="clear" w:color="auto" w:fill="auto"/>
            <w:noWrap/>
            <w:vAlign w:val="bottom"/>
            <w:hideMark/>
          </w:tcPr>
          <w:p w14:paraId="14B8C107" w14:textId="67F632A6" w:rsidR="009B058F" w:rsidRPr="006C776D" w:rsidRDefault="007004BD" w:rsidP="00BF5B70">
            <w:pPr>
              <w:spacing w:before="20" w:after="20"/>
              <w:rPr>
                <w:rFonts w:ascii="Arial" w:hAnsi="Arial" w:cs="Arial"/>
                <w:sz w:val="24"/>
                <w:szCs w:val="24"/>
                <w:lang w:val="en-GB"/>
              </w:rPr>
            </w:pPr>
            <w:r w:rsidRPr="006C776D">
              <w:rPr>
                <w:rFonts w:ascii="Arial" w:hAnsi="Arial" w:cs="Arial"/>
                <w:b/>
                <w:bCs/>
                <w:sz w:val="24"/>
                <w:szCs w:val="24"/>
                <w:lang w:val="en-GB"/>
              </w:rPr>
              <w:t>IT&amp;D / Modernisation</w:t>
            </w:r>
            <w:r w:rsidRPr="006C776D">
              <w:rPr>
                <w:rFonts w:ascii="Arial" w:hAnsi="Arial" w:cs="Arial"/>
                <w:sz w:val="24"/>
                <w:szCs w:val="24"/>
                <w:lang w:val="en-GB"/>
              </w:rPr>
              <w:t xml:space="preserve"> including the Modernisation Fund as well as re-procurement of the </w:t>
            </w:r>
            <w:r w:rsidR="006C776D" w:rsidRPr="006C776D">
              <w:rPr>
                <w:rFonts w:ascii="Arial" w:hAnsi="Arial" w:cs="Arial"/>
                <w:sz w:val="24"/>
                <w:szCs w:val="24"/>
                <w:lang w:val="en-GB"/>
              </w:rPr>
              <w:t>Local</w:t>
            </w:r>
            <w:r w:rsidRPr="006C776D">
              <w:rPr>
                <w:rFonts w:ascii="Arial" w:hAnsi="Arial" w:cs="Arial"/>
                <w:sz w:val="24"/>
                <w:szCs w:val="24"/>
                <w:lang w:val="en-GB"/>
              </w:rPr>
              <w:t xml:space="preserve"> Area Network</w:t>
            </w:r>
            <w:r w:rsidR="008F2272">
              <w:rPr>
                <w:rFonts w:ascii="Arial" w:hAnsi="Arial" w:cs="Arial"/>
                <w:sz w:val="24"/>
                <w:szCs w:val="24"/>
                <w:lang w:val="en-GB"/>
              </w:rPr>
              <w:t>,</w:t>
            </w:r>
            <w:r w:rsidRPr="006C776D">
              <w:rPr>
                <w:rFonts w:ascii="Arial" w:hAnsi="Arial" w:cs="Arial"/>
                <w:sz w:val="24"/>
                <w:szCs w:val="24"/>
                <w:lang w:val="en-GB"/>
              </w:rPr>
              <w:t xml:space="preserve"> investment in digital services for customers, and ongoing investment in the IT&amp;D infrastructure</w:t>
            </w:r>
            <w:r w:rsidR="00F65CC5">
              <w:rPr>
                <w:rFonts w:ascii="Arial" w:hAnsi="Arial" w:cs="Arial"/>
                <w:sz w:val="24"/>
                <w:szCs w:val="24"/>
                <w:lang w:val="en-GB"/>
              </w:rPr>
              <w:t xml:space="preserve"> and Digital Data &amp; Technology (</w:t>
            </w:r>
            <w:proofErr w:type="spellStart"/>
            <w:r w:rsidR="00F65CC5">
              <w:rPr>
                <w:rFonts w:ascii="Arial" w:hAnsi="Arial" w:cs="Arial"/>
                <w:sz w:val="24"/>
                <w:szCs w:val="24"/>
                <w:lang w:val="en-GB"/>
              </w:rPr>
              <w:t>DDaT</w:t>
            </w:r>
            <w:proofErr w:type="spellEnd"/>
            <w:r w:rsidR="00F65CC5">
              <w:rPr>
                <w:rFonts w:ascii="Arial" w:hAnsi="Arial" w:cs="Arial"/>
                <w:sz w:val="24"/>
                <w:szCs w:val="24"/>
                <w:lang w:val="en-GB"/>
              </w:rPr>
              <w:t>) strategy</w:t>
            </w:r>
          </w:p>
        </w:tc>
        <w:tc>
          <w:tcPr>
            <w:tcW w:w="675" w:type="pct"/>
            <w:shd w:val="clear" w:color="auto" w:fill="auto"/>
            <w:noWrap/>
            <w:vAlign w:val="center"/>
            <w:hideMark/>
          </w:tcPr>
          <w:p w14:paraId="0ED1ED48" w14:textId="501712EE" w:rsidR="009B058F" w:rsidRPr="0047304F" w:rsidRDefault="007004BD" w:rsidP="00BF5B70">
            <w:pPr>
              <w:spacing w:before="20" w:after="20"/>
              <w:jc w:val="right"/>
              <w:rPr>
                <w:rFonts w:ascii="Arial" w:hAnsi="Arial" w:cs="Arial"/>
                <w:sz w:val="24"/>
                <w:szCs w:val="24"/>
                <w:lang w:val="en-GB"/>
              </w:rPr>
            </w:pPr>
            <w:r w:rsidRPr="0047304F">
              <w:rPr>
                <w:rFonts w:ascii="Arial" w:hAnsi="Arial" w:cs="Arial"/>
                <w:sz w:val="24"/>
                <w:szCs w:val="24"/>
                <w:lang w:val="en-GB"/>
              </w:rPr>
              <w:t xml:space="preserve">      1</w:t>
            </w:r>
            <w:r w:rsidR="006C776D" w:rsidRPr="0047304F">
              <w:rPr>
                <w:rFonts w:ascii="Arial" w:hAnsi="Arial" w:cs="Arial"/>
                <w:sz w:val="24"/>
                <w:szCs w:val="24"/>
                <w:lang w:val="en-GB"/>
              </w:rPr>
              <w:t>0.302</w:t>
            </w:r>
            <w:r w:rsidRPr="0047304F">
              <w:rPr>
                <w:rFonts w:ascii="Arial" w:hAnsi="Arial" w:cs="Arial"/>
                <w:sz w:val="24"/>
                <w:szCs w:val="24"/>
                <w:lang w:val="en-GB"/>
              </w:rPr>
              <w:t xml:space="preserve"> </w:t>
            </w:r>
          </w:p>
        </w:tc>
      </w:tr>
      <w:tr w:rsidR="00A53B77" w14:paraId="630D51DA" w14:textId="77777777" w:rsidTr="0049726C">
        <w:trPr>
          <w:trHeight w:val="315"/>
        </w:trPr>
        <w:tc>
          <w:tcPr>
            <w:tcW w:w="4325" w:type="pct"/>
            <w:shd w:val="clear" w:color="auto" w:fill="auto"/>
            <w:noWrap/>
            <w:vAlign w:val="bottom"/>
            <w:hideMark/>
          </w:tcPr>
          <w:p w14:paraId="62328912" w14:textId="77777777" w:rsidR="009B058F" w:rsidRPr="006C776D" w:rsidRDefault="007004BD" w:rsidP="00BF5B70">
            <w:pPr>
              <w:spacing w:before="20" w:after="20"/>
              <w:rPr>
                <w:rFonts w:ascii="Arial" w:hAnsi="Arial" w:cs="Arial"/>
                <w:sz w:val="24"/>
                <w:szCs w:val="24"/>
                <w:lang w:val="en-GB"/>
              </w:rPr>
            </w:pPr>
            <w:r w:rsidRPr="006C776D">
              <w:rPr>
                <w:rFonts w:ascii="Arial" w:hAnsi="Arial" w:cs="Arial"/>
                <w:b/>
                <w:bCs/>
                <w:sz w:val="24"/>
                <w:szCs w:val="24"/>
                <w:lang w:val="en-GB"/>
              </w:rPr>
              <w:t>Vehicles &amp; Equipment</w:t>
            </w:r>
            <w:r w:rsidRPr="006C776D">
              <w:rPr>
                <w:rFonts w:ascii="Arial" w:hAnsi="Arial" w:cs="Arial"/>
                <w:sz w:val="24"/>
                <w:szCs w:val="24"/>
                <w:lang w:val="en-GB"/>
              </w:rPr>
              <w:t xml:space="preserve"> for the council’s vehicle fleet replacement programme</w:t>
            </w:r>
          </w:p>
        </w:tc>
        <w:tc>
          <w:tcPr>
            <w:tcW w:w="675" w:type="pct"/>
            <w:shd w:val="clear" w:color="auto" w:fill="auto"/>
            <w:noWrap/>
            <w:vAlign w:val="center"/>
            <w:hideMark/>
          </w:tcPr>
          <w:p w14:paraId="47C170B3" w14:textId="77777777" w:rsidR="009B058F" w:rsidRPr="006C776D" w:rsidRDefault="007004BD" w:rsidP="00BF5B70">
            <w:pPr>
              <w:spacing w:before="20" w:after="20"/>
              <w:jc w:val="right"/>
              <w:rPr>
                <w:rFonts w:ascii="Arial" w:hAnsi="Arial" w:cs="Arial"/>
                <w:sz w:val="24"/>
                <w:szCs w:val="24"/>
                <w:lang w:val="en-GB"/>
              </w:rPr>
            </w:pPr>
            <w:r w:rsidRPr="006C776D">
              <w:rPr>
                <w:rFonts w:ascii="Arial" w:hAnsi="Arial" w:cs="Arial"/>
                <w:sz w:val="24"/>
                <w:szCs w:val="24"/>
                <w:lang w:val="en-GB"/>
              </w:rPr>
              <w:t xml:space="preserve">      2.500 </w:t>
            </w:r>
          </w:p>
        </w:tc>
      </w:tr>
      <w:tr w:rsidR="00A53B77" w14:paraId="44256E21" w14:textId="77777777" w:rsidTr="00A72C8C">
        <w:trPr>
          <w:trHeight w:val="315"/>
        </w:trPr>
        <w:tc>
          <w:tcPr>
            <w:tcW w:w="4325" w:type="pct"/>
            <w:shd w:val="clear" w:color="auto" w:fill="D9D9D9" w:themeFill="background1" w:themeFillShade="D9"/>
            <w:noWrap/>
            <w:vAlign w:val="bottom"/>
          </w:tcPr>
          <w:p w14:paraId="1109F556" w14:textId="2210E06C" w:rsidR="009B058F" w:rsidRPr="006C776D" w:rsidRDefault="007004BD" w:rsidP="00BF5B70">
            <w:pPr>
              <w:spacing w:before="20" w:after="20"/>
              <w:rPr>
                <w:rFonts w:ascii="Arial" w:hAnsi="Arial" w:cs="Arial"/>
                <w:b/>
                <w:bCs/>
                <w:sz w:val="24"/>
                <w:szCs w:val="24"/>
                <w:lang w:val="en-GB"/>
              </w:rPr>
            </w:pPr>
            <w:r w:rsidRPr="006C776D">
              <w:rPr>
                <w:rFonts w:ascii="Arial" w:hAnsi="Arial" w:cs="Arial"/>
                <w:b/>
                <w:bCs/>
                <w:sz w:val="24"/>
                <w:szCs w:val="24"/>
                <w:lang w:val="en-GB"/>
              </w:rPr>
              <w:t>TOTAL CAPITAL INVESTMENT PROGRAMME 202</w:t>
            </w:r>
            <w:r w:rsidR="00CA2165">
              <w:rPr>
                <w:rFonts w:ascii="Arial" w:hAnsi="Arial" w:cs="Arial"/>
                <w:b/>
                <w:bCs/>
                <w:sz w:val="24"/>
                <w:szCs w:val="24"/>
                <w:lang w:val="en-GB"/>
              </w:rPr>
              <w:t>4</w:t>
            </w:r>
            <w:r w:rsidRPr="006C776D">
              <w:rPr>
                <w:rFonts w:ascii="Arial" w:hAnsi="Arial" w:cs="Arial"/>
                <w:b/>
                <w:bCs/>
                <w:sz w:val="24"/>
                <w:szCs w:val="24"/>
                <w:lang w:val="en-GB"/>
              </w:rPr>
              <w:t>/2</w:t>
            </w:r>
            <w:r w:rsidR="00CA2165">
              <w:rPr>
                <w:rFonts w:ascii="Arial" w:hAnsi="Arial" w:cs="Arial"/>
                <w:b/>
                <w:bCs/>
                <w:sz w:val="24"/>
                <w:szCs w:val="24"/>
                <w:lang w:val="en-GB"/>
              </w:rPr>
              <w:t>5</w:t>
            </w:r>
          </w:p>
        </w:tc>
        <w:tc>
          <w:tcPr>
            <w:tcW w:w="675" w:type="pct"/>
            <w:shd w:val="clear" w:color="auto" w:fill="D9D9D9" w:themeFill="background1" w:themeFillShade="D9"/>
            <w:noWrap/>
            <w:vAlign w:val="center"/>
          </w:tcPr>
          <w:p w14:paraId="46158F40" w14:textId="341694C9" w:rsidR="009B058F" w:rsidRPr="006C776D" w:rsidRDefault="007004BD" w:rsidP="00BF5B70">
            <w:pPr>
              <w:spacing w:before="20" w:after="20"/>
              <w:jc w:val="right"/>
              <w:rPr>
                <w:rFonts w:ascii="Arial" w:hAnsi="Arial" w:cs="Arial"/>
                <w:b/>
                <w:bCs/>
                <w:sz w:val="24"/>
                <w:szCs w:val="24"/>
                <w:lang w:val="en-GB"/>
              </w:rPr>
            </w:pPr>
            <w:r w:rsidRPr="006C776D">
              <w:rPr>
                <w:rFonts w:ascii="Arial" w:hAnsi="Arial" w:cs="Arial"/>
                <w:b/>
                <w:bCs/>
                <w:sz w:val="24"/>
                <w:szCs w:val="24"/>
                <w:lang w:val="en-GB"/>
              </w:rPr>
              <w:fldChar w:fldCharType="begin"/>
            </w:r>
            <w:r w:rsidRPr="006C776D">
              <w:rPr>
                <w:rFonts w:ascii="Arial" w:hAnsi="Arial" w:cs="Arial"/>
                <w:b/>
                <w:bCs/>
                <w:sz w:val="24"/>
                <w:szCs w:val="24"/>
                <w:lang w:val="en-GB"/>
              </w:rPr>
              <w:instrText xml:space="preserve"> =SUM(ABOVE) </w:instrText>
            </w:r>
            <w:r w:rsidRPr="006C776D">
              <w:rPr>
                <w:rFonts w:ascii="Arial" w:hAnsi="Arial" w:cs="Arial"/>
                <w:b/>
                <w:bCs/>
                <w:sz w:val="24"/>
                <w:szCs w:val="24"/>
                <w:lang w:val="en-GB"/>
              </w:rPr>
              <w:fldChar w:fldCharType="separate"/>
            </w:r>
            <w:r w:rsidRPr="006C776D">
              <w:rPr>
                <w:rFonts w:ascii="Arial" w:hAnsi="Arial" w:cs="Arial"/>
                <w:b/>
                <w:bCs/>
                <w:sz w:val="24"/>
                <w:szCs w:val="24"/>
                <w:lang w:val="en-GB"/>
              </w:rPr>
              <w:t>211.</w:t>
            </w:r>
            <w:r w:rsidRPr="006C776D">
              <w:rPr>
                <w:rFonts w:ascii="Arial" w:hAnsi="Arial" w:cs="Arial"/>
                <w:b/>
                <w:bCs/>
                <w:sz w:val="24"/>
                <w:szCs w:val="24"/>
                <w:lang w:val="en-GB"/>
              </w:rPr>
              <w:fldChar w:fldCharType="end"/>
            </w:r>
            <w:r w:rsidR="006C776D" w:rsidRPr="006C776D">
              <w:rPr>
                <w:rFonts w:ascii="Arial" w:hAnsi="Arial" w:cs="Arial"/>
                <w:b/>
                <w:bCs/>
                <w:sz w:val="24"/>
                <w:szCs w:val="24"/>
                <w:lang w:val="en-GB"/>
              </w:rPr>
              <w:t>470</w:t>
            </w:r>
          </w:p>
        </w:tc>
      </w:tr>
    </w:tbl>
    <w:p w14:paraId="6AFEC6B2" w14:textId="77777777" w:rsidR="009B058F" w:rsidRPr="00DA6D29" w:rsidRDefault="009B058F" w:rsidP="009B058F">
      <w:pPr>
        <w:rPr>
          <w:rFonts w:ascii="Arial" w:hAnsi="Arial" w:cs="Arial"/>
          <w:color w:val="FF0000"/>
          <w:sz w:val="24"/>
          <w:szCs w:val="24"/>
          <w:lang w:val="en-GB"/>
        </w:rPr>
      </w:pPr>
    </w:p>
    <w:p w14:paraId="55D87486" w14:textId="6BFB1E94" w:rsidR="00E1393C" w:rsidRPr="0051273A" w:rsidRDefault="007004BD" w:rsidP="00E945CB">
      <w:pPr>
        <w:pStyle w:val="Heading2"/>
      </w:pPr>
      <w:r w:rsidRPr="0051273A">
        <w:t>The Capital Strategy at Appendix 2 sets out how the programme will be funded from a combination of government grants, capital receipts, capital reserves, HRA direct revenue funding, external contributions and prudential borrowing.</w:t>
      </w:r>
    </w:p>
    <w:p w14:paraId="5CC28553" w14:textId="20A91CCD" w:rsidR="00661C73" w:rsidRPr="00F65CC5" w:rsidRDefault="007004BD" w:rsidP="00F65CC5">
      <w:pPr>
        <w:keepNext/>
        <w:spacing w:before="120" w:after="120"/>
        <w:ind w:left="709"/>
        <w:rPr>
          <w:rFonts w:ascii="Arial" w:hAnsi="Arial" w:cs="Arial"/>
          <w:b/>
          <w:bCs/>
          <w:i/>
          <w:iCs/>
          <w:sz w:val="24"/>
          <w:szCs w:val="24"/>
        </w:rPr>
      </w:pPr>
      <w:r w:rsidRPr="00F65CC5">
        <w:rPr>
          <w:rFonts w:ascii="Arial" w:hAnsi="Arial" w:cs="Arial"/>
          <w:b/>
          <w:bCs/>
          <w:i/>
          <w:iCs/>
          <w:sz w:val="24"/>
          <w:szCs w:val="24"/>
        </w:rPr>
        <w:t xml:space="preserve">Future </w:t>
      </w:r>
      <w:r w:rsidR="0049726C" w:rsidRPr="00F65CC5">
        <w:rPr>
          <w:rFonts w:ascii="Arial" w:hAnsi="Arial" w:cs="Arial"/>
          <w:b/>
          <w:bCs/>
          <w:i/>
          <w:iCs/>
          <w:sz w:val="24"/>
          <w:szCs w:val="24"/>
        </w:rPr>
        <w:t>Potential I</w:t>
      </w:r>
      <w:r w:rsidRPr="00F65CC5">
        <w:rPr>
          <w:rFonts w:ascii="Arial" w:hAnsi="Arial" w:cs="Arial"/>
          <w:b/>
          <w:bCs/>
          <w:i/>
          <w:iCs/>
          <w:sz w:val="24"/>
          <w:szCs w:val="24"/>
        </w:rPr>
        <w:t>nvestments</w:t>
      </w:r>
    </w:p>
    <w:p w14:paraId="4B198B48" w14:textId="2152F28D" w:rsidR="009B058F" w:rsidRPr="003D77A2" w:rsidRDefault="007004BD" w:rsidP="00E945CB">
      <w:pPr>
        <w:pStyle w:val="Heading2"/>
      </w:pPr>
      <w:r w:rsidRPr="003D77A2">
        <w:t>Whilst the 5</w:t>
      </w:r>
      <w:r w:rsidR="0049726C" w:rsidRPr="003D77A2">
        <w:t>-</w:t>
      </w:r>
      <w:r w:rsidRPr="003D77A2">
        <w:t>year capital programme highlights known</w:t>
      </w:r>
      <w:r w:rsidR="004413E9" w:rsidRPr="003D77A2">
        <w:t xml:space="preserve"> or quantifiable</w:t>
      </w:r>
      <w:r w:rsidRPr="003D77A2">
        <w:t xml:space="preserve"> investment plans, there are a number of schemes that </w:t>
      </w:r>
      <w:r w:rsidR="0051273A" w:rsidRPr="003D77A2">
        <w:t xml:space="preserve">are high priority but </w:t>
      </w:r>
      <w:r w:rsidRPr="003D77A2">
        <w:t xml:space="preserve">require further </w:t>
      </w:r>
      <w:r w:rsidR="0051273A" w:rsidRPr="003D77A2">
        <w:t>development before inclusion in the capital programme. These</w:t>
      </w:r>
      <w:r w:rsidR="00F65CC5">
        <w:t xml:space="preserve"> currently</w:t>
      </w:r>
      <w:r w:rsidR="0051273A" w:rsidRPr="003D77A2">
        <w:t xml:space="preserve"> include:</w:t>
      </w:r>
    </w:p>
    <w:p w14:paraId="2B909EF3" w14:textId="4DC37713" w:rsidR="0051273A" w:rsidRPr="003D77A2" w:rsidRDefault="007004BD" w:rsidP="003D77A2">
      <w:pPr>
        <w:pStyle w:val="ListParagraph"/>
        <w:numPr>
          <w:ilvl w:val="0"/>
          <w:numId w:val="4"/>
        </w:numPr>
        <w:spacing w:after="60"/>
        <w:ind w:left="1134" w:hanging="425"/>
        <w:contextualSpacing w:val="0"/>
        <w:rPr>
          <w:rFonts w:ascii="Arial" w:hAnsi="Arial" w:cs="Arial"/>
          <w:sz w:val="24"/>
          <w:szCs w:val="24"/>
          <w:lang w:val="en-GB"/>
        </w:rPr>
      </w:pPr>
      <w:r w:rsidRPr="003D77A2">
        <w:rPr>
          <w:rFonts w:ascii="Arial" w:hAnsi="Arial" w:cs="Arial"/>
          <w:sz w:val="24"/>
          <w:szCs w:val="24"/>
          <w:lang w:val="en-GB"/>
        </w:rPr>
        <w:t>Research and design for a Park and Ride scheme in the city.</w:t>
      </w:r>
    </w:p>
    <w:p w14:paraId="49B85789" w14:textId="77777777" w:rsidR="008F2272" w:rsidRDefault="007004BD" w:rsidP="003D77A2">
      <w:pPr>
        <w:pStyle w:val="ListParagraph"/>
        <w:numPr>
          <w:ilvl w:val="0"/>
          <w:numId w:val="4"/>
        </w:numPr>
        <w:spacing w:after="60"/>
        <w:ind w:left="1134" w:hanging="425"/>
        <w:contextualSpacing w:val="0"/>
        <w:rPr>
          <w:rFonts w:ascii="Arial" w:hAnsi="Arial" w:cs="Arial"/>
          <w:sz w:val="24"/>
          <w:szCs w:val="24"/>
          <w:lang w:val="en-GB"/>
        </w:rPr>
      </w:pPr>
      <w:r w:rsidRPr="003D77A2">
        <w:rPr>
          <w:rFonts w:ascii="Arial" w:hAnsi="Arial" w:cs="Arial"/>
          <w:sz w:val="24"/>
          <w:szCs w:val="24"/>
          <w:lang w:val="en-GB"/>
        </w:rPr>
        <w:t>A feasibility study to consider i</w:t>
      </w:r>
      <w:r w:rsidR="0051273A" w:rsidRPr="003D77A2">
        <w:rPr>
          <w:rFonts w:ascii="Arial" w:hAnsi="Arial" w:cs="Arial"/>
          <w:sz w:val="24"/>
          <w:szCs w:val="24"/>
          <w:lang w:val="en-GB"/>
        </w:rPr>
        <w:t xml:space="preserve">mprovements to the Brighton Station to the Sea </w:t>
      </w:r>
      <w:r w:rsidRPr="003D77A2">
        <w:rPr>
          <w:rFonts w:ascii="Arial" w:hAnsi="Arial" w:cs="Arial"/>
          <w:sz w:val="24"/>
          <w:szCs w:val="24"/>
          <w:lang w:val="en-GB"/>
        </w:rPr>
        <w:t>thoroughfare</w:t>
      </w:r>
      <w:r w:rsidR="003D77A2">
        <w:rPr>
          <w:rFonts w:ascii="Arial" w:hAnsi="Arial" w:cs="Arial"/>
          <w:sz w:val="24"/>
          <w:szCs w:val="24"/>
          <w:lang w:val="en-GB"/>
        </w:rPr>
        <w:t xml:space="preserve"> to add to the quality of the city as a visitor destination</w:t>
      </w:r>
      <w:r>
        <w:rPr>
          <w:rFonts w:ascii="Arial" w:hAnsi="Arial" w:cs="Arial"/>
          <w:sz w:val="24"/>
          <w:szCs w:val="24"/>
          <w:lang w:val="en-GB"/>
        </w:rPr>
        <w:t>.</w:t>
      </w:r>
    </w:p>
    <w:p w14:paraId="56B68192" w14:textId="4C6C1ECB" w:rsidR="0051273A" w:rsidRPr="003D77A2" w:rsidRDefault="007004BD" w:rsidP="003D77A2">
      <w:pPr>
        <w:pStyle w:val="ListParagraph"/>
        <w:numPr>
          <w:ilvl w:val="0"/>
          <w:numId w:val="4"/>
        </w:numPr>
        <w:spacing w:after="60"/>
        <w:ind w:left="1134" w:hanging="425"/>
        <w:contextualSpacing w:val="0"/>
        <w:rPr>
          <w:rFonts w:ascii="Arial" w:hAnsi="Arial" w:cs="Arial"/>
          <w:sz w:val="24"/>
          <w:szCs w:val="24"/>
          <w:lang w:val="en-GB"/>
        </w:rPr>
      </w:pPr>
      <w:r w:rsidRPr="008F2272">
        <w:rPr>
          <w:rFonts w:ascii="Arial" w:hAnsi="Arial" w:cs="Arial"/>
          <w:sz w:val="24"/>
          <w:szCs w:val="24"/>
          <w:lang w:val="en-GB"/>
        </w:rPr>
        <w:t>Potential redevelopment of Brighton Town Hall including community, civic and/or commercial spaces</w:t>
      </w:r>
      <w:r w:rsidR="004413E9" w:rsidRPr="003D77A2">
        <w:rPr>
          <w:rFonts w:ascii="Arial" w:hAnsi="Arial" w:cs="Arial"/>
          <w:sz w:val="24"/>
          <w:szCs w:val="24"/>
          <w:lang w:val="en-GB"/>
        </w:rPr>
        <w:t>.</w:t>
      </w:r>
    </w:p>
    <w:p w14:paraId="6F31BB87" w14:textId="7CA3B6B5" w:rsidR="003D77A2" w:rsidRPr="003D77A2" w:rsidRDefault="007004BD" w:rsidP="00E945CB">
      <w:pPr>
        <w:pStyle w:val="Heading2"/>
        <w:numPr>
          <w:ilvl w:val="0"/>
          <w:numId w:val="0"/>
        </w:numPr>
        <w:ind w:left="709"/>
      </w:pPr>
      <w:r>
        <w:t>The above potential schemes will require resources to undertake feasibility studies which are likely to require expert advice and consultancy at a cost. This could be enabled through further decommitment of lower priority capital investments or through identifying alternative one-off capital or revenue resources</w:t>
      </w:r>
      <w:r w:rsidR="008F2272">
        <w:t xml:space="preserve"> during 2024/25</w:t>
      </w:r>
      <w:r>
        <w:t>.</w:t>
      </w:r>
    </w:p>
    <w:p w14:paraId="2E01234C" w14:textId="77777777" w:rsidR="009B058F" w:rsidRPr="00E945CB" w:rsidRDefault="007004BD" w:rsidP="00E945CB">
      <w:pPr>
        <w:keepNext/>
        <w:spacing w:before="120" w:after="120"/>
        <w:ind w:left="709"/>
        <w:rPr>
          <w:rFonts w:ascii="Arial" w:hAnsi="Arial" w:cs="Arial"/>
          <w:b/>
          <w:bCs/>
          <w:i/>
          <w:iCs/>
          <w:sz w:val="24"/>
          <w:szCs w:val="24"/>
        </w:rPr>
      </w:pPr>
      <w:proofErr w:type="spellStart"/>
      <w:r w:rsidRPr="00E945CB">
        <w:rPr>
          <w:rFonts w:ascii="Arial" w:hAnsi="Arial" w:cs="Arial"/>
          <w:b/>
          <w:bCs/>
          <w:i/>
          <w:iCs/>
          <w:sz w:val="24"/>
          <w:szCs w:val="24"/>
        </w:rPr>
        <w:t>Modernisation</w:t>
      </w:r>
      <w:proofErr w:type="spellEnd"/>
      <w:r w:rsidRPr="00E945CB">
        <w:rPr>
          <w:rFonts w:ascii="Arial" w:hAnsi="Arial" w:cs="Arial"/>
          <w:b/>
          <w:bCs/>
          <w:i/>
          <w:iCs/>
          <w:sz w:val="24"/>
          <w:szCs w:val="24"/>
        </w:rPr>
        <w:t xml:space="preserve"> </w:t>
      </w:r>
      <w:proofErr w:type="spellStart"/>
      <w:r w:rsidRPr="00E945CB">
        <w:rPr>
          <w:rFonts w:ascii="Arial" w:hAnsi="Arial" w:cs="Arial"/>
          <w:b/>
          <w:bCs/>
          <w:i/>
          <w:iCs/>
          <w:sz w:val="24"/>
          <w:szCs w:val="24"/>
        </w:rPr>
        <w:t>Programme</w:t>
      </w:r>
      <w:proofErr w:type="spellEnd"/>
      <w:r w:rsidRPr="00E945CB">
        <w:rPr>
          <w:rFonts w:ascii="Arial" w:hAnsi="Arial" w:cs="Arial"/>
          <w:b/>
          <w:bCs/>
          <w:i/>
          <w:iCs/>
          <w:sz w:val="24"/>
          <w:szCs w:val="24"/>
        </w:rPr>
        <w:t xml:space="preserve"> Funding (‘</w:t>
      </w:r>
      <w:proofErr w:type="spellStart"/>
      <w:r w:rsidRPr="00E945CB">
        <w:rPr>
          <w:rFonts w:ascii="Arial" w:hAnsi="Arial" w:cs="Arial"/>
          <w:b/>
          <w:bCs/>
          <w:i/>
          <w:iCs/>
          <w:sz w:val="24"/>
          <w:szCs w:val="24"/>
        </w:rPr>
        <w:t>Modernisation</w:t>
      </w:r>
      <w:proofErr w:type="spellEnd"/>
      <w:r w:rsidRPr="00E945CB">
        <w:rPr>
          <w:rFonts w:ascii="Arial" w:hAnsi="Arial" w:cs="Arial"/>
          <w:b/>
          <w:bCs/>
          <w:i/>
          <w:iCs/>
          <w:sz w:val="24"/>
          <w:szCs w:val="24"/>
        </w:rPr>
        <w:t xml:space="preserve"> Fund’)</w:t>
      </w:r>
    </w:p>
    <w:p w14:paraId="7CB3E1CA" w14:textId="7E94E707" w:rsidR="009B058F" w:rsidRPr="00F63E6D" w:rsidRDefault="007004BD" w:rsidP="00E945CB">
      <w:pPr>
        <w:pStyle w:val="Heading2"/>
      </w:pPr>
      <w:r w:rsidRPr="00F63E6D">
        <w:t>As noted earlier</w:t>
      </w:r>
      <w:r w:rsidR="001325E5" w:rsidRPr="00F63E6D">
        <w:t xml:space="preserve"> </w:t>
      </w:r>
      <w:r w:rsidRPr="00F63E6D">
        <w:t>the council has focused on identifying and supporting the delivery of savings through its Modernisation Programme supported by significant capital investment. This is enabled by generating capital receipts from the sale of surplus assets to create an invest-to-save budget using the government’s capital receipt flexibilities, which allowed capital receipts to be applied to revenue saving projects and programmes.</w:t>
      </w:r>
    </w:p>
    <w:p w14:paraId="1BE9F1A7" w14:textId="1E6C0806" w:rsidR="009B058F" w:rsidRPr="00F63E6D" w:rsidRDefault="007004BD" w:rsidP="00E945CB">
      <w:pPr>
        <w:pStyle w:val="Heading2"/>
      </w:pPr>
      <w:bookmarkStart w:id="13" w:name="_Ref498939304"/>
      <w:r w:rsidRPr="00F63E6D">
        <w:t xml:space="preserve">The government has extended the ability to use capital receipts to support modernisation of services and deliver savings </w:t>
      </w:r>
      <w:r w:rsidR="00912487">
        <w:t>until March 2030.</w:t>
      </w:r>
      <w:r w:rsidRPr="00F63E6D">
        <w:t xml:space="preserve"> The table below sets out the use of capital receipts for this purpose in 2024/25. </w:t>
      </w:r>
      <w:r w:rsidR="0090087F" w:rsidRPr="00F63E6D">
        <w:t>For f</w:t>
      </w:r>
      <w:r w:rsidRPr="00F63E6D">
        <w:t>uture years</w:t>
      </w:r>
      <w:r w:rsidR="0090087F" w:rsidRPr="00F63E6D">
        <w:t>,</w:t>
      </w:r>
      <w:r w:rsidRPr="00F63E6D">
        <w:t xml:space="preserve"> </w:t>
      </w:r>
      <w:r w:rsidR="0090087F" w:rsidRPr="00F63E6D">
        <w:t xml:space="preserve">a review of ongoing </w:t>
      </w:r>
      <w:r w:rsidRPr="00F63E6D">
        <w:t xml:space="preserve">investment requirements will be </w:t>
      </w:r>
      <w:r w:rsidR="0090087F" w:rsidRPr="00F63E6D">
        <w:t>undertaken</w:t>
      </w:r>
      <w:r w:rsidR="00F275B0">
        <w:t>,</w:t>
      </w:r>
      <w:r w:rsidR="0090087F" w:rsidRPr="00F63E6D">
        <w:t xml:space="preserve"> </w:t>
      </w:r>
      <w:r w:rsidRPr="00F63E6D">
        <w:t xml:space="preserve">including </w:t>
      </w:r>
      <w:r w:rsidR="00F275B0">
        <w:t>associated</w:t>
      </w:r>
      <w:r w:rsidRPr="00F63E6D">
        <w:t xml:space="preserve"> funding arrangements</w:t>
      </w:r>
      <w:r w:rsidR="00F275B0">
        <w:t>,</w:t>
      </w:r>
      <w:r w:rsidRPr="00F63E6D">
        <w:t xml:space="preserve"> to ensure the</w:t>
      </w:r>
      <w:r w:rsidR="0090087F" w:rsidRPr="00F63E6D">
        <w:t>y continue to achieve the modernisation and savings ambitions of the council.</w:t>
      </w:r>
    </w:p>
    <w:p w14:paraId="78E86377" w14:textId="2D8410B8" w:rsidR="009B058F" w:rsidRDefault="007004BD" w:rsidP="00E945CB">
      <w:pPr>
        <w:pStyle w:val="Heading2"/>
      </w:pPr>
      <w:r w:rsidRPr="00F63E6D">
        <w:t>The Modernisation Fund is kept under review as budget plans develop and spend-to-save opportunities and investment requirements emerge in more detail over the planning period. The indicative profile of the Modernisation Fund for 202</w:t>
      </w:r>
      <w:r w:rsidR="00F275B0">
        <w:t>4</w:t>
      </w:r>
      <w:r w:rsidR="00A835AC">
        <w:t>/</w:t>
      </w:r>
      <w:r w:rsidRPr="00F63E6D">
        <w:t>2</w:t>
      </w:r>
      <w:r w:rsidR="00F275B0">
        <w:t>5</w:t>
      </w:r>
      <w:r w:rsidRPr="00F63E6D">
        <w:t xml:space="preserve"> is shown in the table below.</w:t>
      </w:r>
    </w:p>
    <w:p w14:paraId="70DF3667" w14:textId="77777777" w:rsidR="008F2272" w:rsidRDefault="008F2272" w:rsidP="008F2272">
      <w:pPr>
        <w:rPr>
          <w:lang w:val="en-GB"/>
        </w:rPr>
      </w:pPr>
    </w:p>
    <w:p w14:paraId="6148FC20" w14:textId="77777777" w:rsidR="008F2272" w:rsidRDefault="008F2272" w:rsidP="008F2272">
      <w:pPr>
        <w:rPr>
          <w:lang w:val="en-GB"/>
        </w:rPr>
      </w:pPr>
    </w:p>
    <w:p w14:paraId="59287F57" w14:textId="77777777" w:rsidR="008F2272" w:rsidRDefault="008F2272" w:rsidP="008F2272">
      <w:pPr>
        <w:rPr>
          <w:lang w:val="en-GB"/>
        </w:rPr>
      </w:pPr>
    </w:p>
    <w:p w14:paraId="723EFB29" w14:textId="77777777" w:rsidR="008F2272" w:rsidRPr="008F2272" w:rsidRDefault="008F2272" w:rsidP="008F2272">
      <w:pPr>
        <w:rPr>
          <w:lang w:val="en-GB"/>
        </w:rPr>
      </w:pPr>
    </w:p>
    <w:p w14:paraId="6675D247" w14:textId="77777777" w:rsidR="00F275B0" w:rsidRPr="00F275B0" w:rsidRDefault="00F275B0" w:rsidP="00F275B0">
      <w:pPr>
        <w:rPr>
          <w:lang w:val="en-GB"/>
        </w:rPr>
      </w:pPr>
    </w:p>
    <w:tbl>
      <w:tblPr>
        <w:tblW w:w="6662" w:type="dxa"/>
        <w:tblInd w:w="699" w:type="dxa"/>
        <w:tblLayout w:type="fixed"/>
        <w:tblCellMar>
          <w:left w:w="0" w:type="dxa"/>
          <w:right w:w="0" w:type="dxa"/>
        </w:tblCellMar>
        <w:tblLook w:val="04A0" w:firstRow="1" w:lastRow="0" w:firstColumn="1" w:lastColumn="0" w:noHBand="0" w:noVBand="1"/>
      </w:tblPr>
      <w:tblGrid>
        <w:gridCol w:w="5387"/>
        <w:gridCol w:w="1275"/>
      </w:tblGrid>
      <w:tr w:rsidR="00A53B77" w14:paraId="624E1498" w14:textId="77777777" w:rsidTr="00F65CC5">
        <w:trPr>
          <w:trHeight w:val="283"/>
        </w:trPr>
        <w:tc>
          <w:tcPr>
            <w:tcW w:w="6662" w:type="dxa"/>
            <w:gridSpan w:val="2"/>
            <w:tcBorders>
              <w:top w:val="single" w:sz="8" w:space="0" w:color="auto"/>
              <w:left w:val="single" w:sz="8" w:space="0" w:color="auto"/>
              <w:bottom w:val="single" w:sz="8" w:space="0" w:color="000000"/>
              <w:right w:val="single" w:sz="8" w:space="0" w:color="000000"/>
            </w:tcBorders>
            <w:shd w:val="clear" w:color="auto" w:fill="D9D9D9" w:themeFill="background1" w:themeFillShade="D9"/>
            <w:noWrap/>
            <w:tcMar>
              <w:top w:w="0" w:type="dxa"/>
              <w:left w:w="108" w:type="dxa"/>
              <w:bottom w:w="0" w:type="dxa"/>
              <w:right w:w="108" w:type="dxa"/>
            </w:tcMar>
            <w:vAlign w:val="center"/>
            <w:hideMark/>
          </w:tcPr>
          <w:p w14:paraId="063CB73B" w14:textId="77777777" w:rsidR="009B058F" w:rsidRPr="00F63E6D" w:rsidRDefault="007004BD" w:rsidP="00BF5B70">
            <w:pPr>
              <w:rPr>
                <w:rFonts w:ascii="Arial" w:hAnsi="Arial" w:cs="Arial"/>
                <w:b/>
                <w:bCs/>
                <w:sz w:val="24"/>
                <w:szCs w:val="24"/>
                <w:lang w:val="en-GB"/>
              </w:rPr>
            </w:pPr>
            <w:r w:rsidRPr="00F63E6D">
              <w:rPr>
                <w:rFonts w:ascii="Arial" w:hAnsi="Arial" w:cs="Arial"/>
                <w:b/>
                <w:bCs/>
                <w:sz w:val="24"/>
                <w:szCs w:val="24"/>
                <w:lang w:val="en-GB"/>
              </w:rPr>
              <w:t>Table 5: Indicative Modernisation Fund</w:t>
            </w:r>
          </w:p>
        </w:tc>
      </w:tr>
      <w:tr w:rsidR="00A53B77" w14:paraId="6C5110B1" w14:textId="77777777" w:rsidTr="000C1621">
        <w:trPr>
          <w:trHeight w:val="283"/>
        </w:trPr>
        <w:tc>
          <w:tcPr>
            <w:tcW w:w="5387" w:type="dxa"/>
            <w:vMerge w:val="restart"/>
            <w:tcBorders>
              <w:top w:val="nil"/>
              <w:left w:val="single" w:sz="8" w:space="0" w:color="auto"/>
              <w:bottom w:val="single" w:sz="8" w:space="0" w:color="000000"/>
              <w:right w:val="single" w:sz="8" w:space="0" w:color="auto"/>
            </w:tcBorders>
            <w:noWrap/>
            <w:tcMar>
              <w:top w:w="0" w:type="dxa"/>
              <w:left w:w="108" w:type="dxa"/>
              <w:bottom w:w="0" w:type="dxa"/>
              <w:right w:w="108" w:type="dxa"/>
            </w:tcMar>
            <w:vAlign w:val="center"/>
            <w:hideMark/>
          </w:tcPr>
          <w:p w14:paraId="6878F3F7" w14:textId="77777777" w:rsidR="0090087F" w:rsidRPr="00F63E6D" w:rsidRDefault="007004BD" w:rsidP="000C1621">
            <w:pPr>
              <w:rPr>
                <w:rFonts w:ascii="Arial" w:hAnsi="Arial" w:cs="Arial"/>
                <w:b/>
                <w:bCs/>
                <w:sz w:val="24"/>
                <w:szCs w:val="24"/>
                <w:lang w:val="en-GB"/>
              </w:rPr>
            </w:pPr>
            <w:r w:rsidRPr="00F63E6D">
              <w:rPr>
                <w:rFonts w:ascii="Arial" w:hAnsi="Arial" w:cs="Arial"/>
                <w:b/>
                <w:bCs/>
                <w:sz w:val="24"/>
                <w:szCs w:val="24"/>
                <w:lang w:val="en-GB"/>
              </w:rPr>
              <w:t>Programme Area</w:t>
            </w:r>
          </w:p>
        </w:tc>
        <w:tc>
          <w:tcPr>
            <w:tcW w:w="1275"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3344864" w14:textId="0BB80E1A" w:rsidR="0090087F" w:rsidRPr="00A72C8C" w:rsidRDefault="007004BD" w:rsidP="008F2272">
            <w:pPr>
              <w:jc w:val="center"/>
              <w:rPr>
                <w:rFonts w:ascii="Arial" w:hAnsi="Arial" w:cs="Arial"/>
                <w:b/>
                <w:bCs/>
                <w:sz w:val="24"/>
                <w:szCs w:val="24"/>
                <w:lang w:val="en-GB"/>
              </w:rPr>
            </w:pPr>
            <w:r w:rsidRPr="00A72C8C">
              <w:rPr>
                <w:rFonts w:ascii="Arial" w:hAnsi="Arial" w:cs="Arial"/>
                <w:b/>
                <w:bCs/>
                <w:sz w:val="24"/>
                <w:szCs w:val="24"/>
                <w:lang w:val="en-GB"/>
              </w:rPr>
              <w:t>2024/25</w:t>
            </w:r>
          </w:p>
        </w:tc>
      </w:tr>
      <w:tr w:rsidR="00A53B77" w14:paraId="2893BB64" w14:textId="77777777" w:rsidTr="000C1621">
        <w:trPr>
          <w:trHeight w:val="283"/>
        </w:trPr>
        <w:tc>
          <w:tcPr>
            <w:tcW w:w="5387" w:type="dxa"/>
            <w:vMerge/>
            <w:tcBorders>
              <w:top w:val="nil"/>
              <w:left w:val="single" w:sz="8" w:space="0" w:color="auto"/>
              <w:bottom w:val="single" w:sz="8" w:space="0" w:color="000000"/>
              <w:right w:val="single" w:sz="8" w:space="0" w:color="auto"/>
            </w:tcBorders>
            <w:vAlign w:val="center"/>
            <w:hideMark/>
          </w:tcPr>
          <w:p w14:paraId="7CFA40D8" w14:textId="77777777" w:rsidR="0090087F" w:rsidRPr="00F63E6D" w:rsidRDefault="0090087F" w:rsidP="000C1621">
            <w:pPr>
              <w:rPr>
                <w:rFonts w:ascii="Arial" w:eastAsiaTheme="minorHAnsi" w:hAnsi="Arial" w:cs="Arial"/>
                <w:b/>
                <w:bCs/>
                <w:sz w:val="24"/>
                <w:szCs w:val="24"/>
                <w:lang w:val="en-GB"/>
              </w:rPr>
            </w:pPr>
          </w:p>
        </w:tc>
        <w:tc>
          <w:tcPr>
            <w:tcW w:w="1275"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796AA10" w14:textId="77777777" w:rsidR="0090087F" w:rsidRPr="00A72C8C" w:rsidRDefault="007004BD" w:rsidP="008F2272">
            <w:pPr>
              <w:jc w:val="center"/>
              <w:rPr>
                <w:rFonts w:ascii="Arial" w:hAnsi="Arial" w:cs="Arial"/>
                <w:sz w:val="24"/>
                <w:szCs w:val="24"/>
                <w:lang w:val="en-GB"/>
              </w:rPr>
            </w:pPr>
            <w:r w:rsidRPr="00A72C8C">
              <w:rPr>
                <w:rFonts w:ascii="Arial" w:hAnsi="Arial" w:cs="Arial"/>
                <w:sz w:val="24"/>
                <w:szCs w:val="24"/>
                <w:lang w:val="en-GB"/>
              </w:rPr>
              <w:t>£m</w:t>
            </w:r>
          </w:p>
        </w:tc>
      </w:tr>
      <w:tr w:rsidR="00A53B77" w14:paraId="4B820C13" w14:textId="77777777" w:rsidTr="000C1621">
        <w:trPr>
          <w:trHeight w:val="283"/>
        </w:trPr>
        <w:tc>
          <w:tcPr>
            <w:tcW w:w="538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688A16D" w14:textId="2BA6BC6B" w:rsidR="0090087F" w:rsidRPr="00F63E6D" w:rsidRDefault="007004BD" w:rsidP="000C1621">
            <w:pPr>
              <w:rPr>
                <w:rFonts w:ascii="Arial" w:hAnsi="Arial" w:cs="Arial"/>
                <w:sz w:val="24"/>
                <w:szCs w:val="24"/>
                <w:lang w:val="en-GB"/>
              </w:rPr>
            </w:pPr>
            <w:r w:rsidRPr="00F63E6D">
              <w:rPr>
                <w:rFonts w:ascii="Arial" w:hAnsi="Arial" w:cs="Arial"/>
                <w:sz w:val="24"/>
                <w:szCs w:val="24"/>
                <w:lang w:val="en-GB"/>
              </w:rPr>
              <w:t>Invest to Save</w:t>
            </w:r>
            <w:r w:rsidR="00F65CC5">
              <w:rPr>
                <w:rFonts w:ascii="Arial" w:hAnsi="Arial" w:cs="Arial"/>
                <w:sz w:val="24"/>
                <w:szCs w:val="24"/>
                <w:lang w:val="en-GB"/>
              </w:rPr>
              <w:t xml:space="preserve"> business cases</w:t>
            </w:r>
          </w:p>
        </w:tc>
        <w:tc>
          <w:tcPr>
            <w:tcW w:w="1275"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2A5B1FC" w14:textId="4CFFD8C9" w:rsidR="0090087F" w:rsidRPr="00A72C8C" w:rsidRDefault="007004BD" w:rsidP="00BF5B70">
            <w:pPr>
              <w:jc w:val="right"/>
              <w:rPr>
                <w:rFonts w:ascii="Arial" w:hAnsi="Arial" w:cs="Arial"/>
                <w:sz w:val="24"/>
                <w:szCs w:val="24"/>
                <w:lang w:val="en-GB"/>
              </w:rPr>
            </w:pPr>
            <w:r w:rsidRPr="00A72C8C">
              <w:rPr>
                <w:rFonts w:ascii="Arial" w:hAnsi="Arial" w:cs="Arial"/>
                <w:sz w:val="24"/>
                <w:szCs w:val="24"/>
                <w:lang w:val="en-GB"/>
              </w:rPr>
              <w:t>0.571</w:t>
            </w:r>
          </w:p>
        </w:tc>
      </w:tr>
      <w:tr w:rsidR="00A53B77" w14:paraId="7B23BC98" w14:textId="77777777" w:rsidTr="000C1621">
        <w:trPr>
          <w:trHeight w:val="283"/>
        </w:trPr>
        <w:tc>
          <w:tcPr>
            <w:tcW w:w="538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71602C0" w14:textId="77777777" w:rsidR="0090087F" w:rsidRPr="00F63E6D" w:rsidRDefault="007004BD" w:rsidP="000C1621">
            <w:pPr>
              <w:rPr>
                <w:rFonts w:ascii="Arial" w:hAnsi="Arial" w:cs="Arial"/>
                <w:sz w:val="24"/>
                <w:szCs w:val="24"/>
                <w:lang w:val="en-GB"/>
              </w:rPr>
            </w:pPr>
            <w:r w:rsidRPr="00F63E6D">
              <w:rPr>
                <w:rFonts w:ascii="Arial" w:hAnsi="Arial" w:cs="Arial"/>
                <w:sz w:val="24"/>
                <w:szCs w:val="24"/>
                <w:lang w:val="en-GB"/>
              </w:rPr>
              <w:t>Customer Digital</w:t>
            </w:r>
          </w:p>
        </w:tc>
        <w:tc>
          <w:tcPr>
            <w:tcW w:w="1275"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2747564" w14:textId="642620D9" w:rsidR="0090087F" w:rsidRPr="00A72C8C" w:rsidRDefault="007004BD" w:rsidP="00BF5B70">
            <w:pPr>
              <w:jc w:val="right"/>
              <w:rPr>
                <w:rFonts w:ascii="Arial" w:hAnsi="Arial" w:cs="Arial"/>
                <w:sz w:val="24"/>
                <w:szCs w:val="24"/>
                <w:lang w:val="en-GB"/>
              </w:rPr>
            </w:pPr>
            <w:r w:rsidRPr="00A72C8C">
              <w:rPr>
                <w:rFonts w:ascii="Arial" w:hAnsi="Arial" w:cs="Arial"/>
                <w:sz w:val="24"/>
                <w:szCs w:val="24"/>
                <w:lang w:val="en-GB"/>
              </w:rPr>
              <w:t>1.550</w:t>
            </w:r>
          </w:p>
        </w:tc>
      </w:tr>
      <w:tr w:rsidR="00A53B77" w14:paraId="51C3448D" w14:textId="77777777" w:rsidTr="000C1621">
        <w:trPr>
          <w:trHeight w:val="283"/>
        </w:trPr>
        <w:tc>
          <w:tcPr>
            <w:tcW w:w="538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506FF6B" w14:textId="77777777" w:rsidR="0090087F" w:rsidRPr="00F63E6D" w:rsidRDefault="007004BD" w:rsidP="000C1621">
            <w:pPr>
              <w:rPr>
                <w:rFonts w:ascii="Arial" w:hAnsi="Arial" w:cs="Arial"/>
                <w:sz w:val="24"/>
                <w:szCs w:val="24"/>
                <w:lang w:val="en-GB"/>
              </w:rPr>
            </w:pPr>
            <w:r w:rsidRPr="00F63E6D">
              <w:rPr>
                <w:rFonts w:ascii="Arial" w:hAnsi="Arial" w:cs="Arial"/>
                <w:sz w:val="24"/>
                <w:szCs w:val="24"/>
                <w:lang w:val="en-GB"/>
              </w:rPr>
              <w:t>Modernisation enablers</w:t>
            </w:r>
          </w:p>
        </w:tc>
        <w:tc>
          <w:tcPr>
            <w:tcW w:w="1275"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8816A70" w14:textId="2C7F6EEF" w:rsidR="0090087F" w:rsidRPr="00A72C8C" w:rsidRDefault="007004BD" w:rsidP="00BF5B70">
            <w:pPr>
              <w:jc w:val="right"/>
              <w:rPr>
                <w:rFonts w:ascii="Arial" w:hAnsi="Arial" w:cs="Arial"/>
                <w:sz w:val="24"/>
                <w:szCs w:val="24"/>
                <w:lang w:val="en-GB"/>
              </w:rPr>
            </w:pPr>
            <w:r w:rsidRPr="00A72C8C">
              <w:rPr>
                <w:rFonts w:ascii="Arial" w:hAnsi="Arial" w:cs="Arial"/>
                <w:sz w:val="24"/>
                <w:szCs w:val="24"/>
                <w:lang w:val="en-GB"/>
              </w:rPr>
              <w:t>1.040</w:t>
            </w:r>
          </w:p>
        </w:tc>
      </w:tr>
      <w:tr w:rsidR="00A53B77" w14:paraId="01A1418F" w14:textId="77777777" w:rsidTr="000C1621">
        <w:trPr>
          <w:trHeight w:val="283"/>
        </w:trPr>
        <w:tc>
          <w:tcPr>
            <w:tcW w:w="538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B29BEF2" w14:textId="77777777" w:rsidR="0090087F" w:rsidRPr="00F63E6D" w:rsidRDefault="007004BD" w:rsidP="000C1621">
            <w:pPr>
              <w:rPr>
                <w:rFonts w:ascii="Arial" w:hAnsi="Arial" w:cs="Arial"/>
                <w:sz w:val="24"/>
                <w:szCs w:val="24"/>
                <w:lang w:val="en-GB"/>
              </w:rPr>
            </w:pPr>
            <w:r w:rsidRPr="00F63E6D">
              <w:rPr>
                <w:rFonts w:ascii="Arial" w:hAnsi="Arial" w:cs="Arial"/>
                <w:sz w:val="24"/>
                <w:szCs w:val="24"/>
                <w:lang w:val="en-GB"/>
              </w:rPr>
              <w:t>Managing staffing changes</w:t>
            </w:r>
          </w:p>
        </w:tc>
        <w:tc>
          <w:tcPr>
            <w:tcW w:w="1275"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B8F2F12" w14:textId="36503DB3" w:rsidR="0090087F" w:rsidRPr="00A72C8C" w:rsidRDefault="007004BD" w:rsidP="00BF5B70">
            <w:pPr>
              <w:jc w:val="right"/>
              <w:rPr>
                <w:rFonts w:ascii="Arial" w:hAnsi="Arial" w:cs="Arial"/>
                <w:sz w:val="24"/>
                <w:szCs w:val="24"/>
                <w:lang w:val="en-GB"/>
              </w:rPr>
            </w:pPr>
            <w:r w:rsidRPr="00A72C8C">
              <w:rPr>
                <w:rFonts w:ascii="Arial" w:hAnsi="Arial" w:cs="Arial"/>
                <w:sz w:val="24"/>
                <w:szCs w:val="24"/>
                <w:lang w:val="en-GB"/>
              </w:rPr>
              <w:t>1.000</w:t>
            </w:r>
          </w:p>
        </w:tc>
      </w:tr>
      <w:tr w:rsidR="00A53B77" w14:paraId="409FC905" w14:textId="77777777" w:rsidTr="000C1621">
        <w:trPr>
          <w:trHeight w:val="283"/>
        </w:trPr>
        <w:tc>
          <w:tcPr>
            <w:tcW w:w="5387" w:type="dxa"/>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14:paraId="225CAD6B" w14:textId="7CB5D87F" w:rsidR="0090087F" w:rsidRPr="00F265DC" w:rsidRDefault="007004BD" w:rsidP="000C1621">
            <w:pPr>
              <w:rPr>
                <w:rFonts w:ascii="Arial" w:hAnsi="Arial" w:cs="Arial"/>
                <w:b/>
                <w:bCs/>
                <w:sz w:val="24"/>
                <w:szCs w:val="24"/>
                <w:lang w:val="en-GB"/>
              </w:rPr>
            </w:pPr>
            <w:r w:rsidRPr="00F265DC">
              <w:rPr>
                <w:rFonts w:ascii="Arial" w:hAnsi="Arial" w:cs="Arial"/>
                <w:b/>
                <w:bCs/>
                <w:sz w:val="24"/>
                <w:szCs w:val="24"/>
                <w:lang w:val="en-GB"/>
              </w:rPr>
              <w:t>Total</w:t>
            </w:r>
          </w:p>
        </w:tc>
        <w:tc>
          <w:tcPr>
            <w:tcW w:w="1275" w:type="dxa"/>
            <w:tcBorders>
              <w:top w:val="nil"/>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14:paraId="5875AAA0" w14:textId="1AF81550" w:rsidR="00842C0E" w:rsidRPr="00A72C8C" w:rsidRDefault="007004BD" w:rsidP="008F2272">
            <w:pPr>
              <w:jc w:val="right"/>
              <w:rPr>
                <w:rFonts w:ascii="Arial" w:hAnsi="Arial" w:cs="Arial"/>
                <w:b/>
                <w:bCs/>
                <w:sz w:val="24"/>
                <w:szCs w:val="24"/>
                <w:lang w:val="en-GB"/>
              </w:rPr>
            </w:pPr>
            <w:r>
              <w:rPr>
                <w:rFonts w:ascii="Arial" w:hAnsi="Arial" w:cs="Arial"/>
                <w:b/>
                <w:bCs/>
                <w:sz w:val="24"/>
                <w:szCs w:val="24"/>
                <w:lang w:val="en-GB"/>
              </w:rPr>
              <w:t>4.161</w:t>
            </w:r>
          </w:p>
        </w:tc>
      </w:tr>
    </w:tbl>
    <w:p w14:paraId="31DBAB1E" w14:textId="77777777" w:rsidR="009B058F" w:rsidRPr="00F63E6D" w:rsidRDefault="009B058F" w:rsidP="009B058F">
      <w:pPr>
        <w:rPr>
          <w:rFonts w:ascii="Arial" w:hAnsi="Arial" w:cs="Arial"/>
          <w:sz w:val="24"/>
          <w:szCs w:val="24"/>
          <w:lang w:val="en-GB"/>
        </w:rPr>
      </w:pPr>
    </w:p>
    <w:p w14:paraId="534068E7" w14:textId="77777777" w:rsidR="009B058F" w:rsidRPr="00F63E6D" w:rsidRDefault="007004BD" w:rsidP="00E945CB">
      <w:pPr>
        <w:pStyle w:val="Heading2"/>
      </w:pPr>
      <w:r w:rsidRPr="00F63E6D">
        <w:t>The Modernisation Fund is expected to be deployed as follows:</w:t>
      </w:r>
    </w:p>
    <w:bookmarkEnd w:id="13"/>
    <w:p w14:paraId="690538F0" w14:textId="09826631" w:rsidR="009B058F" w:rsidRPr="00F63E6D" w:rsidRDefault="007004BD" w:rsidP="00A35550">
      <w:pPr>
        <w:pStyle w:val="ListParagraph"/>
        <w:numPr>
          <w:ilvl w:val="0"/>
          <w:numId w:val="4"/>
        </w:numPr>
        <w:spacing w:before="240" w:after="240"/>
        <w:ind w:left="1134" w:hanging="425"/>
        <w:contextualSpacing w:val="0"/>
        <w:rPr>
          <w:rFonts w:ascii="Arial" w:hAnsi="Arial" w:cs="Arial"/>
          <w:sz w:val="24"/>
          <w:szCs w:val="24"/>
          <w:lang w:val="en-GB"/>
        </w:rPr>
      </w:pPr>
      <w:r w:rsidRPr="00F63E6D">
        <w:rPr>
          <w:rFonts w:ascii="Arial" w:hAnsi="Arial" w:cs="Arial"/>
          <w:b/>
          <w:sz w:val="24"/>
          <w:szCs w:val="24"/>
          <w:lang w:val="en-GB"/>
        </w:rPr>
        <w:t xml:space="preserve">Invest-to-Save </w:t>
      </w:r>
      <w:r w:rsidR="00F65CC5">
        <w:rPr>
          <w:rFonts w:ascii="Arial" w:hAnsi="Arial" w:cs="Arial"/>
          <w:b/>
          <w:sz w:val="24"/>
          <w:szCs w:val="24"/>
          <w:lang w:val="en-GB"/>
        </w:rPr>
        <w:t>Business Cases</w:t>
      </w:r>
      <w:r w:rsidRPr="00F63E6D">
        <w:rPr>
          <w:rFonts w:ascii="Arial" w:hAnsi="Arial" w:cs="Arial"/>
          <w:b/>
          <w:sz w:val="24"/>
          <w:szCs w:val="24"/>
          <w:lang w:val="en-GB"/>
        </w:rPr>
        <w:t xml:space="preserve">: </w:t>
      </w:r>
      <w:r w:rsidRPr="00F63E6D">
        <w:rPr>
          <w:rFonts w:ascii="Arial" w:hAnsi="Arial" w:cs="Arial"/>
          <w:sz w:val="24"/>
          <w:szCs w:val="24"/>
          <w:lang w:val="en-GB"/>
        </w:rPr>
        <w:t>Investment of £0.</w:t>
      </w:r>
      <w:r w:rsidR="0090087F" w:rsidRPr="00F63E6D">
        <w:rPr>
          <w:rFonts w:ascii="Arial" w:hAnsi="Arial" w:cs="Arial"/>
          <w:sz w:val="24"/>
          <w:szCs w:val="24"/>
          <w:lang w:val="en-GB"/>
        </w:rPr>
        <w:t>571</w:t>
      </w:r>
      <w:r w:rsidRPr="00F63E6D">
        <w:rPr>
          <w:rFonts w:ascii="Arial" w:hAnsi="Arial" w:cs="Arial"/>
          <w:sz w:val="24"/>
          <w:szCs w:val="24"/>
          <w:lang w:val="en-GB"/>
        </w:rPr>
        <w:t xml:space="preserve">m is estimated to be required to support implementation of specific savings and efficiency programmes including service redesigns, recommissioning and process improvements. </w:t>
      </w:r>
      <w:r w:rsidR="00F63E6D" w:rsidRPr="00F63E6D">
        <w:rPr>
          <w:rFonts w:ascii="Arial" w:hAnsi="Arial" w:cs="Arial"/>
          <w:sz w:val="24"/>
          <w:szCs w:val="24"/>
          <w:lang w:val="en-GB"/>
        </w:rPr>
        <w:t>For 2024/25 these include school reorganisation, the review of operational buildings</w:t>
      </w:r>
      <w:r w:rsidR="00F275B0">
        <w:rPr>
          <w:rFonts w:ascii="Arial" w:hAnsi="Arial" w:cs="Arial"/>
          <w:sz w:val="24"/>
          <w:szCs w:val="24"/>
          <w:lang w:val="en-GB"/>
        </w:rPr>
        <w:t>,</w:t>
      </w:r>
      <w:r w:rsidR="00F63E6D" w:rsidRPr="00F63E6D">
        <w:rPr>
          <w:rFonts w:ascii="Arial" w:hAnsi="Arial" w:cs="Arial"/>
          <w:sz w:val="24"/>
          <w:szCs w:val="24"/>
          <w:lang w:val="en-GB"/>
        </w:rPr>
        <w:t xml:space="preserve"> and </w:t>
      </w:r>
      <w:r w:rsidR="00F275B0">
        <w:rPr>
          <w:rFonts w:ascii="Arial" w:hAnsi="Arial" w:cs="Arial"/>
          <w:sz w:val="24"/>
          <w:szCs w:val="24"/>
          <w:lang w:val="en-GB"/>
        </w:rPr>
        <w:t xml:space="preserve">the </w:t>
      </w:r>
      <w:r w:rsidR="00F63E6D" w:rsidRPr="00F63E6D">
        <w:rPr>
          <w:rFonts w:ascii="Arial" w:hAnsi="Arial" w:cs="Arial"/>
          <w:sz w:val="24"/>
          <w:szCs w:val="24"/>
          <w:lang w:val="en-GB"/>
        </w:rPr>
        <w:t>transformation of homelessness services.</w:t>
      </w:r>
      <w:r w:rsidR="000C1621">
        <w:rPr>
          <w:rFonts w:ascii="Arial" w:hAnsi="Arial" w:cs="Arial"/>
          <w:sz w:val="24"/>
          <w:szCs w:val="24"/>
          <w:lang w:val="en-GB"/>
        </w:rPr>
        <w:t xml:space="preserve"> Further investments can be added during the year subject to viable business cases, however, due to the many competing demands for capital receipts the preference will be for business cases to be self-financing through future revenue savings.</w:t>
      </w:r>
    </w:p>
    <w:p w14:paraId="3CDA3D2C" w14:textId="40625EC9" w:rsidR="00F63E6D" w:rsidRPr="00F63E6D" w:rsidRDefault="007004BD" w:rsidP="00A35550">
      <w:pPr>
        <w:pStyle w:val="ListParagraph"/>
        <w:numPr>
          <w:ilvl w:val="0"/>
          <w:numId w:val="4"/>
        </w:numPr>
        <w:spacing w:before="240" w:after="240"/>
        <w:ind w:left="1134" w:hanging="425"/>
        <w:contextualSpacing w:val="0"/>
        <w:rPr>
          <w:rFonts w:ascii="Arial" w:hAnsi="Arial" w:cs="Arial"/>
          <w:b/>
          <w:sz w:val="24"/>
          <w:szCs w:val="24"/>
          <w:lang w:val="en-GB"/>
        </w:rPr>
      </w:pPr>
      <w:r w:rsidRPr="00F63E6D">
        <w:rPr>
          <w:rFonts w:ascii="Arial" w:hAnsi="Arial" w:cs="Arial"/>
          <w:b/>
          <w:sz w:val="24"/>
          <w:szCs w:val="24"/>
          <w:lang w:val="en-GB"/>
        </w:rPr>
        <w:t xml:space="preserve">Customer Digital: </w:t>
      </w:r>
      <w:r w:rsidRPr="00F63E6D">
        <w:rPr>
          <w:rFonts w:ascii="Arial" w:hAnsi="Arial" w:cs="Arial"/>
          <w:sz w:val="24"/>
          <w:szCs w:val="24"/>
          <w:lang w:val="en-GB"/>
        </w:rPr>
        <w:t>A further £1.550m is anticipated to be required next year to maintain ongoing investment in digital infrastructure and applications and to support continued development of the council’s digital services and integration of data across systems and services to improve the accessibility, efficiency and ease-of-use of on-line services. This resource forms part of the Digital, Data and Technology (</w:t>
      </w:r>
      <w:proofErr w:type="spellStart"/>
      <w:r w:rsidRPr="00F63E6D">
        <w:rPr>
          <w:rFonts w:ascii="Arial" w:hAnsi="Arial" w:cs="Arial"/>
          <w:sz w:val="24"/>
          <w:szCs w:val="24"/>
          <w:lang w:val="en-GB"/>
        </w:rPr>
        <w:t>DD</w:t>
      </w:r>
      <w:r w:rsidR="00F275B0">
        <w:rPr>
          <w:rFonts w:ascii="Arial" w:hAnsi="Arial" w:cs="Arial"/>
          <w:sz w:val="24"/>
          <w:szCs w:val="24"/>
          <w:lang w:val="en-GB"/>
        </w:rPr>
        <w:t>a</w:t>
      </w:r>
      <w:r w:rsidRPr="00F63E6D">
        <w:rPr>
          <w:rFonts w:ascii="Arial" w:hAnsi="Arial" w:cs="Arial"/>
          <w:sz w:val="24"/>
          <w:szCs w:val="24"/>
          <w:lang w:val="en-GB"/>
        </w:rPr>
        <w:t>T</w:t>
      </w:r>
      <w:proofErr w:type="spellEnd"/>
      <w:r w:rsidRPr="00F63E6D">
        <w:rPr>
          <w:rFonts w:ascii="Arial" w:hAnsi="Arial" w:cs="Arial"/>
          <w:sz w:val="24"/>
          <w:szCs w:val="24"/>
          <w:lang w:val="en-GB"/>
        </w:rPr>
        <w:t xml:space="preserve">) Strategy approved by </w:t>
      </w:r>
      <w:r w:rsidR="00F275B0">
        <w:rPr>
          <w:rFonts w:ascii="Arial" w:hAnsi="Arial" w:cs="Arial"/>
          <w:sz w:val="24"/>
          <w:szCs w:val="24"/>
          <w:lang w:val="en-GB"/>
        </w:rPr>
        <w:t xml:space="preserve">the former </w:t>
      </w:r>
      <w:r w:rsidRPr="00F63E6D">
        <w:rPr>
          <w:rFonts w:ascii="Arial" w:hAnsi="Arial" w:cs="Arial"/>
          <w:sz w:val="24"/>
          <w:szCs w:val="24"/>
          <w:lang w:val="en-GB"/>
        </w:rPr>
        <w:t xml:space="preserve">Policy &amp; Resources Committee in March 2023, </w:t>
      </w:r>
    </w:p>
    <w:p w14:paraId="4D8CAB1F" w14:textId="072C040A" w:rsidR="009B058F" w:rsidRPr="00F63E6D" w:rsidRDefault="007004BD" w:rsidP="00A35550">
      <w:pPr>
        <w:pStyle w:val="ListParagraph"/>
        <w:numPr>
          <w:ilvl w:val="0"/>
          <w:numId w:val="4"/>
        </w:numPr>
        <w:spacing w:before="240" w:after="240"/>
        <w:ind w:left="1134" w:hanging="425"/>
        <w:contextualSpacing w:val="0"/>
        <w:rPr>
          <w:rFonts w:ascii="Arial" w:hAnsi="Arial" w:cs="Arial"/>
          <w:b/>
          <w:sz w:val="24"/>
          <w:szCs w:val="24"/>
          <w:lang w:val="en-GB"/>
        </w:rPr>
      </w:pPr>
      <w:r w:rsidRPr="00F63E6D">
        <w:rPr>
          <w:rFonts w:ascii="Arial" w:hAnsi="Arial" w:cs="Arial"/>
          <w:b/>
          <w:sz w:val="24"/>
          <w:szCs w:val="24"/>
          <w:lang w:val="en-GB"/>
        </w:rPr>
        <w:t xml:space="preserve">Modernisation Enablers: </w:t>
      </w:r>
      <w:r w:rsidRPr="00F63E6D">
        <w:rPr>
          <w:rFonts w:ascii="Arial" w:hAnsi="Arial" w:cs="Arial"/>
          <w:sz w:val="24"/>
          <w:szCs w:val="24"/>
          <w:lang w:val="en-GB"/>
        </w:rPr>
        <w:t>£</w:t>
      </w:r>
      <w:r w:rsidR="00F63E6D" w:rsidRPr="00F63E6D">
        <w:rPr>
          <w:rFonts w:ascii="Arial" w:hAnsi="Arial" w:cs="Arial"/>
          <w:sz w:val="24"/>
          <w:szCs w:val="24"/>
          <w:lang w:val="en-GB"/>
        </w:rPr>
        <w:t>1</w:t>
      </w:r>
      <w:r w:rsidRPr="00F63E6D">
        <w:rPr>
          <w:rFonts w:ascii="Arial" w:hAnsi="Arial" w:cs="Arial"/>
          <w:sz w:val="24"/>
          <w:szCs w:val="24"/>
          <w:lang w:val="en-GB"/>
        </w:rPr>
        <w:t>.</w:t>
      </w:r>
      <w:r w:rsidR="00F63E6D" w:rsidRPr="00F63E6D">
        <w:rPr>
          <w:rFonts w:ascii="Arial" w:hAnsi="Arial" w:cs="Arial"/>
          <w:sz w:val="24"/>
          <w:szCs w:val="24"/>
          <w:lang w:val="en-GB"/>
        </w:rPr>
        <w:t>0</w:t>
      </w:r>
      <w:r w:rsidRPr="00F63E6D">
        <w:rPr>
          <w:rFonts w:ascii="Arial" w:hAnsi="Arial" w:cs="Arial"/>
          <w:sz w:val="24"/>
          <w:szCs w:val="24"/>
          <w:lang w:val="en-GB"/>
        </w:rPr>
        <w:t xml:space="preserve">40m is estimated to be required to support ongoing change and modernisation programmes next year. This includes everything from an effective project management support team, business improvement analysts, investment in ‘Our People Promise’ for staff development and skills programmes, </w:t>
      </w:r>
      <w:r w:rsidR="00F275B0">
        <w:rPr>
          <w:rFonts w:ascii="Arial" w:hAnsi="Arial" w:cs="Arial"/>
          <w:sz w:val="24"/>
          <w:szCs w:val="24"/>
          <w:lang w:val="en-GB"/>
        </w:rPr>
        <w:t xml:space="preserve">resources to implement changes and reductions to office accommodation, </w:t>
      </w:r>
      <w:r w:rsidRPr="00F63E6D">
        <w:rPr>
          <w:rFonts w:ascii="Arial" w:hAnsi="Arial" w:cs="Arial"/>
          <w:sz w:val="24"/>
          <w:szCs w:val="24"/>
          <w:lang w:val="en-GB"/>
        </w:rPr>
        <w:t>together with additional specialist support where required.</w:t>
      </w:r>
      <w:r w:rsidR="00F275B0">
        <w:rPr>
          <w:rFonts w:ascii="Arial" w:hAnsi="Arial" w:cs="Arial"/>
          <w:sz w:val="24"/>
          <w:szCs w:val="24"/>
          <w:lang w:val="en-GB"/>
        </w:rPr>
        <w:t xml:space="preserve"> </w:t>
      </w:r>
      <w:r w:rsidR="00F65CC5">
        <w:rPr>
          <w:rFonts w:ascii="Arial" w:hAnsi="Arial" w:cs="Arial"/>
          <w:sz w:val="24"/>
          <w:szCs w:val="24"/>
          <w:lang w:val="en-GB"/>
        </w:rPr>
        <w:t xml:space="preserve">Although eligible for funding from capital receipt flexibilities, </w:t>
      </w:r>
      <w:r w:rsidR="00F275B0">
        <w:rPr>
          <w:rFonts w:ascii="Arial" w:hAnsi="Arial" w:cs="Arial"/>
          <w:sz w:val="24"/>
          <w:szCs w:val="24"/>
          <w:lang w:val="en-GB"/>
        </w:rPr>
        <w:t xml:space="preserve">it </w:t>
      </w:r>
      <w:r w:rsidR="00F65CC5">
        <w:rPr>
          <w:rFonts w:ascii="Arial" w:hAnsi="Arial" w:cs="Arial"/>
          <w:sz w:val="24"/>
          <w:szCs w:val="24"/>
          <w:lang w:val="en-GB"/>
        </w:rPr>
        <w:t>is</w:t>
      </w:r>
      <w:r w:rsidR="00F275B0">
        <w:rPr>
          <w:rFonts w:ascii="Arial" w:hAnsi="Arial" w:cs="Arial"/>
          <w:sz w:val="24"/>
          <w:szCs w:val="24"/>
          <w:lang w:val="en-GB"/>
        </w:rPr>
        <w:t xml:space="preserve"> noted that some of these resources have now been resourced through the Modernisation Fund since 2016/17 and there is therefore a</w:t>
      </w:r>
      <w:r w:rsidR="00F65CC5">
        <w:rPr>
          <w:rFonts w:ascii="Arial" w:hAnsi="Arial" w:cs="Arial"/>
          <w:sz w:val="24"/>
          <w:szCs w:val="24"/>
          <w:lang w:val="en-GB"/>
        </w:rPr>
        <w:t>n</w:t>
      </w:r>
      <w:r w:rsidR="00F275B0">
        <w:rPr>
          <w:rFonts w:ascii="Arial" w:hAnsi="Arial" w:cs="Arial"/>
          <w:sz w:val="24"/>
          <w:szCs w:val="24"/>
          <w:lang w:val="en-GB"/>
        </w:rPr>
        <w:t xml:space="preserve"> argument for mainstreaming funding within the General Fund revenue budget in future years if this becomes viable.</w:t>
      </w:r>
    </w:p>
    <w:p w14:paraId="288D9423" w14:textId="682FE66D" w:rsidR="009B058F" w:rsidRPr="00F63E6D" w:rsidRDefault="007004BD" w:rsidP="00A35550">
      <w:pPr>
        <w:pStyle w:val="ListParagraph"/>
        <w:numPr>
          <w:ilvl w:val="0"/>
          <w:numId w:val="4"/>
        </w:numPr>
        <w:spacing w:before="240" w:after="240"/>
        <w:ind w:left="1134" w:hanging="425"/>
        <w:contextualSpacing w:val="0"/>
        <w:rPr>
          <w:rFonts w:ascii="Arial" w:hAnsi="Arial" w:cs="Arial"/>
          <w:sz w:val="24"/>
          <w:szCs w:val="24"/>
          <w:lang w:val="en-GB"/>
        </w:rPr>
      </w:pPr>
      <w:r w:rsidRPr="00F63E6D">
        <w:rPr>
          <w:rFonts w:ascii="Arial" w:hAnsi="Arial" w:cs="Arial"/>
          <w:b/>
          <w:sz w:val="24"/>
          <w:szCs w:val="24"/>
          <w:lang w:val="en-GB"/>
        </w:rPr>
        <w:t>Managing staffing changes</w:t>
      </w:r>
      <w:r w:rsidRPr="00F63E6D">
        <w:rPr>
          <w:rFonts w:ascii="Arial" w:hAnsi="Arial" w:cs="Arial"/>
          <w:sz w:val="24"/>
          <w:szCs w:val="24"/>
          <w:lang w:val="en-GB"/>
        </w:rPr>
        <w:t xml:space="preserve">: </w:t>
      </w:r>
      <w:r w:rsidR="00F275B0">
        <w:rPr>
          <w:rFonts w:ascii="Arial" w:hAnsi="Arial" w:cs="Arial"/>
          <w:sz w:val="24"/>
          <w:szCs w:val="24"/>
          <w:lang w:val="en-GB"/>
        </w:rPr>
        <w:t>E</w:t>
      </w:r>
      <w:r w:rsidRPr="00F63E6D">
        <w:rPr>
          <w:rFonts w:ascii="Arial" w:hAnsi="Arial" w:cs="Arial"/>
          <w:sz w:val="24"/>
          <w:szCs w:val="24"/>
          <w:lang w:val="en-GB"/>
        </w:rPr>
        <w:t xml:space="preserve">fficiency programmes and a continual drive for improved value for money, alongside </w:t>
      </w:r>
      <w:r w:rsidR="00F63E6D" w:rsidRPr="00F63E6D">
        <w:rPr>
          <w:rFonts w:ascii="Arial" w:hAnsi="Arial" w:cs="Arial"/>
          <w:sz w:val="24"/>
          <w:szCs w:val="24"/>
          <w:lang w:val="en-GB"/>
        </w:rPr>
        <w:t xml:space="preserve">the significant </w:t>
      </w:r>
      <w:r w:rsidRPr="00F63E6D">
        <w:rPr>
          <w:rFonts w:ascii="Arial" w:hAnsi="Arial" w:cs="Arial"/>
          <w:sz w:val="24"/>
          <w:szCs w:val="24"/>
          <w:lang w:val="en-GB"/>
        </w:rPr>
        <w:t>budget savings proposals</w:t>
      </w:r>
      <w:r w:rsidR="00F63E6D" w:rsidRPr="00F63E6D">
        <w:rPr>
          <w:rFonts w:ascii="Arial" w:hAnsi="Arial" w:cs="Arial"/>
          <w:sz w:val="24"/>
          <w:szCs w:val="24"/>
          <w:lang w:val="en-GB"/>
        </w:rPr>
        <w:t xml:space="preserve"> for 2024/25</w:t>
      </w:r>
      <w:r w:rsidR="00F275B0">
        <w:rPr>
          <w:rFonts w:ascii="Arial" w:hAnsi="Arial" w:cs="Arial"/>
          <w:sz w:val="24"/>
          <w:szCs w:val="24"/>
          <w:lang w:val="en-GB"/>
        </w:rPr>
        <w:t xml:space="preserve"> will</w:t>
      </w:r>
      <w:r w:rsidRPr="00F63E6D">
        <w:rPr>
          <w:rFonts w:ascii="Arial" w:hAnsi="Arial" w:cs="Arial"/>
          <w:sz w:val="24"/>
          <w:szCs w:val="24"/>
          <w:lang w:val="en-GB"/>
        </w:rPr>
        <w:t xml:space="preserve"> result in changes in the level </w:t>
      </w:r>
      <w:r w:rsidR="00F65CC5">
        <w:rPr>
          <w:rFonts w:ascii="Arial" w:hAnsi="Arial" w:cs="Arial"/>
          <w:sz w:val="24"/>
          <w:szCs w:val="24"/>
          <w:lang w:val="en-GB"/>
        </w:rPr>
        <w:t>and/</w:t>
      </w:r>
      <w:r w:rsidRPr="00F63E6D">
        <w:rPr>
          <w:rFonts w:ascii="Arial" w:hAnsi="Arial" w:cs="Arial"/>
          <w:sz w:val="24"/>
          <w:szCs w:val="24"/>
          <w:lang w:val="en-GB"/>
        </w:rPr>
        <w:t xml:space="preserve">or mix of staffing and skills required across the council. Changing staffing levels or skills will often need financial consideration in order to effect severance for roles or posts no longer required or needing to be replaced or re-trained with different roles or skills. </w:t>
      </w:r>
      <w:r w:rsidR="00F275B0">
        <w:rPr>
          <w:rFonts w:ascii="Arial" w:hAnsi="Arial" w:cs="Arial"/>
          <w:sz w:val="24"/>
          <w:szCs w:val="24"/>
          <w:lang w:val="en-GB"/>
        </w:rPr>
        <w:t>Minimum e</w:t>
      </w:r>
      <w:r w:rsidRPr="00F63E6D">
        <w:rPr>
          <w:rFonts w:ascii="Arial" w:hAnsi="Arial" w:cs="Arial"/>
          <w:sz w:val="24"/>
          <w:szCs w:val="24"/>
          <w:lang w:val="en-GB"/>
        </w:rPr>
        <w:t>stimated resources of £</w:t>
      </w:r>
      <w:r w:rsidR="00F63E6D" w:rsidRPr="00F63E6D">
        <w:rPr>
          <w:rFonts w:ascii="Arial" w:hAnsi="Arial" w:cs="Arial"/>
          <w:sz w:val="24"/>
          <w:szCs w:val="24"/>
          <w:lang w:val="en-GB"/>
        </w:rPr>
        <w:t>1</w:t>
      </w:r>
      <w:r w:rsidRPr="00F63E6D">
        <w:rPr>
          <w:rFonts w:ascii="Arial" w:hAnsi="Arial" w:cs="Arial"/>
          <w:sz w:val="24"/>
          <w:szCs w:val="24"/>
          <w:lang w:val="en-GB"/>
        </w:rPr>
        <w:t>.</w:t>
      </w:r>
      <w:r w:rsidR="00F63E6D" w:rsidRPr="00F63E6D">
        <w:rPr>
          <w:rFonts w:ascii="Arial" w:hAnsi="Arial" w:cs="Arial"/>
          <w:sz w:val="24"/>
          <w:szCs w:val="24"/>
          <w:lang w:val="en-GB"/>
        </w:rPr>
        <w:t>000</w:t>
      </w:r>
      <w:r w:rsidRPr="00F63E6D">
        <w:rPr>
          <w:rFonts w:ascii="Arial" w:hAnsi="Arial" w:cs="Arial"/>
          <w:sz w:val="24"/>
          <w:szCs w:val="24"/>
          <w:lang w:val="en-GB"/>
        </w:rPr>
        <w:t>m are required to meet severance costs to manage change next year.</w:t>
      </w:r>
    </w:p>
    <w:p w14:paraId="5A78CE51" w14:textId="77777777" w:rsidR="009B058F" w:rsidRPr="00F275B0" w:rsidRDefault="007004BD" w:rsidP="0057041E">
      <w:pPr>
        <w:pStyle w:val="Heading1"/>
        <w:rPr>
          <w:lang w:val="en-GB"/>
        </w:rPr>
      </w:pPr>
      <w:bookmarkStart w:id="14" w:name="_Ref157535418"/>
      <w:r w:rsidRPr="00F275B0">
        <w:rPr>
          <w:lang w:val="en-GB"/>
        </w:rPr>
        <w:t>STAFFING IMPLICATIONS (GENERAL FUND SERVICES)</w:t>
      </w:r>
      <w:bookmarkEnd w:id="14"/>
      <w:r w:rsidRPr="00F275B0">
        <w:rPr>
          <w:lang w:val="en-GB"/>
        </w:rPr>
        <w:t xml:space="preserve"> </w:t>
      </w:r>
    </w:p>
    <w:p w14:paraId="678FDDD4" w14:textId="757DACE8" w:rsidR="009B058F" w:rsidRPr="005E7D31" w:rsidRDefault="007004BD" w:rsidP="00E945CB">
      <w:pPr>
        <w:pStyle w:val="Heading2"/>
      </w:pPr>
      <w:r w:rsidRPr="005E7D31">
        <w:t xml:space="preserve">An estimate of the posts to be deleted in relation to the budget proposals has been made and indicates that </w:t>
      </w:r>
      <w:r w:rsidR="005E7D31" w:rsidRPr="005E7D31">
        <w:t>approximately 18</w:t>
      </w:r>
      <w:r w:rsidR="00126B51">
        <w:t>6</w:t>
      </w:r>
      <w:r w:rsidR="005E7D31" w:rsidRPr="005E7D31">
        <w:t xml:space="preserve"> </w:t>
      </w:r>
      <w:r w:rsidRPr="005E7D31">
        <w:t>full time equivalent (</w:t>
      </w:r>
      <w:proofErr w:type="spellStart"/>
      <w:r w:rsidRPr="005E7D31">
        <w:t>fte</w:t>
      </w:r>
      <w:proofErr w:type="spellEnd"/>
      <w:r w:rsidRPr="005E7D31">
        <w:t>) posts are expected to be deleted from the council’s staffing structure</w:t>
      </w:r>
      <w:r w:rsidR="00297596" w:rsidRPr="005E7D31">
        <w:t>, approximately 5% of total staffing</w:t>
      </w:r>
      <w:r w:rsidRPr="005E7D31">
        <w:t xml:space="preserve">. Many of these posts will already be held vacant in lieu of savings proposals but some may initially result in staff being potentially placed at risk of redundancy. This is difficult to estimate with certainty but approximately </w:t>
      </w:r>
      <w:r w:rsidR="00126B51">
        <w:t>75</w:t>
      </w:r>
      <w:r w:rsidRPr="005E7D31">
        <w:t xml:space="preserve"> </w:t>
      </w:r>
      <w:proofErr w:type="spellStart"/>
      <w:r w:rsidRPr="005E7D31">
        <w:t>fte</w:t>
      </w:r>
      <w:proofErr w:type="spellEnd"/>
      <w:r w:rsidRPr="005E7D31">
        <w:t xml:space="preserve"> staff</w:t>
      </w:r>
      <w:r w:rsidR="005E7D31" w:rsidRPr="005E7D31">
        <w:t xml:space="preserve"> (not headcount)</w:t>
      </w:r>
      <w:r w:rsidRPr="005E7D31">
        <w:t xml:space="preserve"> have been identified as potentially at risk at this stage of the process. </w:t>
      </w:r>
      <w:r w:rsidR="00374CB7" w:rsidRPr="005E7D31">
        <w:t xml:space="preserve">The proposals also include the potential TUPE of up to 12 </w:t>
      </w:r>
      <w:proofErr w:type="spellStart"/>
      <w:r w:rsidR="00374CB7" w:rsidRPr="005E7D31">
        <w:t>fte</w:t>
      </w:r>
      <w:proofErr w:type="spellEnd"/>
      <w:r w:rsidR="00374CB7" w:rsidRPr="005E7D31">
        <w:t xml:space="preserve"> staff. </w:t>
      </w:r>
      <w:r w:rsidRPr="005E7D31">
        <w:t xml:space="preserve">This information has been shared with the council’s recognised trades unions and the staff affected in advance of the release of </w:t>
      </w:r>
      <w:r w:rsidR="00F7036E">
        <w:t>this</w:t>
      </w:r>
      <w:r w:rsidRPr="005E7D31">
        <w:t xml:space="preserve"> report.</w:t>
      </w:r>
    </w:p>
    <w:p w14:paraId="64CD0A1D" w14:textId="66273FF4" w:rsidR="00297596" w:rsidRPr="00297596" w:rsidRDefault="007004BD" w:rsidP="00E945CB">
      <w:pPr>
        <w:pStyle w:val="Heading2"/>
      </w:pPr>
      <w:r>
        <w:t>However, the savings proposals for 2024/25 also include a set of ‘Organisational Design’ savings recognising the necessity of reducing overall staffing costs to contribute to achieving a balanced and sustainable budget. This work will focus on management spans and layers, improving administrative and business support efficiency, and exploring opportunities for rationalisation or economies across functionally similar areas, for example, commissioning and contract management, customer service, project management and so on. Eleven potential areas for review have been identified but others may emerge as this work progresses.</w:t>
      </w:r>
    </w:p>
    <w:p w14:paraId="153DF725" w14:textId="6CE69E2B" w:rsidR="009B058F" w:rsidRPr="00DA6D29" w:rsidRDefault="007004BD" w:rsidP="00E945CB">
      <w:pPr>
        <w:pStyle w:val="Heading2"/>
      </w:pPr>
      <w:r w:rsidRPr="00DA6D29">
        <w:t xml:space="preserve">As in previous years, actual numbers of staff affected will be </w:t>
      </w:r>
      <w:r w:rsidR="00297596">
        <w:t xml:space="preserve">highly </w:t>
      </w:r>
      <w:r w:rsidRPr="00DA6D29">
        <w:t>dependent on the detailed options proposed and on the outcome of formal consultation with staff and unions. As previously experienced, it is likely that some of these will be resolved through normal turnover, or through redeployment to other vacancies across the council, thereby further minimising the risk of redundancies.</w:t>
      </w:r>
    </w:p>
    <w:p w14:paraId="053EF3DA" w14:textId="77777777" w:rsidR="009B058F" w:rsidRPr="00DA6D29" w:rsidRDefault="007004BD" w:rsidP="00E945CB">
      <w:pPr>
        <w:pStyle w:val="Heading2"/>
      </w:pPr>
      <w:r w:rsidRPr="00DA6D29">
        <w:t>As always, if the forthcoming proposals do potentially place any staff at risk of redundancy the council will support them by:</w:t>
      </w:r>
    </w:p>
    <w:p w14:paraId="5B1DA884" w14:textId="77777777" w:rsidR="009B058F" w:rsidRPr="00297596" w:rsidRDefault="007004BD" w:rsidP="00A35550">
      <w:pPr>
        <w:pStyle w:val="ListParagraph"/>
        <w:numPr>
          <w:ilvl w:val="0"/>
          <w:numId w:val="5"/>
        </w:numPr>
        <w:spacing w:after="100" w:afterAutospacing="1"/>
        <w:ind w:left="1134" w:hanging="425"/>
        <w:rPr>
          <w:rFonts w:ascii="Arial" w:hAnsi="Arial" w:cs="Arial"/>
          <w:sz w:val="24"/>
          <w:szCs w:val="24"/>
          <w:lang w:val="en-GB"/>
        </w:rPr>
      </w:pPr>
      <w:r w:rsidRPr="00297596">
        <w:rPr>
          <w:rFonts w:ascii="Arial" w:hAnsi="Arial" w:cs="Arial"/>
          <w:sz w:val="24"/>
          <w:szCs w:val="24"/>
          <w:lang w:val="en-GB"/>
        </w:rPr>
        <w:t xml:space="preserve">Providing appropriate support to staff throughout the change process to enable them to maximise any opportunities available; </w:t>
      </w:r>
    </w:p>
    <w:p w14:paraId="1BD6C43F" w14:textId="77777777" w:rsidR="009B058F" w:rsidRPr="00297596" w:rsidRDefault="007004BD" w:rsidP="00A35550">
      <w:pPr>
        <w:pStyle w:val="ListParagraph"/>
        <w:numPr>
          <w:ilvl w:val="0"/>
          <w:numId w:val="5"/>
        </w:numPr>
        <w:spacing w:after="100" w:afterAutospacing="1"/>
        <w:ind w:left="1134" w:hanging="425"/>
        <w:rPr>
          <w:rFonts w:ascii="Arial" w:hAnsi="Arial" w:cs="Arial"/>
          <w:sz w:val="24"/>
          <w:szCs w:val="24"/>
          <w:lang w:val="en-GB"/>
        </w:rPr>
      </w:pPr>
      <w:r w:rsidRPr="00297596">
        <w:rPr>
          <w:rFonts w:ascii="Arial" w:hAnsi="Arial" w:cs="Arial"/>
          <w:sz w:val="24"/>
          <w:szCs w:val="24"/>
          <w:lang w:val="en-GB"/>
        </w:rPr>
        <w:t>Controlling recruitment and ensuring there is a clear business case for any recruitment activity;</w:t>
      </w:r>
    </w:p>
    <w:p w14:paraId="193354C5" w14:textId="77777777" w:rsidR="009B058F" w:rsidRPr="00297596" w:rsidRDefault="007004BD" w:rsidP="00A35550">
      <w:pPr>
        <w:pStyle w:val="ListParagraph"/>
        <w:numPr>
          <w:ilvl w:val="0"/>
          <w:numId w:val="5"/>
        </w:numPr>
        <w:spacing w:after="100" w:afterAutospacing="1"/>
        <w:ind w:left="1134" w:hanging="425"/>
        <w:rPr>
          <w:rFonts w:ascii="Arial" w:hAnsi="Arial" w:cs="Arial"/>
          <w:sz w:val="24"/>
          <w:szCs w:val="24"/>
          <w:lang w:val="en-GB"/>
        </w:rPr>
      </w:pPr>
      <w:r w:rsidRPr="00297596">
        <w:rPr>
          <w:rFonts w:ascii="Arial" w:hAnsi="Arial" w:cs="Arial"/>
          <w:sz w:val="24"/>
          <w:szCs w:val="24"/>
          <w:lang w:val="en-GB"/>
        </w:rPr>
        <w:t>Managing redeployment at a corporate level and maximising the opportunities for movement across the organisation;</w:t>
      </w:r>
    </w:p>
    <w:p w14:paraId="6147BFAA" w14:textId="77777777" w:rsidR="009B058F" w:rsidRPr="00297596" w:rsidRDefault="007004BD" w:rsidP="00A35550">
      <w:pPr>
        <w:pStyle w:val="ListParagraph"/>
        <w:numPr>
          <w:ilvl w:val="0"/>
          <w:numId w:val="5"/>
        </w:numPr>
        <w:spacing w:after="100" w:afterAutospacing="1"/>
        <w:ind w:left="1134" w:hanging="425"/>
        <w:rPr>
          <w:rFonts w:ascii="Arial" w:hAnsi="Arial" w:cs="Arial"/>
          <w:sz w:val="24"/>
          <w:szCs w:val="24"/>
          <w:lang w:val="en-GB"/>
        </w:rPr>
      </w:pPr>
      <w:r w:rsidRPr="00297596">
        <w:rPr>
          <w:rFonts w:ascii="Arial" w:hAnsi="Arial" w:cs="Arial"/>
          <w:sz w:val="24"/>
          <w:szCs w:val="24"/>
          <w:lang w:val="en-GB"/>
        </w:rPr>
        <w:t>Managing the use of temporary or agency resources via regular reports to Directorate Management Teams (DMT’s);</w:t>
      </w:r>
    </w:p>
    <w:p w14:paraId="1890BC25" w14:textId="05D7E79F" w:rsidR="009B058F" w:rsidRPr="00297596" w:rsidRDefault="007004BD" w:rsidP="00A35550">
      <w:pPr>
        <w:pStyle w:val="ListParagraph"/>
        <w:numPr>
          <w:ilvl w:val="0"/>
          <w:numId w:val="5"/>
        </w:numPr>
        <w:spacing w:after="100" w:afterAutospacing="1"/>
        <w:ind w:left="1134" w:hanging="425"/>
        <w:rPr>
          <w:rFonts w:ascii="Arial" w:hAnsi="Arial" w:cs="Arial"/>
          <w:sz w:val="24"/>
          <w:szCs w:val="24"/>
          <w:lang w:val="en-GB"/>
        </w:rPr>
      </w:pPr>
      <w:r>
        <w:rPr>
          <w:rFonts w:ascii="Arial" w:hAnsi="Arial" w:cs="Arial"/>
          <w:sz w:val="24"/>
          <w:szCs w:val="24"/>
          <w:lang w:val="en-GB"/>
        </w:rPr>
        <w:t>Inviting applications for</w:t>
      </w:r>
      <w:r w:rsidRPr="00297596">
        <w:rPr>
          <w:rFonts w:ascii="Arial" w:hAnsi="Arial" w:cs="Arial"/>
          <w:sz w:val="24"/>
          <w:szCs w:val="24"/>
          <w:lang w:val="en-GB"/>
        </w:rPr>
        <w:t xml:space="preserve"> voluntary severance where appropriate to staff affected by budget proposals</w:t>
      </w:r>
      <w:r>
        <w:rPr>
          <w:rFonts w:ascii="Arial" w:hAnsi="Arial" w:cs="Arial"/>
          <w:sz w:val="24"/>
          <w:szCs w:val="24"/>
          <w:lang w:val="en-GB"/>
        </w:rPr>
        <w:t xml:space="preserve">, subject to viability and approval </w:t>
      </w:r>
      <w:r w:rsidRPr="00297596">
        <w:rPr>
          <w:rFonts w:ascii="Arial" w:hAnsi="Arial" w:cs="Arial"/>
          <w:sz w:val="24"/>
          <w:szCs w:val="24"/>
          <w:lang w:val="en-GB"/>
        </w:rPr>
        <w:t>on a case by case basis.</w:t>
      </w:r>
    </w:p>
    <w:p w14:paraId="038E93B0" w14:textId="77777777" w:rsidR="009B058F" w:rsidRPr="00297596" w:rsidRDefault="009B058F" w:rsidP="009B058F">
      <w:pPr>
        <w:pStyle w:val="ListParagraph"/>
        <w:spacing w:after="100" w:afterAutospacing="1"/>
        <w:rPr>
          <w:rFonts w:ascii="Arial" w:hAnsi="Arial" w:cs="Arial"/>
          <w:sz w:val="24"/>
          <w:szCs w:val="24"/>
          <w:lang w:val="en-GB"/>
        </w:rPr>
      </w:pPr>
    </w:p>
    <w:p w14:paraId="0FC47BEA" w14:textId="77777777" w:rsidR="009B058F" w:rsidRPr="00297596" w:rsidRDefault="007004BD" w:rsidP="009B058F">
      <w:pPr>
        <w:pStyle w:val="ListParagraph"/>
        <w:spacing w:after="100" w:afterAutospacing="1"/>
        <w:rPr>
          <w:rFonts w:ascii="Arial" w:hAnsi="Arial" w:cs="Arial"/>
          <w:sz w:val="24"/>
          <w:szCs w:val="24"/>
          <w:lang w:val="en-GB"/>
        </w:rPr>
      </w:pPr>
      <w:r w:rsidRPr="00297596">
        <w:rPr>
          <w:rFonts w:ascii="Arial" w:hAnsi="Arial" w:cs="Arial"/>
          <w:sz w:val="24"/>
          <w:szCs w:val="24"/>
          <w:lang w:val="en-GB"/>
        </w:rPr>
        <w:t>These measures will remain in place as consultation with trade unions, staff and other stakeholders is undertaken. Where necessary, a targeted voluntary approach to releasing staff in areas undergoing change will be managed to support service redesigns whilst ensuring that the organisation retains the skills that will be needed for the future.</w:t>
      </w:r>
    </w:p>
    <w:p w14:paraId="7FD28397" w14:textId="0853E952" w:rsidR="009B058F" w:rsidRPr="00CD7591" w:rsidRDefault="007004BD" w:rsidP="0057041E">
      <w:pPr>
        <w:pStyle w:val="Heading1"/>
        <w:rPr>
          <w:lang w:val="en-GB"/>
        </w:rPr>
      </w:pPr>
      <w:bookmarkStart w:id="15" w:name="_Ref94096008"/>
      <w:bookmarkStart w:id="16" w:name="_Ref499031673"/>
      <w:r w:rsidRPr="00CD7591">
        <w:rPr>
          <w:lang w:val="en-GB"/>
        </w:rPr>
        <w:t>BUDGET BOOK AND MEDIUM TERM FINANCIAL STRATEGY 202</w:t>
      </w:r>
      <w:r w:rsidR="00CD7591" w:rsidRPr="00CD7591">
        <w:rPr>
          <w:lang w:val="en-GB"/>
        </w:rPr>
        <w:t>4</w:t>
      </w:r>
      <w:r w:rsidRPr="00CD7591">
        <w:rPr>
          <w:lang w:val="en-GB"/>
        </w:rPr>
        <w:t>/2</w:t>
      </w:r>
      <w:r w:rsidR="00CD7591" w:rsidRPr="00CD7591">
        <w:rPr>
          <w:lang w:val="en-GB"/>
        </w:rPr>
        <w:t>5</w:t>
      </w:r>
      <w:r w:rsidRPr="00CD7591">
        <w:rPr>
          <w:lang w:val="en-GB"/>
        </w:rPr>
        <w:t xml:space="preserve"> to 202</w:t>
      </w:r>
      <w:r w:rsidR="00CD7591" w:rsidRPr="00CD7591">
        <w:rPr>
          <w:lang w:val="en-GB"/>
        </w:rPr>
        <w:t>7</w:t>
      </w:r>
      <w:r w:rsidRPr="00CD7591">
        <w:rPr>
          <w:lang w:val="en-GB"/>
        </w:rPr>
        <w:t>/2</w:t>
      </w:r>
      <w:bookmarkEnd w:id="15"/>
      <w:r w:rsidR="00CD7591" w:rsidRPr="00CD7591">
        <w:rPr>
          <w:lang w:val="en-GB"/>
        </w:rPr>
        <w:t>8</w:t>
      </w:r>
    </w:p>
    <w:p w14:paraId="4A0F31EA" w14:textId="77777777" w:rsidR="009B058F" w:rsidRPr="00CD7591" w:rsidRDefault="007004BD" w:rsidP="00E945CB">
      <w:pPr>
        <w:pStyle w:val="Heading2"/>
      </w:pPr>
      <w:r w:rsidRPr="00CD7591">
        <w:t>The council produces an annual Budget Book which aims to support understanding and transparency of the council’s budget by providing:</w:t>
      </w:r>
    </w:p>
    <w:p w14:paraId="43FAB3CD" w14:textId="77777777" w:rsidR="009B058F" w:rsidRPr="00CD7591" w:rsidRDefault="007004BD" w:rsidP="00A35550">
      <w:pPr>
        <w:pStyle w:val="ListParagraph"/>
        <w:numPr>
          <w:ilvl w:val="0"/>
          <w:numId w:val="4"/>
        </w:numPr>
        <w:spacing w:before="120" w:after="120"/>
        <w:ind w:left="1134" w:hanging="425"/>
        <w:contextualSpacing w:val="0"/>
        <w:rPr>
          <w:rFonts w:ascii="Arial" w:hAnsi="Arial" w:cs="Arial"/>
          <w:sz w:val="24"/>
          <w:szCs w:val="24"/>
          <w:lang w:val="en-GB"/>
        </w:rPr>
      </w:pPr>
      <w:r w:rsidRPr="00CD7591">
        <w:rPr>
          <w:rFonts w:ascii="Arial" w:hAnsi="Arial" w:cs="Arial"/>
          <w:sz w:val="24"/>
          <w:szCs w:val="24"/>
          <w:lang w:val="en-GB"/>
        </w:rPr>
        <w:t>Information at sub-divisional levels to aid understanding of the wide range of services and teams in each service directorate;</w:t>
      </w:r>
    </w:p>
    <w:p w14:paraId="03D0987E" w14:textId="77777777" w:rsidR="009B058F" w:rsidRPr="00CD7591" w:rsidRDefault="007004BD" w:rsidP="00A35550">
      <w:pPr>
        <w:pStyle w:val="ListParagraph"/>
        <w:numPr>
          <w:ilvl w:val="0"/>
          <w:numId w:val="4"/>
        </w:numPr>
        <w:spacing w:before="120" w:after="120"/>
        <w:ind w:left="1134" w:hanging="425"/>
        <w:contextualSpacing w:val="0"/>
        <w:rPr>
          <w:rFonts w:ascii="Arial" w:hAnsi="Arial" w:cs="Arial"/>
          <w:sz w:val="24"/>
          <w:szCs w:val="24"/>
          <w:lang w:val="en-GB"/>
        </w:rPr>
      </w:pPr>
      <w:r w:rsidRPr="00CD7591">
        <w:rPr>
          <w:rFonts w:ascii="Arial" w:hAnsi="Arial" w:cs="Arial"/>
          <w:sz w:val="24"/>
          <w:szCs w:val="24"/>
          <w:lang w:val="en-GB"/>
        </w:rPr>
        <w:t>Analysis of spending and income by category (subjective analysis);</w:t>
      </w:r>
    </w:p>
    <w:p w14:paraId="7476C527" w14:textId="77777777" w:rsidR="009B058F" w:rsidRPr="00CD7591" w:rsidRDefault="007004BD" w:rsidP="00A35550">
      <w:pPr>
        <w:pStyle w:val="ListParagraph"/>
        <w:numPr>
          <w:ilvl w:val="0"/>
          <w:numId w:val="4"/>
        </w:numPr>
        <w:spacing w:before="120" w:after="120"/>
        <w:ind w:left="1134" w:hanging="425"/>
        <w:contextualSpacing w:val="0"/>
        <w:rPr>
          <w:rFonts w:ascii="Arial" w:hAnsi="Arial" w:cs="Arial"/>
          <w:sz w:val="24"/>
          <w:szCs w:val="24"/>
          <w:lang w:val="en-GB"/>
        </w:rPr>
      </w:pPr>
      <w:r w:rsidRPr="00CD7591">
        <w:rPr>
          <w:rFonts w:ascii="Arial" w:hAnsi="Arial" w:cs="Arial"/>
          <w:sz w:val="24"/>
          <w:szCs w:val="24"/>
          <w:lang w:val="en-GB"/>
        </w:rPr>
        <w:t>Staffing information for each service;</w:t>
      </w:r>
    </w:p>
    <w:p w14:paraId="0B766FE5" w14:textId="77777777" w:rsidR="009B058F" w:rsidRPr="00CD7591" w:rsidRDefault="007004BD" w:rsidP="00A35550">
      <w:pPr>
        <w:pStyle w:val="ListParagraph"/>
        <w:numPr>
          <w:ilvl w:val="0"/>
          <w:numId w:val="4"/>
        </w:numPr>
        <w:spacing w:before="120" w:after="120"/>
        <w:ind w:left="1134" w:hanging="425"/>
        <w:contextualSpacing w:val="0"/>
        <w:rPr>
          <w:rFonts w:ascii="Arial" w:hAnsi="Arial" w:cs="Arial"/>
          <w:sz w:val="24"/>
          <w:szCs w:val="24"/>
          <w:lang w:val="en-GB"/>
        </w:rPr>
      </w:pPr>
      <w:r w:rsidRPr="00CD7591">
        <w:rPr>
          <w:rFonts w:ascii="Arial" w:hAnsi="Arial" w:cs="Arial"/>
          <w:sz w:val="24"/>
          <w:szCs w:val="24"/>
          <w:lang w:val="en-GB"/>
        </w:rPr>
        <w:t>Analysis of budget movements between years;</w:t>
      </w:r>
    </w:p>
    <w:p w14:paraId="59AF4815" w14:textId="77777777" w:rsidR="009B058F" w:rsidRPr="00CD7591" w:rsidRDefault="007004BD" w:rsidP="00A35550">
      <w:pPr>
        <w:pStyle w:val="ListParagraph"/>
        <w:numPr>
          <w:ilvl w:val="0"/>
          <w:numId w:val="4"/>
        </w:numPr>
        <w:spacing w:before="120" w:after="120"/>
        <w:ind w:left="1134" w:hanging="425"/>
        <w:contextualSpacing w:val="0"/>
        <w:rPr>
          <w:rFonts w:ascii="Arial" w:hAnsi="Arial" w:cs="Arial"/>
          <w:sz w:val="24"/>
          <w:szCs w:val="24"/>
          <w:lang w:val="en-GB"/>
        </w:rPr>
      </w:pPr>
      <w:r w:rsidRPr="00CD7591">
        <w:rPr>
          <w:rFonts w:ascii="Arial" w:hAnsi="Arial" w:cs="Arial"/>
          <w:sz w:val="24"/>
          <w:szCs w:val="24"/>
          <w:lang w:val="en-GB"/>
        </w:rPr>
        <w:t>Analysis of savings, investments and service pressure funding by category;</w:t>
      </w:r>
    </w:p>
    <w:p w14:paraId="346D27B2" w14:textId="77777777" w:rsidR="009B058F" w:rsidRPr="00CD7591" w:rsidRDefault="007004BD" w:rsidP="00A35550">
      <w:pPr>
        <w:pStyle w:val="ListParagraph"/>
        <w:numPr>
          <w:ilvl w:val="0"/>
          <w:numId w:val="4"/>
        </w:numPr>
        <w:spacing w:before="120" w:after="120"/>
        <w:ind w:left="1134" w:hanging="425"/>
        <w:contextualSpacing w:val="0"/>
        <w:rPr>
          <w:rFonts w:ascii="Arial" w:hAnsi="Arial" w:cs="Arial"/>
          <w:sz w:val="24"/>
          <w:szCs w:val="24"/>
          <w:lang w:val="en-GB"/>
        </w:rPr>
      </w:pPr>
      <w:r w:rsidRPr="00CD7591">
        <w:rPr>
          <w:rFonts w:ascii="Arial" w:hAnsi="Arial" w:cs="Arial"/>
          <w:sz w:val="24"/>
          <w:szCs w:val="24"/>
          <w:lang w:val="en-GB"/>
        </w:rPr>
        <w:t>Information on capital investments.</w:t>
      </w:r>
    </w:p>
    <w:p w14:paraId="5A9897E0" w14:textId="3F929932" w:rsidR="009B058F" w:rsidRPr="00CD7591" w:rsidRDefault="007004BD" w:rsidP="00E945CB">
      <w:pPr>
        <w:pStyle w:val="Heading2"/>
        <w:rPr>
          <w:rFonts w:eastAsiaTheme="minorHAnsi"/>
        </w:rPr>
      </w:pPr>
      <w:r w:rsidRPr="00CD7591">
        <w:t>The MTFS planning assumptions, resource and expenditure estimates are also included within the Budget Book. The MTFS has been revised to reflect the latest cost, income and demand pressures and the proposed 4.99% council tax increase, including a 2% Adult Social Care precept.</w:t>
      </w:r>
    </w:p>
    <w:p w14:paraId="54F1B18D" w14:textId="760BEC07" w:rsidR="009B058F" w:rsidRDefault="007004BD" w:rsidP="00E945CB">
      <w:pPr>
        <w:pStyle w:val="Heading2"/>
        <w:rPr>
          <w:rFonts w:eastAsiaTheme="minorHAnsi"/>
        </w:rPr>
      </w:pPr>
      <w:r w:rsidRPr="00ED5440">
        <w:t xml:space="preserve">This year, the very late announcement of the </w:t>
      </w:r>
      <w:r w:rsidR="00842C0E">
        <w:t>LGFS</w:t>
      </w:r>
      <w:r w:rsidRPr="00ED5440">
        <w:t xml:space="preserve"> and the severe financial challenge facing the authority mean that the development of savings and the review of service pressure funding has continued throughout late December and January and has delayed production of the Budget Book. This will therefore be provided to Budget Council as part of the Supplementary Budget report. However, all of the information contained in the Budget Book is separately provided in appendices to this report including budget strategies, savings proposals, capital investment proposals and summary Budget and </w:t>
      </w:r>
      <w:r w:rsidRPr="00ED5440">
        <w:rPr>
          <w:rFonts w:eastAsiaTheme="minorHAnsi"/>
        </w:rPr>
        <w:t xml:space="preserve">MTFS information. </w:t>
      </w:r>
      <w:r w:rsidRPr="00C96E33">
        <w:rPr>
          <w:rFonts w:eastAsiaTheme="minorHAnsi"/>
        </w:rPr>
        <w:t xml:space="preserve">The MTFS summary is also presented in the table below: </w:t>
      </w:r>
    </w:p>
    <w:p w14:paraId="7A727880" w14:textId="77777777" w:rsidR="002D0329" w:rsidRPr="002D0329" w:rsidRDefault="002D0329" w:rsidP="002D0329">
      <w:pPr>
        <w:rPr>
          <w:lang w:val="en-GB"/>
        </w:rPr>
      </w:pPr>
    </w:p>
    <w:tbl>
      <w:tblPr>
        <w:tblW w:w="9754" w:type="dxa"/>
        <w:tblInd w:w="699" w:type="dxa"/>
        <w:tblLayout w:type="fixed"/>
        <w:tblCellMar>
          <w:left w:w="57" w:type="dxa"/>
          <w:right w:w="57" w:type="dxa"/>
        </w:tblCellMar>
        <w:tblLook w:val="04A0" w:firstRow="1" w:lastRow="0" w:firstColumn="1" w:lastColumn="0" w:noHBand="0" w:noVBand="1"/>
      </w:tblPr>
      <w:tblGrid>
        <w:gridCol w:w="5528"/>
        <w:gridCol w:w="1056"/>
        <w:gridCol w:w="1057"/>
        <w:gridCol w:w="1056"/>
        <w:gridCol w:w="1057"/>
      </w:tblGrid>
      <w:tr w:rsidR="00A53B77" w14:paraId="66CF554B" w14:textId="77777777" w:rsidTr="00870C62">
        <w:trPr>
          <w:trHeight w:val="315"/>
        </w:trPr>
        <w:tc>
          <w:tcPr>
            <w:tcW w:w="5528"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14:paraId="4B96EBA5" w14:textId="77777777" w:rsidR="002D0329" w:rsidRPr="00870C62" w:rsidRDefault="007004BD" w:rsidP="002D0329">
            <w:pPr>
              <w:rPr>
                <w:rFonts w:ascii="Arial" w:hAnsi="Arial" w:cs="Arial"/>
                <w:b/>
                <w:bCs/>
                <w:sz w:val="24"/>
                <w:szCs w:val="24"/>
                <w:lang w:val="en-GB" w:eastAsia="en-GB"/>
              </w:rPr>
            </w:pPr>
            <w:r w:rsidRPr="00870C62">
              <w:rPr>
                <w:rFonts w:ascii="Arial" w:hAnsi="Arial" w:cs="Arial"/>
                <w:b/>
                <w:bCs/>
                <w:sz w:val="24"/>
                <w:szCs w:val="24"/>
                <w:lang w:val="en-GB" w:eastAsia="en-GB"/>
              </w:rPr>
              <w:t>Table 6:</w:t>
            </w:r>
          </w:p>
          <w:p w14:paraId="0158DC3C" w14:textId="77DAFE17" w:rsidR="00ED5440" w:rsidRPr="00870C62" w:rsidRDefault="007004BD" w:rsidP="002D0329">
            <w:pPr>
              <w:rPr>
                <w:rFonts w:ascii="Arial" w:hAnsi="Arial" w:cs="Arial"/>
                <w:b/>
                <w:bCs/>
                <w:sz w:val="24"/>
                <w:szCs w:val="24"/>
                <w:lang w:val="en-GB" w:eastAsia="en-GB"/>
              </w:rPr>
            </w:pPr>
            <w:r w:rsidRPr="00870C62">
              <w:rPr>
                <w:rFonts w:ascii="Arial" w:hAnsi="Arial" w:cs="Arial"/>
                <w:b/>
                <w:bCs/>
                <w:sz w:val="24"/>
                <w:szCs w:val="24"/>
                <w:lang w:val="en-GB" w:eastAsia="en-GB"/>
              </w:rPr>
              <w:t xml:space="preserve">Medium Term Financial Strategy 2024 to 2028 </w:t>
            </w:r>
          </w:p>
        </w:tc>
        <w:tc>
          <w:tcPr>
            <w:tcW w:w="105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90597E1" w14:textId="77777777" w:rsidR="00ED5440" w:rsidRPr="00870C62" w:rsidRDefault="007004BD" w:rsidP="002D0329">
            <w:pPr>
              <w:jc w:val="center"/>
              <w:rPr>
                <w:rFonts w:ascii="Arial" w:hAnsi="Arial" w:cs="Arial"/>
                <w:b/>
                <w:bCs/>
                <w:sz w:val="24"/>
                <w:szCs w:val="24"/>
                <w:lang w:val="en-GB" w:eastAsia="en-GB"/>
              </w:rPr>
            </w:pPr>
            <w:r w:rsidRPr="00870C62">
              <w:rPr>
                <w:rFonts w:ascii="Arial" w:hAnsi="Arial" w:cs="Arial"/>
                <w:b/>
                <w:bCs/>
                <w:sz w:val="24"/>
                <w:szCs w:val="24"/>
                <w:lang w:val="en-GB" w:eastAsia="en-GB"/>
              </w:rPr>
              <w:t>2024/25</w:t>
            </w:r>
          </w:p>
        </w:tc>
        <w:tc>
          <w:tcPr>
            <w:tcW w:w="1057"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76A06169" w14:textId="77777777" w:rsidR="00ED5440" w:rsidRPr="00870C62" w:rsidRDefault="007004BD" w:rsidP="002D0329">
            <w:pPr>
              <w:jc w:val="center"/>
              <w:rPr>
                <w:rFonts w:ascii="Arial" w:hAnsi="Arial" w:cs="Arial"/>
                <w:b/>
                <w:bCs/>
                <w:sz w:val="24"/>
                <w:szCs w:val="24"/>
                <w:lang w:val="en-GB" w:eastAsia="en-GB"/>
              </w:rPr>
            </w:pPr>
            <w:r w:rsidRPr="00870C62">
              <w:rPr>
                <w:rFonts w:ascii="Arial" w:hAnsi="Arial" w:cs="Arial"/>
                <w:b/>
                <w:bCs/>
                <w:sz w:val="24"/>
                <w:szCs w:val="24"/>
                <w:lang w:val="en-GB" w:eastAsia="en-GB"/>
              </w:rPr>
              <w:t>2025/26</w:t>
            </w:r>
          </w:p>
        </w:tc>
        <w:tc>
          <w:tcPr>
            <w:tcW w:w="105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1C5FA2D" w14:textId="77777777" w:rsidR="00ED5440" w:rsidRPr="00870C62" w:rsidRDefault="007004BD" w:rsidP="002D0329">
            <w:pPr>
              <w:jc w:val="center"/>
              <w:rPr>
                <w:rFonts w:ascii="Arial" w:hAnsi="Arial" w:cs="Arial"/>
                <w:b/>
                <w:bCs/>
                <w:sz w:val="24"/>
                <w:szCs w:val="24"/>
                <w:lang w:val="en-GB" w:eastAsia="en-GB"/>
              </w:rPr>
            </w:pPr>
            <w:r w:rsidRPr="00870C62">
              <w:rPr>
                <w:rFonts w:ascii="Arial" w:hAnsi="Arial" w:cs="Arial"/>
                <w:b/>
                <w:bCs/>
                <w:sz w:val="24"/>
                <w:szCs w:val="24"/>
                <w:lang w:val="en-GB" w:eastAsia="en-GB"/>
              </w:rPr>
              <w:t>2026/27</w:t>
            </w:r>
          </w:p>
        </w:tc>
        <w:tc>
          <w:tcPr>
            <w:tcW w:w="1057"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31B3BBC" w14:textId="77777777" w:rsidR="00ED5440" w:rsidRPr="00870C62" w:rsidRDefault="007004BD" w:rsidP="002D0329">
            <w:pPr>
              <w:jc w:val="center"/>
              <w:rPr>
                <w:rFonts w:ascii="Arial" w:hAnsi="Arial" w:cs="Arial"/>
                <w:b/>
                <w:bCs/>
                <w:sz w:val="24"/>
                <w:szCs w:val="24"/>
                <w:lang w:val="en-GB" w:eastAsia="en-GB"/>
              </w:rPr>
            </w:pPr>
            <w:r w:rsidRPr="00870C62">
              <w:rPr>
                <w:rFonts w:ascii="Arial" w:hAnsi="Arial" w:cs="Arial"/>
                <w:b/>
                <w:bCs/>
                <w:sz w:val="24"/>
                <w:szCs w:val="24"/>
                <w:lang w:val="en-GB" w:eastAsia="en-GB"/>
              </w:rPr>
              <w:t>2027/28</w:t>
            </w:r>
          </w:p>
        </w:tc>
      </w:tr>
      <w:tr w:rsidR="00A53B77" w14:paraId="01A0234D" w14:textId="77777777" w:rsidTr="00870C62">
        <w:trPr>
          <w:trHeight w:val="315"/>
        </w:trPr>
        <w:tc>
          <w:tcPr>
            <w:tcW w:w="5528"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B07FF5B" w14:textId="77777777" w:rsidR="00ED5440" w:rsidRPr="00870C62" w:rsidRDefault="00ED5440" w:rsidP="002D0329">
            <w:pPr>
              <w:rPr>
                <w:rFonts w:ascii="Arial" w:hAnsi="Arial" w:cs="Arial"/>
                <w:b/>
                <w:bCs/>
                <w:sz w:val="24"/>
                <w:szCs w:val="24"/>
                <w:lang w:val="en-GB" w:eastAsia="en-GB"/>
              </w:rPr>
            </w:pPr>
          </w:p>
        </w:tc>
        <w:tc>
          <w:tcPr>
            <w:tcW w:w="1056" w:type="dxa"/>
            <w:tcBorders>
              <w:top w:val="nil"/>
              <w:left w:val="nil"/>
              <w:bottom w:val="single" w:sz="8" w:space="0" w:color="auto"/>
              <w:right w:val="single" w:sz="8" w:space="0" w:color="auto"/>
            </w:tcBorders>
            <w:shd w:val="clear" w:color="auto" w:fill="D9D9D9" w:themeFill="background1" w:themeFillShade="D9"/>
            <w:vAlign w:val="center"/>
            <w:hideMark/>
          </w:tcPr>
          <w:p w14:paraId="3CDC091F" w14:textId="77777777" w:rsidR="00ED5440" w:rsidRPr="00870C62" w:rsidRDefault="007004BD" w:rsidP="002D0329">
            <w:pPr>
              <w:jc w:val="center"/>
              <w:rPr>
                <w:rFonts w:ascii="Arial" w:hAnsi="Arial" w:cs="Arial"/>
                <w:b/>
                <w:bCs/>
                <w:sz w:val="24"/>
                <w:szCs w:val="24"/>
                <w:lang w:val="en-GB" w:eastAsia="en-GB"/>
              </w:rPr>
            </w:pPr>
            <w:r w:rsidRPr="00870C62">
              <w:rPr>
                <w:rFonts w:ascii="Arial" w:hAnsi="Arial" w:cs="Arial"/>
                <w:b/>
                <w:bCs/>
                <w:sz w:val="24"/>
                <w:szCs w:val="24"/>
                <w:lang w:val="en-GB" w:eastAsia="en-GB"/>
              </w:rPr>
              <w:t>£m</w:t>
            </w:r>
          </w:p>
        </w:tc>
        <w:tc>
          <w:tcPr>
            <w:tcW w:w="1057" w:type="dxa"/>
            <w:tcBorders>
              <w:top w:val="nil"/>
              <w:left w:val="nil"/>
              <w:bottom w:val="single" w:sz="8" w:space="0" w:color="auto"/>
              <w:right w:val="single" w:sz="8" w:space="0" w:color="auto"/>
            </w:tcBorders>
            <w:shd w:val="clear" w:color="auto" w:fill="D9D9D9" w:themeFill="background1" w:themeFillShade="D9"/>
            <w:vAlign w:val="center"/>
            <w:hideMark/>
          </w:tcPr>
          <w:p w14:paraId="6056B38A" w14:textId="77777777" w:rsidR="00ED5440" w:rsidRPr="00870C62" w:rsidRDefault="007004BD" w:rsidP="002D0329">
            <w:pPr>
              <w:jc w:val="center"/>
              <w:rPr>
                <w:rFonts w:ascii="Arial" w:hAnsi="Arial" w:cs="Arial"/>
                <w:b/>
                <w:bCs/>
                <w:sz w:val="24"/>
                <w:szCs w:val="24"/>
                <w:lang w:val="en-GB" w:eastAsia="en-GB"/>
              </w:rPr>
            </w:pPr>
            <w:r w:rsidRPr="00870C62">
              <w:rPr>
                <w:rFonts w:ascii="Arial" w:hAnsi="Arial" w:cs="Arial"/>
                <w:b/>
                <w:bCs/>
                <w:sz w:val="24"/>
                <w:szCs w:val="24"/>
                <w:lang w:val="en-GB" w:eastAsia="en-GB"/>
              </w:rPr>
              <w:t>£m</w:t>
            </w:r>
          </w:p>
        </w:tc>
        <w:tc>
          <w:tcPr>
            <w:tcW w:w="1056" w:type="dxa"/>
            <w:tcBorders>
              <w:top w:val="nil"/>
              <w:left w:val="nil"/>
              <w:bottom w:val="single" w:sz="8" w:space="0" w:color="auto"/>
              <w:right w:val="single" w:sz="8" w:space="0" w:color="auto"/>
            </w:tcBorders>
            <w:shd w:val="clear" w:color="auto" w:fill="D9D9D9" w:themeFill="background1" w:themeFillShade="D9"/>
            <w:vAlign w:val="center"/>
            <w:hideMark/>
          </w:tcPr>
          <w:p w14:paraId="7932A7B2" w14:textId="77777777" w:rsidR="00ED5440" w:rsidRPr="00870C62" w:rsidRDefault="007004BD" w:rsidP="002D0329">
            <w:pPr>
              <w:jc w:val="center"/>
              <w:rPr>
                <w:rFonts w:ascii="Arial" w:hAnsi="Arial" w:cs="Arial"/>
                <w:b/>
                <w:bCs/>
                <w:sz w:val="24"/>
                <w:szCs w:val="24"/>
                <w:lang w:val="en-GB" w:eastAsia="en-GB"/>
              </w:rPr>
            </w:pPr>
            <w:r w:rsidRPr="00870C62">
              <w:rPr>
                <w:rFonts w:ascii="Arial" w:hAnsi="Arial" w:cs="Arial"/>
                <w:b/>
                <w:bCs/>
                <w:sz w:val="24"/>
                <w:szCs w:val="24"/>
                <w:lang w:val="en-GB" w:eastAsia="en-GB"/>
              </w:rPr>
              <w:t>£m</w:t>
            </w:r>
          </w:p>
        </w:tc>
        <w:tc>
          <w:tcPr>
            <w:tcW w:w="1057" w:type="dxa"/>
            <w:tcBorders>
              <w:top w:val="nil"/>
              <w:left w:val="nil"/>
              <w:bottom w:val="single" w:sz="8" w:space="0" w:color="auto"/>
              <w:right w:val="single" w:sz="8" w:space="0" w:color="auto"/>
            </w:tcBorders>
            <w:shd w:val="clear" w:color="auto" w:fill="D9D9D9" w:themeFill="background1" w:themeFillShade="D9"/>
            <w:vAlign w:val="center"/>
            <w:hideMark/>
          </w:tcPr>
          <w:p w14:paraId="27584D74" w14:textId="77777777" w:rsidR="00ED5440" w:rsidRPr="00870C62" w:rsidRDefault="007004BD" w:rsidP="002D0329">
            <w:pPr>
              <w:jc w:val="center"/>
              <w:rPr>
                <w:rFonts w:ascii="Arial" w:hAnsi="Arial" w:cs="Arial"/>
                <w:b/>
                <w:bCs/>
                <w:sz w:val="24"/>
                <w:szCs w:val="24"/>
                <w:lang w:val="en-GB" w:eastAsia="en-GB"/>
              </w:rPr>
            </w:pPr>
            <w:r w:rsidRPr="00870C62">
              <w:rPr>
                <w:rFonts w:ascii="Arial" w:hAnsi="Arial" w:cs="Arial"/>
                <w:b/>
                <w:bCs/>
                <w:sz w:val="24"/>
                <w:szCs w:val="24"/>
                <w:lang w:val="en-GB" w:eastAsia="en-GB"/>
              </w:rPr>
              <w:t>£m</w:t>
            </w:r>
          </w:p>
        </w:tc>
      </w:tr>
      <w:tr w:rsidR="00A53B77" w14:paraId="12044F8E" w14:textId="77777777" w:rsidTr="00870C62">
        <w:trPr>
          <w:trHeight w:val="319"/>
        </w:trPr>
        <w:tc>
          <w:tcPr>
            <w:tcW w:w="5528" w:type="dxa"/>
            <w:tcBorders>
              <w:top w:val="nil"/>
              <w:left w:val="single" w:sz="8" w:space="0" w:color="auto"/>
              <w:bottom w:val="single" w:sz="8" w:space="0" w:color="auto"/>
              <w:right w:val="single" w:sz="8" w:space="0" w:color="auto"/>
            </w:tcBorders>
            <w:shd w:val="clear" w:color="auto" w:fill="auto"/>
            <w:noWrap/>
            <w:vAlign w:val="center"/>
            <w:hideMark/>
          </w:tcPr>
          <w:p w14:paraId="7776F160" w14:textId="77777777" w:rsidR="00ED5440" w:rsidRPr="00870C62" w:rsidRDefault="007004BD" w:rsidP="002D0329">
            <w:pPr>
              <w:rPr>
                <w:rFonts w:ascii="Arial" w:hAnsi="Arial" w:cs="Arial"/>
                <w:b/>
                <w:bCs/>
                <w:sz w:val="24"/>
                <w:szCs w:val="24"/>
                <w:lang w:val="en-GB" w:eastAsia="en-GB"/>
              </w:rPr>
            </w:pPr>
            <w:r w:rsidRPr="00870C62">
              <w:rPr>
                <w:rFonts w:ascii="Arial" w:hAnsi="Arial" w:cs="Arial"/>
                <w:b/>
                <w:bCs/>
                <w:sz w:val="24"/>
                <w:szCs w:val="24"/>
                <w:lang w:val="en-GB" w:eastAsia="en-GB"/>
              </w:rPr>
              <w:t>Net Budget Requirement B/</w:t>
            </w:r>
            <w:proofErr w:type="spellStart"/>
            <w:r w:rsidRPr="00870C62">
              <w:rPr>
                <w:rFonts w:ascii="Arial" w:hAnsi="Arial" w:cs="Arial"/>
                <w:b/>
                <w:bCs/>
                <w:sz w:val="24"/>
                <w:szCs w:val="24"/>
                <w:lang w:val="en-GB" w:eastAsia="en-GB"/>
              </w:rPr>
              <w:t>Fwd</w:t>
            </w:r>
            <w:proofErr w:type="spellEnd"/>
          </w:p>
        </w:tc>
        <w:tc>
          <w:tcPr>
            <w:tcW w:w="1056" w:type="dxa"/>
            <w:tcBorders>
              <w:top w:val="nil"/>
              <w:left w:val="nil"/>
              <w:bottom w:val="single" w:sz="8" w:space="0" w:color="auto"/>
              <w:right w:val="single" w:sz="8" w:space="0" w:color="auto"/>
            </w:tcBorders>
            <w:shd w:val="clear" w:color="auto" w:fill="auto"/>
            <w:vAlign w:val="center"/>
            <w:hideMark/>
          </w:tcPr>
          <w:p w14:paraId="2916D6C1" w14:textId="77777777" w:rsidR="00ED5440" w:rsidRPr="00870C62" w:rsidRDefault="007004BD" w:rsidP="002D0329">
            <w:pPr>
              <w:jc w:val="right"/>
              <w:rPr>
                <w:rFonts w:ascii="Arial" w:hAnsi="Arial" w:cs="Arial"/>
                <w:b/>
                <w:bCs/>
                <w:sz w:val="24"/>
                <w:szCs w:val="24"/>
                <w:lang w:val="en-GB" w:eastAsia="en-GB"/>
              </w:rPr>
            </w:pPr>
            <w:r w:rsidRPr="00870C62">
              <w:rPr>
                <w:rFonts w:ascii="Arial" w:hAnsi="Arial" w:cs="Arial"/>
                <w:b/>
                <w:bCs/>
                <w:sz w:val="24"/>
                <w:szCs w:val="24"/>
                <w:lang w:val="en-GB" w:eastAsia="en-GB"/>
              </w:rPr>
              <w:t>232.385</w:t>
            </w:r>
          </w:p>
        </w:tc>
        <w:tc>
          <w:tcPr>
            <w:tcW w:w="1057" w:type="dxa"/>
            <w:tcBorders>
              <w:top w:val="nil"/>
              <w:left w:val="nil"/>
              <w:bottom w:val="single" w:sz="8" w:space="0" w:color="auto"/>
              <w:right w:val="single" w:sz="8" w:space="0" w:color="auto"/>
            </w:tcBorders>
            <w:shd w:val="clear" w:color="auto" w:fill="auto"/>
            <w:vAlign w:val="center"/>
            <w:hideMark/>
          </w:tcPr>
          <w:p w14:paraId="6C397843" w14:textId="77777777" w:rsidR="00ED5440" w:rsidRPr="00870C62" w:rsidRDefault="007004BD" w:rsidP="002D0329">
            <w:pPr>
              <w:jc w:val="right"/>
              <w:rPr>
                <w:rFonts w:ascii="Arial" w:hAnsi="Arial" w:cs="Arial"/>
                <w:b/>
                <w:bCs/>
                <w:sz w:val="24"/>
                <w:szCs w:val="24"/>
                <w:lang w:val="en-GB" w:eastAsia="en-GB"/>
              </w:rPr>
            </w:pPr>
            <w:r w:rsidRPr="00870C62">
              <w:rPr>
                <w:rFonts w:ascii="Arial" w:hAnsi="Arial" w:cs="Arial"/>
                <w:b/>
                <w:bCs/>
                <w:sz w:val="24"/>
                <w:szCs w:val="24"/>
                <w:lang w:val="en-GB" w:eastAsia="en-GB"/>
              </w:rPr>
              <w:t>246.353</w:t>
            </w:r>
          </w:p>
        </w:tc>
        <w:tc>
          <w:tcPr>
            <w:tcW w:w="1056" w:type="dxa"/>
            <w:tcBorders>
              <w:top w:val="nil"/>
              <w:left w:val="nil"/>
              <w:bottom w:val="single" w:sz="8" w:space="0" w:color="auto"/>
              <w:right w:val="single" w:sz="8" w:space="0" w:color="auto"/>
            </w:tcBorders>
            <w:shd w:val="clear" w:color="auto" w:fill="auto"/>
            <w:vAlign w:val="center"/>
            <w:hideMark/>
          </w:tcPr>
          <w:p w14:paraId="73C78D7C" w14:textId="38C49EA1" w:rsidR="00ED5440" w:rsidRPr="00870C62" w:rsidRDefault="007004BD" w:rsidP="002D0329">
            <w:pPr>
              <w:jc w:val="right"/>
              <w:rPr>
                <w:rFonts w:ascii="Arial" w:hAnsi="Arial" w:cs="Arial"/>
                <w:b/>
                <w:bCs/>
                <w:sz w:val="24"/>
                <w:szCs w:val="24"/>
                <w:lang w:val="en-GB" w:eastAsia="en-GB"/>
              </w:rPr>
            </w:pPr>
            <w:r w:rsidRPr="00870C62">
              <w:rPr>
                <w:rFonts w:ascii="Arial" w:hAnsi="Arial" w:cs="Arial"/>
                <w:b/>
                <w:bCs/>
                <w:sz w:val="24"/>
                <w:szCs w:val="24"/>
                <w:lang w:val="en-GB" w:eastAsia="en-GB"/>
              </w:rPr>
              <w:t>267.4</w:t>
            </w:r>
            <w:r w:rsidR="00961F76" w:rsidRPr="00870C62">
              <w:rPr>
                <w:rFonts w:ascii="Arial" w:hAnsi="Arial" w:cs="Arial"/>
                <w:b/>
                <w:bCs/>
                <w:sz w:val="24"/>
                <w:szCs w:val="24"/>
                <w:lang w:val="en-GB" w:eastAsia="en-GB"/>
              </w:rPr>
              <w:t>63</w:t>
            </w:r>
          </w:p>
        </w:tc>
        <w:tc>
          <w:tcPr>
            <w:tcW w:w="1057" w:type="dxa"/>
            <w:tcBorders>
              <w:top w:val="nil"/>
              <w:left w:val="nil"/>
              <w:bottom w:val="single" w:sz="8" w:space="0" w:color="auto"/>
              <w:right w:val="single" w:sz="8" w:space="0" w:color="auto"/>
            </w:tcBorders>
            <w:shd w:val="clear" w:color="auto" w:fill="auto"/>
            <w:vAlign w:val="center"/>
            <w:hideMark/>
          </w:tcPr>
          <w:p w14:paraId="498BC4A8" w14:textId="459AB347" w:rsidR="00ED5440" w:rsidRPr="00870C62" w:rsidRDefault="007004BD" w:rsidP="002D0329">
            <w:pPr>
              <w:jc w:val="right"/>
              <w:rPr>
                <w:rFonts w:ascii="Arial" w:hAnsi="Arial" w:cs="Arial"/>
                <w:b/>
                <w:bCs/>
                <w:sz w:val="24"/>
                <w:szCs w:val="24"/>
                <w:lang w:val="en-GB" w:eastAsia="en-GB"/>
              </w:rPr>
            </w:pPr>
            <w:r w:rsidRPr="00870C62">
              <w:rPr>
                <w:rFonts w:ascii="Arial" w:hAnsi="Arial" w:cs="Arial"/>
                <w:b/>
                <w:bCs/>
                <w:sz w:val="24"/>
                <w:szCs w:val="24"/>
                <w:lang w:val="en-GB" w:eastAsia="en-GB"/>
              </w:rPr>
              <w:t>273.2</w:t>
            </w:r>
            <w:r w:rsidR="00961F76" w:rsidRPr="00870C62">
              <w:rPr>
                <w:rFonts w:ascii="Arial" w:hAnsi="Arial" w:cs="Arial"/>
                <w:b/>
                <w:bCs/>
                <w:sz w:val="24"/>
                <w:szCs w:val="24"/>
                <w:lang w:val="en-GB" w:eastAsia="en-GB"/>
              </w:rPr>
              <w:t>46</w:t>
            </w:r>
          </w:p>
        </w:tc>
      </w:tr>
      <w:tr w:rsidR="00A53B77" w14:paraId="5A4C22A7" w14:textId="77777777" w:rsidTr="00870C62">
        <w:trPr>
          <w:trHeight w:val="319"/>
        </w:trPr>
        <w:tc>
          <w:tcPr>
            <w:tcW w:w="5528" w:type="dxa"/>
            <w:tcBorders>
              <w:top w:val="nil"/>
              <w:left w:val="single" w:sz="8" w:space="0" w:color="auto"/>
              <w:bottom w:val="single" w:sz="8" w:space="0" w:color="auto"/>
              <w:right w:val="single" w:sz="8" w:space="0" w:color="auto"/>
            </w:tcBorders>
            <w:shd w:val="clear" w:color="auto" w:fill="auto"/>
            <w:noWrap/>
            <w:vAlign w:val="center"/>
            <w:hideMark/>
          </w:tcPr>
          <w:p w14:paraId="4A6CAAFD" w14:textId="2CBB4979" w:rsidR="00ED5440" w:rsidRPr="00870C62" w:rsidRDefault="007004BD" w:rsidP="002D0329">
            <w:pPr>
              <w:rPr>
                <w:rFonts w:ascii="Arial" w:hAnsi="Arial" w:cs="Arial"/>
                <w:sz w:val="24"/>
                <w:szCs w:val="24"/>
                <w:lang w:val="en-GB" w:eastAsia="en-GB"/>
              </w:rPr>
            </w:pPr>
            <w:r w:rsidRPr="00870C62">
              <w:rPr>
                <w:rFonts w:ascii="Arial" w:hAnsi="Arial" w:cs="Arial"/>
                <w:sz w:val="24"/>
                <w:szCs w:val="24"/>
                <w:lang w:val="en-GB" w:eastAsia="en-GB"/>
              </w:rPr>
              <w:t>Remove net one</w:t>
            </w:r>
            <w:r w:rsidR="002D0329" w:rsidRPr="00870C62">
              <w:rPr>
                <w:rFonts w:ascii="Arial" w:hAnsi="Arial" w:cs="Arial"/>
                <w:sz w:val="24"/>
                <w:szCs w:val="24"/>
                <w:lang w:val="en-GB" w:eastAsia="en-GB"/>
              </w:rPr>
              <w:t>-</w:t>
            </w:r>
            <w:r w:rsidRPr="00870C62">
              <w:rPr>
                <w:rFonts w:ascii="Arial" w:hAnsi="Arial" w:cs="Arial"/>
                <w:sz w:val="24"/>
                <w:szCs w:val="24"/>
                <w:lang w:val="en-GB" w:eastAsia="en-GB"/>
              </w:rPr>
              <w:t>off short term funding and expenditure</w:t>
            </w:r>
          </w:p>
        </w:tc>
        <w:tc>
          <w:tcPr>
            <w:tcW w:w="1056" w:type="dxa"/>
            <w:tcBorders>
              <w:top w:val="nil"/>
              <w:left w:val="nil"/>
              <w:bottom w:val="single" w:sz="8" w:space="0" w:color="auto"/>
              <w:right w:val="single" w:sz="8" w:space="0" w:color="auto"/>
            </w:tcBorders>
            <w:shd w:val="clear" w:color="auto" w:fill="auto"/>
            <w:vAlign w:val="center"/>
            <w:hideMark/>
          </w:tcPr>
          <w:p w14:paraId="45E892C9"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2.631</w:t>
            </w:r>
          </w:p>
        </w:tc>
        <w:tc>
          <w:tcPr>
            <w:tcW w:w="1057" w:type="dxa"/>
            <w:tcBorders>
              <w:top w:val="nil"/>
              <w:left w:val="nil"/>
              <w:bottom w:val="single" w:sz="8" w:space="0" w:color="auto"/>
              <w:right w:val="single" w:sz="8" w:space="0" w:color="auto"/>
            </w:tcBorders>
            <w:shd w:val="clear" w:color="auto" w:fill="auto"/>
            <w:vAlign w:val="center"/>
            <w:hideMark/>
          </w:tcPr>
          <w:p w14:paraId="065411EC" w14:textId="426AB2B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0.</w:t>
            </w:r>
            <w:r w:rsidR="00021979">
              <w:rPr>
                <w:rFonts w:ascii="Arial" w:hAnsi="Arial" w:cs="Arial"/>
                <w:sz w:val="24"/>
                <w:szCs w:val="24"/>
                <w:lang w:val="en-GB" w:eastAsia="en-GB"/>
              </w:rPr>
              <w:t>2</w:t>
            </w:r>
            <w:r w:rsidRPr="00870C62">
              <w:rPr>
                <w:rFonts w:ascii="Arial" w:hAnsi="Arial" w:cs="Arial"/>
                <w:sz w:val="24"/>
                <w:szCs w:val="24"/>
                <w:lang w:val="en-GB" w:eastAsia="en-GB"/>
              </w:rPr>
              <w:t>00</w:t>
            </w:r>
          </w:p>
        </w:tc>
        <w:tc>
          <w:tcPr>
            <w:tcW w:w="1056" w:type="dxa"/>
            <w:tcBorders>
              <w:top w:val="nil"/>
              <w:left w:val="nil"/>
              <w:bottom w:val="single" w:sz="8" w:space="0" w:color="auto"/>
              <w:right w:val="single" w:sz="8" w:space="0" w:color="auto"/>
            </w:tcBorders>
            <w:shd w:val="clear" w:color="auto" w:fill="auto"/>
            <w:vAlign w:val="center"/>
            <w:hideMark/>
          </w:tcPr>
          <w:p w14:paraId="62404999"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0.000</w:t>
            </w:r>
          </w:p>
        </w:tc>
        <w:tc>
          <w:tcPr>
            <w:tcW w:w="1057" w:type="dxa"/>
            <w:tcBorders>
              <w:top w:val="nil"/>
              <w:left w:val="nil"/>
              <w:bottom w:val="single" w:sz="8" w:space="0" w:color="auto"/>
              <w:right w:val="single" w:sz="8" w:space="0" w:color="auto"/>
            </w:tcBorders>
            <w:shd w:val="clear" w:color="auto" w:fill="auto"/>
            <w:vAlign w:val="center"/>
            <w:hideMark/>
          </w:tcPr>
          <w:p w14:paraId="57545BA1"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0.000</w:t>
            </w:r>
          </w:p>
        </w:tc>
      </w:tr>
      <w:tr w:rsidR="00A53B77" w14:paraId="0EE0C587" w14:textId="77777777" w:rsidTr="00870C62">
        <w:trPr>
          <w:trHeight w:val="319"/>
        </w:trPr>
        <w:tc>
          <w:tcPr>
            <w:tcW w:w="5528" w:type="dxa"/>
            <w:tcBorders>
              <w:top w:val="nil"/>
              <w:left w:val="single" w:sz="8" w:space="0" w:color="auto"/>
              <w:bottom w:val="single" w:sz="8" w:space="0" w:color="auto"/>
              <w:right w:val="single" w:sz="8" w:space="0" w:color="auto"/>
            </w:tcBorders>
            <w:shd w:val="clear" w:color="auto" w:fill="auto"/>
            <w:noWrap/>
            <w:vAlign w:val="center"/>
            <w:hideMark/>
          </w:tcPr>
          <w:p w14:paraId="35DA417A" w14:textId="77777777" w:rsidR="00ED5440" w:rsidRPr="00870C62" w:rsidRDefault="007004BD" w:rsidP="002D0329">
            <w:pPr>
              <w:rPr>
                <w:rFonts w:ascii="Arial" w:hAnsi="Arial" w:cs="Arial"/>
                <w:b/>
                <w:bCs/>
                <w:sz w:val="24"/>
                <w:szCs w:val="24"/>
                <w:lang w:val="en-GB" w:eastAsia="en-GB"/>
              </w:rPr>
            </w:pPr>
            <w:r w:rsidRPr="00870C62">
              <w:rPr>
                <w:rFonts w:ascii="Arial" w:hAnsi="Arial" w:cs="Arial"/>
                <w:b/>
                <w:bCs/>
                <w:sz w:val="24"/>
                <w:szCs w:val="24"/>
                <w:lang w:val="en-GB" w:eastAsia="en-GB"/>
              </w:rPr>
              <w:t>Net Budget Requirement B/</w:t>
            </w:r>
            <w:proofErr w:type="spellStart"/>
            <w:r w:rsidRPr="00870C62">
              <w:rPr>
                <w:rFonts w:ascii="Arial" w:hAnsi="Arial" w:cs="Arial"/>
                <w:b/>
                <w:bCs/>
                <w:sz w:val="24"/>
                <w:szCs w:val="24"/>
                <w:lang w:val="en-GB" w:eastAsia="en-GB"/>
              </w:rPr>
              <w:t>Fwd</w:t>
            </w:r>
            <w:proofErr w:type="spellEnd"/>
          </w:p>
        </w:tc>
        <w:tc>
          <w:tcPr>
            <w:tcW w:w="1056" w:type="dxa"/>
            <w:tcBorders>
              <w:top w:val="nil"/>
              <w:left w:val="nil"/>
              <w:bottom w:val="single" w:sz="8" w:space="0" w:color="auto"/>
              <w:right w:val="single" w:sz="8" w:space="0" w:color="auto"/>
            </w:tcBorders>
            <w:shd w:val="clear" w:color="auto" w:fill="auto"/>
            <w:vAlign w:val="center"/>
            <w:hideMark/>
          </w:tcPr>
          <w:p w14:paraId="110EB2E0" w14:textId="77777777" w:rsidR="00ED5440" w:rsidRPr="00870C62" w:rsidRDefault="007004BD" w:rsidP="002D0329">
            <w:pPr>
              <w:jc w:val="right"/>
              <w:rPr>
                <w:rFonts w:ascii="Arial" w:hAnsi="Arial" w:cs="Arial"/>
                <w:b/>
                <w:bCs/>
                <w:sz w:val="24"/>
                <w:szCs w:val="24"/>
                <w:lang w:val="en-GB" w:eastAsia="en-GB"/>
              </w:rPr>
            </w:pPr>
            <w:r w:rsidRPr="00870C62">
              <w:rPr>
                <w:rFonts w:ascii="Arial" w:hAnsi="Arial" w:cs="Arial"/>
                <w:b/>
                <w:bCs/>
                <w:sz w:val="24"/>
                <w:szCs w:val="24"/>
                <w:lang w:val="en-GB" w:eastAsia="en-GB"/>
              </w:rPr>
              <w:t>235.016</w:t>
            </w:r>
          </w:p>
        </w:tc>
        <w:tc>
          <w:tcPr>
            <w:tcW w:w="1057" w:type="dxa"/>
            <w:tcBorders>
              <w:top w:val="nil"/>
              <w:left w:val="nil"/>
              <w:bottom w:val="single" w:sz="8" w:space="0" w:color="auto"/>
              <w:right w:val="single" w:sz="8" w:space="0" w:color="auto"/>
            </w:tcBorders>
            <w:shd w:val="clear" w:color="auto" w:fill="auto"/>
            <w:vAlign w:val="center"/>
            <w:hideMark/>
          </w:tcPr>
          <w:p w14:paraId="7BF0EEC6" w14:textId="2E8771DB" w:rsidR="00ED5440" w:rsidRPr="00870C62" w:rsidRDefault="007004BD" w:rsidP="002D0329">
            <w:pPr>
              <w:jc w:val="right"/>
              <w:rPr>
                <w:rFonts w:ascii="Arial" w:hAnsi="Arial" w:cs="Arial"/>
                <w:b/>
                <w:bCs/>
                <w:sz w:val="24"/>
                <w:szCs w:val="24"/>
                <w:lang w:val="en-GB" w:eastAsia="en-GB"/>
              </w:rPr>
            </w:pPr>
            <w:r w:rsidRPr="00870C62">
              <w:rPr>
                <w:rFonts w:ascii="Arial" w:hAnsi="Arial" w:cs="Arial"/>
                <w:b/>
                <w:bCs/>
                <w:sz w:val="24"/>
                <w:szCs w:val="24"/>
                <w:lang w:val="en-GB" w:eastAsia="en-GB"/>
              </w:rPr>
              <w:t>24</w:t>
            </w:r>
            <w:r w:rsidR="00021979">
              <w:rPr>
                <w:rFonts w:ascii="Arial" w:hAnsi="Arial" w:cs="Arial"/>
                <w:b/>
                <w:bCs/>
                <w:sz w:val="24"/>
                <w:szCs w:val="24"/>
                <w:lang w:val="en-GB" w:eastAsia="en-GB"/>
              </w:rPr>
              <w:t>6</w:t>
            </w:r>
            <w:r w:rsidRPr="00870C62">
              <w:rPr>
                <w:rFonts w:ascii="Arial" w:hAnsi="Arial" w:cs="Arial"/>
                <w:b/>
                <w:bCs/>
                <w:sz w:val="24"/>
                <w:szCs w:val="24"/>
                <w:lang w:val="en-GB" w:eastAsia="en-GB"/>
              </w:rPr>
              <w:t>.</w:t>
            </w:r>
            <w:r w:rsidR="00021979">
              <w:rPr>
                <w:rFonts w:ascii="Arial" w:hAnsi="Arial" w:cs="Arial"/>
                <w:b/>
                <w:bCs/>
                <w:sz w:val="24"/>
                <w:szCs w:val="24"/>
                <w:lang w:val="en-GB" w:eastAsia="en-GB"/>
              </w:rPr>
              <w:t>5</w:t>
            </w:r>
            <w:r w:rsidRPr="00870C62">
              <w:rPr>
                <w:rFonts w:ascii="Arial" w:hAnsi="Arial" w:cs="Arial"/>
                <w:b/>
                <w:bCs/>
                <w:sz w:val="24"/>
                <w:szCs w:val="24"/>
                <w:lang w:val="en-GB" w:eastAsia="en-GB"/>
              </w:rPr>
              <w:t>53</w:t>
            </w:r>
          </w:p>
        </w:tc>
        <w:tc>
          <w:tcPr>
            <w:tcW w:w="1056" w:type="dxa"/>
            <w:tcBorders>
              <w:top w:val="nil"/>
              <w:left w:val="nil"/>
              <w:bottom w:val="single" w:sz="8" w:space="0" w:color="auto"/>
              <w:right w:val="single" w:sz="8" w:space="0" w:color="auto"/>
            </w:tcBorders>
            <w:shd w:val="clear" w:color="auto" w:fill="auto"/>
            <w:vAlign w:val="center"/>
            <w:hideMark/>
          </w:tcPr>
          <w:p w14:paraId="650512FF" w14:textId="350BA328" w:rsidR="00ED5440" w:rsidRPr="00870C62" w:rsidRDefault="007004BD" w:rsidP="002D0329">
            <w:pPr>
              <w:jc w:val="right"/>
              <w:rPr>
                <w:rFonts w:ascii="Arial" w:hAnsi="Arial" w:cs="Arial"/>
                <w:b/>
                <w:bCs/>
                <w:sz w:val="24"/>
                <w:szCs w:val="24"/>
                <w:lang w:val="en-GB" w:eastAsia="en-GB"/>
              </w:rPr>
            </w:pPr>
            <w:r w:rsidRPr="00870C62">
              <w:rPr>
                <w:rFonts w:ascii="Arial" w:hAnsi="Arial" w:cs="Arial"/>
                <w:b/>
                <w:bCs/>
                <w:sz w:val="24"/>
                <w:szCs w:val="24"/>
                <w:lang w:val="en-GB" w:eastAsia="en-GB"/>
              </w:rPr>
              <w:t>267.4</w:t>
            </w:r>
            <w:r w:rsidR="00961F76" w:rsidRPr="00870C62">
              <w:rPr>
                <w:rFonts w:ascii="Arial" w:hAnsi="Arial" w:cs="Arial"/>
                <w:b/>
                <w:bCs/>
                <w:sz w:val="24"/>
                <w:szCs w:val="24"/>
                <w:lang w:val="en-GB" w:eastAsia="en-GB"/>
              </w:rPr>
              <w:t>63</w:t>
            </w:r>
          </w:p>
        </w:tc>
        <w:tc>
          <w:tcPr>
            <w:tcW w:w="1057" w:type="dxa"/>
            <w:tcBorders>
              <w:top w:val="nil"/>
              <w:left w:val="nil"/>
              <w:bottom w:val="single" w:sz="8" w:space="0" w:color="auto"/>
              <w:right w:val="single" w:sz="8" w:space="0" w:color="auto"/>
            </w:tcBorders>
            <w:shd w:val="clear" w:color="auto" w:fill="auto"/>
            <w:vAlign w:val="center"/>
            <w:hideMark/>
          </w:tcPr>
          <w:p w14:paraId="0EB69E3A" w14:textId="518CEAE0" w:rsidR="00ED5440" w:rsidRPr="00870C62" w:rsidRDefault="007004BD" w:rsidP="002D0329">
            <w:pPr>
              <w:jc w:val="right"/>
              <w:rPr>
                <w:rFonts w:ascii="Arial" w:hAnsi="Arial" w:cs="Arial"/>
                <w:b/>
                <w:bCs/>
                <w:sz w:val="24"/>
                <w:szCs w:val="24"/>
                <w:lang w:val="en-GB" w:eastAsia="en-GB"/>
              </w:rPr>
            </w:pPr>
            <w:r w:rsidRPr="00870C62">
              <w:rPr>
                <w:rFonts w:ascii="Arial" w:hAnsi="Arial" w:cs="Arial"/>
                <w:b/>
                <w:bCs/>
                <w:sz w:val="24"/>
                <w:szCs w:val="24"/>
                <w:lang w:val="en-GB" w:eastAsia="en-GB"/>
              </w:rPr>
              <w:t>273.2</w:t>
            </w:r>
            <w:r w:rsidR="00961F76" w:rsidRPr="00870C62">
              <w:rPr>
                <w:rFonts w:ascii="Arial" w:hAnsi="Arial" w:cs="Arial"/>
                <w:b/>
                <w:bCs/>
                <w:sz w:val="24"/>
                <w:szCs w:val="24"/>
                <w:lang w:val="en-GB" w:eastAsia="en-GB"/>
              </w:rPr>
              <w:t>46</w:t>
            </w:r>
          </w:p>
        </w:tc>
      </w:tr>
      <w:tr w:rsidR="00A53B77" w14:paraId="46ECAF76" w14:textId="77777777" w:rsidTr="00870C62">
        <w:trPr>
          <w:trHeight w:val="319"/>
        </w:trPr>
        <w:tc>
          <w:tcPr>
            <w:tcW w:w="5528" w:type="dxa"/>
            <w:tcBorders>
              <w:top w:val="nil"/>
              <w:left w:val="single" w:sz="8" w:space="0" w:color="auto"/>
              <w:bottom w:val="single" w:sz="8" w:space="0" w:color="auto"/>
              <w:right w:val="single" w:sz="8" w:space="0" w:color="auto"/>
            </w:tcBorders>
            <w:shd w:val="clear" w:color="auto" w:fill="auto"/>
            <w:vAlign w:val="center"/>
            <w:hideMark/>
          </w:tcPr>
          <w:p w14:paraId="60069732" w14:textId="77777777" w:rsidR="00ED5440" w:rsidRPr="00870C62" w:rsidRDefault="007004BD" w:rsidP="002D0329">
            <w:pPr>
              <w:rPr>
                <w:rFonts w:ascii="Arial" w:hAnsi="Arial" w:cs="Arial"/>
                <w:sz w:val="24"/>
                <w:szCs w:val="24"/>
                <w:lang w:val="en-GB" w:eastAsia="en-GB"/>
              </w:rPr>
            </w:pPr>
            <w:r w:rsidRPr="00870C62">
              <w:rPr>
                <w:rFonts w:ascii="Arial" w:hAnsi="Arial" w:cs="Arial"/>
                <w:sz w:val="24"/>
                <w:szCs w:val="24"/>
                <w:lang w:val="en-GB" w:eastAsia="en-GB"/>
              </w:rPr>
              <w:t>Standard Pay and Inflation – Expenditure</w:t>
            </w:r>
          </w:p>
        </w:tc>
        <w:tc>
          <w:tcPr>
            <w:tcW w:w="1056" w:type="dxa"/>
            <w:tcBorders>
              <w:top w:val="nil"/>
              <w:left w:val="nil"/>
              <w:bottom w:val="single" w:sz="8" w:space="0" w:color="auto"/>
              <w:right w:val="single" w:sz="8" w:space="0" w:color="auto"/>
            </w:tcBorders>
            <w:shd w:val="clear" w:color="auto" w:fill="auto"/>
            <w:vAlign w:val="center"/>
            <w:hideMark/>
          </w:tcPr>
          <w:p w14:paraId="77E33A1E"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14.046</w:t>
            </w:r>
          </w:p>
        </w:tc>
        <w:tc>
          <w:tcPr>
            <w:tcW w:w="1057" w:type="dxa"/>
            <w:tcBorders>
              <w:top w:val="nil"/>
              <w:left w:val="nil"/>
              <w:bottom w:val="single" w:sz="8" w:space="0" w:color="auto"/>
              <w:right w:val="single" w:sz="8" w:space="0" w:color="auto"/>
            </w:tcBorders>
            <w:shd w:val="clear" w:color="auto" w:fill="auto"/>
            <w:vAlign w:val="center"/>
            <w:hideMark/>
          </w:tcPr>
          <w:p w14:paraId="633992BF" w14:textId="32AD92CE"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12.8</w:t>
            </w:r>
            <w:r w:rsidR="00014809" w:rsidRPr="00870C62">
              <w:rPr>
                <w:rFonts w:ascii="Arial" w:hAnsi="Arial" w:cs="Arial"/>
                <w:sz w:val="24"/>
                <w:szCs w:val="24"/>
                <w:lang w:val="en-GB" w:eastAsia="en-GB"/>
              </w:rPr>
              <w:t>92</w:t>
            </w:r>
          </w:p>
        </w:tc>
        <w:tc>
          <w:tcPr>
            <w:tcW w:w="1056" w:type="dxa"/>
            <w:tcBorders>
              <w:top w:val="nil"/>
              <w:left w:val="nil"/>
              <w:bottom w:val="single" w:sz="8" w:space="0" w:color="auto"/>
              <w:right w:val="single" w:sz="8" w:space="0" w:color="auto"/>
            </w:tcBorders>
            <w:shd w:val="clear" w:color="auto" w:fill="auto"/>
            <w:vAlign w:val="center"/>
            <w:hideMark/>
          </w:tcPr>
          <w:p w14:paraId="32BFA159"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12.036</w:t>
            </w:r>
          </w:p>
        </w:tc>
        <w:tc>
          <w:tcPr>
            <w:tcW w:w="1057" w:type="dxa"/>
            <w:tcBorders>
              <w:top w:val="nil"/>
              <w:left w:val="nil"/>
              <w:bottom w:val="single" w:sz="8" w:space="0" w:color="auto"/>
              <w:right w:val="single" w:sz="8" w:space="0" w:color="auto"/>
            </w:tcBorders>
            <w:shd w:val="clear" w:color="auto" w:fill="auto"/>
            <w:vAlign w:val="center"/>
            <w:hideMark/>
          </w:tcPr>
          <w:p w14:paraId="7C9DA5C0"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12.228</w:t>
            </w:r>
          </w:p>
        </w:tc>
      </w:tr>
      <w:tr w:rsidR="00A53B77" w14:paraId="63487696" w14:textId="77777777" w:rsidTr="00870C62">
        <w:trPr>
          <w:trHeight w:val="319"/>
        </w:trPr>
        <w:tc>
          <w:tcPr>
            <w:tcW w:w="5528" w:type="dxa"/>
            <w:tcBorders>
              <w:top w:val="nil"/>
              <w:left w:val="single" w:sz="8" w:space="0" w:color="auto"/>
              <w:bottom w:val="single" w:sz="8" w:space="0" w:color="auto"/>
              <w:right w:val="single" w:sz="8" w:space="0" w:color="auto"/>
            </w:tcBorders>
            <w:shd w:val="clear" w:color="auto" w:fill="auto"/>
            <w:vAlign w:val="center"/>
            <w:hideMark/>
          </w:tcPr>
          <w:p w14:paraId="01140D53" w14:textId="3501BF95" w:rsidR="00ED5440" w:rsidRPr="00870C62" w:rsidRDefault="007004BD" w:rsidP="002D0329">
            <w:pPr>
              <w:rPr>
                <w:rFonts w:ascii="Arial" w:hAnsi="Arial" w:cs="Arial"/>
                <w:sz w:val="24"/>
                <w:szCs w:val="24"/>
                <w:lang w:val="en-GB" w:eastAsia="en-GB"/>
              </w:rPr>
            </w:pPr>
            <w:r w:rsidRPr="00870C62">
              <w:rPr>
                <w:rFonts w:ascii="Arial" w:hAnsi="Arial" w:cs="Arial"/>
                <w:sz w:val="24"/>
                <w:szCs w:val="24"/>
                <w:lang w:val="en-GB" w:eastAsia="en-GB"/>
              </w:rPr>
              <w:t xml:space="preserve">Standard Inflation </w:t>
            </w:r>
            <w:r w:rsidR="00F7036E">
              <w:rPr>
                <w:rFonts w:ascii="Arial" w:hAnsi="Arial" w:cs="Arial"/>
                <w:sz w:val="24"/>
                <w:szCs w:val="24"/>
                <w:lang w:val="en-GB" w:eastAsia="en-GB"/>
              </w:rPr>
              <w:t>–</w:t>
            </w:r>
            <w:r w:rsidRPr="00870C62">
              <w:rPr>
                <w:rFonts w:ascii="Arial" w:hAnsi="Arial" w:cs="Arial"/>
                <w:sz w:val="24"/>
                <w:szCs w:val="24"/>
                <w:lang w:val="en-GB" w:eastAsia="en-GB"/>
              </w:rPr>
              <w:t xml:space="preserve"> Income</w:t>
            </w:r>
          </w:p>
        </w:tc>
        <w:tc>
          <w:tcPr>
            <w:tcW w:w="1056" w:type="dxa"/>
            <w:tcBorders>
              <w:top w:val="nil"/>
              <w:left w:val="nil"/>
              <w:bottom w:val="single" w:sz="8" w:space="0" w:color="auto"/>
              <w:right w:val="single" w:sz="8" w:space="0" w:color="auto"/>
            </w:tcBorders>
            <w:shd w:val="clear" w:color="auto" w:fill="auto"/>
            <w:vAlign w:val="center"/>
            <w:hideMark/>
          </w:tcPr>
          <w:p w14:paraId="794FD941"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(3.614)</w:t>
            </w:r>
          </w:p>
        </w:tc>
        <w:tc>
          <w:tcPr>
            <w:tcW w:w="1057" w:type="dxa"/>
            <w:tcBorders>
              <w:top w:val="nil"/>
              <w:left w:val="nil"/>
              <w:bottom w:val="single" w:sz="8" w:space="0" w:color="auto"/>
              <w:right w:val="single" w:sz="8" w:space="0" w:color="auto"/>
            </w:tcBorders>
            <w:shd w:val="clear" w:color="auto" w:fill="auto"/>
            <w:vAlign w:val="center"/>
            <w:hideMark/>
          </w:tcPr>
          <w:p w14:paraId="074E83FC"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(3.539)</w:t>
            </w:r>
          </w:p>
        </w:tc>
        <w:tc>
          <w:tcPr>
            <w:tcW w:w="1056" w:type="dxa"/>
            <w:tcBorders>
              <w:top w:val="nil"/>
              <w:left w:val="nil"/>
              <w:bottom w:val="single" w:sz="8" w:space="0" w:color="auto"/>
              <w:right w:val="single" w:sz="8" w:space="0" w:color="auto"/>
            </w:tcBorders>
            <w:shd w:val="clear" w:color="auto" w:fill="auto"/>
            <w:vAlign w:val="center"/>
            <w:hideMark/>
          </w:tcPr>
          <w:p w14:paraId="6A2A12D1"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(3.642)</w:t>
            </w:r>
          </w:p>
        </w:tc>
        <w:tc>
          <w:tcPr>
            <w:tcW w:w="1057" w:type="dxa"/>
            <w:tcBorders>
              <w:top w:val="nil"/>
              <w:left w:val="nil"/>
              <w:bottom w:val="single" w:sz="8" w:space="0" w:color="auto"/>
              <w:right w:val="single" w:sz="8" w:space="0" w:color="auto"/>
            </w:tcBorders>
            <w:shd w:val="clear" w:color="auto" w:fill="auto"/>
            <w:vAlign w:val="center"/>
            <w:hideMark/>
          </w:tcPr>
          <w:p w14:paraId="6B20C593"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(3.747)</w:t>
            </w:r>
          </w:p>
        </w:tc>
      </w:tr>
      <w:tr w:rsidR="00A53B77" w14:paraId="28085C2B" w14:textId="77777777" w:rsidTr="00870C62">
        <w:trPr>
          <w:trHeight w:val="319"/>
        </w:trPr>
        <w:tc>
          <w:tcPr>
            <w:tcW w:w="5528" w:type="dxa"/>
            <w:tcBorders>
              <w:top w:val="nil"/>
              <w:left w:val="single" w:sz="8" w:space="0" w:color="auto"/>
              <w:bottom w:val="single" w:sz="8" w:space="0" w:color="auto"/>
              <w:right w:val="single" w:sz="8" w:space="0" w:color="auto"/>
            </w:tcBorders>
            <w:shd w:val="clear" w:color="000000" w:fill="FFFFFF"/>
            <w:vAlign w:val="center"/>
            <w:hideMark/>
          </w:tcPr>
          <w:p w14:paraId="6DFA3EC4" w14:textId="304B1C98" w:rsidR="00ED5440" w:rsidRPr="00870C62" w:rsidRDefault="007004BD" w:rsidP="002D0329">
            <w:pPr>
              <w:rPr>
                <w:rFonts w:ascii="Arial" w:hAnsi="Arial" w:cs="Arial"/>
                <w:sz w:val="24"/>
                <w:szCs w:val="24"/>
                <w:lang w:val="en-GB" w:eastAsia="en-GB"/>
              </w:rPr>
            </w:pPr>
            <w:r w:rsidRPr="00870C62">
              <w:rPr>
                <w:rFonts w:ascii="Arial" w:hAnsi="Arial" w:cs="Arial"/>
                <w:sz w:val="24"/>
                <w:szCs w:val="24"/>
                <w:lang w:val="en-GB" w:eastAsia="en-GB"/>
              </w:rPr>
              <w:t xml:space="preserve">Demographic and inflationary pressures </w:t>
            </w:r>
            <w:r w:rsidR="002D0329" w:rsidRPr="00870C62">
              <w:rPr>
                <w:rFonts w:ascii="Arial" w:hAnsi="Arial" w:cs="Arial"/>
                <w:sz w:val="24"/>
                <w:szCs w:val="24"/>
                <w:lang w:val="en-GB" w:eastAsia="en-GB"/>
              </w:rPr>
              <w:t>across</w:t>
            </w:r>
            <w:r w:rsidRPr="00870C62">
              <w:rPr>
                <w:rFonts w:ascii="Arial" w:hAnsi="Arial" w:cs="Arial"/>
                <w:sz w:val="24"/>
                <w:szCs w:val="24"/>
                <w:lang w:val="en-GB" w:eastAsia="en-GB"/>
              </w:rPr>
              <w:t xml:space="preserve"> Adult Social Care and Adult Learning Disabilities</w:t>
            </w:r>
          </w:p>
        </w:tc>
        <w:tc>
          <w:tcPr>
            <w:tcW w:w="1056" w:type="dxa"/>
            <w:tcBorders>
              <w:top w:val="nil"/>
              <w:left w:val="nil"/>
              <w:bottom w:val="single" w:sz="8" w:space="0" w:color="auto"/>
              <w:right w:val="single" w:sz="8" w:space="0" w:color="auto"/>
            </w:tcBorders>
            <w:shd w:val="clear" w:color="auto" w:fill="auto"/>
            <w:vAlign w:val="center"/>
            <w:hideMark/>
          </w:tcPr>
          <w:p w14:paraId="3446E315"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10.302</w:t>
            </w:r>
          </w:p>
        </w:tc>
        <w:tc>
          <w:tcPr>
            <w:tcW w:w="1057" w:type="dxa"/>
            <w:tcBorders>
              <w:top w:val="nil"/>
              <w:left w:val="nil"/>
              <w:bottom w:val="single" w:sz="8" w:space="0" w:color="auto"/>
              <w:right w:val="single" w:sz="8" w:space="0" w:color="auto"/>
            </w:tcBorders>
            <w:shd w:val="clear" w:color="auto" w:fill="auto"/>
            <w:vAlign w:val="center"/>
            <w:hideMark/>
          </w:tcPr>
          <w:p w14:paraId="1E827C77"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7.000</w:t>
            </w:r>
          </w:p>
        </w:tc>
        <w:tc>
          <w:tcPr>
            <w:tcW w:w="1056" w:type="dxa"/>
            <w:tcBorders>
              <w:top w:val="nil"/>
              <w:left w:val="nil"/>
              <w:bottom w:val="single" w:sz="8" w:space="0" w:color="auto"/>
              <w:right w:val="single" w:sz="8" w:space="0" w:color="auto"/>
            </w:tcBorders>
            <w:shd w:val="clear" w:color="auto" w:fill="auto"/>
            <w:vAlign w:val="center"/>
            <w:hideMark/>
          </w:tcPr>
          <w:p w14:paraId="0EEDA0EC"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5.500</w:t>
            </w:r>
          </w:p>
        </w:tc>
        <w:tc>
          <w:tcPr>
            <w:tcW w:w="1057" w:type="dxa"/>
            <w:tcBorders>
              <w:top w:val="nil"/>
              <w:left w:val="nil"/>
              <w:bottom w:val="single" w:sz="8" w:space="0" w:color="auto"/>
              <w:right w:val="single" w:sz="8" w:space="0" w:color="auto"/>
            </w:tcBorders>
            <w:shd w:val="clear" w:color="auto" w:fill="auto"/>
            <w:vAlign w:val="center"/>
            <w:hideMark/>
          </w:tcPr>
          <w:p w14:paraId="4D434058"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5.500</w:t>
            </w:r>
          </w:p>
        </w:tc>
      </w:tr>
      <w:tr w:rsidR="00A53B77" w14:paraId="6801534D" w14:textId="77777777" w:rsidTr="00870C62">
        <w:trPr>
          <w:trHeight w:val="319"/>
        </w:trPr>
        <w:tc>
          <w:tcPr>
            <w:tcW w:w="5528" w:type="dxa"/>
            <w:tcBorders>
              <w:top w:val="nil"/>
              <w:left w:val="single" w:sz="8" w:space="0" w:color="auto"/>
              <w:bottom w:val="single" w:sz="8" w:space="0" w:color="auto"/>
              <w:right w:val="single" w:sz="8" w:space="0" w:color="auto"/>
            </w:tcBorders>
            <w:shd w:val="clear" w:color="000000" w:fill="FFFFFF"/>
            <w:vAlign w:val="center"/>
            <w:hideMark/>
          </w:tcPr>
          <w:p w14:paraId="63C49C2F" w14:textId="3E486F8C" w:rsidR="00ED5440" w:rsidRPr="00870C62" w:rsidRDefault="007004BD" w:rsidP="002D0329">
            <w:pPr>
              <w:rPr>
                <w:rFonts w:ascii="Arial" w:hAnsi="Arial" w:cs="Arial"/>
                <w:sz w:val="24"/>
                <w:szCs w:val="24"/>
                <w:lang w:val="en-GB" w:eastAsia="en-GB"/>
              </w:rPr>
            </w:pPr>
            <w:r w:rsidRPr="00870C62">
              <w:rPr>
                <w:rFonts w:ascii="Arial" w:hAnsi="Arial" w:cs="Arial"/>
                <w:sz w:val="24"/>
                <w:szCs w:val="24"/>
                <w:lang w:val="en-GB" w:eastAsia="en-GB"/>
              </w:rPr>
              <w:t>Demographic and inflationary pressures</w:t>
            </w:r>
            <w:r w:rsidR="00870C62">
              <w:rPr>
                <w:rFonts w:ascii="Arial" w:hAnsi="Arial" w:cs="Arial"/>
                <w:sz w:val="24"/>
                <w:szCs w:val="24"/>
                <w:lang w:val="en-GB" w:eastAsia="en-GB"/>
              </w:rPr>
              <w:t xml:space="preserve"> for</w:t>
            </w:r>
            <w:r w:rsidRPr="00870C62">
              <w:rPr>
                <w:rFonts w:ascii="Arial" w:hAnsi="Arial" w:cs="Arial"/>
                <w:sz w:val="24"/>
                <w:szCs w:val="24"/>
                <w:lang w:val="en-GB" w:eastAsia="en-GB"/>
              </w:rPr>
              <w:t xml:space="preserve"> Children’s </w:t>
            </w:r>
            <w:r w:rsidR="002D0329" w:rsidRPr="00870C62">
              <w:rPr>
                <w:rFonts w:ascii="Arial" w:hAnsi="Arial" w:cs="Arial"/>
                <w:sz w:val="24"/>
                <w:szCs w:val="24"/>
                <w:lang w:val="en-GB" w:eastAsia="en-GB"/>
              </w:rPr>
              <w:t>D</w:t>
            </w:r>
            <w:r w:rsidRPr="00870C62">
              <w:rPr>
                <w:rFonts w:ascii="Arial" w:hAnsi="Arial" w:cs="Arial"/>
                <w:sz w:val="24"/>
                <w:szCs w:val="24"/>
                <w:lang w:val="en-GB" w:eastAsia="en-GB"/>
              </w:rPr>
              <w:t>isability, C</w:t>
            </w:r>
            <w:r w:rsidR="002D0329" w:rsidRPr="00870C62">
              <w:rPr>
                <w:rFonts w:ascii="Arial" w:hAnsi="Arial" w:cs="Arial"/>
                <w:sz w:val="24"/>
                <w:szCs w:val="24"/>
                <w:lang w:val="en-GB" w:eastAsia="en-GB"/>
              </w:rPr>
              <w:t xml:space="preserve">hildren in </w:t>
            </w:r>
            <w:r w:rsidRPr="00870C62">
              <w:rPr>
                <w:rFonts w:ascii="Arial" w:hAnsi="Arial" w:cs="Arial"/>
                <w:sz w:val="24"/>
                <w:szCs w:val="24"/>
                <w:lang w:val="en-GB" w:eastAsia="en-GB"/>
              </w:rPr>
              <w:t>C</w:t>
            </w:r>
            <w:r w:rsidR="002D0329" w:rsidRPr="00870C62">
              <w:rPr>
                <w:rFonts w:ascii="Arial" w:hAnsi="Arial" w:cs="Arial"/>
                <w:sz w:val="24"/>
                <w:szCs w:val="24"/>
                <w:lang w:val="en-GB" w:eastAsia="en-GB"/>
              </w:rPr>
              <w:t>are</w:t>
            </w:r>
            <w:r w:rsidRPr="00870C62">
              <w:rPr>
                <w:rFonts w:ascii="Arial" w:hAnsi="Arial" w:cs="Arial"/>
                <w:sz w:val="24"/>
                <w:szCs w:val="24"/>
                <w:lang w:val="en-GB" w:eastAsia="en-GB"/>
              </w:rPr>
              <w:t xml:space="preserve">, </w:t>
            </w:r>
            <w:r w:rsidR="00870C62">
              <w:rPr>
                <w:rFonts w:ascii="Arial" w:hAnsi="Arial" w:cs="Arial"/>
                <w:sz w:val="24"/>
                <w:szCs w:val="24"/>
                <w:lang w:val="en-GB" w:eastAsia="en-GB"/>
              </w:rPr>
              <w:t xml:space="preserve">and </w:t>
            </w:r>
            <w:r w:rsidRPr="00870C62">
              <w:rPr>
                <w:rFonts w:ascii="Arial" w:hAnsi="Arial" w:cs="Arial"/>
                <w:sz w:val="24"/>
                <w:szCs w:val="24"/>
                <w:lang w:val="en-GB" w:eastAsia="en-GB"/>
              </w:rPr>
              <w:t>Care Leavers</w:t>
            </w:r>
          </w:p>
        </w:tc>
        <w:tc>
          <w:tcPr>
            <w:tcW w:w="1056" w:type="dxa"/>
            <w:tcBorders>
              <w:top w:val="nil"/>
              <w:left w:val="nil"/>
              <w:bottom w:val="single" w:sz="8" w:space="0" w:color="auto"/>
              <w:right w:val="single" w:sz="8" w:space="0" w:color="auto"/>
            </w:tcBorders>
            <w:shd w:val="clear" w:color="auto" w:fill="auto"/>
            <w:vAlign w:val="center"/>
            <w:hideMark/>
          </w:tcPr>
          <w:p w14:paraId="08A8AA9E"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3.407</w:t>
            </w:r>
          </w:p>
        </w:tc>
        <w:tc>
          <w:tcPr>
            <w:tcW w:w="1057" w:type="dxa"/>
            <w:tcBorders>
              <w:top w:val="nil"/>
              <w:left w:val="nil"/>
              <w:bottom w:val="single" w:sz="8" w:space="0" w:color="auto"/>
              <w:right w:val="single" w:sz="8" w:space="0" w:color="auto"/>
            </w:tcBorders>
            <w:shd w:val="clear" w:color="auto" w:fill="auto"/>
            <w:vAlign w:val="center"/>
            <w:hideMark/>
          </w:tcPr>
          <w:p w14:paraId="49A62652"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2.000</w:t>
            </w:r>
          </w:p>
        </w:tc>
        <w:tc>
          <w:tcPr>
            <w:tcW w:w="1056" w:type="dxa"/>
            <w:tcBorders>
              <w:top w:val="nil"/>
              <w:left w:val="nil"/>
              <w:bottom w:val="single" w:sz="8" w:space="0" w:color="auto"/>
              <w:right w:val="single" w:sz="8" w:space="0" w:color="auto"/>
            </w:tcBorders>
            <w:shd w:val="clear" w:color="auto" w:fill="auto"/>
            <w:vAlign w:val="center"/>
            <w:hideMark/>
          </w:tcPr>
          <w:p w14:paraId="0618F71A"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1.750</w:t>
            </w:r>
          </w:p>
        </w:tc>
        <w:tc>
          <w:tcPr>
            <w:tcW w:w="1057" w:type="dxa"/>
            <w:tcBorders>
              <w:top w:val="nil"/>
              <w:left w:val="nil"/>
              <w:bottom w:val="single" w:sz="8" w:space="0" w:color="auto"/>
              <w:right w:val="single" w:sz="8" w:space="0" w:color="auto"/>
            </w:tcBorders>
            <w:shd w:val="clear" w:color="auto" w:fill="auto"/>
            <w:vAlign w:val="center"/>
            <w:hideMark/>
          </w:tcPr>
          <w:p w14:paraId="06CC55B9"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1.750</w:t>
            </w:r>
          </w:p>
        </w:tc>
      </w:tr>
      <w:tr w:rsidR="00A53B77" w14:paraId="421119FF" w14:textId="77777777" w:rsidTr="00870C62">
        <w:trPr>
          <w:trHeight w:val="319"/>
        </w:trPr>
        <w:tc>
          <w:tcPr>
            <w:tcW w:w="5528" w:type="dxa"/>
            <w:tcBorders>
              <w:top w:val="nil"/>
              <w:left w:val="single" w:sz="8" w:space="0" w:color="auto"/>
              <w:bottom w:val="single" w:sz="8" w:space="0" w:color="auto"/>
              <w:right w:val="single" w:sz="8" w:space="0" w:color="auto"/>
            </w:tcBorders>
            <w:shd w:val="clear" w:color="000000" w:fill="FFFFFF"/>
            <w:vAlign w:val="center"/>
            <w:hideMark/>
          </w:tcPr>
          <w:p w14:paraId="15E59A8D" w14:textId="77777777" w:rsidR="00ED5440" w:rsidRPr="00870C62" w:rsidRDefault="007004BD" w:rsidP="002D0329">
            <w:pPr>
              <w:rPr>
                <w:rFonts w:ascii="Arial" w:hAnsi="Arial" w:cs="Arial"/>
                <w:sz w:val="24"/>
                <w:szCs w:val="24"/>
                <w:lang w:val="en-GB" w:eastAsia="en-GB"/>
              </w:rPr>
            </w:pPr>
            <w:r w:rsidRPr="00870C62">
              <w:rPr>
                <w:rFonts w:ascii="Arial" w:hAnsi="Arial" w:cs="Arial"/>
                <w:sz w:val="24"/>
                <w:szCs w:val="24"/>
                <w:lang w:val="en-GB" w:eastAsia="en-GB"/>
              </w:rPr>
              <w:t>Temporary Accommodation and Rough Sleepers - cost and demand pressures</w:t>
            </w:r>
          </w:p>
        </w:tc>
        <w:tc>
          <w:tcPr>
            <w:tcW w:w="1056" w:type="dxa"/>
            <w:tcBorders>
              <w:top w:val="nil"/>
              <w:left w:val="nil"/>
              <w:bottom w:val="single" w:sz="8" w:space="0" w:color="auto"/>
              <w:right w:val="single" w:sz="8" w:space="0" w:color="auto"/>
            </w:tcBorders>
            <w:shd w:val="clear" w:color="auto" w:fill="auto"/>
            <w:vAlign w:val="center"/>
            <w:hideMark/>
          </w:tcPr>
          <w:p w14:paraId="2466C414"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2.776</w:t>
            </w:r>
          </w:p>
        </w:tc>
        <w:tc>
          <w:tcPr>
            <w:tcW w:w="1057" w:type="dxa"/>
            <w:tcBorders>
              <w:top w:val="nil"/>
              <w:left w:val="nil"/>
              <w:bottom w:val="single" w:sz="8" w:space="0" w:color="auto"/>
              <w:right w:val="single" w:sz="8" w:space="0" w:color="auto"/>
            </w:tcBorders>
            <w:shd w:val="clear" w:color="auto" w:fill="auto"/>
            <w:vAlign w:val="center"/>
            <w:hideMark/>
          </w:tcPr>
          <w:p w14:paraId="157CF73A"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0.000</w:t>
            </w:r>
          </w:p>
        </w:tc>
        <w:tc>
          <w:tcPr>
            <w:tcW w:w="1056" w:type="dxa"/>
            <w:tcBorders>
              <w:top w:val="nil"/>
              <w:left w:val="nil"/>
              <w:bottom w:val="single" w:sz="8" w:space="0" w:color="auto"/>
              <w:right w:val="single" w:sz="8" w:space="0" w:color="auto"/>
            </w:tcBorders>
            <w:shd w:val="clear" w:color="auto" w:fill="auto"/>
            <w:vAlign w:val="center"/>
            <w:hideMark/>
          </w:tcPr>
          <w:p w14:paraId="76253C3E"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0.000</w:t>
            </w:r>
          </w:p>
        </w:tc>
        <w:tc>
          <w:tcPr>
            <w:tcW w:w="1057" w:type="dxa"/>
            <w:tcBorders>
              <w:top w:val="nil"/>
              <w:left w:val="nil"/>
              <w:bottom w:val="single" w:sz="8" w:space="0" w:color="auto"/>
              <w:right w:val="single" w:sz="8" w:space="0" w:color="auto"/>
            </w:tcBorders>
            <w:shd w:val="clear" w:color="auto" w:fill="auto"/>
            <w:vAlign w:val="center"/>
            <w:hideMark/>
          </w:tcPr>
          <w:p w14:paraId="0D84FE01"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0.000</w:t>
            </w:r>
          </w:p>
        </w:tc>
      </w:tr>
      <w:tr w:rsidR="00A53B77" w14:paraId="67BE4831" w14:textId="77777777" w:rsidTr="00870C62">
        <w:trPr>
          <w:trHeight w:val="319"/>
        </w:trPr>
        <w:tc>
          <w:tcPr>
            <w:tcW w:w="5528" w:type="dxa"/>
            <w:tcBorders>
              <w:top w:val="nil"/>
              <w:left w:val="single" w:sz="8" w:space="0" w:color="auto"/>
              <w:bottom w:val="single" w:sz="8" w:space="0" w:color="auto"/>
              <w:right w:val="single" w:sz="8" w:space="0" w:color="auto"/>
            </w:tcBorders>
            <w:shd w:val="clear" w:color="000000" w:fill="FFFFFF"/>
            <w:vAlign w:val="center"/>
            <w:hideMark/>
          </w:tcPr>
          <w:p w14:paraId="251F16DE" w14:textId="77777777" w:rsidR="00ED5440" w:rsidRPr="00870C62" w:rsidRDefault="007004BD" w:rsidP="002D0329">
            <w:pPr>
              <w:rPr>
                <w:rFonts w:ascii="Arial" w:hAnsi="Arial" w:cs="Arial"/>
                <w:sz w:val="24"/>
                <w:szCs w:val="24"/>
                <w:lang w:val="en-GB" w:eastAsia="en-GB"/>
              </w:rPr>
            </w:pPr>
            <w:r w:rsidRPr="00870C62">
              <w:rPr>
                <w:rFonts w:ascii="Arial" w:hAnsi="Arial" w:cs="Arial"/>
                <w:sz w:val="24"/>
                <w:szCs w:val="24"/>
                <w:lang w:val="en-GB" w:eastAsia="en-GB"/>
              </w:rPr>
              <w:t>Home to School Transport - cost and demand pressures</w:t>
            </w:r>
          </w:p>
        </w:tc>
        <w:tc>
          <w:tcPr>
            <w:tcW w:w="1056" w:type="dxa"/>
            <w:tcBorders>
              <w:top w:val="nil"/>
              <w:left w:val="nil"/>
              <w:bottom w:val="single" w:sz="8" w:space="0" w:color="auto"/>
              <w:right w:val="single" w:sz="8" w:space="0" w:color="auto"/>
            </w:tcBorders>
            <w:shd w:val="clear" w:color="auto" w:fill="auto"/>
            <w:vAlign w:val="center"/>
            <w:hideMark/>
          </w:tcPr>
          <w:p w14:paraId="34BD0436"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1.069</w:t>
            </w:r>
          </w:p>
        </w:tc>
        <w:tc>
          <w:tcPr>
            <w:tcW w:w="1057" w:type="dxa"/>
            <w:tcBorders>
              <w:top w:val="nil"/>
              <w:left w:val="nil"/>
              <w:bottom w:val="single" w:sz="8" w:space="0" w:color="auto"/>
              <w:right w:val="single" w:sz="8" w:space="0" w:color="auto"/>
            </w:tcBorders>
            <w:shd w:val="clear" w:color="auto" w:fill="auto"/>
            <w:vAlign w:val="center"/>
            <w:hideMark/>
          </w:tcPr>
          <w:p w14:paraId="525762FC"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0.000</w:t>
            </w:r>
          </w:p>
        </w:tc>
        <w:tc>
          <w:tcPr>
            <w:tcW w:w="1056" w:type="dxa"/>
            <w:tcBorders>
              <w:top w:val="nil"/>
              <w:left w:val="nil"/>
              <w:bottom w:val="single" w:sz="8" w:space="0" w:color="auto"/>
              <w:right w:val="single" w:sz="8" w:space="0" w:color="auto"/>
            </w:tcBorders>
            <w:shd w:val="clear" w:color="auto" w:fill="auto"/>
            <w:vAlign w:val="center"/>
            <w:hideMark/>
          </w:tcPr>
          <w:p w14:paraId="7D7D2F71"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0.000</w:t>
            </w:r>
          </w:p>
        </w:tc>
        <w:tc>
          <w:tcPr>
            <w:tcW w:w="1057" w:type="dxa"/>
            <w:tcBorders>
              <w:top w:val="nil"/>
              <w:left w:val="nil"/>
              <w:bottom w:val="single" w:sz="8" w:space="0" w:color="auto"/>
              <w:right w:val="single" w:sz="8" w:space="0" w:color="auto"/>
            </w:tcBorders>
            <w:shd w:val="clear" w:color="auto" w:fill="auto"/>
            <w:vAlign w:val="center"/>
            <w:hideMark/>
          </w:tcPr>
          <w:p w14:paraId="4691F058"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0.000</w:t>
            </w:r>
          </w:p>
        </w:tc>
      </w:tr>
      <w:tr w:rsidR="00A53B77" w14:paraId="2879FB1E" w14:textId="77777777" w:rsidTr="00870C62">
        <w:trPr>
          <w:trHeight w:val="319"/>
        </w:trPr>
        <w:tc>
          <w:tcPr>
            <w:tcW w:w="5528" w:type="dxa"/>
            <w:tcBorders>
              <w:top w:val="nil"/>
              <w:left w:val="single" w:sz="8" w:space="0" w:color="auto"/>
              <w:bottom w:val="single" w:sz="8" w:space="0" w:color="auto"/>
              <w:right w:val="single" w:sz="8" w:space="0" w:color="auto"/>
            </w:tcBorders>
            <w:shd w:val="clear" w:color="000000" w:fill="FFFFFF"/>
            <w:vAlign w:val="center"/>
            <w:hideMark/>
          </w:tcPr>
          <w:p w14:paraId="09E4730B" w14:textId="77777777" w:rsidR="00ED5440" w:rsidRPr="00870C62" w:rsidRDefault="007004BD" w:rsidP="002D0329">
            <w:pPr>
              <w:rPr>
                <w:rFonts w:ascii="Arial" w:hAnsi="Arial" w:cs="Arial"/>
                <w:sz w:val="24"/>
                <w:szCs w:val="24"/>
                <w:lang w:val="en-GB" w:eastAsia="en-GB"/>
              </w:rPr>
            </w:pPr>
            <w:r w:rsidRPr="00870C62">
              <w:rPr>
                <w:rFonts w:ascii="Arial" w:hAnsi="Arial" w:cs="Arial"/>
                <w:sz w:val="24"/>
                <w:szCs w:val="24"/>
                <w:lang w:val="en-GB" w:eastAsia="en-GB"/>
              </w:rPr>
              <w:t>Housing Benefit Subsidy shortfall</w:t>
            </w:r>
          </w:p>
        </w:tc>
        <w:tc>
          <w:tcPr>
            <w:tcW w:w="1056" w:type="dxa"/>
            <w:tcBorders>
              <w:top w:val="nil"/>
              <w:left w:val="nil"/>
              <w:bottom w:val="single" w:sz="8" w:space="0" w:color="auto"/>
              <w:right w:val="single" w:sz="8" w:space="0" w:color="auto"/>
            </w:tcBorders>
            <w:shd w:val="clear" w:color="auto" w:fill="auto"/>
            <w:vAlign w:val="center"/>
            <w:hideMark/>
          </w:tcPr>
          <w:p w14:paraId="1C1E2E69"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0.700</w:t>
            </w:r>
          </w:p>
        </w:tc>
        <w:tc>
          <w:tcPr>
            <w:tcW w:w="1057" w:type="dxa"/>
            <w:tcBorders>
              <w:top w:val="nil"/>
              <w:left w:val="nil"/>
              <w:bottom w:val="single" w:sz="8" w:space="0" w:color="auto"/>
              <w:right w:val="single" w:sz="8" w:space="0" w:color="auto"/>
            </w:tcBorders>
            <w:shd w:val="clear" w:color="auto" w:fill="auto"/>
            <w:vAlign w:val="center"/>
            <w:hideMark/>
          </w:tcPr>
          <w:p w14:paraId="4CE73B93"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0.000</w:t>
            </w:r>
          </w:p>
        </w:tc>
        <w:tc>
          <w:tcPr>
            <w:tcW w:w="1056" w:type="dxa"/>
            <w:tcBorders>
              <w:top w:val="nil"/>
              <w:left w:val="nil"/>
              <w:bottom w:val="single" w:sz="8" w:space="0" w:color="auto"/>
              <w:right w:val="single" w:sz="8" w:space="0" w:color="auto"/>
            </w:tcBorders>
            <w:shd w:val="clear" w:color="auto" w:fill="auto"/>
            <w:vAlign w:val="center"/>
            <w:hideMark/>
          </w:tcPr>
          <w:p w14:paraId="5DE5508A"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0.000</w:t>
            </w:r>
          </w:p>
        </w:tc>
        <w:tc>
          <w:tcPr>
            <w:tcW w:w="1057" w:type="dxa"/>
            <w:tcBorders>
              <w:top w:val="nil"/>
              <w:left w:val="nil"/>
              <w:bottom w:val="single" w:sz="8" w:space="0" w:color="auto"/>
              <w:right w:val="single" w:sz="8" w:space="0" w:color="auto"/>
            </w:tcBorders>
            <w:shd w:val="clear" w:color="auto" w:fill="auto"/>
            <w:vAlign w:val="center"/>
            <w:hideMark/>
          </w:tcPr>
          <w:p w14:paraId="414FABAE"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0.000</w:t>
            </w:r>
          </w:p>
        </w:tc>
      </w:tr>
      <w:tr w:rsidR="00A53B77" w14:paraId="3FF8229C" w14:textId="77777777" w:rsidTr="00870C62">
        <w:trPr>
          <w:trHeight w:val="319"/>
        </w:trPr>
        <w:tc>
          <w:tcPr>
            <w:tcW w:w="5528" w:type="dxa"/>
            <w:tcBorders>
              <w:top w:val="nil"/>
              <w:left w:val="single" w:sz="8" w:space="0" w:color="auto"/>
              <w:bottom w:val="single" w:sz="8" w:space="0" w:color="auto"/>
              <w:right w:val="single" w:sz="8" w:space="0" w:color="auto"/>
            </w:tcBorders>
            <w:shd w:val="clear" w:color="000000" w:fill="FFFFFF"/>
            <w:vAlign w:val="center"/>
            <w:hideMark/>
          </w:tcPr>
          <w:p w14:paraId="6AA37D9F" w14:textId="77777777" w:rsidR="00ED5440" w:rsidRPr="00870C62" w:rsidRDefault="007004BD" w:rsidP="002D0329">
            <w:pPr>
              <w:rPr>
                <w:rFonts w:ascii="Arial" w:hAnsi="Arial" w:cs="Arial"/>
                <w:sz w:val="24"/>
                <w:szCs w:val="24"/>
                <w:lang w:val="en-GB" w:eastAsia="en-GB"/>
              </w:rPr>
            </w:pPr>
            <w:r w:rsidRPr="00870C62">
              <w:rPr>
                <w:rFonts w:ascii="Arial" w:hAnsi="Arial" w:cs="Arial"/>
                <w:sz w:val="24"/>
                <w:szCs w:val="24"/>
                <w:lang w:val="en-GB" w:eastAsia="en-GB"/>
              </w:rPr>
              <w:t>Income and Commercial Rent pressures (due to falling demand)</w:t>
            </w:r>
          </w:p>
        </w:tc>
        <w:tc>
          <w:tcPr>
            <w:tcW w:w="1056" w:type="dxa"/>
            <w:tcBorders>
              <w:top w:val="nil"/>
              <w:left w:val="nil"/>
              <w:bottom w:val="single" w:sz="8" w:space="0" w:color="auto"/>
              <w:right w:val="single" w:sz="8" w:space="0" w:color="auto"/>
            </w:tcBorders>
            <w:shd w:val="clear" w:color="auto" w:fill="auto"/>
            <w:vAlign w:val="center"/>
            <w:hideMark/>
          </w:tcPr>
          <w:p w14:paraId="1D1720CB"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5.346</w:t>
            </w:r>
          </w:p>
        </w:tc>
        <w:tc>
          <w:tcPr>
            <w:tcW w:w="1057" w:type="dxa"/>
            <w:tcBorders>
              <w:top w:val="nil"/>
              <w:left w:val="nil"/>
              <w:bottom w:val="single" w:sz="8" w:space="0" w:color="auto"/>
              <w:right w:val="single" w:sz="8" w:space="0" w:color="auto"/>
            </w:tcBorders>
            <w:shd w:val="clear" w:color="auto" w:fill="auto"/>
            <w:vAlign w:val="center"/>
            <w:hideMark/>
          </w:tcPr>
          <w:p w14:paraId="1B51D208"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0.000</w:t>
            </w:r>
          </w:p>
        </w:tc>
        <w:tc>
          <w:tcPr>
            <w:tcW w:w="1056" w:type="dxa"/>
            <w:tcBorders>
              <w:top w:val="nil"/>
              <w:left w:val="nil"/>
              <w:bottom w:val="single" w:sz="8" w:space="0" w:color="auto"/>
              <w:right w:val="single" w:sz="8" w:space="0" w:color="auto"/>
            </w:tcBorders>
            <w:shd w:val="clear" w:color="auto" w:fill="auto"/>
            <w:vAlign w:val="center"/>
            <w:hideMark/>
          </w:tcPr>
          <w:p w14:paraId="2CF33EEB"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0.000</w:t>
            </w:r>
          </w:p>
        </w:tc>
        <w:tc>
          <w:tcPr>
            <w:tcW w:w="1057" w:type="dxa"/>
            <w:tcBorders>
              <w:top w:val="nil"/>
              <w:left w:val="nil"/>
              <w:bottom w:val="single" w:sz="8" w:space="0" w:color="auto"/>
              <w:right w:val="single" w:sz="8" w:space="0" w:color="auto"/>
            </w:tcBorders>
            <w:shd w:val="clear" w:color="auto" w:fill="auto"/>
            <w:vAlign w:val="center"/>
            <w:hideMark/>
          </w:tcPr>
          <w:p w14:paraId="0AC19830"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0.000</w:t>
            </w:r>
          </w:p>
        </w:tc>
      </w:tr>
      <w:tr w:rsidR="00A53B77" w14:paraId="0A4706D7" w14:textId="77777777" w:rsidTr="00870C62">
        <w:trPr>
          <w:trHeight w:val="319"/>
        </w:trPr>
        <w:tc>
          <w:tcPr>
            <w:tcW w:w="5528" w:type="dxa"/>
            <w:tcBorders>
              <w:top w:val="nil"/>
              <w:left w:val="single" w:sz="8" w:space="0" w:color="auto"/>
              <w:bottom w:val="single" w:sz="8" w:space="0" w:color="auto"/>
              <w:right w:val="single" w:sz="8" w:space="0" w:color="auto"/>
            </w:tcBorders>
            <w:shd w:val="clear" w:color="000000" w:fill="FFFFFF"/>
            <w:vAlign w:val="center"/>
            <w:hideMark/>
          </w:tcPr>
          <w:p w14:paraId="2D5484DA" w14:textId="77777777" w:rsidR="00ED5440" w:rsidRPr="00870C62" w:rsidRDefault="007004BD" w:rsidP="002D0329">
            <w:pPr>
              <w:rPr>
                <w:rFonts w:ascii="Arial" w:hAnsi="Arial" w:cs="Arial"/>
                <w:sz w:val="24"/>
                <w:szCs w:val="24"/>
                <w:lang w:val="en-GB" w:eastAsia="en-GB"/>
              </w:rPr>
            </w:pPr>
            <w:r w:rsidRPr="00870C62">
              <w:rPr>
                <w:rFonts w:ascii="Arial" w:hAnsi="Arial" w:cs="Arial"/>
                <w:sz w:val="24"/>
                <w:szCs w:val="24"/>
                <w:lang w:val="en-GB" w:eastAsia="en-GB"/>
              </w:rPr>
              <w:t>All other pressures across council services</w:t>
            </w:r>
          </w:p>
        </w:tc>
        <w:tc>
          <w:tcPr>
            <w:tcW w:w="1056" w:type="dxa"/>
            <w:tcBorders>
              <w:top w:val="nil"/>
              <w:left w:val="nil"/>
              <w:bottom w:val="single" w:sz="8" w:space="0" w:color="auto"/>
              <w:right w:val="single" w:sz="8" w:space="0" w:color="auto"/>
            </w:tcBorders>
            <w:shd w:val="clear" w:color="auto" w:fill="auto"/>
            <w:vAlign w:val="center"/>
            <w:hideMark/>
          </w:tcPr>
          <w:p w14:paraId="1E79724B" w14:textId="4C72F758"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4.129</w:t>
            </w:r>
          </w:p>
        </w:tc>
        <w:tc>
          <w:tcPr>
            <w:tcW w:w="1057" w:type="dxa"/>
            <w:tcBorders>
              <w:top w:val="nil"/>
              <w:left w:val="nil"/>
              <w:bottom w:val="single" w:sz="8" w:space="0" w:color="auto"/>
              <w:right w:val="single" w:sz="8" w:space="0" w:color="auto"/>
            </w:tcBorders>
            <w:shd w:val="clear" w:color="auto" w:fill="auto"/>
            <w:vAlign w:val="center"/>
            <w:hideMark/>
          </w:tcPr>
          <w:p w14:paraId="34226B95"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4.000</w:t>
            </w:r>
          </w:p>
        </w:tc>
        <w:tc>
          <w:tcPr>
            <w:tcW w:w="1056" w:type="dxa"/>
            <w:tcBorders>
              <w:top w:val="nil"/>
              <w:left w:val="nil"/>
              <w:bottom w:val="single" w:sz="8" w:space="0" w:color="auto"/>
              <w:right w:val="single" w:sz="8" w:space="0" w:color="auto"/>
            </w:tcBorders>
            <w:shd w:val="clear" w:color="auto" w:fill="auto"/>
            <w:vAlign w:val="center"/>
            <w:hideMark/>
          </w:tcPr>
          <w:p w14:paraId="2785FFC8"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3.800</w:t>
            </w:r>
          </w:p>
        </w:tc>
        <w:tc>
          <w:tcPr>
            <w:tcW w:w="1057" w:type="dxa"/>
            <w:tcBorders>
              <w:top w:val="nil"/>
              <w:left w:val="nil"/>
              <w:bottom w:val="single" w:sz="8" w:space="0" w:color="auto"/>
              <w:right w:val="single" w:sz="8" w:space="0" w:color="auto"/>
            </w:tcBorders>
            <w:shd w:val="clear" w:color="auto" w:fill="auto"/>
            <w:vAlign w:val="center"/>
            <w:hideMark/>
          </w:tcPr>
          <w:p w14:paraId="5AB26E87"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3.800</w:t>
            </w:r>
          </w:p>
        </w:tc>
      </w:tr>
      <w:tr w:rsidR="00A53B77" w14:paraId="2EA42FFA" w14:textId="77777777" w:rsidTr="00870C62">
        <w:trPr>
          <w:trHeight w:val="319"/>
        </w:trPr>
        <w:tc>
          <w:tcPr>
            <w:tcW w:w="5528" w:type="dxa"/>
            <w:tcBorders>
              <w:top w:val="nil"/>
              <w:left w:val="single" w:sz="8" w:space="0" w:color="auto"/>
              <w:bottom w:val="single" w:sz="8" w:space="0" w:color="auto"/>
              <w:right w:val="single" w:sz="8" w:space="0" w:color="auto"/>
            </w:tcBorders>
            <w:shd w:val="clear" w:color="000000" w:fill="FFFFFF"/>
            <w:vAlign w:val="center"/>
            <w:hideMark/>
          </w:tcPr>
          <w:p w14:paraId="61DE18C1" w14:textId="77777777" w:rsidR="00ED5440" w:rsidRPr="00870C62" w:rsidRDefault="007004BD" w:rsidP="002D0329">
            <w:pPr>
              <w:rPr>
                <w:rFonts w:ascii="Arial" w:hAnsi="Arial" w:cs="Arial"/>
                <w:sz w:val="24"/>
                <w:szCs w:val="24"/>
                <w:lang w:val="en-GB" w:eastAsia="en-GB"/>
              </w:rPr>
            </w:pPr>
            <w:r w:rsidRPr="00870C62">
              <w:rPr>
                <w:rFonts w:ascii="Arial" w:hAnsi="Arial" w:cs="Arial"/>
                <w:sz w:val="24"/>
                <w:szCs w:val="24"/>
                <w:lang w:val="en-GB" w:eastAsia="en-GB"/>
              </w:rPr>
              <w:t>Commitment - Increase in Social Care Grant and Better Care Fund</w:t>
            </w:r>
          </w:p>
        </w:tc>
        <w:tc>
          <w:tcPr>
            <w:tcW w:w="1056" w:type="dxa"/>
            <w:tcBorders>
              <w:top w:val="nil"/>
              <w:left w:val="nil"/>
              <w:bottom w:val="single" w:sz="8" w:space="0" w:color="auto"/>
              <w:right w:val="single" w:sz="8" w:space="0" w:color="auto"/>
            </w:tcBorders>
            <w:shd w:val="clear" w:color="auto" w:fill="auto"/>
            <w:vAlign w:val="center"/>
            <w:hideMark/>
          </w:tcPr>
          <w:p w14:paraId="20689C3A"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(5.390)</w:t>
            </w:r>
          </w:p>
        </w:tc>
        <w:tc>
          <w:tcPr>
            <w:tcW w:w="1057" w:type="dxa"/>
            <w:tcBorders>
              <w:top w:val="nil"/>
              <w:left w:val="nil"/>
              <w:bottom w:val="single" w:sz="8" w:space="0" w:color="auto"/>
              <w:right w:val="single" w:sz="8" w:space="0" w:color="auto"/>
            </w:tcBorders>
            <w:shd w:val="clear" w:color="auto" w:fill="auto"/>
            <w:vAlign w:val="center"/>
            <w:hideMark/>
          </w:tcPr>
          <w:p w14:paraId="683E1710"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0.000</w:t>
            </w:r>
          </w:p>
        </w:tc>
        <w:tc>
          <w:tcPr>
            <w:tcW w:w="1056" w:type="dxa"/>
            <w:tcBorders>
              <w:top w:val="nil"/>
              <w:left w:val="nil"/>
              <w:bottom w:val="single" w:sz="8" w:space="0" w:color="auto"/>
              <w:right w:val="single" w:sz="8" w:space="0" w:color="auto"/>
            </w:tcBorders>
            <w:shd w:val="clear" w:color="auto" w:fill="auto"/>
            <w:vAlign w:val="center"/>
            <w:hideMark/>
          </w:tcPr>
          <w:p w14:paraId="3107B148"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0.000</w:t>
            </w:r>
          </w:p>
        </w:tc>
        <w:tc>
          <w:tcPr>
            <w:tcW w:w="1057" w:type="dxa"/>
            <w:tcBorders>
              <w:top w:val="nil"/>
              <w:left w:val="nil"/>
              <w:bottom w:val="single" w:sz="8" w:space="0" w:color="auto"/>
              <w:right w:val="single" w:sz="8" w:space="0" w:color="auto"/>
            </w:tcBorders>
            <w:shd w:val="clear" w:color="auto" w:fill="auto"/>
            <w:vAlign w:val="center"/>
            <w:hideMark/>
          </w:tcPr>
          <w:p w14:paraId="0F28E349"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0.000</w:t>
            </w:r>
          </w:p>
        </w:tc>
      </w:tr>
      <w:tr w:rsidR="00A53B77" w14:paraId="6C425699" w14:textId="77777777" w:rsidTr="00870C62">
        <w:trPr>
          <w:trHeight w:val="319"/>
        </w:trPr>
        <w:tc>
          <w:tcPr>
            <w:tcW w:w="5528" w:type="dxa"/>
            <w:tcBorders>
              <w:top w:val="nil"/>
              <w:left w:val="single" w:sz="8" w:space="0" w:color="auto"/>
              <w:bottom w:val="single" w:sz="8" w:space="0" w:color="auto"/>
              <w:right w:val="single" w:sz="8" w:space="0" w:color="auto"/>
            </w:tcBorders>
            <w:shd w:val="clear" w:color="000000" w:fill="FFFFFF"/>
            <w:vAlign w:val="center"/>
            <w:hideMark/>
          </w:tcPr>
          <w:p w14:paraId="6BD15618" w14:textId="26B72A56" w:rsidR="00ED5440" w:rsidRPr="00870C62" w:rsidRDefault="007004BD" w:rsidP="002D0329">
            <w:pPr>
              <w:rPr>
                <w:rFonts w:ascii="Arial" w:hAnsi="Arial" w:cs="Arial"/>
                <w:sz w:val="24"/>
                <w:szCs w:val="24"/>
                <w:lang w:val="en-GB" w:eastAsia="en-GB"/>
              </w:rPr>
            </w:pPr>
            <w:r w:rsidRPr="00870C62">
              <w:rPr>
                <w:rFonts w:ascii="Arial" w:hAnsi="Arial" w:cs="Arial"/>
                <w:sz w:val="24"/>
                <w:szCs w:val="24"/>
                <w:lang w:val="en-GB" w:eastAsia="en-GB"/>
              </w:rPr>
              <w:t>Commitment - New Homes Bonus</w:t>
            </w:r>
            <w:r w:rsidR="002D0329" w:rsidRPr="00870C62">
              <w:rPr>
                <w:rFonts w:ascii="Arial" w:hAnsi="Arial" w:cs="Arial"/>
                <w:sz w:val="24"/>
                <w:szCs w:val="24"/>
                <w:lang w:val="en-GB" w:eastAsia="en-GB"/>
              </w:rPr>
              <w:t xml:space="preserve"> -</w:t>
            </w:r>
            <w:r w:rsidRPr="00870C62">
              <w:rPr>
                <w:rFonts w:ascii="Arial" w:hAnsi="Arial" w:cs="Arial"/>
                <w:sz w:val="24"/>
                <w:szCs w:val="24"/>
                <w:lang w:val="en-GB" w:eastAsia="en-GB"/>
              </w:rPr>
              <w:t xml:space="preserve"> One</w:t>
            </w:r>
            <w:r w:rsidR="002D0329" w:rsidRPr="00870C62">
              <w:rPr>
                <w:rFonts w:ascii="Arial" w:hAnsi="Arial" w:cs="Arial"/>
                <w:sz w:val="24"/>
                <w:szCs w:val="24"/>
                <w:lang w:val="en-GB" w:eastAsia="en-GB"/>
              </w:rPr>
              <w:t>-</w:t>
            </w:r>
            <w:r w:rsidRPr="00870C62">
              <w:rPr>
                <w:rFonts w:ascii="Arial" w:hAnsi="Arial" w:cs="Arial"/>
                <w:sz w:val="24"/>
                <w:szCs w:val="24"/>
                <w:lang w:val="en-GB" w:eastAsia="en-GB"/>
              </w:rPr>
              <w:t>off allocation</w:t>
            </w:r>
          </w:p>
        </w:tc>
        <w:tc>
          <w:tcPr>
            <w:tcW w:w="1056" w:type="dxa"/>
            <w:tcBorders>
              <w:top w:val="nil"/>
              <w:left w:val="nil"/>
              <w:bottom w:val="single" w:sz="8" w:space="0" w:color="auto"/>
              <w:right w:val="single" w:sz="8" w:space="0" w:color="auto"/>
            </w:tcBorders>
            <w:shd w:val="clear" w:color="auto" w:fill="auto"/>
            <w:vAlign w:val="center"/>
            <w:hideMark/>
          </w:tcPr>
          <w:p w14:paraId="58E0D379"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(2.627)</w:t>
            </w:r>
          </w:p>
        </w:tc>
        <w:tc>
          <w:tcPr>
            <w:tcW w:w="1057" w:type="dxa"/>
            <w:tcBorders>
              <w:top w:val="nil"/>
              <w:left w:val="nil"/>
              <w:bottom w:val="single" w:sz="8" w:space="0" w:color="auto"/>
              <w:right w:val="single" w:sz="8" w:space="0" w:color="auto"/>
            </w:tcBorders>
            <w:shd w:val="clear" w:color="auto" w:fill="auto"/>
            <w:vAlign w:val="center"/>
            <w:hideMark/>
          </w:tcPr>
          <w:p w14:paraId="441DB36E"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2.627</w:t>
            </w:r>
          </w:p>
        </w:tc>
        <w:tc>
          <w:tcPr>
            <w:tcW w:w="1056" w:type="dxa"/>
            <w:tcBorders>
              <w:top w:val="nil"/>
              <w:left w:val="nil"/>
              <w:bottom w:val="single" w:sz="8" w:space="0" w:color="auto"/>
              <w:right w:val="single" w:sz="8" w:space="0" w:color="auto"/>
            </w:tcBorders>
            <w:shd w:val="clear" w:color="auto" w:fill="auto"/>
            <w:vAlign w:val="center"/>
            <w:hideMark/>
          </w:tcPr>
          <w:p w14:paraId="42796112"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0.000</w:t>
            </w:r>
          </w:p>
        </w:tc>
        <w:tc>
          <w:tcPr>
            <w:tcW w:w="1057" w:type="dxa"/>
            <w:tcBorders>
              <w:top w:val="nil"/>
              <w:left w:val="nil"/>
              <w:bottom w:val="single" w:sz="8" w:space="0" w:color="auto"/>
              <w:right w:val="single" w:sz="8" w:space="0" w:color="auto"/>
            </w:tcBorders>
            <w:shd w:val="clear" w:color="auto" w:fill="auto"/>
            <w:vAlign w:val="center"/>
            <w:hideMark/>
          </w:tcPr>
          <w:p w14:paraId="458DCEC6"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0.000</w:t>
            </w:r>
          </w:p>
        </w:tc>
      </w:tr>
      <w:tr w:rsidR="00A53B77" w14:paraId="2C401B32" w14:textId="77777777" w:rsidTr="00870C62">
        <w:trPr>
          <w:trHeight w:val="319"/>
        </w:trPr>
        <w:tc>
          <w:tcPr>
            <w:tcW w:w="5528" w:type="dxa"/>
            <w:tcBorders>
              <w:top w:val="nil"/>
              <w:left w:val="single" w:sz="8" w:space="0" w:color="auto"/>
              <w:bottom w:val="single" w:sz="8" w:space="0" w:color="auto"/>
              <w:right w:val="single" w:sz="8" w:space="0" w:color="auto"/>
            </w:tcBorders>
            <w:shd w:val="clear" w:color="000000" w:fill="FFFFFF"/>
            <w:vAlign w:val="center"/>
            <w:hideMark/>
          </w:tcPr>
          <w:p w14:paraId="48010F29" w14:textId="77777777" w:rsidR="00ED5440" w:rsidRPr="00870C62" w:rsidRDefault="007004BD" w:rsidP="002D0329">
            <w:pPr>
              <w:rPr>
                <w:rFonts w:ascii="Arial" w:hAnsi="Arial" w:cs="Arial"/>
                <w:sz w:val="24"/>
                <w:szCs w:val="24"/>
                <w:lang w:val="en-GB" w:eastAsia="en-GB"/>
              </w:rPr>
            </w:pPr>
            <w:r w:rsidRPr="00870C62">
              <w:rPr>
                <w:rFonts w:ascii="Arial" w:hAnsi="Arial" w:cs="Arial"/>
                <w:sz w:val="24"/>
                <w:szCs w:val="24"/>
                <w:lang w:val="en-GB" w:eastAsia="en-GB"/>
              </w:rPr>
              <w:t>Commitment - Reduction/loss of Services Grant</w:t>
            </w:r>
          </w:p>
        </w:tc>
        <w:tc>
          <w:tcPr>
            <w:tcW w:w="1056" w:type="dxa"/>
            <w:tcBorders>
              <w:top w:val="nil"/>
              <w:left w:val="nil"/>
              <w:bottom w:val="single" w:sz="8" w:space="0" w:color="auto"/>
              <w:right w:val="single" w:sz="8" w:space="0" w:color="auto"/>
            </w:tcBorders>
            <w:shd w:val="clear" w:color="auto" w:fill="auto"/>
            <w:vAlign w:val="center"/>
            <w:hideMark/>
          </w:tcPr>
          <w:p w14:paraId="6BAF812B"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2.016</w:t>
            </w:r>
          </w:p>
        </w:tc>
        <w:tc>
          <w:tcPr>
            <w:tcW w:w="1057" w:type="dxa"/>
            <w:tcBorders>
              <w:top w:val="nil"/>
              <w:left w:val="nil"/>
              <w:bottom w:val="single" w:sz="8" w:space="0" w:color="auto"/>
              <w:right w:val="single" w:sz="8" w:space="0" w:color="auto"/>
            </w:tcBorders>
            <w:shd w:val="clear" w:color="auto" w:fill="auto"/>
            <w:vAlign w:val="center"/>
            <w:hideMark/>
          </w:tcPr>
          <w:p w14:paraId="46FB3054"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0.079</w:t>
            </w:r>
          </w:p>
        </w:tc>
        <w:tc>
          <w:tcPr>
            <w:tcW w:w="1056" w:type="dxa"/>
            <w:tcBorders>
              <w:top w:val="nil"/>
              <w:left w:val="nil"/>
              <w:bottom w:val="single" w:sz="8" w:space="0" w:color="auto"/>
              <w:right w:val="single" w:sz="8" w:space="0" w:color="auto"/>
            </w:tcBorders>
            <w:shd w:val="clear" w:color="auto" w:fill="auto"/>
            <w:vAlign w:val="center"/>
            <w:hideMark/>
          </w:tcPr>
          <w:p w14:paraId="2D79DAF6"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0.214</w:t>
            </w:r>
          </w:p>
        </w:tc>
        <w:tc>
          <w:tcPr>
            <w:tcW w:w="1057" w:type="dxa"/>
            <w:tcBorders>
              <w:top w:val="nil"/>
              <w:left w:val="nil"/>
              <w:bottom w:val="single" w:sz="8" w:space="0" w:color="auto"/>
              <w:right w:val="single" w:sz="8" w:space="0" w:color="auto"/>
            </w:tcBorders>
            <w:shd w:val="clear" w:color="auto" w:fill="auto"/>
            <w:vAlign w:val="center"/>
            <w:hideMark/>
          </w:tcPr>
          <w:p w14:paraId="36D1DE0B"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0.000</w:t>
            </w:r>
          </w:p>
        </w:tc>
      </w:tr>
      <w:tr w:rsidR="00A53B77" w14:paraId="07800437" w14:textId="77777777" w:rsidTr="00870C62">
        <w:trPr>
          <w:trHeight w:val="319"/>
        </w:trPr>
        <w:tc>
          <w:tcPr>
            <w:tcW w:w="5528" w:type="dxa"/>
            <w:tcBorders>
              <w:top w:val="nil"/>
              <w:left w:val="single" w:sz="8" w:space="0" w:color="auto"/>
              <w:bottom w:val="single" w:sz="8" w:space="0" w:color="auto"/>
              <w:right w:val="single" w:sz="8" w:space="0" w:color="auto"/>
            </w:tcBorders>
            <w:shd w:val="clear" w:color="000000" w:fill="FFFFFF"/>
            <w:vAlign w:val="center"/>
            <w:hideMark/>
          </w:tcPr>
          <w:p w14:paraId="326026C8" w14:textId="1D27AD9C" w:rsidR="00ED5440" w:rsidRPr="00870C62" w:rsidRDefault="007004BD" w:rsidP="002D0329">
            <w:pPr>
              <w:rPr>
                <w:rFonts w:ascii="Arial" w:hAnsi="Arial" w:cs="Arial"/>
                <w:sz w:val="24"/>
                <w:szCs w:val="24"/>
                <w:lang w:val="en-GB" w:eastAsia="en-GB"/>
              </w:rPr>
            </w:pPr>
            <w:r w:rsidRPr="00870C62">
              <w:rPr>
                <w:rFonts w:ascii="Arial" w:hAnsi="Arial" w:cs="Arial"/>
                <w:sz w:val="24"/>
                <w:szCs w:val="24"/>
                <w:lang w:val="en-GB" w:eastAsia="en-GB"/>
              </w:rPr>
              <w:t>Commitment -</w:t>
            </w:r>
            <w:r w:rsidR="002D0329" w:rsidRPr="00870C62">
              <w:rPr>
                <w:rFonts w:ascii="Arial" w:hAnsi="Arial" w:cs="Arial"/>
                <w:sz w:val="24"/>
                <w:szCs w:val="24"/>
                <w:lang w:val="en-GB" w:eastAsia="en-GB"/>
              </w:rPr>
              <w:t xml:space="preserve"> </w:t>
            </w:r>
            <w:r w:rsidRPr="00870C62">
              <w:rPr>
                <w:rFonts w:ascii="Arial" w:hAnsi="Arial" w:cs="Arial"/>
                <w:sz w:val="24"/>
                <w:szCs w:val="24"/>
                <w:lang w:val="en-GB" w:eastAsia="en-GB"/>
              </w:rPr>
              <w:t xml:space="preserve">Change in S31 </w:t>
            </w:r>
            <w:r w:rsidR="00842C0E">
              <w:rPr>
                <w:rFonts w:ascii="Arial" w:hAnsi="Arial" w:cs="Arial"/>
                <w:sz w:val="24"/>
                <w:szCs w:val="24"/>
                <w:lang w:val="en-GB" w:eastAsia="en-GB"/>
              </w:rPr>
              <w:t>g</w:t>
            </w:r>
            <w:r w:rsidR="00842C0E" w:rsidRPr="00870C62">
              <w:rPr>
                <w:rFonts w:ascii="Arial" w:hAnsi="Arial" w:cs="Arial"/>
                <w:sz w:val="24"/>
                <w:szCs w:val="24"/>
                <w:lang w:val="en-GB" w:eastAsia="en-GB"/>
              </w:rPr>
              <w:t>rants</w:t>
            </w:r>
          </w:p>
        </w:tc>
        <w:tc>
          <w:tcPr>
            <w:tcW w:w="1056" w:type="dxa"/>
            <w:tcBorders>
              <w:top w:val="nil"/>
              <w:left w:val="nil"/>
              <w:bottom w:val="single" w:sz="8" w:space="0" w:color="auto"/>
              <w:right w:val="single" w:sz="8" w:space="0" w:color="auto"/>
            </w:tcBorders>
            <w:shd w:val="clear" w:color="auto" w:fill="auto"/>
            <w:vAlign w:val="center"/>
            <w:hideMark/>
          </w:tcPr>
          <w:p w14:paraId="2DBC836D"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(3.035)</w:t>
            </w:r>
          </w:p>
        </w:tc>
        <w:tc>
          <w:tcPr>
            <w:tcW w:w="1057" w:type="dxa"/>
            <w:tcBorders>
              <w:top w:val="nil"/>
              <w:left w:val="nil"/>
              <w:bottom w:val="single" w:sz="8" w:space="0" w:color="auto"/>
              <w:right w:val="single" w:sz="8" w:space="0" w:color="auto"/>
            </w:tcBorders>
            <w:shd w:val="clear" w:color="auto" w:fill="auto"/>
            <w:vAlign w:val="center"/>
            <w:hideMark/>
          </w:tcPr>
          <w:p w14:paraId="340AABFD"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10.176</w:t>
            </w:r>
          </w:p>
        </w:tc>
        <w:tc>
          <w:tcPr>
            <w:tcW w:w="1056" w:type="dxa"/>
            <w:tcBorders>
              <w:top w:val="nil"/>
              <w:left w:val="nil"/>
              <w:bottom w:val="single" w:sz="8" w:space="0" w:color="auto"/>
              <w:right w:val="single" w:sz="8" w:space="0" w:color="auto"/>
            </w:tcBorders>
            <w:shd w:val="clear" w:color="auto" w:fill="auto"/>
            <w:vAlign w:val="center"/>
            <w:hideMark/>
          </w:tcPr>
          <w:p w14:paraId="1874D604"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(0.108)</w:t>
            </w:r>
          </w:p>
        </w:tc>
        <w:tc>
          <w:tcPr>
            <w:tcW w:w="1057" w:type="dxa"/>
            <w:tcBorders>
              <w:top w:val="nil"/>
              <w:left w:val="nil"/>
              <w:bottom w:val="single" w:sz="8" w:space="0" w:color="auto"/>
              <w:right w:val="single" w:sz="8" w:space="0" w:color="auto"/>
            </w:tcBorders>
            <w:shd w:val="clear" w:color="auto" w:fill="auto"/>
            <w:vAlign w:val="center"/>
            <w:hideMark/>
          </w:tcPr>
          <w:p w14:paraId="55430768"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(0.108)</w:t>
            </w:r>
          </w:p>
        </w:tc>
      </w:tr>
      <w:tr w:rsidR="00A53B77" w14:paraId="55EEC58B" w14:textId="77777777" w:rsidTr="00870C62">
        <w:trPr>
          <w:trHeight w:val="319"/>
        </w:trPr>
        <w:tc>
          <w:tcPr>
            <w:tcW w:w="5528" w:type="dxa"/>
            <w:tcBorders>
              <w:top w:val="nil"/>
              <w:left w:val="single" w:sz="8" w:space="0" w:color="auto"/>
              <w:bottom w:val="single" w:sz="8" w:space="0" w:color="auto"/>
              <w:right w:val="single" w:sz="8" w:space="0" w:color="auto"/>
            </w:tcBorders>
            <w:shd w:val="clear" w:color="000000" w:fill="FFFFFF"/>
            <w:vAlign w:val="center"/>
            <w:hideMark/>
          </w:tcPr>
          <w:p w14:paraId="552E66E1" w14:textId="05824D85" w:rsidR="00ED5440" w:rsidRPr="00870C62" w:rsidRDefault="007004BD" w:rsidP="002D0329">
            <w:pPr>
              <w:rPr>
                <w:rFonts w:ascii="Arial" w:hAnsi="Arial" w:cs="Arial"/>
                <w:sz w:val="24"/>
                <w:szCs w:val="24"/>
                <w:lang w:val="en-GB" w:eastAsia="en-GB"/>
              </w:rPr>
            </w:pPr>
            <w:r w:rsidRPr="00870C62">
              <w:rPr>
                <w:rFonts w:ascii="Arial" w:hAnsi="Arial" w:cs="Arial"/>
                <w:sz w:val="24"/>
                <w:szCs w:val="24"/>
                <w:lang w:val="en-GB" w:eastAsia="en-GB"/>
              </w:rPr>
              <w:t>Commitment - Pay award 2023/24 above 3.75%</w:t>
            </w:r>
          </w:p>
        </w:tc>
        <w:tc>
          <w:tcPr>
            <w:tcW w:w="1056" w:type="dxa"/>
            <w:tcBorders>
              <w:top w:val="nil"/>
              <w:left w:val="nil"/>
              <w:bottom w:val="single" w:sz="8" w:space="0" w:color="auto"/>
              <w:right w:val="single" w:sz="8" w:space="0" w:color="auto"/>
            </w:tcBorders>
            <w:shd w:val="clear" w:color="auto" w:fill="auto"/>
            <w:vAlign w:val="center"/>
            <w:hideMark/>
          </w:tcPr>
          <w:p w14:paraId="702DA8B7"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3.809</w:t>
            </w:r>
          </w:p>
        </w:tc>
        <w:tc>
          <w:tcPr>
            <w:tcW w:w="1057" w:type="dxa"/>
            <w:tcBorders>
              <w:top w:val="nil"/>
              <w:left w:val="nil"/>
              <w:bottom w:val="single" w:sz="8" w:space="0" w:color="auto"/>
              <w:right w:val="single" w:sz="8" w:space="0" w:color="auto"/>
            </w:tcBorders>
            <w:shd w:val="clear" w:color="auto" w:fill="auto"/>
            <w:vAlign w:val="center"/>
            <w:hideMark/>
          </w:tcPr>
          <w:p w14:paraId="22AE72A9"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0.000</w:t>
            </w:r>
          </w:p>
        </w:tc>
        <w:tc>
          <w:tcPr>
            <w:tcW w:w="1056" w:type="dxa"/>
            <w:tcBorders>
              <w:top w:val="nil"/>
              <w:left w:val="nil"/>
              <w:bottom w:val="single" w:sz="8" w:space="0" w:color="auto"/>
              <w:right w:val="single" w:sz="8" w:space="0" w:color="auto"/>
            </w:tcBorders>
            <w:shd w:val="clear" w:color="auto" w:fill="auto"/>
            <w:vAlign w:val="center"/>
            <w:hideMark/>
          </w:tcPr>
          <w:p w14:paraId="197192BE"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0.000</w:t>
            </w:r>
          </w:p>
        </w:tc>
        <w:tc>
          <w:tcPr>
            <w:tcW w:w="1057" w:type="dxa"/>
            <w:tcBorders>
              <w:top w:val="nil"/>
              <w:left w:val="nil"/>
              <w:bottom w:val="single" w:sz="8" w:space="0" w:color="auto"/>
              <w:right w:val="single" w:sz="8" w:space="0" w:color="auto"/>
            </w:tcBorders>
            <w:shd w:val="clear" w:color="auto" w:fill="auto"/>
            <w:vAlign w:val="center"/>
            <w:hideMark/>
          </w:tcPr>
          <w:p w14:paraId="3517323B"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0.000</w:t>
            </w:r>
          </w:p>
        </w:tc>
      </w:tr>
      <w:tr w:rsidR="00A53B77" w14:paraId="682BA549" w14:textId="77777777" w:rsidTr="00870C62">
        <w:trPr>
          <w:trHeight w:val="319"/>
        </w:trPr>
        <w:tc>
          <w:tcPr>
            <w:tcW w:w="5528" w:type="dxa"/>
            <w:tcBorders>
              <w:top w:val="nil"/>
              <w:left w:val="single" w:sz="8" w:space="0" w:color="auto"/>
              <w:bottom w:val="single" w:sz="8" w:space="0" w:color="auto"/>
              <w:right w:val="single" w:sz="8" w:space="0" w:color="auto"/>
            </w:tcBorders>
            <w:shd w:val="clear" w:color="000000" w:fill="FFFFFF"/>
            <w:vAlign w:val="center"/>
            <w:hideMark/>
          </w:tcPr>
          <w:p w14:paraId="441D439B" w14:textId="77777777" w:rsidR="00ED5440" w:rsidRPr="00870C62" w:rsidRDefault="007004BD" w:rsidP="002D0329">
            <w:pPr>
              <w:rPr>
                <w:rFonts w:ascii="Arial" w:hAnsi="Arial" w:cs="Arial"/>
                <w:sz w:val="24"/>
                <w:szCs w:val="24"/>
                <w:lang w:val="en-GB" w:eastAsia="en-GB"/>
              </w:rPr>
            </w:pPr>
            <w:r w:rsidRPr="00870C62">
              <w:rPr>
                <w:rFonts w:ascii="Arial" w:hAnsi="Arial" w:cs="Arial"/>
                <w:sz w:val="24"/>
                <w:szCs w:val="24"/>
                <w:lang w:val="en-GB" w:eastAsia="en-GB"/>
              </w:rPr>
              <w:t>Commitment - Change in contributions to/from reserves</w:t>
            </w:r>
          </w:p>
        </w:tc>
        <w:tc>
          <w:tcPr>
            <w:tcW w:w="1056" w:type="dxa"/>
            <w:tcBorders>
              <w:top w:val="nil"/>
              <w:left w:val="nil"/>
              <w:bottom w:val="single" w:sz="8" w:space="0" w:color="auto"/>
              <w:right w:val="single" w:sz="8" w:space="0" w:color="auto"/>
            </w:tcBorders>
            <w:shd w:val="clear" w:color="auto" w:fill="auto"/>
            <w:vAlign w:val="center"/>
            <w:hideMark/>
          </w:tcPr>
          <w:p w14:paraId="31B7708B" w14:textId="2E79F5F9"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(0.090)</w:t>
            </w:r>
          </w:p>
        </w:tc>
        <w:tc>
          <w:tcPr>
            <w:tcW w:w="1057" w:type="dxa"/>
            <w:tcBorders>
              <w:top w:val="nil"/>
              <w:left w:val="nil"/>
              <w:bottom w:val="single" w:sz="8" w:space="0" w:color="auto"/>
              <w:right w:val="single" w:sz="8" w:space="0" w:color="auto"/>
            </w:tcBorders>
            <w:shd w:val="clear" w:color="auto" w:fill="auto"/>
            <w:vAlign w:val="center"/>
            <w:hideMark/>
          </w:tcPr>
          <w:p w14:paraId="6565592A" w14:textId="556C0690"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1.020</w:t>
            </w:r>
          </w:p>
        </w:tc>
        <w:tc>
          <w:tcPr>
            <w:tcW w:w="1056" w:type="dxa"/>
            <w:tcBorders>
              <w:top w:val="nil"/>
              <w:left w:val="nil"/>
              <w:bottom w:val="single" w:sz="8" w:space="0" w:color="auto"/>
              <w:right w:val="single" w:sz="8" w:space="0" w:color="auto"/>
            </w:tcBorders>
            <w:shd w:val="clear" w:color="auto" w:fill="auto"/>
            <w:vAlign w:val="center"/>
            <w:hideMark/>
          </w:tcPr>
          <w:p w14:paraId="7C1A83D6"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0.000</w:t>
            </w:r>
          </w:p>
        </w:tc>
        <w:tc>
          <w:tcPr>
            <w:tcW w:w="1057" w:type="dxa"/>
            <w:tcBorders>
              <w:top w:val="nil"/>
              <w:left w:val="nil"/>
              <w:bottom w:val="single" w:sz="8" w:space="0" w:color="auto"/>
              <w:right w:val="single" w:sz="8" w:space="0" w:color="auto"/>
            </w:tcBorders>
            <w:shd w:val="clear" w:color="auto" w:fill="auto"/>
            <w:vAlign w:val="center"/>
            <w:hideMark/>
          </w:tcPr>
          <w:p w14:paraId="204091F2"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(1.125)</w:t>
            </w:r>
          </w:p>
        </w:tc>
      </w:tr>
      <w:tr w:rsidR="00A53B77" w14:paraId="2DE0A812" w14:textId="77777777" w:rsidTr="00870C62">
        <w:trPr>
          <w:trHeight w:val="319"/>
        </w:trPr>
        <w:tc>
          <w:tcPr>
            <w:tcW w:w="5528" w:type="dxa"/>
            <w:tcBorders>
              <w:top w:val="nil"/>
              <w:left w:val="single" w:sz="8" w:space="0" w:color="auto"/>
              <w:bottom w:val="single" w:sz="8" w:space="0" w:color="auto"/>
              <w:right w:val="single" w:sz="8" w:space="0" w:color="auto"/>
            </w:tcBorders>
            <w:shd w:val="clear" w:color="000000" w:fill="FFFFFF"/>
            <w:vAlign w:val="center"/>
            <w:hideMark/>
          </w:tcPr>
          <w:p w14:paraId="6D70E072" w14:textId="7EFE39BA" w:rsidR="00ED5440" w:rsidRPr="00870C62" w:rsidRDefault="007004BD" w:rsidP="002D0329">
            <w:pPr>
              <w:rPr>
                <w:rFonts w:ascii="Arial" w:hAnsi="Arial" w:cs="Arial"/>
                <w:sz w:val="24"/>
                <w:szCs w:val="24"/>
                <w:lang w:val="en-GB" w:eastAsia="en-GB"/>
              </w:rPr>
            </w:pPr>
            <w:r w:rsidRPr="00870C62">
              <w:rPr>
                <w:rFonts w:ascii="Arial" w:hAnsi="Arial" w:cs="Arial"/>
                <w:sz w:val="24"/>
                <w:szCs w:val="24"/>
                <w:lang w:val="en-GB" w:eastAsia="en-GB"/>
              </w:rPr>
              <w:t xml:space="preserve">Commitment - </w:t>
            </w:r>
            <w:r w:rsidR="002D0329" w:rsidRPr="00870C62">
              <w:rPr>
                <w:rFonts w:ascii="Arial" w:hAnsi="Arial" w:cs="Arial"/>
                <w:sz w:val="24"/>
                <w:szCs w:val="24"/>
                <w:lang w:val="en-GB" w:eastAsia="en-GB"/>
              </w:rPr>
              <w:t>C</w:t>
            </w:r>
            <w:r w:rsidRPr="00870C62">
              <w:rPr>
                <w:rFonts w:ascii="Arial" w:hAnsi="Arial" w:cs="Arial"/>
                <w:sz w:val="24"/>
                <w:szCs w:val="24"/>
                <w:lang w:val="en-GB" w:eastAsia="en-GB"/>
              </w:rPr>
              <w:t xml:space="preserve">hange in </w:t>
            </w:r>
            <w:r w:rsidR="003338DC">
              <w:rPr>
                <w:rFonts w:ascii="Arial" w:hAnsi="Arial" w:cs="Arial"/>
                <w:sz w:val="24"/>
                <w:szCs w:val="24"/>
                <w:lang w:val="en-GB" w:eastAsia="en-GB"/>
              </w:rPr>
              <w:t xml:space="preserve">capital </w:t>
            </w:r>
            <w:r w:rsidRPr="00870C62">
              <w:rPr>
                <w:rFonts w:ascii="Arial" w:hAnsi="Arial" w:cs="Arial"/>
                <w:sz w:val="24"/>
                <w:szCs w:val="24"/>
                <w:lang w:val="en-GB" w:eastAsia="en-GB"/>
              </w:rPr>
              <w:t>financing costs</w:t>
            </w:r>
          </w:p>
        </w:tc>
        <w:tc>
          <w:tcPr>
            <w:tcW w:w="1056" w:type="dxa"/>
            <w:tcBorders>
              <w:top w:val="nil"/>
              <w:left w:val="nil"/>
              <w:bottom w:val="single" w:sz="8" w:space="0" w:color="auto"/>
              <w:right w:val="single" w:sz="8" w:space="0" w:color="auto"/>
            </w:tcBorders>
            <w:shd w:val="clear" w:color="auto" w:fill="auto"/>
            <w:vAlign w:val="center"/>
            <w:hideMark/>
          </w:tcPr>
          <w:p w14:paraId="1E5F6A14"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1.371</w:t>
            </w:r>
          </w:p>
        </w:tc>
        <w:tc>
          <w:tcPr>
            <w:tcW w:w="1057" w:type="dxa"/>
            <w:tcBorders>
              <w:top w:val="nil"/>
              <w:left w:val="nil"/>
              <w:bottom w:val="single" w:sz="8" w:space="0" w:color="auto"/>
              <w:right w:val="single" w:sz="8" w:space="0" w:color="auto"/>
            </w:tcBorders>
            <w:shd w:val="clear" w:color="auto" w:fill="auto"/>
            <w:vAlign w:val="center"/>
            <w:hideMark/>
          </w:tcPr>
          <w:p w14:paraId="4D755410"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4.223</w:t>
            </w:r>
          </w:p>
        </w:tc>
        <w:tc>
          <w:tcPr>
            <w:tcW w:w="1056" w:type="dxa"/>
            <w:tcBorders>
              <w:top w:val="nil"/>
              <w:left w:val="nil"/>
              <w:bottom w:val="single" w:sz="8" w:space="0" w:color="auto"/>
              <w:right w:val="single" w:sz="8" w:space="0" w:color="auto"/>
            </w:tcBorders>
            <w:shd w:val="clear" w:color="auto" w:fill="auto"/>
            <w:vAlign w:val="center"/>
            <w:hideMark/>
          </w:tcPr>
          <w:p w14:paraId="2926B8A4"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1.033</w:t>
            </w:r>
          </w:p>
        </w:tc>
        <w:tc>
          <w:tcPr>
            <w:tcW w:w="1057" w:type="dxa"/>
            <w:tcBorders>
              <w:top w:val="nil"/>
              <w:left w:val="nil"/>
              <w:bottom w:val="single" w:sz="8" w:space="0" w:color="auto"/>
              <w:right w:val="single" w:sz="8" w:space="0" w:color="auto"/>
            </w:tcBorders>
            <w:shd w:val="clear" w:color="auto" w:fill="auto"/>
            <w:vAlign w:val="center"/>
            <w:hideMark/>
          </w:tcPr>
          <w:p w14:paraId="4D86225A"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(0.195)</w:t>
            </w:r>
          </w:p>
        </w:tc>
      </w:tr>
      <w:tr w:rsidR="00A53B77" w14:paraId="337E2E10" w14:textId="77777777" w:rsidTr="00870C62">
        <w:trPr>
          <w:trHeight w:val="319"/>
        </w:trPr>
        <w:tc>
          <w:tcPr>
            <w:tcW w:w="5528" w:type="dxa"/>
            <w:tcBorders>
              <w:top w:val="nil"/>
              <w:left w:val="single" w:sz="8" w:space="0" w:color="auto"/>
              <w:bottom w:val="single" w:sz="8" w:space="0" w:color="auto"/>
              <w:right w:val="single" w:sz="8" w:space="0" w:color="auto"/>
            </w:tcBorders>
            <w:shd w:val="clear" w:color="000000" w:fill="FFFFFF"/>
            <w:vAlign w:val="center"/>
            <w:hideMark/>
          </w:tcPr>
          <w:p w14:paraId="1E9C780F" w14:textId="2B156E39" w:rsidR="00ED5440" w:rsidRPr="00870C62" w:rsidRDefault="007004BD" w:rsidP="002D0329">
            <w:pPr>
              <w:rPr>
                <w:rFonts w:ascii="Arial" w:hAnsi="Arial" w:cs="Arial"/>
                <w:sz w:val="24"/>
                <w:szCs w:val="24"/>
                <w:lang w:val="en-GB" w:eastAsia="en-GB"/>
              </w:rPr>
            </w:pPr>
            <w:r w:rsidRPr="00870C62">
              <w:rPr>
                <w:rFonts w:ascii="Arial" w:hAnsi="Arial" w:cs="Arial"/>
                <w:sz w:val="24"/>
                <w:szCs w:val="24"/>
                <w:lang w:val="en-GB" w:eastAsia="en-GB"/>
              </w:rPr>
              <w:t xml:space="preserve">Commitment - </w:t>
            </w:r>
            <w:r w:rsidR="002D0329" w:rsidRPr="00870C62">
              <w:rPr>
                <w:rFonts w:ascii="Arial" w:hAnsi="Arial" w:cs="Arial"/>
                <w:sz w:val="24"/>
                <w:szCs w:val="24"/>
                <w:lang w:val="en-GB" w:eastAsia="en-GB"/>
              </w:rPr>
              <w:t>I</w:t>
            </w:r>
            <w:r w:rsidRPr="00870C62">
              <w:rPr>
                <w:rFonts w:ascii="Arial" w:hAnsi="Arial" w:cs="Arial"/>
                <w:sz w:val="24"/>
                <w:szCs w:val="24"/>
                <w:lang w:val="en-GB" w:eastAsia="en-GB"/>
              </w:rPr>
              <w:t>mpact</w:t>
            </w:r>
            <w:r w:rsidR="002D0329" w:rsidRPr="00870C62">
              <w:rPr>
                <w:rFonts w:ascii="Arial" w:hAnsi="Arial" w:cs="Arial"/>
                <w:sz w:val="24"/>
                <w:szCs w:val="24"/>
                <w:lang w:val="en-GB" w:eastAsia="en-GB"/>
              </w:rPr>
              <w:t>s</w:t>
            </w:r>
            <w:r w:rsidRPr="00870C62">
              <w:rPr>
                <w:rFonts w:ascii="Arial" w:hAnsi="Arial" w:cs="Arial"/>
                <w:sz w:val="24"/>
                <w:szCs w:val="24"/>
                <w:lang w:val="en-GB" w:eastAsia="en-GB"/>
              </w:rPr>
              <w:t xml:space="preserve"> of previous</w:t>
            </w:r>
            <w:r w:rsidR="00870C62">
              <w:rPr>
                <w:rFonts w:ascii="Arial" w:hAnsi="Arial" w:cs="Arial"/>
                <w:sz w:val="24"/>
                <w:szCs w:val="24"/>
                <w:lang w:val="en-GB" w:eastAsia="en-GB"/>
              </w:rPr>
              <w:t>ly</w:t>
            </w:r>
            <w:r w:rsidRPr="00870C62">
              <w:rPr>
                <w:rFonts w:ascii="Arial" w:hAnsi="Arial" w:cs="Arial"/>
                <w:sz w:val="24"/>
                <w:szCs w:val="24"/>
                <w:lang w:val="en-GB" w:eastAsia="en-GB"/>
              </w:rPr>
              <w:t xml:space="preserve"> </w:t>
            </w:r>
            <w:r w:rsidR="002D0329" w:rsidRPr="00870C62">
              <w:rPr>
                <w:rFonts w:ascii="Arial" w:hAnsi="Arial" w:cs="Arial"/>
                <w:sz w:val="24"/>
                <w:szCs w:val="24"/>
                <w:lang w:val="en-GB" w:eastAsia="en-GB"/>
              </w:rPr>
              <w:t xml:space="preserve">approved </w:t>
            </w:r>
            <w:r w:rsidRPr="00870C62">
              <w:rPr>
                <w:rFonts w:ascii="Arial" w:hAnsi="Arial" w:cs="Arial"/>
                <w:sz w:val="24"/>
                <w:szCs w:val="24"/>
                <w:lang w:val="en-GB" w:eastAsia="en-GB"/>
              </w:rPr>
              <w:t>decisions</w:t>
            </w:r>
          </w:p>
        </w:tc>
        <w:tc>
          <w:tcPr>
            <w:tcW w:w="1056" w:type="dxa"/>
            <w:tcBorders>
              <w:top w:val="nil"/>
              <w:left w:val="nil"/>
              <w:bottom w:val="single" w:sz="8" w:space="0" w:color="auto"/>
              <w:right w:val="single" w:sz="8" w:space="0" w:color="auto"/>
            </w:tcBorders>
            <w:shd w:val="clear" w:color="auto" w:fill="auto"/>
            <w:vAlign w:val="center"/>
            <w:hideMark/>
          </w:tcPr>
          <w:p w14:paraId="73B68FCB" w14:textId="52FEF591"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0.</w:t>
            </w:r>
            <w:r w:rsidR="00B639B1">
              <w:rPr>
                <w:rFonts w:ascii="Arial" w:hAnsi="Arial" w:cs="Arial"/>
                <w:sz w:val="24"/>
                <w:szCs w:val="24"/>
                <w:lang w:val="en-GB" w:eastAsia="en-GB"/>
              </w:rPr>
              <w:t>852</w:t>
            </w:r>
          </w:p>
        </w:tc>
        <w:tc>
          <w:tcPr>
            <w:tcW w:w="1057" w:type="dxa"/>
            <w:tcBorders>
              <w:top w:val="nil"/>
              <w:left w:val="nil"/>
              <w:bottom w:val="single" w:sz="8" w:space="0" w:color="auto"/>
              <w:right w:val="single" w:sz="8" w:space="0" w:color="auto"/>
            </w:tcBorders>
            <w:shd w:val="clear" w:color="auto" w:fill="auto"/>
            <w:vAlign w:val="center"/>
            <w:hideMark/>
          </w:tcPr>
          <w:p w14:paraId="3DB74F5D" w14:textId="7E39BED5" w:rsidR="00ED5440" w:rsidRPr="00870C62" w:rsidRDefault="007004BD" w:rsidP="002D0329">
            <w:pPr>
              <w:jc w:val="right"/>
              <w:rPr>
                <w:rFonts w:ascii="Arial" w:hAnsi="Arial" w:cs="Arial"/>
                <w:sz w:val="24"/>
                <w:szCs w:val="24"/>
                <w:lang w:val="en-GB" w:eastAsia="en-GB"/>
              </w:rPr>
            </w:pPr>
            <w:r>
              <w:rPr>
                <w:rFonts w:ascii="Arial" w:hAnsi="Arial" w:cs="Arial"/>
                <w:sz w:val="24"/>
                <w:szCs w:val="24"/>
                <w:lang w:val="en-GB" w:eastAsia="en-GB"/>
              </w:rPr>
              <w:t>1.632</w:t>
            </w:r>
          </w:p>
        </w:tc>
        <w:tc>
          <w:tcPr>
            <w:tcW w:w="1056" w:type="dxa"/>
            <w:tcBorders>
              <w:top w:val="nil"/>
              <w:left w:val="nil"/>
              <w:bottom w:val="single" w:sz="8" w:space="0" w:color="auto"/>
              <w:right w:val="single" w:sz="8" w:space="0" w:color="auto"/>
            </w:tcBorders>
            <w:shd w:val="clear" w:color="auto" w:fill="auto"/>
            <w:vAlign w:val="center"/>
            <w:hideMark/>
          </w:tcPr>
          <w:p w14:paraId="3C6C7CED"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0.900</w:t>
            </w:r>
          </w:p>
        </w:tc>
        <w:tc>
          <w:tcPr>
            <w:tcW w:w="1057" w:type="dxa"/>
            <w:tcBorders>
              <w:top w:val="nil"/>
              <w:left w:val="nil"/>
              <w:bottom w:val="single" w:sz="8" w:space="0" w:color="auto"/>
              <w:right w:val="single" w:sz="8" w:space="0" w:color="auto"/>
            </w:tcBorders>
            <w:shd w:val="clear" w:color="auto" w:fill="auto"/>
            <w:vAlign w:val="center"/>
            <w:hideMark/>
          </w:tcPr>
          <w:p w14:paraId="29015748"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0.350</w:t>
            </w:r>
          </w:p>
        </w:tc>
      </w:tr>
      <w:tr w:rsidR="00A53B77" w14:paraId="0C829C1D" w14:textId="77777777" w:rsidTr="00870C62">
        <w:trPr>
          <w:trHeight w:val="319"/>
        </w:trPr>
        <w:tc>
          <w:tcPr>
            <w:tcW w:w="5528" w:type="dxa"/>
            <w:tcBorders>
              <w:top w:val="nil"/>
              <w:left w:val="single" w:sz="8" w:space="0" w:color="auto"/>
              <w:bottom w:val="single" w:sz="8" w:space="0" w:color="auto"/>
              <w:right w:val="single" w:sz="8" w:space="0" w:color="auto"/>
            </w:tcBorders>
            <w:shd w:val="clear" w:color="000000" w:fill="FFFFFF"/>
            <w:vAlign w:val="center"/>
            <w:hideMark/>
          </w:tcPr>
          <w:p w14:paraId="0AB9EB8A" w14:textId="749C7D35" w:rsidR="00ED5440" w:rsidRPr="00870C62" w:rsidRDefault="007004BD" w:rsidP="002D0329">
            <w:pPr>
              <w:rPr>
                <w:rFonts w:ascii="Arial" w:hAnsi="Arial" w:cs="Arial"/>
                <w:sz w:val="24"/>
                <w:szCs w:val="24"/>
                <w:lang w:val="en-GB" w:eastAsia="en-GB"/>
              </w:rPr>
            </w:pPr>
            <w:r w:rsidRPr="00870C62">
              <w:rPr>
                <w:rFonts w:ascii="Arial" w:hAnsi="Arial" w:cs="Arial"/>
                <w:sz w:val="24"/>
                <w:szCs w:val="24"/>
                <w:lang w:val="en-GB" w:eastAsia="en-GB"/>
              </w:rPr>
              <w:t xml:space="preserve">Savings </w:t>
            </w:r>
            <w:r w:rsidR="002D0329" w:rsidRPr="00870C62">
              <w:rPr>
                <w:rFonts w:ascii="Arial" w:hAnsi="Arial" w:cs="Arial"/>
                <w:sz w:val="24"/>
                <w:szCs w:val="24"/>
                <w:lang w:val="en-GB" w:eastAsia="en-GB"/>
              </w:rPr>
              <w:t>Package 2024/25</w:t>
            </w:r>
          </w:p>
        </w:tc>
        <w:tc>
          <w:tcPr>
            <w:tcW w:w="1056" w:type="dxa"/>
            <w:tcBorders>
              <w:top w:val="nil"/>
              <w:left w:val="nil"/>
              <w:bottom w:val="single" w:sz="8" w:space="0" w:color="auto"/>
              <w:right w:val="single" w:sz="8" w:space="0" w:color="auto"/>
            </w:tcBorders>
            <w:shd w:val="clear" w:color="auto" w:fill="auto"/>
            <w:vAlign w:val="center"/>
            <w:hideMark/>
          </w:tcPr>
          <w:p w14:paraId="198DCACD" w14:textId="07BB84A5"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(23.</w:t>
            </w:r>
            <w:r w:rsidR="00B639B1">
              <w:rPr>
                <w:rFonts w:ascii="Arial" w:hAnsi="Arial" w:cs="Arial"/>
                <w:sz w:val="24"/>
                <w:szCs w:val="24"/>
                <w:lang w:val="en-GB" w:eastAsia="en-GB"/>
              </w:rPr>
              <w:t>730</w:t>
            </w:r>
            <w:r w:rsidRPr="00870C62">
              <w:rPr>
                <w:rFonts w:ascii="Arial" w:hAnsi="Arial" w:cs="Arial"/>
                <w:sz w:val="24"/>
                <w:szCs w:val="24"/>
                <w:lang w:val="en-GB" w:eastAsia="en-GB"/>
              </w:rPr>
              <w:t>)</w:t>
            </w:r>
          </w:p>
        </w:tc>
        <w:tc>
          <w:tcPr>
            <w:tcW w:w="1057" w:type="dxa"/>
            <w:tcBorders>
              <w:top w:val="nil"/>
              <w:left w:val="nil"/>
              <w:bottom w:val="single" w:sz="8" w:space="0" w:color="auto"/>
              <w:right w:val="single" w:sz="8" w:space="0" w:color="auto"/>
            </w:tcBorders>
            <w:shd w:val="clear" w:color="auto" w:fill="auto"/>
            <w:vAlign w:val="center"/>
            <w:hideMark/>
          </w:tcPr>
          <w:p w14:paraId="6FA9E0C1"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0.000</w:t>
            </w:r>
          </w:p>
        </w:tc>
        <w:tc>
          <w:tcPr>
            <w:tcW w:w="1056" w:type="dxa"/>
            <w:tcBorders>
              <w:top w:val="nil"/>
              <w:left w:val="nil"/>
              <w:bottom w:val="single" w:sz="8" w:space="0" w:color="auto"/>
              <w:right w:val="single" w:sz="8" w:space="0" w:color="auto"/>
            </w:tcBorders>
            <w:shd w:val="clear" w:color="auto" w:fill="auto"/>
            <w:vAlign w:val="center"/>
            <w:hideMark/>
          </w:tcPr>
          <w:p w14:paraId="6320347D"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0.000</w:t>
            </w:r>
          </w:p>
        </w:tc>
        <w:tc>
          <w:tcPr>
            <w:tcW w:w="1057" w:type="dxa"/>
            <w:tcBorders>
              <w:top w:val="nil"/>
              <w:left w:val="nil"/>
              <w:bottom w:val="single" w:sz="8" w:space="0" w:color="auto"/>
              <w:right w:val="single" w:sz="8" w:space="0" w:color="auto"/>
            </w:tcBorders>
            <w:shd w:val="clear" w:color="auto" w:fill="auto"/>
            <w:vAlign w:val="center"/>
            <w:hideMark/>
          </w:tcPr>
          <w:p w14:paraId="658A7A4C"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0.000</w:t>
            </w:r>
          </w:p>
        </w:tc>
      </w:tr>
      <w:tr w:rsidR="00A53B77" w14:paraId="64925494" w14:textId="77777777" w:rsidTr="00870C62">
        <w:trPr>
          <w:trHeight w:val="319"/>
        </w:trPr>
        <w:tc>
          <w:tcPr>
            <w:tcW w:w="5528" w:type="dxa"/>
            <w:tcBorders>
              <w:top w:val="nil"/>
              <w:left w:val="single" w:sz="8" w:space="0" w:color="auto"/>
              <w:bottom w:val="single" w:sz="8" w:space="0" w:color="auto"/>
              <w:right w:val="single" w:sz="8" w:space="0" w:color="auto"/>
            </w:tcBorders>
            <w:shd w:val="clear" w:color="000000" w:fill="FFFFFF"/>
            <w:vAlign w:val="center"/>
            <w:hideMark/>
          </w:tcPr>
          <w:p w14:paraId="09ABCA99" w14:textId="477DC279" w:rsidR="00ED5440" w:rsidRPr="00870C62" w:rsidRDefault="007004BD" w:rsidP="002D0329">
            <w:pPr>
              <w:rPr>
                <w:rFonts w:ascii="Arial" w:hAnsi="Arial" w:cs="Arial"/>
                <w:sz w:val="24"/>
                <w:szCs w:val="24"/>
                <w:lang w:val="en-GB" w:eastAsia="en-GB"/>
              </w:rPr>
            </w:pPr>
            <w:r w:rsidRPr="00870C62">
              <w:rPr>
                <w:rFonts w:ascii="Arial" w:hAnsi="Arial" w:cs="Arial"/>
                <w:sz w:val="24"/>
                <w:szCs w:val="24"/>
                <w:lang w:val="en-GB" w:eastAsia="en-GB"/>
              </w:rPr>
              <w:t>Budget Gap (</w:t>
            </w:r>
            <w:r w:rsidR="003338DC">
              <w:rPr>
                <w:rFonts w:ascii="Arial" w:hAnsi="Arial" w:cs="Arial"/>
                <w:sz w:val="24"/>
                <w:szCs w:val="24"/>
                <w:lang w:val="en-GB" w:eastAsia="en-GB"/>
              </w:rPr>
              <w:t xml:space="preserve">Future </w:t>
            </w:r>
            <w:r w:rsidRPr="00870C62">
              <w:rPr>
                <w:rFonts w:ascii="Arial" w:hAnsi="Arial" w:cs="Arial"/>
                <w:sz w:val="24"/>
                <w:szCs w:val="24"/>
                <w:lang w:val="en-GB" w:eastAsia="en-GB"/>
              </w:rPr>
              <w:t>Savings Requirement</w:t>
            </w:r>
            <w:r w:rsidR="003338DC">
              <w:rPr>
                <w:rFonts w:ascii="Arial" w:hAnsi="Arial" w:cs="Arial"/>
                <w:sz w:val="24"/>
                <w:szCs w:val="24"/>
                <w:lang w:val="en-GB" w:eastAsia="en-GB"/>
              </w:rPr>
              <w:t>s</w:t>
            </w:r>
            <w:r w:rsidRPr="00870C62">
              <w:rPr>
                <w:rFonts w:ascii="Arial" w:hAnsi="Arial" w:cs="Arial"/>
                <w:sz w:val="24"/>
                <w:szCs w:val="24"/>
                <w:lang w:val="en-GB" w:eastAsia="en-GB"/>
              </w:rPr>
              <w:t>)</w:t>
            </w:r>
          </w:p>
        </w:tc>
        <w:tc>
          <w:tcPr>
            <w:tcW w:w="1056" w:type="dxa"/>
            <w:tcBorders>
              <w:top w:val="nil"/>
              <w:left w:val="nil"/>
              <w:bottom w:val="single" w:sz="8" w:space="0" w:color="auto"/>
              <w:right w:val="single" w:sz="8" w:space="0" w:color="auto"/>
            </w:tcBorders>
            <w:shd w:val="clear" w:color="auto" w:fill="auto"/>
            <w:vAlign w:val="center"/>
            <w:hideMark/>
          </w:tcPr>
          <w:p w14:paraId="1E87FCB1"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0.000</w:t>
            </w:r>
          </w:p>
        </w:tc>
        <w:tc>
          <w:tcPr>
            <w:tcW w:w="1057" w:type="dxa"/>
            <w:tcBorders>
              <w:top w:val="nil"/>
              <w:left w:val="nil"/>
              <w:bottom w:val="single" w:sz="8" w:space="0" w:color="auto"/>
              <w:right w:val="single" w:sz="8" w:space="0" w:color="auto"/>
            </w:tcBorders>
            <w:shd w:val="clear" w:color="auto" w:fill="auto"/>
            <w:vAlign w:val="center"/>
            <w:hideMark/>
          </w:tcPr>
          <w:p w14:paraId="61F5D31D"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(21.200)</w:t>
            </w:r>
          </w:p>
        </w:tc>
        <w:tc>
          <w:tcPr>
            <w:tcW w:w="1056" w:type="dxa"/>
            <w:tcBorders>
              <w:top w:val="nil"/>
              <w:left w:val="nil"/>
              <w:bottom w:val="single" w:sz="8" w:space="0" w:color="auto"/>
              <w:right w:val="single" w:sz="8" w:space="0" w:color="auto"/>
            </w:tcBorders>
            <w:shd w:val="clear" w:color="auto" w:fill="auto"/>
            <w:vAlign w:val="center"/>
            <w:hideMark/>
          </w:tcPr>
          <w:p w14:paraId="2EB0DDF2"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(15.700)</w:t>
            </w:r>
          </w:p>
        </w:tc>
        <w:tc>
          <w:tcPr>
            <w:tcW w:w="1057" w:type="dxa"/>
            <w:tcBorders>
              <w:top w:val="nil"/>
              <w:left w:val="nil"/>
              <w:bottom w:val="single" w:sz="8" w:space="0" w:color="auto"/>
              <w:right w:val="single" w:sz="8" w:space="0" w:color="auto"/>
            </w:tcBorders>
            <w:shd w:val="clear" w:color="auto" w:fill="auto"/>
            <w:vAlign w:val="center"/>
            <w:hideMark/>
          </w:tcPr>
          <w:p w14:paraId="523F61A8"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(12.600)</w:t>
            </w:r>
          </w:p>
        </w:tc>
      </w:tr>
      <w:tr w:rsidR="00A53B77" w14:paraId="032F3B79" w14:textId="77777777" w:rsidTr="00870C62">
        <w:trPr>
          <w:trHeight w:val="319"/>
        </w:trPr>
        <w:tc>
          <w:tcPr>
            <w:tcW w:w="5528"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5CC396D8" w14:textId="77777777" w:rsidR="00ED5440" w:rsidRPr="00870C62" w:rsidRDefault="007004BD" w:rsidP="002D0329">
            <w:pPr>
              <w:rPr>
                <w:rFonts w:ascii="Arial" w:hAnsi="Arial" w:cs="Arial"/>
                <w:b/>
                <w:bCs/>
                <w:sz w:val="24"/>
                <w:szCs w:val="24"/>
                <w:lang w:val="en-GB" w:eastAsia="en-GB"/>
              </w:rPr>
            </w:pPr>
            <w:r w:rsidRPr="00870C62">
              <w:rPr>
                <w:rFonts w:ascii="Arial" w:hAnsi="Arial" w:cs="Arial"/>
                <w:b/>
                <w:bCs/>
                <w:sz w:val="24"/>
                <w:szCs w:val="24"/>
                <w:lang w:val="en-GB" w:eastAsia="en-GB"/>
              </w:rPr>
              <w:t>Budget Requirement C/</w:t>
            </w:r>
            <w:proofErr w:type="spellStart"/>
            <w:r w:rsidRPr="00870C62">
              <w:rPr>
                <w:rFonts w:ascii="Arial" w:hAnsi="Arial" w:cs="Arial"/>
                <w:b/>
                <w:bCs/>
                <w:sz w:val="24"/>
                <w:szCs w:val="24"/>
                <w:lang w:val="en-GB" w:eastAsia="en-GB"/>
              </w:rPr>
              <w:t>Fwd</w:t>
            </w:r>
            <w:proofErr w:type="spellEnd"/>
          </w:p>
        </w:tc>
        <w:tc>
          <w:tcPr>
            <w:tcW w:w="1056" w:type="dxa"/>
            <w:tcBorders>
              <w:top w:val="nil"/>
              <w:left w:val="nil"/>
              <w:bottom w:val="single" w:sz="8" w:space="0" w:color="auto"/>
              <w:right w:val="single" w:sz="8" w:space="0" w:color="auto"/>
            </w:tcBorders>
            <w:shd w:val="clear" w:color="auto" w:fill="D9D9D9" w:themeFill="background1" w:themeFillShade="D9"/>
            <w:noWrap/>
            <w:vAlign w:val="center"/>
            <w:hideMark/>
          </w:tcPr>
          <w:p w14:paraId="567EB795" w14:textId="77777777" w:rsidR="00ED5440" w:rsidRPr="00870C62" w:rsidRDefault="007004BD" w:rsidP="002D0329">
            <w:pPr>
              <w:jc w:val="right"/>
              <w:rPr>
                <w:rFonts w:ascii="Arial" w:hAnsi="Arial" w:cs="Arial"/>
                <w:b/>
                <w:bCs/>
                <w:sz w:val="24"/>
                <w:szCs w:val="24"/>
                <w:lang w:val="en-GB" w:eastAsia="en-GB"/>
              </w:rPr>
            </w:pPr>
            <w:r w:rsidRPr="00870C62">
              <w:rPr>
                <w:rFonts w:ascii="Arial" w:hAnsi="Arial" w:cs="Arial"/>
                <w:b/>
                <w:bCs/>
                <w:sz w:val="24"/>
                <w:szCs w:val="24"/>
                <w:lang w:val="en-GB" w:eastAsia="en-GB"/>
              </w:rPr>
              <w:t>246.353</w:t>
            </w:r>
          </w:p>
        </w:tc>
        <w:tc>
          <w:tcPr>
            <w:tcW w:w="1057" w:type="dxa"/>
            <w:tcBorders>
              <w:top w:val="nil"/>
              <w:left w:val="nil"/>
              <w:bottom w:val="single" w:sz="8" w:space="0" w:color="auto"/>
              <w:right w:val="single" w:sz="8" w:space="0" w:color="auto"/>
            </w:tcBorders>
            <w:shd w:val="clear" w:color="auto" w:fill="D9D9D9" w:themeFill="background1" w:themeFillShade="D9"/>
            <w:noWrap/>
            <w:vAlign w:val="center"/>
            <w:hideMark/>
          </w:tcPr>
          <w:p w14:paraId="5655A42C" w14:textId="6672C7FA" w:rsidR="00ED5440" w:rsidRPr="00870C62" w:rsidRDefault="007004BD" w:rsidP="002D0329">
            <w:pPr>
              <w:jc w:val="right"/>
              <w:rPr>
                <w:rFonts w:ascii="Arial" w:hAnsi="Arial" w:cs="Arial"/>
                <w:b/>
                <w:bCs/>
                <w:sz w:val="24"/>
                <w:szCs w:val="24"/>
                <w:lang w:val="en-GB" w:eastAsia="en-GB"/>
              </w:rPr>
            </w:pPr>
            <w:r w:rsidRPr="00870C62">
              <w:rPr>
                <w:rFonts w:ascii="Arial" w:hAnsi="Arial" w:cs="Arial"/>
                <w:b/>
                <w:bCs/>
                <w:sz w:val="24"/>
                <w:szCs w:val="24"/>
                <w:lang w:val="en-GB" w:eastAsia="en-GB"/>
              </w:rPr>
              <w:t>267.4</w:t>
            </w:r>
            <w:r w:rsidR="00961F76" w:rsidRPr="00870C62">
              <w:rPr>
                <w:rFonts w:ascii="Arial" w:hAnsi="Arial" w:cs="Arial"/>
                <w:b/>
                <w:bCs/>
                <w:sz w:val="24"/>
                <w:szCs w:val="24"/>
                <w:lang w:val="en-GB" w:eastAsia="en-GB"/>
              </w:rPr>
              <w:t>63</w:t>
            </w:r>
          </w:p>
        </w:tc>
        <w:tc>
          <w:tcPr>
            <w:tcW w:w="1056" w:type="dxa"/>
            <w:tcBorders>
              <w:top w:val="nil"/>
              <w:left w:val="nil"/>
              <w:bottom w:val="single" w:sz="8" w:space="0" w:color="auto"/>
              <w:right w:val="single" w:sz="8" w:space="0" w:color="auto"/>
            </w:tcBorders>
            <w:shd w:val="clear" w:color="auto" w:fill="D9D9D9" w:themeFill="background1" w:themeFillShade="D9"/>
            <w:noWrap/>
            <w:vAlign w:val="center"/>
            <w:hideMark/>
          </w:tcPr>
          <w:p w14:paraId="2E880C0B" w14:textId="2E70D8AD" w:rsidR="00ED5440" w:rsidRPr="00870C62" w:rsidRDefault="007004BD" w:rsidP="002D0329">
            <w:pPr>
              <w:jc w:val="right"/>
              <w:rPr>
                <w:rFonts w:ascii="Arial" w:hAnsi="Arial" w:cs="Arial"/>
                <w:b/>
                <w:bCs/>
                <w:sz w:val="24"/>
                <w:szCs w:val="24"/>
                <w:lang w:val="en-GB" w:eastAsia="en-GB"/>
              </w:rPr>
            </w:pPr>
            <w:r w:rsidRPr="00870C62">
              <w:rPr>
                <w:rFonts w:ascii="Arial" w:hAnsi="Arial" w:cs="Arial"/>
                <w:b/>
                <w:bCs/>
                <w:sz w:val="24"/>
                <w:szCs w:val="24"/>
                <w:lang w:val="en-GB" w:eastAsia="en-GB"/>
              </w:rPr>
              <w:t>273.2</w:t>
            </w:r>
            <w:r w:rsidR="00961F76" w:rsidRPr="00870C62">
              <w:rPr>
                <w:rFonts w:ascii="Arial" w:hAnsi="Arial" w:cs="Arial"/>
                <w:b/>
                <w:bCs/>
                <w:sz w:val="24"/>
                <w:szCs w:val="24"/>
                <w:lang w:val="en-GB" w:eastAsia="en-GB"/>
              </w:rPr>
              <w:t>46</w:t>
            </w:r>
          </w:p>
        </w:tc>
        <w:tc>
          <w:tcPr>
            <w:tcW w:w="1057" w:type="dxa"/>
            <w:tcBorders>
              <w:top w:val="nil"/>
              <w:left w:val="nil"/>
              <w:bottom w:val="single" w:sz="8" w:space="0" w:color="auto"/>
              <w:right w:val="single" w:sz="8" w:space="0" w:color="auto"/>
            </w:tcBorders>
            <w:shd w:val="clear" w:color="auto" w:fill="D9D9D9" w:themeFill="background1" w:themeFillShade="D9"/>
            <w:noWrap/>
            <w:vAlign w:val="center"/>
            <w:hideMark/>
          </w:tcPr>
          <w:p w14:paraId="3442D697" w14:textId="5868119E" w:rsidR="00ED5440" w:rsidRPr="00870C62" w:rsidRDefault="007004BD" w:rsidP="002D0329">
            <w:pPr>
              <w:jc w:val="right"/>
              <w:rPr>
                <w:rFonts w:ascii="Arial" w:hAnsi="Arial" w:cs="Arial"/>
                <w:b/>
                <w:bCs/>
                <w:sz w:val="24"/>
                <w:szCs w:val="24"/>
                <w:lang w:val="en-GB" w:eastAsia="en-GB"/>
              </w:rPr>
            </w:pPr>
            <w:r w:rsidRPr="00870C62">
              <w:rPr>
                <w:rFonts w:ascii="Arial" w:hAnsi="Arial" w:cs="Arial"/>
                <w:b/>
                <w:bCs/>
                <w:sz w:val="24"/>
                <w:szCs w:val="24"/>
                <w:lang w:val="en-GB" w:eastAsia="en-GB"/>
              </w:rPr>
              <w:t>279.0</w:t>
            </w:r>
            <w:r w:rsidR="00961F76" w:rsidRPr="00870C62">
              <w:rPr>
                <w:rFonts w:ascii="Arial" w:hAnsi="Arial" w:cs="Arial"/>
                <w:b/>
                <w:bCs/>
                <w:sz w:val="24"/>
                <w:szCs w:val="24"/>
                <w:lang w:val="en-GB" w:eastAsia="en-GB"/>
              </w:rPr>
              <w:t>99</w:t>
            </w:r>
          </w:p>
        </w:tc>
      </w:tr>
      <w:tr w:rsidR="00A53B77" w14:paraId="647E2597" w14:textId="77777777" w:rsidTr="00870C62">
        <w:trPr>
          <w:trHeight w:val="319"/>
        </w:trPr>
        <w:tc>
          <w:tcPr>
            <w:tcW w:w="5528" w:type="dxa"/>
            <w:tcBorders>
              <w:top w:val="nil"/>
              <w:left w:val="single" w:sz="8" w:space="0" w:color="auto"/>
              <w:bottom w:val="single" w:sz="8" w:space="0" w:color="auto"/>
              <w:right w:val="single" w:sz="8" w:space="0" w:color="auto"/>
            </w:tcBorders>
            <w:shd w:val="clear" w:color="auto" w:fill="auto"/>
            <w:vAlign w:val="center"/>
            <w:hideMark/>
          </w:tcPr>
          <w:p w14:paraId="4609318D" w14:textId="77777777" w:rsidR="00ED5440" w:rsidRPr="00870C62" w:rsidRDefault="007004BD" w:rsidP="002D0329">
            <w:pPr>
              <w:rPr>
                <w:rFonts w:ascii="Arial" w:hAnsi="Arial" w:cs="Arial"/>
                <w:b/>
                <w:bCs/>
                <w:sz w:val="24"/>
                <w:szCs w:val="24"/>
                <w:lang w:val="en-GB" w:eastAsia="en-GB"/>
              </w:rPr>
            </w:pPr>
            <w:r w:rsidRPr="00870C62">
              <w:rPr>
                <w:rFonts w:ascii="Arial" w:hAnsi="Arial" w:cs="Arial"/>
                <w:b/>
                <w:bCs/>
                <w:sz w:val="24"/>
                <w:szCs w:val="24"/>
                <w:lang w:val="en-GB" w:eastAsia="en-GB"/>
              </w:rPr>
              <w:t>Funded by:</w:t>
            </w:r>
          </w:p>
        </w:tc>
        <w:tc>
          <w:tcPr>
            <w:tcW w:w="1056" w:type="dxa"/>
            <w:tcBorders>
              <w:top w:val="nil"/>
              <w:left w:val="nil"/>
              <w:bottom w:val="single" w:sz="8" w:space="0" w:color="auto"/>
              <w:right w:val="single" w:sz="8" w:space="0" w:color="auto"/>
            </w:tcBorders>
            <w:shd w:val="clear" w:color="auto" w:fill="auto"/>
            <w:vAlign w:val="center"/>
            <w:hideMark/>
          </w:tcPr>
          <w:p w14:paraId="69BEC896"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 </w:t>
            </w:r>
          </w:p>
        </w:tc>
        <w:tc>
          <w:tcPr>
            <w:tcW w:w="1057" w:type="dxa"/>
            <w:tcBorders>
              <w:top w:val="nil"/>
              <w:left w:val="nil"/>
              <w:bottom w:val="single" w:sz="8" w:space="0" w:color="auto"/>
              <w:right w:val="single" w:sz="8" w:space="0" w:color="auto"/>
            </w:tcBorders>
            <w:shd w:val="clear" w:color="auto" w:fill="auto"/>
            <w:vAlign w:val="center"/>
            <w:hideMark/>
          </w:tcPr>
          <w:p w14:paraId="57221595"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 </w:t>
            </w:r>
          </w:p>
        </w:tc>
        <w:tc>
          <w:tcPr>
            <w:tcW w:w="1056" w:type="dxa"/>
            <w:tcBorders>
              <w:top w:val="nil"/>
              <w:left w:val="nil"/>
              <w:bottom w:val="single" w:sz="8" w:space="0" w:color="auto"/>
              <w:right w:val="single" w:sz="8" w:space="0" w:color="auto"/>
            </w:tcBorders>
            <w:shd w:val="clear" w:color="auto" w:fill="auto"/>
            <w:vAlign w:val="center"/>
            <w:hideMark/>
          </w:tcPr>
          <w:p w14:paraId="51A2CEF8"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 </w:t>
            </w:r>
          </w:p>
        </w:tc>
        <w:tc>
          <w:tcPr>
            <w:tcW w:w="1057" w:type="dxa"/>
            <w:tcBorders>
              <w:top w:val="nil"/>
              <w:left w:val="nil"/>
              <w:bottom w:val="single" w:sz="8" w:space="0" w:color="auto"/>
              <w:right w:val="single" w:sz="8" w:space="0" w:color="auto"/>
            </w:tcBorders>
            <w:shd w:val="clear" w:color="auto" w:fill="auto"/>
            <w:vAlign w:val="center"/>
            <w:hideMark/>
          </w:tcPr>
          <w:p w14:paraId="6DEAD1C3"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 </w:t>
            </w:r>
          </w:p>
        </w:tc>
      </w:tr>
      <w:tr w:rsidR="00A53B77" w14:paraId="68AE714C" w14:textId="77777777" w:rsidTr="00870C62">
        <w:trPr>
          <w:trHeight w:val="319"/>
        </w:trPr>
        <w:tc>
          <w:tcPr>
            <w:tcW w:w="5528" w:type="dxa"/>
            <w:tcBorders>
              <w:top w:val="nil"/>
              <w:left w:val="single" w:sz="8" w:space="0" w:color="auto"/>
              <w:bottom w:val="single" w:sz="8" w:space="0" w:color="auto"/>
              <w:right w:val="single" w:sz="8" w:space="0" w:color="auto"/>
            </w:tcBorders>
            <w:shd w:val="clear" w:color="auto" w:fill="auto"/>
            <w:vAlign w:val="center"/>
            <w:hideMark/>
          </w:tcPr>
          <w:p w14:paraId="56750685" w14:textId="75E68574" w:rsidR="00ED5440" w:rsidRPr="00870C62" w:rsidRDefault="007004BD" w:rsidP="002D0329">
            <w:pPr>
              <w:rPr>
                <w:rFonts w:ascii="Arial" w:hAnsi="Arial" w:cs="Arial"/>
                <w:sz w:val="24"/>
                <w:szCs w:val="24"/>
                <w:lang w:val="en-GB" w:eastAsia="en-GB"/>
              </w:rPr>
            </w:pPr>
            <w:r w:rsidRPr="00870C62">
              <w:rPr>
                <w:rFonts w:ascii="Arial" w:hAnsi="Arial" w:cs="Arial"/>
                <w:sz w:val="24"/>
                <w:szCs w:val="24"/>
                <w:lang w:val="en-GB" w:eastAsia="en-GB"/>
              </w:rPr>
              <w:t>Revenue Support Grant</w:t>
            </w:r>
            <w:r w:rsidR="002D0329" w:rsidRPr="00870C62">
              <w:rPr>
                <w:rFonts w:ascii="Arial" w:hAnsi="Arial" w:cs="Arial"/>
                <w:sz w:val="24"/>
                <w:szCs w:val="24"/>
                <w:lang w:val="en-GB" w:eastAsia="en-GB"/>
              </w:rPr>
              <w:t xml:space="preserve"> (RSG)</w:t>
            </w:r>
          </w:p>
        </w:tc>
        <w:tc>
          <w:tcPr>
            <w:tcW w:w="1056" w:type="dxa"/>
            <w:tcBorders>
              <w:top w:val="nil"/>
              <w:left w:val="nil"/>
              <w:bottom w:val="single" w:sz="8" w:space="0" w:color="auto"/>
              <w:right w:val="single" w:sz="8" w:space="0" w:color="auto"/>
            </w:tcBorders>
            <w:shd w:val="clear" w:color="auto" w:fill="auto"/>
            <w:vAlign w:val="center"/>
            <w:hideMark/>
          </w:tcPr>
          <w:p w14:paraId="6287EF09"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8.453</w:t>
            </w:r>
          </w:p>
        </w:tc>
        <w:tc>
          <w:tcPr>
            <w:tcW w:w="1057" w:type="dxa"/>
            <w:tcBorders>
              <w:top w:val="nil"/>
              <w:left w:val="nil"/>
              <w:bottom w:val="single" w:sz="8" w:space="0" w:color="auto"/>
              <w:right w:val="single" w:sz="8" w:space="0" w:color="auto"/>
            </w:tcBorders>
            <w:shd w:val="clear" w:color="auto" w:fill="auto"/>
            <w:vAlign w:val="center"/>
            <w:hideMark/>
          </w:tcPr>
          <w:p w14:paraId="13EA1A7E"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8.538</w:t>
            </w:r>
          </w:p>
        </w:tc>
        <w:tc>
          <w:tcPr>
            <w:tcW w:w="1056" w:type="dxa"/>
            <w:tcBorders>
              <w:top w:val="nil"/>
              <w:left w:val="nil"/>
              <w:bottom w:val="single" w:sz="8" w:space="0" w:color="auto"/>
              <w:right w:val="single" w:sz="8" w:space="0" w:color="auto"/>
            </w:tcBorders>
            <w:shd w:val="clear" w:color="auto" w:fill="auto"/>
            <w:vAlign w:val="center"/>
            <w:hideMark/>
          </w:tcPr>
          <w:p w14:paraId="17070EAB"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8.538</w:t>
            </w:r>
          </w:p>
        </w:tc>
        <w:tc>
          <w:tcPr>
            <w:tcW w:w="1057" w:type="dxa"/>
            <w:tcBorders>
              <w:top w:val="nil"/>
              <w:left w:val="nil"/>
              <w:bottom w:val="single" w:sz="8" w:space="0" w:color="auto"/>
              <w:right w:val="single" w:sz="8" w:space="0" w:color="auto"/>
            </w:tcBorders>
            <w:shd w:val="clear" w:color="auto" w:fill="auto"/>
            <w:vAlign w:val="center"/>
            <w:hideMark/>
          </w:tcPr>
          <w:p w14:paraId="04CA871F"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8.538</w:t>
            </w:r>
          </w:p>
        </w:tc>
      </w:tr>
      <w:tr w:rsidR="00A53B77" w14:paraId="08C131BD" w14:textId="77777777" w:rsidTr="00870C62">
        <w:trPr>
          <w:trHeight w:val="319"/>
        </w:trPr>
        <w:tc>
          <w:tcPr>
            <w:tcW w:w="5528" w:type="dxa"/>
            <w:tcBorders>
              <w:top w:val="nil"/>
              <w:left w:val="single" w:sz="8" w:space="0" w:color="auto"/>
              <w:bottom w:val="single" w:sz="8" w:space="0" w:color="auto"/>
              <w:right w:val="single" w:sz="8" w:space="0" w:color="auto"/>
            </w:tcBorders>
            <w:shd w:val="clear" w:color="auto" w:fill="auto"/>
            <w:vAlign w:val="center"/>
            <w:hideMark/>
          </w:tcPr>
          <w:p w14:paraId="073D63EE" w14:textId="279A9B4B" w:rsidR="00ED5440" w:rsidRPr="00870C62" w:rsidRDefault="007004BD" w:rsidP="002D0329">
            <w:pPr>
              <w:rPr>
                <w:rFonts w:ascii="Arial" w:hAnsi="Arial" w:cs="Arial"/>
                <w:sz w:val="24"/>
                <w:szCs w:val="24"/>
                <w:lang w:val="en-GB" w:eastAsia="en-GB"/>
              </w:rPr>
            </w:pPr>
            <w:r w:rsidRPr="00870C62">
              <w:rPr>
                <w:rFonts w:ascii="Arial" w:hAnsi="Arial" w:cs="Arial"/>
                <w:sz w:val="24"/>
                <w:szCs w:val="24"/>
                <w:lang w:val="en-GB" w:eastAsia="en-GB"/>
              </w:rPr>
              <w:t>Locally retained Business Rates</w:t>
            </w:r>
          </w:p>
        </w:tc>
        <w:tc>
          <w:tcPr>
            <w:tcW w:w="1056" w:type="dxa"/>
            <w:tcBorders>
              <w:top w:val="nil"/>
              <w:left w:val="nil"/>
              <w:bottom w:val="single" w:sz="8" w:space="0" w:color="auto"/>
              <w:right w:val="single" w:sz="8" w:space="0" w:color="auto"/>
            </w:tcBorders>
            <w:shd w:val="clear" w:color="auto" w:fill="auto"/>
            <w:vAlign w:val="center"/>
            <w:hideMark/>
          </w:tcPr>
          <w:p w14:paraId="592F437A"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55.800</w:t>
            </w:r>
          </w:p>
        </w:tc>
        <w:tc>
          <w:tcPr>
            <w:tcW w:w="1057" w:type="dxa"/>
            <w:tcBorders>
              <w:top w:val="nil"/>
              <w:left w:val="nil"/>
              <w:bottom w:val="single" w:sz="8" w:space="0" w:color="auto"/>
              <w:right w:val="single" w:sz="8" w:space="0" w:color="auto"/>
            </w:tcBorders>
            <w:shd w:val="clear" w:color="auto" w:fill="auto"/>
            <w:vAlign w:val="center"/>
            <w:hideMark/>
          </w:tcPr>
          <w:p w14:paraId="053C8AFF"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67.371</w:t>
            </w:r>
          </w:p>
        </w:tc>
        <w:tc>
          <w:tcPr>
            <w:tcW w:w="1056" w:type="dxa"/>
            <w:tcBorders>
              <w:top w:val="nil"/>
              <w:left w:val="nil"/>
              <w:bottom w:val="single" w:sz="8" w:space="0" w:color="auto"/>
              <w:right w:val="single" w:sz="8" w:space="0" w:color="auto"/>
            </w:tcBorders>
            <w:shd w:val="clear" w:color="auto" w:fill="auto"/>
            <w:vAlign w:val="center"/>
            <w:hideMark/>
          </w:tcPr>
          <w:p w14:paraId="7EAD0CC9"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67.864</w:t>
            </w:r>
          </w:p>
        </w:tc>
        <w:tc>
          <w:tcPr>
            <w:tcW w:w="1057" w:type="dxa"/>
            <w:tcBorders>
              <w:top w:val="nil"/>
              <w:left w:val="nil"/>
              <w:bottom w:val="single" w:sz="8" w:space="0" w:color="auto"/>
              <w:right w:val="single" w:sz="8" w:space="0" w:color="auto"/>
            </w:tcBorders>
            <w:shd w:val="clear" w:color="auto" w:fill="auto"/>
            <w:vAlign w:val="center"/>
            <w:hideMark/>
          </w:tcPr>
          <w:p w14:paraId="4FD0650B"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68.360</w:t>
            </w:r>
          </w:p>
        </w:tc>
      </w:tr>
      <w:tr w:rsidR="00A53B77" w14:paraId="2DD1FF34" w14:textId="77777777" w:rsidTr="00870C62">
        <w:trPr>
          <w:trHeight w:val="319"/>
        </w:trPr>
        <w:tc>
          <w:tcPr>
            <w:tcW w:w="5528" w:type="dxa"/>
            <w:tcBorders>
              <w:top w:val="nil"/>
              <w:left w:val="single" w:sz="8" w:space="0" w:color="auto"/>
              <w:bottom w:val="single" w:sz="8" w:space="0" w:color="auto"/>
              <w:right w:val="single" w:sz="8" w:space="0" w:color="auto"/>
            </w:tcBorders>
            <w:shd w:val="clear" w:color="auto" w:fill="auto"/>
            <w:vAlign w:val="center"/>
            <w:hideMark/>
          </w:tcPr>
          <w:p w14:paraId="769DD1DC" w14:textId="41B9743E" w:rsidR="00ED5440" w:rsidRPr="00870C62" w:rsidRDefault="007004BD" w:rsidP="002D0329">
            <w:pPr>
              <w:rPr>
                <w:rFonts w:ascii="Arial" w:hAnsi="Arial" w:cs="Arial"/>
                <w:sz w:val="24"/>
                <w:szCs w:val="24"/>
                <w:lang w:val="en-GB" w:eastAsia="en-GB"/>
              </w:rPr>
            </w:pPr>
            <w:r w:rsidRPr="00870C62">
              <w:rPr>
                <w:rFonts w:ascii="Arial" w:hAnsi="Arial" w:cs="Arial"/>
                <w:sz w:val="24"/>
                <w:szCs w:val="24"/>
                <w:lang w:val="en-GB" w:eastAsia="en-GB"/>
              </w:rPr>
              <w:t>Net Collection Fund position</w:t>
            </w:r>
          </w:p>
        </w:tc>
        <w:tc>
          <w:tcPr>
            <w:tcW w:w="1056" w:type="dxa"/>
            <w:tcBorders>
              <w:top w:val="nil"/>
              <w:left w:val="nil"/>
              <w:bottom w:val="single" w:sz="8" w:space="0" w:color="auto"/>
              <w:right w:val="single" w:sz="8" w:space="0" w:color="auto"/>
            </w:tcBorders>
            <w:shd w:val="clear" w:color="auto" w:fill="auto"/>
            <w:vAlign w:val="center"/>
            <w:hideMark/>
          </w:tcPr>
          <w:p w14:paraId="1F88D996"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(2.990)</w:t>
            </w:r>
          </w:p>
        </w:tc>
        <w:tc>
          <w:tcPr>
            <w:tcW w:w="1057" w:type="dxa"/>
            <w:tcBorders>
              <w:top w:val="nil"/>
              <w:left w:val="nil"/>
              <w:bottom w:val="single" w:sz="8" w:space="0" w:color="auto"/>
              <w:right w:val="single" w:sz="8" w:space="0" w:color="auto"/>
            </w:tcBorders>
            <w:shd w:val="clear" w:color="auto" w:fill="auto"/>
            <w:vAlign w:val="center"/>
            <w:hideMark/>
          </w:tcPr>
          <w:p w14:paraId="60102249"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0.000</w:t>
            </w:r>
          </w:p>
        </w:tc>
        <w:tc>
          <w:tcPr>
            <w:tcW w:w="1056" w:type="dxa"/>
            <w:tcBorders>
              <w:top w:val="nil"/>
              <w:left w:val="nil"/>
              <w:bottom w:val="single" w:sz="8" w:space="0" w:color="auto"/>
              <w:right w:val="single" w:sz="8" w:space="0" w:color="auto"/>
            </w:tcBorders>
            <w:shd w:val="clear" w:color="auto" w:fill="auto"/>
            <w:vAlign w:val="center"/>
            <w:hideMark/>
          </w:tcPr>
          <w:p w14:paraId="66003FB5"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0.000</w:t>
            </w:r>
          </w:p>
        </w:tc>
        <w:tc>
          <w:tcPr>
            <w:tcW w:w="1057" w:type="dxa"/>
            <w:tcBorders>
              <w:top w:val="nil"/>
              <w:left w:val="nil"/>
              <w:bottom w:val="single" w:sz="8" w:space="0" w:color="auto"/>
              <w:right w:val="single" w:sz="8" w:space="0" w:color="auto"/>
            </w:tcBorders>
            <w:shd w:val="clear" w:color="auto" w:fill="auto"/>
            <w:vAlign w:val="center"/>
            <w:hideMark/>
          </w:tcPr>
          <w:p w14:paraId="3298DFE4"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0.000</w:t>
            </w:r>
          </w:p>
        </w:tc>
      </w:tr>
      <w:tr w:rsidR="00A53B77" w14:paraId="373EE691" w14:textId="77777777" w:rsidTr="00870C62">
        <w:trPr>
          <w:trHeight w:val="319"/>
        </w:trPr>
        <w:tc>
          <w:tcPr>
            <w:tcW w:w="5528" w:type="dxa"/>
            <w:tcBorders>
              <w:top w:val="nil"/>
              <w:left w:val="single" w:sz="8" w:space="0" w:color="auto"/>
              <w:bottom w:val="single" w:sz="8" w:space="0" w:color="auto"/>
              <w:right w:val="single" w:sz="8" w:space="0" w:color="auto"/>
            </w:tcBorders>
            <w:shd w:val="clear" w:color="auto" w:fill="auto"/>
            <w:vAlign w:val="center"/>
            <w:hideMark/>
          </w:tcPr>
          <w:p w14:paraId="6C382B68" w14:textId="02AD3B07" w:rsidR="00ED5440" w:rsidRPr="00870C62" w:rsidRDefault="007004BD" w:rsidP="002D0329">
            <w:pPr>
              <w:rPr>
                <w:rFonts w:ascii="Arial" w:hAnsi="Arial" w:cs="Arial"/>
                <w:sz w:val="24"/>
                <w:szCs w:val="24"/>
                <w:lang w:val="en-GB" w:eastAsia="en-GB"/>
              </w:rPr>
            </w:pPr>
            <w:r w:rsidRPr="00870C62">
              <w:rPr>
                <w:rFonts w:ascii="Arial" w:hAnsi="Arial" w:cs="Arial"/>
                <w:sz w:val="24"/>
                <w:szCs w:val="24"/>
                <w:lang w:val="en-GB" w:eastAsia="en-GB"/>
              </w:rPr>
              <w:t>Council Tax including Adult Social Care Precept</w:t>
            </w:r>
            <w:r w:rsidR="002D0329" w:rsidRPr="00870C62">
              <w:rPr>
                <w:rFonts w:ascii="Arial" w:hAnsi="Arial" w:cs="Arial"/>
                <w:sz w:val="24"/>
                <w:szCs w:val="24"/>
                <w:lang w:val="en-GB" w:eastAsia="en-GB"/>
              </w:rPr>
              <w:t>s</w:t>
            </w:r>
          </w:p>
        </w:tc>
        <w:tc>
          <w:tcPr>
            <w:tcW w:w="1056" w:type="dxa"/>
            <w:tcBorders>
              <w:top w:val="nil"/>
              <w:left w:val="nil"/>
              <w:bottom w:val="single" w:sz="8" w:space="0" w:color="auto"/>
              <w:right w:val="single" w:sz="8" w:space="0" w:color="auto"/>
            </w:tcBorders>
            <w:shd w:val="clear" w:color="auto" w:fill="auto"/>
            <w:vAlign w:val="center"/>
            <w:hideMark/>
          </w:tcPr>
          <w:p w14:paraId="41E6137E" w14:textId="77777777"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185.090</w:t>
            </w:r>
          </w:p>
        </w:tc>
        <w:tc>
          <w:tcPr>
            <w:tcW w:w="1057" w:type="dxa"/>
            <w:tcBorders>
              <w:top w:val="nil"/>
              <w:left w:val="nil"/>
              <w:bottom w:val="single" w:sz="8" w:space="0" w:color="auto"/>
              <w:right w:val="single" w:sz="8" w:space="0" w:color="auto"/>
            </w:tcBorders>
            <w:shd w:val="clear" w:color="auto" w:fill="auto"/>
            <w:vAlign w:val="center"/>
            <w:hideMark/>
          </w:tcPr>
          <w:p w14:paraId="32869307" w14:textId="3749F349"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191.5</w:t>
            </w:r>
            <w:r w:rsidR="00961F76" w:rsidRPr="00870C62">
              <w:rPr>
                <w:rFonts w:ascii="Arial" w:hAnsi="Arial" w:cs="Arial"/>
                <w:sz w:val="24"/>
                <w:szCs w:val="24"/>
                <w:lang w:val="en-GB" w:eastAsia="en-GB"/>
              </w:rPr>
              <w:t>54</w:t>
            </w:r>
          </w:p>
        </w:tc>
        <w:tc>
          <w:tcPr>
            <w:tcW w:w="1056" w:type="dxa"/>
            <w:tcBorders>
              <w:top w:val="nil"/>
              <w:left w:val="nil"/>
              <w:bottom w:val="single" w:sz="8" w:space="0" w:color="auto"/>
              <w:right w:val="single" w:sz="8" w:space="0" w:color="auto"/>
            </w:tcBorders>
            <w:shd w:val="clear" w:color="auto" w:fill="auto"/>
            <w:vAlign w:val="center"/>
            <w:hideMark/>
          </w:tcPr>
          <w:p w14:paraId="6FC34D9B" w14:textId="774F96E9"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196.8</w:t>
            </w:r>
            <w:r w:rsidR="00961F76" w:rsidRPr="00870C62">
              <w:rPr>
                <w:rFonts w:ascii="Arial" w:hAnsi="Arial" w:cs="Arial"/>
                <w:sz w:val="24"/>
                <w:szCs w:val="24"/>
                <w:lang w:val="en-GB" w:eastAsia="en-GB"/>
              </w:rPr>
              <w:t>44</w:t>
            </w:r>
          </w:p>
        </w:tc>
        <w:tc>
          <w:tcPr>
            <w:tcW w:w="1057" w:type="dxa"/>
            <w:tcBorders>
              <w:top w:val="nil"/>
              <w:left w:val="nil"/>
              <w:bottom w:val="single" w:sz="8" w:space="0" w:color="auto"/>
              <w:right w:val="single" w:sz="8" w:space="0" w:color="auto"/>
            </w:tcBorders>
            <w:shd w:val="clear" w:color="auto" w:fill="auto"/>
            <w:vAlign w:val="center"/>
            <w:hideMark/>
          </w:tcPr>
          <w:p w14:paraId="328519E3" w14:textId="1ECC571A" w:rsidR="00ED5440" w:rsidRPr="00870C62" w:rsidRDefault="007004BD" w:rsidP="002D0329">
            <w:pPr>
              <w:jc w:val="right"/>
              <w:rPr>
                <w:rFonts w:ascii="Arial" w:hAnsi="Arial" w:cs="Arial"/>
                <w:sz w:val="24"/>
                <w:szCs w:val="24"/>
                <w:lang w:val="en-GB" w:eastAsia="en-GB"/>
              </w:rPr>
            </w:pPr>
            <w:r w:rsidRPr="00870C62">
              <w:rPr>
                <w:rFonts w:ascii="Arial" w:hAnsi="Arial" w:cs="Arial"/>
                <w:sz w:val="24"/>
                <w:szCs w:val="24"/>
                <w:lang w:val="en-GB" w:eastAsia="en-GB"/>
              </w:rPr>
              <w:t>202.</w:t>
            </w:r>
            <w:r w:rsidR="00961F76" w:rsidRPr="00870C62">
              <w:rPr>
                <w:rFonts w:ascii="Arial" w:hAnsi="Arial" w:cs="Arial"/>
                <w:sz w:val="24"/>
                <w:szCs w:val="24"/>
                <w:lang w:val="en-GB" w:eastAsia="en-GB"/>
              </w:rPr>
              <w:t>201</w:t>
            </w:r>
          </w:p>
        </w:tc>
      </w:tr>
      <w:tr w:rsidR="00A53B77" w14:paraId="41F3546A" w14:textId="77777777" w:rsidTr="00870C62">
        <w:trPr>
          <w:trHeight w:val="319"/>
        </w:trPr>
        <w:tc>
          <w:tcPr>
            <w:tcW w:w="5528"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3201EFF" w14:textId="77777777" w:rsidR="00ED5440" w:rsidRPr="00870C62" w:rsidRDefault="007004BD" w:rsidP="002D0329">
            <w:pPr>
              <w:rPr>
                <w:rFonts w:ascii="Arial" w:hAnsi="Arial" w:cs="Arial"/>
                <w:b/>
                <w:bCs/>
                <w:sz w:val="24"/>
                <w:szCs w:val="24"/>
                <w:lang w:val="en-GB" w:eastAsia="en-GB"/>
              </w:rPr>
            </w:pPr>
            <w:r w:rsidRPr="00870C62">
              <w:rPr>
                <w:rFonts w:ascii="Arial" w:hAnsi="Arial" w:cs="Arial"/>
                <w:b/>
                <w:bCs/>
                <w:sz w:val="24"/>
                <w:szCs w:val="24"/>
                <w:lang w:val="en-GB" w:eastAsia="en-GB"/>
              </w:rPr>
              <w:t>Total Funding</w:t>
            </w:r>
          </w:p>
        </w:tc>
        <w:tc>
          <w:tcPr>
            <w:tcW w:w="1056" w:type="dxa"/>
            <w:tcBorders>
              <w:top w:val="nil"/>
              <w:left w:val="nil"/>
              <w:bottom w:val="single" w:sz="8" w:space="0" w:color="auto"/>
              <w:right w:val="single" w:sz="8" w:space="0" w:color="auto"/>
            </w:tcBorders>
            <w:shd w:val="clear" w:color="auto" w:fill="D9D9D9" w:themeFill="background1" w:themeFillShade="D9"/>
            <w:noWrap/>
            <w:vAlign w:val="center"/>
            <w:hideMark/>
          </w:tcPr>
          <w:p w14:paraId="0251D9B5" w14:textId="77777777" w:rsidR="00ED5440" w:rsidRPr="00870C62" w:rsidRDefault="007004BD" w:rsidP="002D0329">
            <w:pPr>
              <w:jc w:val="right"/>
              <w:rPr>
                <w:rFonts w:ascii="Arial" w:hAnsi="Arial" w:cs="Arial"/>
                <w:b/>
                <w:bCs/>
                <w:sz w:val="24"/>
                <w:szCs w:val="24"/>
                <w:lang w:val="en-GB" w:eastAsia="en-GB"/>
              </w:rPr>
            </w:pPr>
            <w:r w:rsidRPr="00870C62">
              <w:rPr>
                <w:rFonts w:ascii="Arial" w:hAnsi="Arial" w:cs="Arial"/>
                <w:b/>
                <w:bCs/>
                <w:sz w:val="24"/>
                <w:szCs w:val="24"/>
                <w:lang w:val="en-GB" w:eastAsia="en-GB"/>
              </w:rPr>
              <w:t>246.353</w:t>
            </w:r>
          </w:p>
        </w:tc>
        <w:tc>
          <w:tcPr>
            <w:tcW w:w="1057" w:type="dxa"/>
            <w:tcBorders>
              <w:top w:val="nil"/>
              <w:left w:val="nil"/>
              <w:bottom w:val="single" w:sz="8" w:space="0" w:color="auto"/>
              <w:right w:val="single" w:sz="8" w:space="0" w:color="auto"/>
            </w:tcBorders>
            <w:shd w:val="clear" w:color="auto" w:fill="D9D9D9" w:themeFill="background1" w:themeFillShade="D9"/>
            <w:noWrap/>
            <w:vAlign w:val="center"/>
            <w:hideMark/>
          </w:tcPr>
          <w:p w14:paraId="1919A9A9" w14:textId="1129D6D3" w:rsidR="00ED5440" w:rsidRPr="00870C62" w:rsidRDefault="007004BD" w:rsidP="002D0329">
            <w:pPr>
              <w:jc w:val="right"/>
              <w:rPr>
                <w:rFonts w:ascii="Arial" w:hAnsi="Arial" w:cs="Arial"/>
                <w:b/>
                <w:bCs/>
                <w:sz w:val="24"/>
                <w:szCs w:val="24"/>
                <w:lang w:val="en-GB" w:eastAsia="en-GB"/>
              </w:rPr>
            </w:pPr>
            <w:r w:rsidRPr="00870C62">
              <w:rPr>
                <w:rFonts w:ascii="Arial" w:hAnsi="Arial" w:cs="Arial"/>
                <w:b/>
                <w:bCs/>
                <w:sz w:val="24"/>
                <w:szCs w:val="24"/>
                <w:lang w:val="en-GB" w:eastAsia="en-GB"/>
              </w:rPr>
              <w:t>267.4</w:t>
            </w:r>
            <w:r w:rsidR="00961F76" w:rsidRPr="00870C62">
              <w:rPr>
                <w:rFonts w:ascii="Arial" w:hAnsi="Arial" w:cs="Arial"/>
                <w:b/>
                <w:bCs/>
                <w:sz w:val="24"/>
                <w:szCs w:val="24"/>
                <w:lang w:val="en-GB" w:eastAsia="en-GB"/>
              </w:rPr>
              <w:t>63</w:t>
            </w:r>
          </w:p>
        </w:tc>
        <w:tc>
          <w:tcPr>
            <w:tcW w:w="1056" w:type="dxa"/>
            <w:tcBorders>
              <w:top w:val="nil"/>
              <w:left w:val="nil"/>
              <w:bottom w:val="single" w:sz="8" w:space="0" w:color="auto"/>
              <w:right w:val="single" w:sz="8" w:space="0" w:color="auto"/>
            </w:tcBorders>
            <w:shd w:val="clear" w:color="auto" w:fill="D9D9D9" w:themeFill="background1" w:themeFillShade="D9"/>
            <w:noWrap/>
            <w:vAlign w:val="center"/>
            <w:hideMark/>
          </w:tcPr>
          <w:p w14:paraId="088E65A6" w14:textId="56EDA26B" w:rsidR="00ED5440" w:rsidRPr="00870C62" w:rsidRDefault="007004BD" w:rsidP="002D0329">
            <w:pPr>
              <w:jc w:val="right"/>
              <w:rPr>
                <w:rFonts w:ascii="Arial" w:hAnsi="Arial" w:cs="Arial"/>
                <w:b/>
                <w:bCs/>
                <w:sz w:val="24"/>
                <w:szCs w:val="24"/>
                <w:lang w:val="en-GB" w:eastAsia="en-GB"/>
              </w:rPr>
            </w:pPr>
            <w:r w:rsidRPr="00870C62">
              <w:rPr>
                <w:rFonts w:ascii="Arial" w:hAnsi="Arial" w:cs="Arial"/>
                <w:b/>
                <w:bCs/>
                <w:sz w:val="24"/>
                <w:szCs w:val="24"/>
                <w:lang w:val="en-GB" w:eastAsia="en-GB"/>
              </w:rPr>
              <w:t>273.2</w:t>
            </w:r>
            <w:r w:rsidR="00961F76" w:rsidRPr="00870C62">
              <w:rPr>
                <w:rFonts w:ascii="Arial" w:hAnsi="Arial" w:cs="Arial"/>
                <w:b/>
                <w:bCs/>
                <w:sz w:val="24"/>
                <w:szCs w:val="24"/>
                <w:lang w:val="en-GB" w:eastAsia="en-GB"/>
              </w:rPr>
              <w:t>46</w:t>
            </w:r>
          </w:p>
        </w:tc>
        <w:tc>
          <w:tcPr>
            <w:tcW w:w="1057" w:type="dxa"/>
            <w:tcBorders>
              <w:top w:val="nil"/>
              <w:left w:val="nil"/>
              <w:bottom w:val="single" w:sz="8" w:space="0" w:color="auto"/>
              <w:right w:val="single" w:sz="8" w:space="0" w:color="auto"/>
            </w:tcBorders>
            <w:shd w:val="clear" w:color="auto" w:fill="D9D9D9" w:themeFill="background1" w:themeFillShade="D9"/>
            <w:noWrap/>
            <w:vAlign w:val="center"/>
            <w:hideMark/>
          </w:tcPr>
          <w:p w14:paraId="59DE586E" w14:textId="085AF0E9" w:rsidR="00ED5440" w:rsidRPr="00870C62" w:rsidRDefault="007004BD" w:rsidP="002D0329">
            <w:pPr>
              <w:jc w:val="right"/>
              <w:rPr>
                <w:rFonts w:ascii="Arial" w:hAnsi="Arial" w:cs="Arial"/>
                <w:b/>
                <w:bCs/>
                <w:sz w:val="24"/>
                <w:szCs w:val="24"/>
                <w:lang w:val="en-GB" w:eastAsia="en-GB"/>
              </w:rPr>
            </w:pPr>
            <w:r w:rsidRPr="00870C62">
              <w:rPr>
                <w:rFonts w:ascii="Arial" w:hAnsi="Arial" w:cs="Arial"/>
                <w:b/>
                <w:bCs/>
                <w:sz w:val="24"/>
                <w:szCs w:val="24"/>
                <w:lang w:val="en-GB" w:eastAsia="en-GB"/>
              </w:rPr>
              <w:t>279.</w:t>
            </w:r>
            <w:r w:rsidR="006C5870" w:rsidRPr="00870C62">
              <w:rPr>
                <w:rFonts w:ascii="Arial" w:hAnsi="Arial" w:cs="Arial"/>
                <w:b/>
                <w:bCs/>
                <w:sz w:val="24"/>
                <w:szCs w:val="24"/>
                <w:lang w:val="en-GB" w:eastAsia="en-GB"/>
              </w:rPr>
              <w:t>0</w:t>
            </w:r>
            <w:r w:rsidR="006C5870">
              <w:rPr>
                <w:rFonts w:ascii="Arial" w:hAnsi="Arial" w:cs="Arial"/>
                <w:b/>
                <w:bCs/>
                <w:sz w:val="24"/>
                <w:szCs w:val="24"/>
                <w:lang w:val="en-GB" w:eastAsia="en-GB"/>
              </w:rPr>
              <w:t>99</w:t>
            </w:r>
          </w:p>
        </w:tc>
      </w:tr>
    </w:tbl>
    <w:p w14:paraId="0E1B8EA7" w14:textId="77777777" w:rsidR="004D4787" w:rsidRDefault="004D4787" w:rsidP="00E945CB">
      <w:pPr>
        <w:pStyle w:val="Heading2"/>
        <w:numPr>
          <w:ilvl w:val="0"/>
          <w:numId w:val="0"/>
        </w:numPr>
        <w:ind w:left="576"/>
      </w:pPr>
      <w:bookmarkStart w:id="17" w:name="_Ref157435784"/>
    </w:p>
    <w:p w14:paraId="1C00B6FD" w14:textId="49D78A6D" w:rsidR="009B058F" w:rsidRPr="00CD7591" w:rsidRDefault="007004BD" w:rsidP="00E945CB">
      <w:pPr>
        <w:pStyle w:val="Heading2"/>
      </w:pPr>
      <w:r w:rsidRPr="00CD7591">
        <w:t>The MTFS above includes estimates for pay awards, price inflation, and pension changes taking into account OBR forecasts for deflators alongside actuarial pension forecasts</w:t>
      </w:r>
      <w:r w:rsidR="00CD7591" w:rsidRPr="00CD7591">
        <w:t>.</w:t>
      </w:r>
      <w:r w:rsidRPr="00CD7591">
        <w:t xml:space="preserve"> Detailed assumptions are set out in the MTFS at Appendix 1. The MTFS also includes assumptions regarding future resources including predicted taxbase growth and assumed taxation increases.</w:t>
      </w:r>
      <w:bookmarkEnd w:id="17"/>
    </w:p>
    <w:p w14:paraId="3D0AC343" w14:textId="77777777" w:rsidR="00ED5440" w:rsidRDefault="007004BD" w:rsidP="00E945CB">
      <w:pPr>
        <w:pStyle w:val="Heading2"/>
      </w:pPr>
      <w:r w:rsidRPr="00ED5440">
        <w:t xml:space="preserve">Many other elements of the MTFS reflect previous decisions made by the council including the outcome of local pay negotiations, the award of market supplements, and other approved commitments. The MTFS also reflects the demographic and other cost pressures set out in </w:t>
      </w:r>
      <w:r w:rsidRPr="00FA220D">
        <w:t>Table 2</w:t>
      </w:r>
      <w:r w:rsidRPr="00ED5440">
        <w:t xml:space="preserve"> of this report. For 2025/26 and beyond, the demographic and other cost pressures are estimates based on the midpoint of high and low estimates.</w:t>
      </w:r>
    </w:p>
    <w:p w14:paraId="597AA31E" w14:textId="49AC05E1" w:rsidR="009B058F" w:rsidRPr="00ED5440" w:rsidRDefault="007004BD" w:rsidP="00E945CB">
      <w:pPr>
        <w:pStyle w:val="Heading2"/>
      </w:pPr>
      <w:r w:rsidRPr="00ED5440">
        <w:t>The Budget Gaps indicate the estimated additional savings required in future years of the MTFS period to balance the budget and, importantly, to repay any reserves used to balance (smooth) the budget in earlier years. The predicted budget gaps remain very significant assuming a</w:t>
      </w:r>
      <w:r w:rsidR="00FA220D">
        <w:t xml:space="preserve"> </w:t>
      </w:r>
      <w:r w:rsidR="00FA220D" w:rsidRPr="00912487">
        <w:t>return to</w:t>
      </w:r>
      <w:r w:rsidRPr="00912487">
        <w:t xml:space="preserve"> 1.99% Council Tax increase</w:t>
      </w:r>
      <w:r w:rsidR="00FA220D" w:rsidRPr="00912487">
        <w:t>s</w:t>
      </w:r>
      <w:r w:rsidRPr="00912487">
        <w:t xml:space="preserve"> from 2025/26 onwards. Total shortfalls of £73m are projected over the 4-year period, meaning further savings of £49m will</w:t>
      </w:r>
      <w:r w:rsidRPr="00ED5440">
        <w:t xml:space="preserve"> potentially need to be identified over the period.</w:t>
      </w:r>
    </w:p>
    <w:p w14:paraId="50D0AE3C" w14:textId="77777777" w:rsidR="009B058F" w:rsidRPr="00753A3E" w:rsidRDefault="007004BD" w:rsidP="0057041E">
      <w:pPr>
        <w:pStyle w:val="Heading1"/>
        <w:rPr>
          <w:lang w:val="en-GB"/>
        </w:rPr>
      </w:pPr>
      <w:bookmarkStart w:id="18" w:name="_Hlk126005105"/>
      <w:r w:rsidRPr="00753A3E">
        <w:rPr>
          <w:lang w:val="en-GB"/>
        </w:rPr>
        <w:t xml:space="preserve">TREASURY MANAGEMENT AND ANNUAL INVESTMENT STRATEGY </w:t>
      </w:r>
    </w:p>
    <w:p w14:paraId="70B902B2" w14:textId="77777777" w:rsidR="009B058F" w:rsidRPr="00753A3E" w:rsidRDefault="007004BD" w:rsidP="00E945CB">
      <w:pPr>
        <w:pStyle w:val="Heading2"/>
        <w:rPr>
          <w:rFonts w:eastAsia="Times New Roman"/>
        </w:rPr>
      </w:pPr>
      <w:r w:rsidRPr="00753A3E">
        <w:rPr>
          <w:rFonts w:eastAsia="Times New Roman"/>
        </w:rPr>
        <w:t>The Treasury Management Strategy Statement (TMSS) and Annual Investment Strategy (AIS) are now incorporated in the budget report to ensure that inter-related financial decisions and strategies can be considered together. The council is required to operate a balanced budget, which broadly means that cash raised during the year will meet cash expenditure. Part of the Treasury Management operation is to ensure that this cash flow is adequately planned, with cash being available when it is needed (liquidity) and that surplus monies are only invested into counterparties and instruments commensurate with the council’s risk appetite.</w:t>
      </w:r>
    </w:p>
    <w:p w14:paraId="04A94AC6" w14:textId="77777777" w:rsidR="009B058F" w:rsidRPr="00753A3E" w:rsidRDefault="007004BD" w:rsidP="00E945CB">
      <w:pPr>
        <w:pStyle w:val="Heading2"/>
        <w:rPr>
          <w:rFonts w:eastAsia="Times New Roman"/>
        </w:rPr>
      </w:pPr>
      <w:r w:rsidRPr="00753A3E">
        <w:rPr>
          <w:rFonts w:eastAsia="Times New Roman"/>
        </w:rPr>
        <w:t>Another important function of the Treasury Management service is the funding of the council’s capital plans. The capital plans provide a guide to the council’s borrowing need, which is essentially the longer term cash flow plan, to ensure the council can meet its approved capital spending obligations.</w:t>
      </w:r>
    </w:p>
    <w:p w14:paraId="6DA634D1" w14:textId="47FDB17F" w:rsidR="009B058F" w:rsidRPr="00753A3E" w:rsidRDefault="007004BD" w:rsidP="00E945CB">
      <w:pPr>
        <w:pStyle w:val="Heading2"/>
        <w:rPr>
          <w:rFonts w:eastAsia="Times New Roman"/>
        </w:rPr>
      </w:pPr>
      <w:r w:rsidRPr="00753A3E">
        <w:rPr>
          <w:rFonts w:eastAsia="Times New Roman"/>
        </w:rPr>
        <w:t>The strategy reflects best practice</w:t>
      </w:r>
      <w:r w:rsidR="00753A3E" w:rsidRPr="00753A3E">
        <w:rPr>
          <w:rFonts w:eastAsia="Times New Roman"/>
        </w:rPr>
        <w:t xml:space="preserve"> as set out in the CIPFA Prudential code and the CIPFA Treasury management Code of Practice.</w:t>
      </w:r>
      <w:r w:rsidRPr="00753A3E">
        <w:rPr>
          <w:rFonts w:eastAsia="Times New Roman"/>
        </w:rPr>
        <w:t xml:space="preserve"> The Treasury Management Practices and schedules identify the practices and procedures that will be followed to achieve the aims of the TMSS and that underpin the council’s Treasury Management function. </w:t>
      </w:r>
    </w:p>
    <w:p w14:paraId="1C451A2F" w14:textId="5C787438" w:rsidR="009B058F" w:rsidRPr="00753A3E" w:rsidRDefault="007004BD" w:rsidP="00E945CB">
      <w:pPr>
        <w:pStyle w:val="Heading2"/>
        <w:rPr>
          <w:rFonts w:eastAsia="Times New Roman"/>
        </w:rPr>
      </w:pPr>
      <w:r w:rsidRPr="00753A3E">
        <w:rPr>
          <w:rFonts w:eastAsia="Times New Roman"/>
        </w:rPr>
        <w:t>The AIS for 202</w:t>
      </w:r>
      <w:r w:rsidR="00753A3E" w:rsidRPr="00753A3E">
        <w:rPr>
          <w:rFonts w:eastAsia="Times New Roman"/>
        </w:rPr>
        <w:t>4</w:t>
      </w:r>
      <w:r w:rsidRPr="00753A3E">
        <w:rPr>
          <w:rFonts w:eastAsia="Times New Roman"/>
        </w:rPr>
        <w:t>/2</w:t>
      </w:r>
      <w:r w:rsidR="00753A3E" w:rsidRPr="00753A3E">
        <w:rPr>
          <w:rFonts w:eastAsia="Times New Roman"/>
        </w:rPr>
        <w:t>5</w:t>
      </w:r>
      <w:r w:rsidRPr="00753A3E">
        <w:rPr>
          <w:rFonts w:eastAsia="Times New Roman"/>
        </w:rPr>
        <w:t xml:space="preserve"> is also incorporated within Appendix 3 to this report. The AIS gives priority to security and liquidity.</w:t>
      </w:r>
    </w:p>
    <w:p w14:paraId="220A320D" w14:textId="77777777" w:rsidR="009B058F" w:rsidRPr="00753A3E" w:rsidRDefault="007004BD" w:rsidP="00E945CB">
      <w:pPr>
        <w:pStyle w:val="Heading2"/>
        <w:rPr>
          <w:rFonts w:eastAsia="Times New Roman"/>
        </w:rPr>
      </w:pPr>
      <w:r w:rsidRPr="00753A3E">
        <w:rPr>
          <w:rFonts w:eastAsia="Times New Roman"/>
        </w:rPr>
        <w:t>Security is achieved by:</w:t>
      </w:r>
    </w:p>
    <w:p w14:paraId="7C2EE04E" w14:textId="77777777" w:rsidR="009B058F" w:rsidRPr="00753A3E" w:rsidRDefault="007004BD" w:rsidP="00A35550">
      <w:pPr>
        <w:pStyle w:val="ListParagraph"/>
        <w:numPr>
          <w:ilvl w:val="0"/>
          <w:numId w:val="4"/>
        </w:numPr>
        <w:spacing w:before="120" w:after="120"/>
        <w:ind w:left="1134" w:hanging="425"/>
        <w:contextualSpacing w:val="0"/>
        <w:rPr>
          <w:rFonts w:ascii="Arial" w:eastAsiaTheme="minorHAnsi" w:hAnsi="Arial" w:cs="Arial"/>
          <w:sz w:val="24"/>
          <w:szCs w:val="24"/>
          <w:lang w:val="en-GB"/>
        </w:rPr>
      </w:pPr>
      <w:r w:rsidRPr="00753A3E">
        <w:rPr>
          <w:rFonts w:ascii="Arial" w:hAnsi="Arial" w:cs="Arial"/>
          <w:sz w:val="24"/>
          <w:szCs w:val="24"/>
          <w:lang w:val="en-GB"/>
        </w:rPr>
        <w:t>selecting only those institutions that meet stringent credit rating criteria or, in the case of non-rated UK building societies, have a substantial asset base; and</w:t>
      </w:r>
    </w:p>
    <w:p w14:paraId="2D600A65" w14:textId="77777777" w:rsidR="009B058F" w:rsidRPr="00753A3E" w:rsidRDefault="007004BD" w:rsidP="00A35550">
      <w:pPr>
        <w:pStyle w:val="ListParagraph"/>
        <w:numPr>
          <w:ilvl w:val="0"/>
          <w:numId w:val="4"/>
        </w:numPr>
        <w:spacing w:before="120" w:after="120"/>
        <w:ind w:left="1134" w:hanging="425"/>
        <w:contextualSpacing w:val="0"/>
        <w:rPr>
          <w:rFonts w:ascii="Arial" w:hAnsi="Arial" w:cs="Arial"/>
          <w:sz w:val="24"/>
          <w:szCs w:val="24"/>
          <w:lang w:val="en-GB"/>
        </w:rPr>
      </w:pPr>
      <w:r w:rsidRPr="00753A3E">
        <w:rPr>
          <w:rFonts w:ascii="Arial" w:hAnsi="Arial" w:cs="Arial"/>
          <w:sz w:val="24"/>
          <w:szCs w:val="24"/>
          <w:lang w:val="en-GB"/>
        </w:rPr>
        <w:t xml:space="preserve">limiting exposure risk by limiting the amount invested with any one institution. </w:t>
      </w:r>
    </w:p>
    <w:p w14:paraId="587B9A7C" w14:textId="77777777" w:rsidR="009B058F" w:rsidRPr="00753A3E" w:rsidRDefault="007004BD" w:rsidP="00E945CB">
      <w:pPr>
        <w:pStyle w:val="Heading2"/>
        <w:rPr>
          <w:rFonts w:eastAsia="Times New Roman"/>
        </w:rPr>
      </w:pPr>
      <w:r w:rsidRPr="00753A3E">
        <w:rPr>
          <w:rFonts w:eastAsia="Times New Roman"/>
        </w:rPr>
        <w:t>Liquidity is achieved by limiting the maximum period for investment and matching investment periods to cash flow requirements.</w:t>
      </w:r>
    </w:p>
    <w:p w14:paraId="18E26010" w14:textId="252EC4C2" w:rsidR="009B058F" w:rsidRPr="00753A3E" w:rsidRDefault="007004BD" w:rsidP="00E945CB">
      <w:pPr>
        <w:pStyle w:val="Heading2"/>
        <w:rPr>
          <w:rFonts w:eastAsia="Times New Roman"/>
        </w:rPr>
      </w:pPr>
      <w:r w:rsidRPr="00753A3E">
        <w:rPr>
          <w:rFonts w:eastAsia="Times New Roman"/>
        </w:rPr>
        <w:t xml:space="preserve">There are no changes proposed to the </w:t>
      </w:r>
      <w:r w:rsidR="001C4DE4">
        <w:rPr>
          <w:rFonts w:eastAsia="Times New Roman"/>
        </w:rPr>
        <w:t xml:space="preserve">council’s </w:t>
      </w:r>
      <w:r w:rsidRPr="00753A3E">
        <w:rPr>
          <w:rFonts w:eastAsia="Times New Roman"/>
        </w:rPr>
        <w:t xml:space="preserve">AIS </w:t>
      </w:r>
      <w:r w:rsidR="001C4DE4">
        <w:rPr>
          <w:rFonts w:eastAsia="Times New Roman"/>
        </w:rPr>
        <w:t xml:space="preserve">or risk appetite </w:t>
      </w:r>
      <w:r w:rsidRPr="00753A3E">
        <w:rPr>
          <w:rFonts w:eastAsia="Times New Roman"/>
        </w:rPr>
        <w:t>for 202</w:t>
      </w:r>
      <w:r w:rsidR="00753A3E" w:rsidRPr="00753A3E">
        <w:rPr>
          <w:rFonts w:eastAsia="Times New Roman"/>
        </w:rPr>
        <w:t>4</w:t>
      </w:r>
      <w:r w:rsidRPr="00753A3E">
        <w:rPr>
          <w:rFonts w:eastAsia="Times New Roman"/>
        </w:rPr>
        <w:t>/2</w:t>
      </w:r>
      <w:r w:rsidR="00753A3E" w:rsidRPr="00753A3E">
        <w:rPr>
          <w:rFonts w:eastAsia="Times New Roman"/>
        </w:rPr>
        <w:t>5</w:t>
      </w:r>
      <w:r w:rsidRPr="00753A3E">
        <w:rPr>
          <w:rFonts w:eastAsia="Times New Roman"/>
        </w:rPr>
        <w:t>.</w:t>
      </w:r>
    </w:p>
    <w:bookmarkEnd w:id="18"/>
    <w:p w14:paraId="4A1BF305" w14:textId="77777777" w:rsidR="009B058F" w:rsidRPr="00DA6D29" w:rsidRDefault="007004BD" w:rsidP="0057041E">
      <w:pPr>
        <w:pStyle w:val="Heading1"/>
        <w:rPr>
          <w:lang w:val="en-GB"/>
        </w:rPr>
      </w:pPr>
      <w:r w:rsidRPr="00DA6D29">
        <w:rPr>
          <w:lang w:val="en-GB"/>
        </w:rPr>
        <w:t>COUNCIL TAX SETTING</w:t>
      </w:r>
    </w:p>
    <w:p w14:paraId="2D46E7A0" w14:textId="2310F571" w:rsidR="009B058F" w:rsidRPr="00DA6D29" w:rsidRDefault="007004BD" w:rsidP="00E945CB">
      <w:pPr>
        <w:pStyle w:val="Heading2"/>
      </w:pPr>
      <w:r w:rsidRPr="00DA6D29">
        <w:t xml:space="preserve">The </w:t>
      </w:r>
      <w:r w:rsidRPr="000B5B51">
        <w:t>Administration is proposing a council tax increase of 4.99% which includes a 2% Adult Social Care precept allowed by government within the local government finance settlement. A council tax increase of 4.99% results in a Band D council tax of £</w:t>
      </w:r>
      <w:r w:rsidR="000B5B51" w:rsidRPr="000B5B51">
        <w:t>1</w:t>
      </w:r>
      <w:r w:rsidRPr="000B5B51">
        <w:t>,</w:t>
      </w:r>
      <w:r w:rsidR="000B5B51" w:rsidRPr="000B5B51">
        <w:t>977.66</w:t>
      </w:r>
      <w:r w:rsidRPr="000B5B51">
        <w:t xml:space="preserve"> for the council’s element, an increase of £</w:t>
      </w:r>
      <w:r w:rsidR="000B5B51" w:rsidRPr="000B5B51">
        <w:t>94.03</w:t>
      </w:r>
      <w:r w:rsidRPr="000B5B51">
        <w:t xml:space="preserve"> from 202</w:t>
      </w:r>
      <w:r w:rsidR="00DA6D29" w:rsidRPr="000B5B51">
        <w:t>3</w:t>
      </w:r>
      <w:r w:rsidRPr="000B5B51">
        <w:t>/2</w:t>
      </w:r>
      <w:r w:rsidR="00DA6D29" w:rsidRPr="000B5B51">
        <w:t>4</w:t>
      </w:r>
      <w:r w:rsidRPr="000B5B51">
        <w:t>; of this increase £</w:t>
      </w:r>
      <w:r w:rsidR="000B5B51" w:rsidRPr="000B5B51">
        <w:t>37.66</w:t>
      </w:r>
      <w:r w:rsidRPr="000B5B51">
        <w:t xml:space="preserve"> relates to the Adult Social Care precept.</w:t>
      </w:r>
    </w:p>
    <w:p w14:paraId="1430B2AE" w14:textId="77777777" w:rsidR="009B058F" w:rsidRPr="00DA6D29" w:rsidRDefault="007004BD" w:rsidP="00E945CB">
      <w:pPr>
        <w:pStyle w:val="Heading2"/>
      </w:pPr>
      <w:r w:rsidRPr="00DA6D29">
        <w:t>In order to propose an overall Council Tax for the city, the Council Tax set by the precepting authorities needs to be known and this information will be included in the Supplementary Budget Report to Budget Council.</w:t>
      </w:r>
    </w:p>
    <w:p w14:paraId="2B43709D" w14:textId="77777777" w:rsidR="009B058F" w:rsidRPr="00021979" w:rsidRDefault="007004BD" w:rsidP="00E945CB">
      <w:pPr>
        <w:pStyle w:val="Heading2"/>
        <w:numPr>
          <w:ilvl w:val="0"/>
          <w:numId w:val="0"/>
        </w:numPr>
        <w:ind w:left="720"/>
        <w:rPr>
          <w:b/>
          <w:bCs/>
          <w:i/>
          <w:iCs/>
        </w:rPr>
      </w:pPr>
      <w:r w:rsidRPr="00021979">
        <w:rPr>
          <w:b/>
          <w:bCs/>
          <w:i/>
          <w:iCs/>
        </w:rPr>
        <w:t xml:space="preserve">Supplementary Budget Report to Budget Council </w:t>
      </w:r>
    </w:p>
    <w:p w14:paraId="554401BD" w14:textId="522122A5" w:rsidR="009B058F" w:rsidRPr="00DA6D29" w:rsidRDefault="007004BD" w:rsidP="00E945CB">
      <w:pPr>
        <w:pStyle w:val="Heading2"/>
      </w:pPr>
      <w:bookmarkStart w:id="19" w:name="_Ref347495398"/>
      <w:r w:rsidRPr="00DA6D29">
        <w:t>Not all of the budget and council tax information needed to set the budget and council tax is available at present. Therefore, additional information will need to be provided for Budget Council; this will include:</w:t>
      </w:r>
      <w:bookmarkEnd w:id="19"/>
    </w:p>
    <w:p w14:paraId="2D038D2C" w14:textId="140F65C8" w:rsidR="009B058F" w:rsidRPr="00DA6D29" w:rsidRDefault="007004BD" w:rsidP="00CE70A3">
      <w:pPr>
        <w:pStyle w:val="Heading2"/>
        <w:numPr>
          <w:ilvl w:val="1"/>
          <w:numId w:val="10"/>
        </w:numPr>
        <w:tabs>
          <w:tab w:val="clear" w:pos="720"/>
        </w:tabs>
        <w:ind w:left="993" w:hanging="295"/>
      </w:pPr>
      <w:r w:rsidRPr="00DA6D29">
        <w:t xml:space="preserve">Confirmation of the final </w:t>
      </w:r>
      <w:r w:rsidR="00842C0E">
        <w:t>LGFS</w:t>
      </w:r>
      <w:r w:rsidRPr="00DA6D29">
        <w:t xml:space="preserve"> 202</w:t>
      </w:r>
      <w:r w:rsidR="007A4595">
        <w:t>4</w:t>
      </w:r>
      <w:r w:rsidRPr="00DA6D29">
        <w:t>/2</w:t>
      </w:r>
      <w:r w:rsidR="007A4595">
        <w:t>5</w:t>
      </w:r>
      <w:r w:rsidRPr="00DA6D29">
        <w:t>.</w:t>
      </w:r>
    </w:p>
    <w:p w14:paraId="7C4B9ED5" w14:textId="0359D512" w:rsidR="009B058F" w:rsidRPr="00DA6D29" w:rsidRDefault="007004BD" w:rsidP="00CE70A3">
      <w:pPr>
        <w:pStyle w:val="Heading2"/>
        <w:numPr>
          <w:ilvl w:val="1"/>
          <w:numId w:val="10"/>
        </w:numPr>
        <w:tabs>
          <w:tab w:val="clear" w:pos="720"/>
        </w:tabs>
        <w:ind w:left="993" w:hanging="295"/>
      </w:pPr>
      <w:r w:rsidRPr="00DA6D29">
        <w:t>Any other grants that are announced before Budget Council.</w:t>
      </w:r>
    </w:p>
    <w:p w14:paraId="7C194703" w14:textId="7271BCA8" w:rsidR="009B058F" w:rsidRPr="00DA6D29" w:rsidRDefault="007004BD" w:rsidP="00CE70A3">
      <w:pPr>
        <w:pStyle w:val="Heading2"/>
        <w:numPr>
          <w:ilvl w:val="1"/>
          <w:numId w:val="10"/>
        </w:numPr>
        <w:tabs>
          <w:tab w:val="clear" w:pos="720"/>
        </w:tabs>
        <w:ind w:left="993" w:hanging="295"/>
      </w:pPr>
      <w:r w:rsidRPr="00DA6D29">
        <w:t xml:space="preserve">The agreed Council Tax set by East Sussex Fire Authority and Sussex Police </w:t>
      </w:r>
      <w:r w:rsidR="001C4DE4">
        <w:t>&amp;</w:t>
      </w:r>
      <w:r w:rsidRPr="00DA6D29">
        <w:t xml:space="preserve"> Crime Commissioner.</w:t>
      </w:r>
    </w:p>
    <w:p w14:paraId="70C6452F" w14:textId="77777777" w:rsidR="009B058F" w:rsidRPr="00DA6D29" w:rsidRDefault="007004BD" w:rsidP="00CE70A3">
      <w:pPr>
        <w:pStyle w:val="Heading2"/>
        <w:numPr>
          <w:ilvl w:val="1"/>
          <w:numId w:val="10"/>
        </w:numPr>
        <w:tabs>
          <w:tab w:val="clear" w:pos="720"/>
        </w:tabs>
        <w:ind w:left="993" w:hanging="295"/>
      </w:pPr>
      <w:r w:rsidRPr="00DA6D29">
        <w:t>The statutory Council Tax calculations required under the 1992 Local Government Finance Act.</w:t>
      </w:r>
    </w:p>
    <w:p w14:paraId="01590919" w14:textId="77777777" w:rsidR="009B058F" w:rsidRPr="000B5B51" w:rsidRDefault="007004BD" w:rsidP="00CE70A3">
      <w:pPr>
        <w:pStyle w:val="Heading2"/>
        <w:numPr>
          <w:ilvl w:val="1"/>
          <w:numId w:val="10"/>
        </w:numPr>
        <w:tabs>
          <w:tab w:val="clear" w:pos="720"/>
        </w:tabs>
        <w:ind w:left="993" w:hanging="295"/>
      </w:pPr>
      <w:r w:rsidRPr="000B5B51">
        <w:t>The full budget and Council Tax resolution for Budget Council.</w:t>
      </w:r>
    </w:p>
    <w:p w14:paraId="4FBEC2A6" w14:textId="77777777" w:rsidR="009B058F" w:rsidRPr="000B5B51" w:rsidRDefault="007004BD" w:rsidP="00CE70A3">
      <w:pPr>
        <w:pStyle w:val="Heading2"/>
        <w:numPr>
          <w:ilvl w:val="1"/>
          <w:numId w:val="10"/>
        </w:numPr>
        <w:tabs>
          <w:tab w:val="clear" w:pos="720"/>
        </w:tabs>
        <w:ind w:left="993" w:hanging="295"/>
      </w:pPr>
      <w:r w:rsidRPr="000B5B51">
        <w:t>Other information as necessary including a detailed Budget Book.</w:t>
      </w:r>
    </w:p>
    <w:p w14:paraId="643E277B" w14:textId="77777777" w:rsidR="009B058F" w:rsidRPr="000B5B51" w:rsidRDefault="007004BD" w:rsidP="0057041E">
      <w:pPr>
        <w:pStyle w:val="Heading1"/>
        <w:rPr>
          <w:lang w:val="en-GB"/>
        </w:rPr>
      </w:pPr>
      <w:bookmarkStart w:id="20" w:name="_Ref473647138"/>
      <w:r w:rsidRPr="000B5B51">
        <w:rPr>
          <w:lang w:val="en-GB"/>
        </w:rPr>
        <w:t>REPORT OF THE CHIEF FINANCIAL OFFICER (SECTION 151) UNDER SECTION 25 OF THE LOCAL GOVERNMENT ACT 2003</w:t>
      </w:r>
      <w:bookmarkEnd w:id="20"/>
    </w:p>
    <w:p w14:paraId="3F7D826F" w14:textId="7B3E67FB" w:rsidR="009B058F" w:rsidRPr="00DA6D29" w:rsidRDefault="007004BD" w:rsidP="00E945CB">
      <w:pPr>
        <w:pStyle w:val="Heading2"/>
      </w:pPr>
      <w:r w:rsidRPr="00DA6D29">
        <w:t xml:space="preserve">Section 25 of the Local Government Act 2003 requires the Chief Financial Officer (Section 151 Officer) of a local authority to report on the robustness of the estimates included in the budget and the adequacy of the reserves for which the budget provides. This report has to be considered by the </w:t>
      </w:r>
      <w:r w:rsidR="0070180B" w:rsidRPr="00DA6D29">
        <w:t>Strategy, Finance &amp; City Regeneration</w:t>
      </w:r>
      <w:r w:rsidRPr="00DA6D29">
        <w:t xml:space="preserve"> Committee and the full Council as part of the budget approval and council tax setting process.</w:t>
      </w:r>
    </w:p>
    <w:p w14:paraId="4D01B39D" w14:textId="77777777" w:rsidR="009B058F" w:rsidRPr="00E945CB" w:rsidRDefault="007004BD" w:rsidP="00E945CB">
      <w:pPr>
        <w:keepNext/>
        <w:spacing w:before="120" w:after="120"/>
        <w:ind w:left="709"/>
        <w:rPr>
          <w:rFonts w:ascii="Arial" w:hAnsi="Arial" w:cs="Arial"/>
          <w:b/>
          <w:bCs/>
          <w:i/>
          <w:iCs/>
          <w:sz w:val="24"/>
          <w:szCs w:val="24"/>
        </w:rPr>
      </w:pPr>
      <w:r w:rsidRPr="00E945CB">
        <w:rPr>
          <w:rFonts w:ascii="Arial" w:hAnsi="Arial" w:cs="Arial"/>
          <w:b/>
          <w:bCs/>
          <w:i/>
          <w:iCs/>
          <w:sz w:val="24"/>
          <w:szCs w:val="24"/>
        </w:rPr>
        <w:t>Robustness of Estimates</w:t>
      </w:r>
    </w:p>
    <w:p w14:paraId="55547F53" w14:textId="6C3FBF72" w:rsidR="009B058F" w:rsidRPr="000B5B51" w:rsidRDefault="007004BD" w:rsidP="00E945CB">
      <w:pPr>
        <w:pStyle w:val="Heading2"/>
      </w:pPr>
      <w:bookmarkStart w:id="21" w:name="_Ref347997744"/>
      <w:r w:rsidRPr="00DA6D29">
        <w:t xml:space="preserve">There is inevitably an element of judgement in drawing up budget estimates of expenditure and income which are made at a point in time and may change as circumstances change. This has never been more evident than in </w:t>
      </w:r>
      <w:r w:rsidR="00E1052F">
        <w:t>recent times</w:t>
      </w:r>
      <w:r w:rsidRPr="00DA6D29">
        <w:t xml:space="preserve"> where national and global events have had </w:t>
      </w:r>
      <w:r w:rsidR="00E1052F">
        <w:t xml:space="preserve">significant </w:t>
      </w:r>
      <w:r w:rsidRPr="00DA6D29">
        <w:t xml:space="preserve">and unexpected impacts on nearly every aspect of the council’s budget. This statement </w:t>
      </w:r>
      <w:r w:rsidR="00E1052F">
        <w:t>on</w:t>
      </w:r>
      <w:r w:rsidRPr="00DA6D29">
        <w:t xml:space="preserve"> the robustness of estimates cannot therefore give complete assurance about the proposed budget </w:t>
      </w:r>
      <w:r w:rsidR="00265CCF">
        <w:t xml:space="preserve">for 2024/25 </w:t>
      </w:r>
      <w:r w:rsidRPr="00DA6D29">
        <w:t xml:space="preserve">but aims to provide the council with reasonable assurance that the budget has been based on the best information and assumptions available at the time, particularly </w:t>
      </w:r>
      <w:bookmarkEnd w:id="21"/>
      <w:r w:rsidRPr="00DA6D29">
        <w:t xml:space="preserve">in relation to economic forecasts and indicators, demand-led budget estimates, and pay award and inflation assumptions. It also aims to demonstrate that sensitivity and risks have been considered. However, no local authority’s reserves and balances are limitless and severe financial shocks can </w:t>
      </w:r>
      <w:r w:rsidR="00E1052F">
        <w:t xml:space="preserve">and do </w:t>
      </w:r>
      <w:r w:rsidRPr="00DA6D29">
        <w:t>destabilise local authorit</w:t>
      </w:r>
      <w:r w:rsidR="00E1052F">
        <w:t>ies</w:t>
      </w:r>
      <w:r w:rsidRPr="00DA6D29">
        <w:t xml:space="preserve"> and </w:t>
      </w:r>
      <w:r w:rsidR="00E1052F">
        <w:t>can</w:t>
      </w:r>
      <w:r w:rsidRPr="00DA6D29">
        <w:t xml:space="preserve"> require government intervention </w:t>
      </w:r>
      <w:r w:rsidR="00E1052F">
        <w:t xml:space="preserve">(or application for emergency government support) </w:t>
      </w:r>
      <w:r w:rsidRPr="00DA6D29">
        <w:t>if this means it can no longer balance its budget and meet statutory duties.</w:t>
      </w:r>
    </w:p>
    <w:p w14:paraId="42AB869E" w14:textId="5258BBCB" w:rsidR="00641012" w:rsidRDefault="007004BD" w:rsidP="00E945CB">
      <w:pPr>
        <w:pStyle w:val="Heading2"/>
      </w:pPr>
      <w:r w:rsidRPr="000B5B51">
        <w:t>For 202</w:t>
      </w:r>
      <w:r w:rsidR="00E1052F" w:rsidRPr="000B5B51">
        <w:t>4</w:t>
      </w:r>
      <w:r w:rsidRPr="000B5B51">
        <w:t>/2</w:t>
      </w:r>
      <w:r w:rsidR="00E1052F" w:rsidRPr="000B5B51">
        <w:t>5</w:t>
      </w:r>
      <w:r w:rsidRPr="000B5B51">
        <w:t xml:space="preserve">, further funding of </w:t>
      </w:r>
      <w:r w:rsidR="00E1052F" w:rsidRPr="000B5B51">
        <w:t>over £</w:t>
      </w:r>
      <w:r w:rsidR="000830AF" w:rsidRPr="000B5B51">
        <w:t>48</w:t>
      </w:r>
      <w:r w:rsidR="00E1052F" w:rsidRPr="000B5B51">
        <w:t xml:space="preserve"> million </w:t>
      </w:r>
      <w:r w:rsidRPr="000B5B51">
        <w:t xml:space="preserve">has </w:t>
      </w:r>
      <w:r w:rsidRPr="00DA6D29">
        <w:t xml:space="preserve">had to be </w:t>
      </w:r>
      <w:r w:rsidR="003338DC">
        <w:t>identified</w:t>
      </w:r>
      <w:r w:rsidRPr="00DA6D29">
        <w:t xml:space="preserve"> to support </w:t>
      </w:r>
      <w:r w:rsidR="003338DC">
        <w:t>estimated</w:t>
      </w:r>
      <w:r w:rsidRPr="00DA6D29">
        <w:t xml:space="preserve"> inflationary and demand pressures</w:t>
      </w:r>
      <w:r w:rsidR="000830AF">
        <w:t xml:space="preserve"> including for core statutory</w:t>
      </w:r>
      <w:r w:rsidRPr="00DA6D29">
        <w:t xml:space="preserve"> demand-led services across Adults Social Care, Children’s Safeguarding &amp; Care services, and Homelessness services. Provision for this level of investment substantially supports the predicted demand-led service pressures at the time of setting the budget. </w:t>
      </w:r>
      <w:r>
        <w:t>Assuming no other changes, t</w:t>
      </w:r>
      <w:r w:rsidRPr="00DA6D29">
        <w:t>his considerably lessens potential overspending risk</w:t>
      </w:r>
      <w:r w:rsidR="00265CCF">
        <w:t>s</w:t>
      </w:r>
      <w:r w:rsidRPr="00DA6D29">
        <w:t xml:space="preserve"> in 202</w:t>
      </w:r>
      <w:r>
        <w:t>4</w:t>
      </w:r>
      <w:r w:rsidRPr="00DA6D29">
        <w:t>/2</w:t>
      </w:r>
      <w:r>
        <w:t>5</w:t>
      </w:r>
      <w:r w:rsidRPr="00DA6D29">
        <w:t xml:space="preserve"> but cannot completely remove all risks, particularly concerning locally fragile provider markets and sufficiency, and therefore services will need to continue to contribute to the mitigation of residual risk through management of non-statutory budget areas as normal.</w:t>
      </w:r>
    </w:p>
    <w:p w14:paraId="25A58592" w14:textId="712BFD5D" w:rsidR="009B058F" w:rsidRPr="00D72746" w:rsidRDefault="007004BD" w:rsidP="00E945CB">
      <w:pPr>
        <w:pStyle w:val="Heading2"/>
      </w:pPr>
      <w:r w:rsidRPr="00D72746">
        <w:t xml:space="preserve">As seen in the current year, the continuing cost of living situation and inflation continuing at higher levels than government forecasts </w:t>
      </w:r>
      <w:r w:rsidR="003338DC">
        <w:t>have</w:t>
      </w:r>
      <w:r w:rsidR="00265CCF">
        <w:t xml:space="preserve"> </w:t>
      </w:r>
      <w:r w:rsidRPr="00D72746">
        <w:t>placed significant pressures on finances, requiring early implementation of recruitment and spending controls alongside other financial management actions. However, this has successfully mitigated risks in the current year. In addition:</w:t>
      </w:r>
    </w:p>
    <w:p w14:paraId="5A01F386" w14:textId="0BB9D462" w:rsidR="009B058F" w:rsidRPr="00D72746" w:rsidRDefault="007004BD" w:rsidP="00410ED0">
      <w:pPr>
        <w:pStyle w:val="ListParagraph"/>
        <w:numPr>
          <w:ilvl w:val="0"/>
          <w:numId w:val="4"/>
        </w:numPr>
        <w:spacing w:before="120" w:after="120"/>
        <w:ind w:left="993" w:hanging="284"/>
        <w:contextualSpacing w:val="0"/>
        <w:rPr>
          <w:rFonts w:ascii="Arial" w:hAnsi="Arial" w:cs="Arial"/>
          <w:sz w:val="24"/>
          <w:szCs w:val="24"/>
          <w:lang w:val="en-GB"/>
        </w:rPr>
      </w:pPr>
      <w:r w:rsidRPr="00D72746">
        <w:rPr>
          <w:rFonts w:ascii="Arial" w:hAnsi="Arial" w:cs="Arial"/>
          <w:sz w:val="24"/>
          <w:szCs w:val="24"/>
          <w:lang w:val="en-GB"/>
        </w:rPr>
        <w:t xml:space="preserve">The authority continues to demonstrate its proactive approach to managing </w:t>
      </w:r>
      <w:r w:rsidR="00265CCF">
        <w:rPr>
          <w:rFonts w:ascii="Arial" w:hAnsi="Arial" w:cs="Arial"/>
          <w:sz w:val="24"/>
          <w:szCs w:val="24"/>
          <w:lang w:val="en-GB"/>
        </w:rPr>
        <w:t>its</w:t>
      </w:r>
      <w:r w:rsidRPr="00D72746">
        <w:rPr>
          <w:rFonts w:ascii="Arial" w:hAnsi="Arial" w:cs="Arial"/>
          <w:sz w:val="24"/>
          <w:szCs w:val="24"/>
          <w:lang w:val="en-GB"/>
        </w:rPr>
        <w:t xml:space="preserve"> budget. The current year </w:t>
      </w:r>
      <w:r w:rsidR="00641012" w:rsidRPr="00D72746">
        <w:rPr>
          <w:rFonts w:ascii="Arial" w:hAnsi="Arial" w:cs="Arial"/>
          <w:sz w:val="24"/>
          <w:szCs w:val="24"/>
          <w:lang w:val="en-GB"/>
        </w:rPr>
        <w:t xml:space="preserve">followed on from the severe inflationary challenges of 2022/23 which led to an overspend of over £3 million met from the Working Balance – the authority’s first overspend. 2023/24 also started with substantial early overspend forecasts </w:t>
      </w:r>
      <w:r w:rsidR="003819E2" w:rsidRPr="00D72746">
        <w:rPr>
          <w:rFonts w:ascii="Arial" w:hAnsi="Arial" w:cs="Arial"/>
          <w:sz w:val="24"/>
          <w:szCs w:val="24"/>
          <w:lang w:val="en-GB"/>
        </w:rPr>
        <w:t>of around £1</w:t>
      </w:r>
      <w:r w:rsidR="003338DC">
        <w:rPr>
          <w:rFonts w:ascii="Arial" w:hAnsi="Arial" w:cs="Arial"/>
          <w:sz w:val="24"/>
          <w:szCs w:val="24"/>
          <w:lang w:val="en-GB"/>
        </w:rPr>
        <w:t>4</w:t>
      </w:r>
      <w:r w:rsidR="003819E2" w:rsidRPr="00D72746">
        <w:rPr>
          <w:rFonts w:ascii="Arial" w:hAnsi="Arial" w:cs="Arial"/>
          <w:sz w:val="24"/>
          <w:szCs w:val="24"/>
          <w:lang w:val="en-GB"/>
        </w:rPr>
        <w:t xml:space="preserve"> million </w:t>
      </w:r>
      <w:r w:rsidR="00641012" w:rsidRPr="00D72746">
        <w:rPr>
          <w:rFonts w:ascii="Arial" w:hAnsi="Arial" w:cs="Arial"/>
          <w:sz w:val="24"/>
          <w:szCs w:val="24"/>
          <w:lang w:val="en-GB"/>
        </w:rPr>
        <w:t>and therefore s</w:t>
      </w:r>
      <w:r w:rsidRPr="00D72746">
        <w:rPr>
          <w:rFonts w:ascii="Arial" w:hAnsi="Arial" w:cs="Arial"/>
          <w:sz w:val="24"/>
          <w:szCs w:val="24"/>
          <w:lang w:val="en-GB"/>
        </w:rPr>
        <w:t xml:space="preserve">pending and recruitment controls </w:t>
      </w:r>
      <w:r w:rsidR="00641012" w:rsidRPr="00D72746">
        <w:rPr>
          <w:rFonts w:ascii="Arial" w:hAnsi="Arial" w:cs="Arial"/>
          <w:sz w:val="24"/>
          <w:szCs w:val="24"/>
          <w:lang w:val="en-GB"/>
        </w:rPr>
        <w:t xml:space="preserve">were brought in earlier, in July, to </w:t>
      </w:r>
      <w:r w:rsidR="003819E2" w:rsidRPr="00D72746">
        <w:rPr>
          <w:rFonts w:ascii="Arial" w:hAnsi="Arial" w:cs="Arial"/>
          <w:sz w:val="24"/>
          <w:szCs w:val="24"/>
          <w:lang w:val="en-GB"/>
        </w:rPr>
        <w:t>tackle</w:t>
      </w:r>
      <w:r w:rsidR="00641012" w:rsidRPr="00D72746">
        <w:rPr>
          <w:rFonts w:ascii="Arial" w:hAnsi="Arial" w:cs="Arial"/>
          <w:sz w:val="24"/>
          <w:szCs w:val="24"/>
          <w:lang w:val="en-GB"/>
        </w:rPr>
        <w:t xml:space="preserve"> the position.</w:t>
      </w:r>
      <w:r w:rsidRPr="00D72746">
        <w:rPr>
          <w:rFonts w:ascii="Arial" w:hAnsi="Arial" w:cs="Arial"/>
          <w:sz w:val="24"/>
          <w:szCs w:val="24"/>
          <w:lang w:val="en-GB"/>
        </w:rPr>
        <w:t xml:space="preserve"> </w:t>
      </w:r>
      <w:r w:rsidR="00641012" w:rsidRPr="00D72746">
        <w:rPr>
          <w:rFonts w:ascii="Arial" w:hAnsi="Arial" w:cs="Arial"/>
          <w:sz w:val="24"/>
          <w:szCs w:val="24"/>
          <w:lang w:val="en-GB"/>
        </w:rPr>
        <w:t>A steady and sustained reduction in forecast</w:t>
      </w:r>
      <w:r w:rsidR="003819E2" w:rsidRPr="00D72746">
        <w:rPr>
          <w:rFonts w:ascii="Arial" w:hAnsi="Arial" w:cs="Arial"/>
          <w:sz w:val="24"/>
          <w:szCs w:val="24"/>
          <w:lang w:val="en-GB"/>
        </w:rPr>
        <w:t xml:space="preserve"> risk</w:t>
      </w:r>
      <w:r w:rsidR="00641012" w:rsidRPr="00D72746">
        <w:rPr>
          <w:rFonts w:ascii="Arial" w:hAnsi="Arial" w:cs="Arial"/>
          <w:sz w:val="24"/>
          <w:szCs w:val="24"/>
          <w:lang w:val="en-GB"/>
        </w:rPr>
        <w:t xml:space="preserve"> has seen the position reach near break-even at month 9. Unlike many authorities, this council places very limited reliance on the use of reserves to balance its budget as it has a very low level of unallocated reserves. While not enviable, this does mean that the authority has developed a </w:t>
      </w:r>
      <w:r w:rsidR="003819E2" w:rsidRPr="00D72746">
        <w:rPr>
          <w:rFonts w:ascii="Arial" w:hAnsi="Arial" w:cs="Arial"/>
          <w:sz w:val="24"/>
          <w:szCs w:val="24"/>
          <w:lang w:val="en-GB"/>
        </w:rPr>
        <w:t>robust approach to in-year financial management as it is aware that living beyond its means for a sustained period would quickly result in government intervention.</w:t>
      </w:r>
    </w:p>
    <w:p w14:paraId="17E85272" w14:textId="0BE5B051" w:rsidR="009B058F" w:rsidRPr="00D72746" w:rsidRDefault="007004BD" w:rsidP="00410ED0">
      <w:pPr>
        <w:pStyle w:val="ListParagraph"/>
        <w:numPr>
          <w:ilvl w:val="0"/>
          <w:numId w:val="4"/>
        </w:numPr>
        <w:spacing w:before="120" w:after="120"/>
        <w:ind w:left="993" w:hanging="284"/>
        <w:contextualSpacing w:val="0"/>
        <w:rPr>
          <w:rFonts w:ascii="Arial" w:hAnsi="Arial" w:cs="Arial"/>
          <w:sz w:val="24"/>
          <w:szCs w:val="24"/>
          <w:lang w:val="en-GB"/>
        </w:rPr>
      </w:pPr>
      <w:r w:rsidRPr="00D72746">
        <w:rPr>
          <w:rFonts w:ascii="Arial" w:hAnsi="Arial" w:cs="Arial"/>
          <w:sz w:val="24"/>
          <w:szCs w:val="24"/>
          <w:lang w:val="en-GB"/>
        </w:rPr>
        <w:t xml:space="preserve">Despite the </w:t>
      </w:r>
      <w:r w:rsidR="003819E2" w:rsidRPr="00D72746">
        <w:rPr>
          <w:rFonts w:ascii="Arial" w:hAnsi="Arial" w:cs="Arial"/>
          <w:sz w:val="24"/>
          <w:szCs w:val="24"/>
          <w:lang w:val="en-GB"/>
        </w:rPr>
        <w:t>ongoing c</w:t>
      </w:r>
      <w:r w:rsidRPr="00D72746">
        <w:rPr>
          <w:rFonts w:ascii="Arial" w:hAnsi="Arial" w:cs="Arial"/>
          <w:sz w:val="24"/>
          <w:szCs w:val="24"/>
          <w:lang w:val="en-GB"/>
        </w:rPr>
        <w:t xml:space="preserve">hallenges </w:t>
      </w:r>
      <w:r w:rsidR="003819E2" w:rsidRPr="00D72746">
        <w:rPr>
          <w:rFonts w:ascii="Arial" w:hAnsi="Arial" w:cs="Arial"/>
          <w:sz w:val="24"/>
          <w:szCs w:val="24"/>
          <w:lang w:val="en-GB"/>
        </w:rPr>
        <w:t>from inflation and the cost of living,</w:t>
      </w:r>
      <w:r w:rsidRPr="00D72746">
        <w:rPr>
          <w:rFonts w:ascii="Arial" w:hAnsi="Arial" w:cs="Arial"/>
          <w:sz w:val="24"/>
          <w:szCs w:val="24"/>
          <w:lang w:val="en-GB"/>
        </w:rPr>
        <w:t xml:space="preserve"> the authority continues to achieve substantial savings, including </w:t>
      </w:r>
      <w:r w:rsidR="0081333C" w:rsidRPr="00D72746">
        <w:rPr>
          <w:rFonts w:ascii="Arial" w:hAnsi="Arial" w:cs="Arial"/>
          <w:sz w:val="24"/>
          <w:szCs w:val="24"/>
          <w:lang w:val="en-GB"/>
        </w:rPr>
        <w:t xml:space="preserve">nearly </w:t>
      </w:r>
      <w:r w:rsidRPr="00D72746">
        <w:rPr>
          <w:rFonts w:ascii="Arial" w:hAnsi="Arial" w:cs="Arial"/>
          <w:sz w:val="24"/>
          <w:szCs w:val="24"/>
          <w:lang w:val="en-GB"/>
        </w:rPr>
        <w:t>£</w:t>
      </w:r>
      <w:r w:rsidR="003819E2" w:rsidRPr="00D72746">
        <w:rPr>
          <w:rFonts w:ascii="Arial" w:hAnsi="Arial" w:cs="Arial"/>
          <w:sz w:val="24"/>
          <w:szCs w:val="24"/>
          <w:lang w:val="en-GB"/>
        </w:rPr>
        <w:t>10</w:t>
      </w:r>
      <w:r w:rsidR="0081333C" w:rsidRPr="00D72746">
        <w:rPr>
          <w:rFonts w:ascii="Arial" w:hAnsi="Arial" w:cs="Arial"/>
          <w:sz w:val="24"/>
          <w:szCs w:val="24"/>
          <w:lang w:val="en-GB"/>
        </w:rPr>
        <w:t xml:space="preserve"> </w:t>
      </w:r>
      <w:r w:rsidRPr="00D72746">
        <w:rPr>
          <w:rFonts w:ascii="Arial" w:hAnsi="Arial" w:cs="Arial"/>
          <w:sz w:val="24"/>
          <w:szCs w:val="24"/>
          <w:lang w:val="en-GB"/>
        </w:rPr>
        <w:t>m</w:t>
      </w:r>
      <w:r w:rsidR="0081333C" w:rsidRPr="00D72746">
        <w:rPr>
          <w:rFonts w:ascii="Arial" w:hAnsi="Arial" w:cs="Arial"/>
          <w:sz w:val="24"/>
          <w:szCs w:val="24"/>
          <w:lang w:val="en-GB"/>
        </w:rPr>
        <w:t>illion</w:t>
      </w:r>
      <w:r w:rsidRPr="00D72746">
        <w:rPr>
          <w:rFonts w:ascii="Arial" w:hAnsi="Arial" w:cs="Arial"/>
          <w:sz w:val="24"/>
          <w:szCs w:val="24"/>
          <w:lang w:val="en-GB"/>
        </w:rPr>
        <w:t xml:space="preserve"> this year, supported by its Modernisation Programmes and </w:t>
      </w:r>
      <w:r w:rsidR="00265CCF">
        <w:rPr>
          <w:rFonts w:ascii="Arial" w:hAnsi="Arial" w:cs="Arial"/>
          <w:sz w:val="24"/>
          <w:szCs w:val="24"/>
          <w:lang w:val="en-GB"/>
        </w:rPr>
        <w:t>the use of capital receipt flexibilities</w:t>
      </w:r>
      <w:r w:rsidRPr="00D72746">
        <w:rPr>
          <w:rFonts w:ascii="Arial" w:hAnsi="Arial" w:cs="Arial"/>
          <w:sz w:val="24"/>
          <w:szCs w:val="24"/>
          <w:lang w:val="en-GB"/>
        </w:rPr>
        <w:t>. However, over</w:t>
      </w:r>
      <w:r w:rsidR="0081333C" w:rsidRPr="00D72746">
        <w:rPr>
          <w:rFonts w:ascii="Arial" w:hAnsi="Arial" w:cs="Arial"/>
          <w:sz w:val="24"/>
          <w:szCs w:val="24"/>
          <w:lang w:val="en-GB"/>
        </w:rPr>
        <w:t xml:space="preserve"> recent</w:t>
      </w:r>
      <w:r w:rsidRPr="00D72746">
        <w:rPr>
          <w:rFonts w:ascii="Arial" w:hAnsi="Arial" w:cs="Arial"/>
          <w:sz w:val="24"/>
          <w:szCs w:val="24"/>
          <w:lang w:val="en-GB"/>
        </w:rPr>
        <w:t xml:space="preserve"> years, including the two pandemic years, the achievement of savings in full has been problematic and has been hampered partly by the impact of events on capacity to manage and deliver savings, and partly by a range of economic conditions that have impacted on original assumptions. The External Auditor </w:t>
      </w:r>
      <w:r w:rsidR="0081333C" w:rsidRPr="00D72746">
        <w:rPr>
          <w:rFonts w:ascii="Arial" w:hAnsi="Arial" w:cs="Arial"/>
          <w:sz w:val="24"/>
          <w:szCs w:val="24"/>
          <w:lang w:val="en-GB"/>
        </w:rPr>
        <w:t xml:space="preserve">has </w:t>
      </w:r>
      <w:r w:rsidRPr="00D72746">
        <w:rPr>
          <w:rFonts w:ascii="Arial" w:hAnsi="Arial" w:cs="Arial"/>
          <w:sz w:val="24"/>
          <w:szCs w:val="24"/>
          <w:lang w:val="en-GB"/>
        </w:rPr>
        <w:t>comment</w:t>
      </w:r>
      <w:r w:rsidR="0081333C" w:rsidRPr="00D72746">
        <w:rPr>
          <w:rFonts w:ascii="Arial" w:hAnsi="Arial" w:cs="Arial"/>
          <w:sz w:val="24"/>
          <w:szCs w:val="24"/>
          <w:lang w:val="en-GB"/>
        </w:rPr>
        <w:t xml:space="preserve">ed </w:t>
      </w:r>
      <w:r w:rsidRPr="00D72746">
        <w:rPr>
          <w:rFonts w:ascii="Arial" w:hAnsi="Arial" w:cs="Arial"/>
          <w:sz w:val="24"/>
          <w:szCs w:val="24"/>
          <w:lang w:val="en-GB"/>
        </w:rPr>
        <w:t xml:space="preserve">on this in </w:t>
      </w:r>
      <w:r w:rsidR="0081333C" w:rsidRPr="00D72746">
        <w:rPr>
          <w:rFonts w:ascii="Arial" w:hAnsi="Arial" w:cs="Arial"/>
          <w:sz w:val="24"/>
          <w:szCs w:val="24"/>
          <w:lang w:val="en-GB"/>
        </w:rPr>
        <w:t xml:space="preserve">recent </w:t>
      </w:r>
      <w:r w:rsidRPr="00D72746">
        <w:rPr>
          <w:rFonts w:ascii="Arial" w:hAnsi="Arial" w:cs="Arial"/>
          <w:sz w:val="24"/>
          <w:szCs w:val="24"/>
          <w:lang w:val="en-GB"/>
        </w:rPr>
        <w:t>Annual Report</w:t>
      </w:r>
      <w:r w:rsidR="0081333C" w:rsidRPr="00D72746">
        <w:rPr>
          <w:rFonts w:ascii="Arial" w:hAnsi="Arial" w:cs="Arial"/>
          <w:sz w:val="24"/>
          <w:szCs w:val="24"/>
          <w:lang w:val="en-GB"/>
        </w:rPr>
        <w:t>s</w:t>
      </w:r>
      <w:r w:rsidRPr="00D72746">
        <w:rPr>
          <w:rFonts w:ascii="Arial" w:hAnsi="Arial" w:cs="Arial"/>
          <w:sz w:val="24"/>
          <w:szCs w:val="24"/>
          <w:lang w:val="en-GB"/>
        </w:rPr>
        <w:t xml:space="preserve"> and </w:t>
      </w:r>
      <w:r w:rsidR="00C441E3" w:rsidRPr="00D72746">
        <w:rPr>
          <w:rFonts w:ascii="Arial" w:hAnsi="Arial" w:cs="Arial"/>
          <w:sz w:val="24"/>
          <w:szCs w:val="24"/>
          <w:lang w:val="en-GB"/>
        </w:rPr>
        <w:t xml:space="preserve">has </w:t>
      </w:r>
      <w:r w:rsidRPr="00D72746">
        <w:rPr>
          <w:rFonts w:ascii="Arial" w:hAnsi="Arial" w:cs="Arial"/>
          <w:sz w:val="24"/>
          <w:szCs w:val="24"/>
          <w:lang w:val="en-GB"/>
        </w:rPr>
        <w:t>recommend</w:t>
      </w:r>
      <w:r w:rsidR="00C441E3" w:rsidRPr="00D72746">
        <w:rPr>
          <w:rFonts w:ascii="Arial" w:hAnsi="Arial" w:cs="Arial"/>
          <w:sz w:val="24"/>
          <w:szCs w:val="24"/>
          <w:lang w:val="en-GB"/>
        </w:rPr>
        <w:t>ed</w:t>
      </w:r>
      <w:r w:rsidRPr="00D72746">
        <w:rPr>
          <w:rFonts w:ascii="Arial" w:hAnsi="Arial" w:cs="Arial"/>
          <w:sz w:val="24"/>
          <w:szCs w:val="24"/>
          <w:lang w:val="en-GB"/>
        </w:rPr>
        <w:t xml:space="preserve"> a</w:t>
      </w:r>
      <w:r w:rsidR="0081333C" w:rsidRPr="00D72746">
        <w:rPr>
          <w:rFonts w:ascii="Arial" w:hAnsi="Arial" w:cs="Arial"/>
          <w:sz w:val="24"/>
          <w:szCs w:val="24"/>
          <w:lang w:val="en-GB"/>
        </w:rPr>
        <w:t xml:space="preserve">iming for </w:t>
      </w:r>
      <w:r w:rsidR="00265CCF">
        <w:rPr>
          <w:rFonts w:ascii="Arial" w:hAnsi="Arial" w:cs="Arial"/>
          <w:sz w:val="24"/>
          <w:szCs w:val="24"/>
          <w:lang w:val="en-GB"/>
        </w:rPr>
        <w:t xml:space="preserve">the </w:t>
      </w:r>
      <w:r w:rsidRPr="00D72746">
        <w:rPr>
          <w:rFonts w:ascii="Arial" w:hAnsi="Arial" w:cs="Arial"/>
          <w:sz w:val="24"/>
          <w:szCs w:val="24"/>
          <w:lang w:val="en-GB"/>
        </w:rPr>
        <w:t xml:space="preserve">over-programming </w:t>
      </w:r>
      <w:r w:rsidR="00265CCF">
        <w:rPr>
          <w:rFonts w:ascii="Arial" w:hAnsi="Arial" w:cs="Arial"/>
          <w:sz w:val="24"/>
          <w:szCs w:val="24"/>
          <w:lang w:val="en-GB"/>
        </w:rPr>
        <w:t xml:space="preserve">of </w:t>
      </w:r>
      <w:r w:rsidRPr="00D72746">
        <w:rPr>
          <w:rFonts w:ascii="Arial" w:hAnsi="Arial" w:cs="Arial"/>
          <w:sz w:val="24"/>
          <w:szCs w:val="24"/>
          <w:lang w:val="en-GB"/>
        </w:rPr>
        <w:t>savings to mitigate against the risk of under-achievement.</w:t>
      </w:r>
    </w:p>
    <w:p w14:paraId="46AF8F12" w14:textId="2DC0708A" w:rsidR="009B058F" w:rsidRPr="00D72746" w:rsidRDefault="007004BD" w:rsidP="00410ED0">
      <w:pPr>
        <w:pStyle w:val="ListParagraph"/>
        <w:numPr>
          <w:ilvl w:val="0"/>
          <w:numId w:val="4"/>
        </w:numPr>
        <w:spacing w:before="120" w:after="120"/>
        <w:ind w:left="993" w:hanging="284"/>
        <w:contextualSpacing w:val="0"/>
        <w:rPr>
          <w:rFonts w:ascii="Arial" w:hAnsi="Arial" w:cs="Arial"/>
          <w:sz w:val="24"/>
          <w:szCs w:val="24"/>
          <w:lang w:val="en-GB"/>
        </w:rPr>
      </w:pPr>
      <w:r w:rsidRPr="00D72746">
        <w:rPr>
          <w:rFonts w:ascii="Arial" w:hAnsi="Arial" w:cs="Arial"/>
          <w:sz w:val="24"/>
          <w:szCs w:val="24"/>
          <w:lang w:val="en-GB"/>
        </w:rPr>
        <w:t>While ‘over-programming’ of savings is accepted as a sensible objective, with such a large gap to close in 2023/24</w:t>
      </w:r>
      <w:r w:rsidR="0081333C" w:rsidRPr="00D72746">
        <w:rPr>
          <w:rFonts w:ascii="Arial" w:hAnsi="Arial" w:cs="Arial"/>
          <w:sz w:val="24"/>
          <w:szCs w:val="24"/>
          <w:lang w:val="en-GB"/>
        </w:rPr>
        <w:t xml:space="preserve"> and a significantly larger gap in 2024/25</w:t>
      </w:r>
      <w:r w:rsidRPr="00D72746">
        <w:rPr>
          <w:rFonts w:ascii="Arial" w:hAnsi="Arial" w:cs="Arial"/>
          <w:sz w:val="24"/>
          <w:szCs w:val="24"/>
          <w:lang w:val="en-GB"/>
        </w:rPr>
        <w:t xml:space="preserve">, the largest </w:t>
      </w:r>
      <w:r w:rsidR="0081333C" w:rsidRPr="00D72746">
        <w:rPr>
          <w:rFonts w:ascii="Arial" w:hAnsi="Arial" w:cs="Arial"/>
          <w:sz w:val="24"/>
          <w:szCs w:val="24"/>
          <w:lang w:val="en-GB"/>
        </w:rPr>
        <w:t>in the authority’s history</w:t>
      </w:r>
      <w:r w:rsidRPr="00D72746">
        <w:rPr>
          <w:rFonts w:ascii="Arial" w:hAnsi="Arial" w:cs="Arial"/>
          <w:sz w:val="24"/>
          <w:szCs w:val="24"/>
          <w:lang w:val="en-GB"/>
        </w:rPr>
        <w:t>, th</w:t>
      </w:r>
      <w:r w:rsidR="0081333C" w:rsidRPr="00D72746">
        <w:rPr>
          <w:rFonts w:ascii="Arial" w:hAnsi="Arial" w:cs="Arial"/>
          <w:sz w:val="24"/>
          <w:szCs w:val="24"/>
          <w:lang w:val="en-GB"/>
        </w:rPr>
        <w:t>e External Auditor accepts that th</w:t>
      </w:r>
      <w:r w:rsidRPr="00D72746">
        <w:rPr>
          <w:rFonts w:ascii="Arial" w:hAnsi="Arial" w:cs="Arial"/>
          <w:sz w:val="24"/>
          <w:szCs w:val="24"/>
          <w:lang w:val="en-GB"/>
        </w:rPr>
        <w:t xml:space="preserve">is is not a realistic aim </w:t>
      </w:r>
      <w:r w:rsidR="0081333C" w:rsidRPr="00D72746">
        <w:rPr>
          <w:rFonts w:ascii="Arial" w:hAnsi="Arial" w:cs="Arial"/>
          <w:sz w:val="24"/>
          <w:szCs w:val="24"/>
          <w:lang w:val="en-GB"/>
        </w:rPr>
        <w:t xml:space="preserve">in the immediate future but should be considered and modelled for future </w:t>
      </w:r>
      <w:r w:rsidR="00021979">
        <w:rPr>
          <w:rFonts w:ascii="Arial" w:hAnsi="Arial" w:cs="Arial"/>
          <w:sz w:val="24"/>
          <w:szCs w:val="24"/>
          <w:lang w:val="en-GB"/>
        </w:rPr>
        <w:t>MTFS</w:t>
      </w:r>
      <w:r w:rsidR="0081333C" w:rsidRPr="00D72746">
        <w:rPr>
          <w:rFonts w:ascii="Arial" w:hAnsi="Arial" w:cs="Arial"/>
          <w:sz w:val="24"/>
          <w:szCs w:val="24"/>
          <w:lang w:val="en-GB"/>
        </w:rPr>
        <w:t xml:space="preserve"> projections which continue to indicate significant budget gaps over the next 3 years</w:t>
      </w:r>
      <w:r w:rsidRPr="00D72746">
        <w:rPr>
          <w:rFonts w:ascii="Arial" w:hAnsi="Arial" w:cs="Arial"/>
          <w:sz w:val="24"/>
          <w:szCs w:val="24"/>
          <w:lang w:val="en-GB"/>
        </w:rPr>
        <w:t>.</w:t>
      </w:r>
      <w:r w:rsidR="00C441E3" w:rsidRPr="00D72746">
        <w:rPr>
          <w:rFonts w:ascii="Arial" w:hAnsi="Arial" w:cs="Arial"/>
          <w:sz w:val="24"/>
          <w:szCs w:val="24"/>
          <w:lang w:val="en-GB"/>
        </w:rPr>
        <w:t xml:space="preserve"> Aiming to restore the minimum recommended Working Balance is a pre-requisite which is supported within the 2024/25 budget proposals and begins the process of de-risking the budget and restoring financial sustainability.</w:t>
      </w:r>
    </w:p>
    <w:p w14:paraId="58106D18" w14:textId="687759F5" w:rsidR="009B058F" w:rsidRPr="00D72746" w:rsidRDefault="007004BD" w:rsidP="00410ED0">
      <w:pPr>
        <w:pStyle w:val="ListParagraph"/>
        <w:numPr>
          <w:ilvl w:val="0"/>
          <w:numId w:val="4"/>
        </w:numPr>
        <w:spacing w:before="120" w:after="120"/>
        <w:ind w:left="993" w:hanging="284"/>
        <w:contextualSpacing w:val="0"/>
        <w:rPr>
          <w:rFonts w:ascii="Arial" w:hAnsi="Arial" w:cs="Arial"/>
          <w:sz w:val="24"/>
          <w:szCs w:val="24"/>
          <w:lang w:val="en-GB"/>
        </w:rPr>
      </w:pPr>
      <w:r w:rsidRPr="00D72746">
        <w:rPr>
          <w:rFonts w:ascii="Arial" w:hAnsi="Arial" w:cs="Arial"/>
          <w:sz w:val="24"/>
          <w:szCs w:val="24"/>
          <w:lang w:val="en-GB"/>
        </w:rPr>
        <w:t xml:space="preserve">The authority continues to work closely with </w:t>
      </w:r>
      <w:r w:rsidR="00C441E3" w:rsidRPr="00D72746">
        <w:rPr>
          <w:rFonts w:ascii="Arial" w:hAnsi="Arial" w:cs="Arial"/>
          <w:sz w:val="24"/>
          <w:szCs w:val="24"/>
          <w:lang w:val="en-GB"/>
        </w:rPr>
        <w:t>NHS</w:t>
      </w:r>
      <w:r w:rsidRPr="00D72746">
        <w:rPr>
          <w:rFonts w:ascii="Arial" w:hAnsi="Arial" w:cs="Arial"/>
          <w:sz w:val="24"/>
          <w:szCs w:val="24"/>
          <w:lang w:val="en-GB"/>
        </w:rPr>
        <w:t xml:space="preserve"> Sussex to jointly manage and mitigate risks as far as practicable. This has been evidenced in the current year where the NHS has continued to provide funding to assist in managing hospital discharges and </w:t>
      </w:r>
      <w:r w:rsidR="00C441E3" w:rsidRPr="00D72746">
        <w:rPr>
          <w:rFonts w:ascii="Arial" w:hAnsi="Arial" w:cs="Arial"/>
          <w:sz w:val="24"/>
          <w:szCs w:val="24"/>
          <w:lang w:val="en-GB"/>
        </w:rPr>
        <w:t xml:space="preserve">provide </w:t>
      </w:r>
      <w:r w:rsidRPr="00D72746">
        <w:rPr>
          <w:rFonts w:ascii="Arial" w:hAnsi="Arial" w:cs="Arial"/>
          <w:sz w:val="24"/>
          <w:szCs w:val="24"/>
          <w:lang w:val="en-GB"/>
        </w:rPr>
        <w:t xml:space="preserve">joint funding </w:t>
      </w:r>
      <w:r w:rsidR="00C441E3" w:rsidRPr="00D72746">
        <w:rPr>
          <w:rFonts w:ascii="Arial" w:hAnsi="Arial" w:cs="Arial"/>
          <w:sz w:val="24"/>
          <w:szCs w:val="24"/>
          <w:lang w:val="en-GB"/>
        </w:rPr>
        <w:t>for</w:t>
      </w:r>
      <w:r w:rsidRPr="00D72746">
        <w:rPr>
          <w:rFonts w:ascii="Arial" w:hAnsi="Arial" w:cs="Arial"/>
          <w:sz w:val="24"/>
          <w:szCs w:val="24"/>
          <w:lang w:val="en-GB"/>
        </w:rPr>
        <w:t xml:space="preserve"> Section 117 Mental Health provision. Proposals for joint funding arrangements under the Integrated Care System (ICS) continue to be developed for the medium term</w:t>
      </w:r>
      <w:r w:rsidR="00F70A7A">
        <w:rPr>
          <w:rFonts w:ascii="Arial" w:hAnsi="Arial" w:cs="Arial"/>
          <w:sz w:val="24"/>
          <w:szCs w:val="24"/>
          <w:lang w:val="en-GB"/>
        </w:rPr>
        <w:t>.</w:t>
      </w:r>
    </w:p>
    <w:p w14:paraId="09361D78" w14:textId="623FE2AC" w:rsidR="009B058F" w:rsidRPr="00D72746" w:rsidRDefault="007004BD" w:rsidP="00410ED0">
      <w:pPr>
        <w:pStyle w:val="ListParagraph"/>
        <w:numPr>
          <w:ilvl w:val="0"/>
          <w:numId w:val="4"/>
        </w:numPr>
        <w:spacing w:before="120" w:after="120"/>
        <w:ind w:left="993" w:hanging="284"/>
        <w:contextualSpacing w:val="0"/>
        <w:rPr>
          <w:rFonts w:ascii="Arial" w:hAnsi="Arial" w:cs="Arial"/>
          <w:sz w:val="24"/>
          <w:szCs w:val="24"/>
          <w:lang w:val="en-GB"/>
        </w:rPr>
      </w:pPr>
      <w:r w:rsidRPr="00D72746">
        <w:rPr>
          <w:rFonts w:ascii="Arial" w:hAnsi="Arial" w:cs="Arial"/>
          <w:sz w:val="24"/>
          <w:szCs w:val="24"/>
          <w:lang w:val="en-GB"/>
        </w:rPr>
        <w:t>The authority has been able to maintain adequate reserves and provisions against known and identified risks and</w:t>
      </w:r>
      <w:r w:rsidR="00C441E3" w:rsidRPr="00D72746">
        <w:rPr>
          <w:rFonts w:ascii="Arial" w:hAnsi="Arial" w:cs="Arial"/>
          <w:sz w:val="24"/>
          <w:szCs w:val="24"/>
          <w:lang w:val="en-GB"/>
        </w:rPr>
        <w:t>, in the current proposals, has made provision to restore its minimum recommended Working Balance to £9 million</w:t>
      </w:r>
      <w:r w:rsidR="00F70A7A">
        <w:rPr>
          <w:rFonts w:ascii="Arial" w:hAnsi="Arial" w:cs="Arial"/>
          <w:sz w:val="24"/>
          <w:szCs w:val="24"/>
          <w:lang w:val="en-GB"/>
        </w:rPr>
        <w:t xml:space="preserve"> over 3 years</w:t>
      </w:r>
      <w:r w:rsidR="00C441E3" w:rsidRPr="00D72746">
        <w:rPr>
          <w:rFonts w:ascii="Arial" w:hAnsi="Arial" w:cs="Arial"/>
          <w:sz w:val="24"/>
          <w:szCs w:val="24"/>
          <w:lang w:val="en-GB"/>
        </w:rPr>
        <w:t>.</w:t>
      </w:r>
    </w:p>
    <w:p w14:paraId="7C153FB5" w14:textId="0E17BCC4" w:rsidR="009B058F" w:rsidRPr="00DA6D29" w:rsidRDefault="007004BD" w:rsidP="00E945CB">
      <w:pPr>
        <w:pStyle w:val="Heading2"/>
      </w:pPr>
      <w:r w:rsidRPr="00DA6D29">
        <w:t xml:space="preserve">Taking into account identified risks as set out in Appendix 5, the council is recommended to maintain </w:t>
      </w:r>
      <w:r w:rsidR="00C441E3">
        <w:t>and</w:t>
      </w:r>
      <w:r w:rsidR="00FB104D">
        <w:t>, where utilised in an emergency,</w:t>
      </w:r>
      <w:r w:rsidR="00C441E3">
        <w:t xml:space="preserve"> replenish </w:t>
      </w:r>
      <w:r w:rsidRPr="00DA6D29">
        <w:t>its minimum working balance of £9.000m</w:t>
      </w:r>
      <w:r w:rsidR="00FB104D">
        <w:t xml:space="preserve">. This </w:t>
      </w:r>
      <w:r w:rsidRPr="00DA6D29">
        <w:t>is approximately 3.</w:t>
      </w:r>
      <w:r w:rsidR="00FE6912">
        <w:t>7</w:t>
      </w:r>
      <w:r w:rsidRPr="00DA6D29">
        <w:t xml:space="preserve">% of the net General Fund and represents around </w:t>
      </w:r>
      <w:r w:rsidR="00382AB4">
        <w:t>2.5</w:t>
      </w:r>
      <w:r w:rsidRPr="00DA6D29">
        <w:t xml:space="preserve"> weeks’ council tax income</w:t>
      </w:r>
      <w:r w:rsidR="00FB104D">
        <w:t xml:space="preserve">. The council should also continue to </w:t>
      </w:r>
      <w:r w:rsidRPr="00DA6D29">
        <w:t xml:space="preserve">maintain other earmarked reserves to </w:t>
      </w:r>
      <w:r w:rsidR="00FB104D">
        <w:t xml:space="preserve">meet long term commitments and provide additional flexibility to </w:t>
      </w:r>
      <w:r w:rsidRPr="00DA6D29">
        <w:t xml:space="preserve">manage any short term pressures. The Working Balance and other usable reserves </w:t>
      </w:r>
      <w:r w:rsidR="00FB104D">
        <w:t xml:space="preserve">are held to </w:t>
      </w:r>
      <w:r w:rsidRPr="00DA6D29">
        <w:t xml:space="preserve">mitigate </w:t>
      </w:r>
      <w:r w:rsidR="00FB104D">
        <w:t>exceptional</w:t>
      </w:r>
      <w:r w:rsidRPr="00DA6D29">
        <w:t xml:space="preserve"> legal and financial risks including appeals and challenges, as well as potential billing failures, civil contingencies and other emergencies.</w:t>
      </w:r>
    </w:p>
    <w:p w14:paraId="563A0F05" w14:textId="77777777" w:rsidR="009B058F" w:rsidRPr="00E945CB" w:rsidRDefault="007004BD" w:rsidP="00E945CB">
      <w:pPr>
        <w:keepNext/>
        <w:spacing w:before="120" w:after="120"/>
        <w:ind w:left="709"/>
        <w:rPr>
          <w:rFonts w:ascii="Arial" w:hAnsi="Arial" w:cs="Arial"/>
          <w:b/>
          <w:bCs/>
          <w:i/>
          <w:iCs/>
          <w:sz w:val="24"/>
          <w:szCs w:val="24"/>
        </w:rPr>
      </w:pPr>
      <w:r w:rsidRPr="00E945CB">
        <w:rPr>
          <w:rFonts w:ascii="Arial" w:hAnsi="Arial" w:cs="Arial"/>
          <w:b/>
          <w:bCs/>
          <w:i/>
          <w:iCs/>
          <w:sz w:val="24"/>
          <w:szCs w:val="24"/>
        </w:rPr>
        <w:t>Adequacy of Reserves</w:t>
      </w:r>
    </w:p>
    <w:p w14:paraId="0C5F0DDC" w14:textId="77777777" w:rsidR="009B058F" w:rsidRPr="00DA6D29" w:rsidRDefault="007004BD" w:rsidP="00E945CB">
      <w:pPr>
        <w:pStyle w:val="Heading2"/>
      </w:pPr>
      <w:bookmarkStart w:id="22" w:name="_Ref347997778"/>
      <w:r w:rsidRPr="00DA6D29">
        <w:t>The recommendation on the prudent level of the General Fund working balance has been based on the robustness of estimates information and a risk assessment of the budget provided at Appendix 5.</w:t>
      </w:r>
      <w:bookmarkEnd w:id="22"/>
    </w:p>
    <w:p w14:paraId="35A358A3" w14:textId="79D9068B" w:rsidR="009B058F" w:rsidRPr="00DA6D29" w:rsidRDefault="007004BD" w:rsidP="00E945CB">
      <w:pPr>
        <w:pStyle w:val="Heading2"/>
      </w:pPr>
      <w:r w:rsidRPr="00DA6D29">
        <w:t>As indicated above, current analysis of authority-level risks and past experience indicates that a working balance at a level of £9.000m remains prudent and appropriate having taken into account all known and foreseeable risks in relation to the 202</w:t>
      </w:r>
      <w:r w:rsidR="00FB104D">
        <w:t>4</w:t>
      </w:r>
      <w:r w:rsidRPr="00DA6D29">
        <w:t>/2</w:t>
      </w:r>
      <w:r w:rsidR="00FB104D">
        <w:t>5</w:t>
      </w:r>
      <w:r w:rsidRPr="00DA6D29">
        <w:t xml:space="preserve"> budget. This is supported by the experience of the current year which has s</w:t>
      </w:r>
      <w:r w:rsidR="00FB104D">
        <w:t>een the mitigation of significant financial pressures and is not expected to require emergency use of the Working Balance.</w:t>
      </w:r>
    </w:p>
    <w:p w14:paraId="568C2308" w14:textId="0A962F99" w:rsidR="009B058F" w:rsidRPr="00DA6D29" w:rsidRDefault="007004BD" w:rsidP="00E945CB">
      <w:pPr>
        <w:pStyle w:val="Heading2"/>
      </w:pPr>
      <w:r w:rsidRPr="00DA6D29">
        <w:t xml:space="preserve">All specific reserves have been reviewed in detail to ensure they are set at an appropriate level as set out in Appendix 4. The council’s earmarked reserves fulfil specific contractual, legal or financial risk requirements and are not therefore available to support the annual revenue budget. However, they can be borrowed from internally provided that provision for their replenishment is built into the budget and </w:t>
      </w:r>
      <w:r w:rsidR="00842C0E">
        <w:t>MTFS</w:t>
      </w:r>
      <w:r w:rsidR="00FB104D">
        <w:t xml:space="preserve"> ahead of when they are required</w:t>
      </w:r>
      <w:r w:rsidRPr="00DA6D29">
        <w:t>.</w:t>
      </w:r>
    </w:p>
    <w:p w14:paraId="5928BE20" w14:textId="77777777" w:rsidR="009B058F" w:rsidRPr="00E945CB" w:rsidRDefault="007004BD" w:rsidP="00E945CB">
      <w:pPr>
        <w:keepNext/>
        <w:spacing w:before="120" w:after="120"/>
        <w:ind w:left="709"/>
        <w:rPr>
          <w:rFonts w:ascii="Arial" w:hAnsi="Arial" w:cs="Arial"/>
          <w:b/>
          <w:bCs/>
          <w:i/>
          <w:iCs/>
          <w:sz w:val="24"/>
          <w:szCs w:val="24"/>
        </w:rPr>
      </w:pPr>
      <w:r w:rsidRPr="00E945CB">
        <w:rPr>
          <w:rFonts w:ascii="Arial" w:hAnsi="Arial" w:cs="Arial"/>
          <w:b/>
          <w:bCs/>
          <w:i/>
          <w:iCs/>
          <w:sz w:val="24"/>
          <w:szCs w:val="24"/>
        </w:rPr>
        <w:t>Assurance Statement of the Council’s Section 151 Officer</w:t>
      </w:r>
    </w:p>
    <w:p w14:paraId="0B12B1C3" w14:textId="137EAEE1" w:rsidR="009B058F" w:rsidRPr="00DA6D29" w:rsidRDefault="007004BD" w:rsidP="00E945CB">
      <w:pPr>
        <w:pStyle w:val="Heading2"/>
      </w:pPr>
      <w:r w:rsidRPr="00DA6D29">
        <w:t>In relation to the 202</w:t>
      </w:r>
      <w:r w:rsidR="00FB104D">
        <w:t>4</w:t>
      </w:r>
      <w:r w:rsidRPr="00DA6D29">
        <w:t>/2</w:t>
      </w:r>
      <w:r w:rsidR="00FB104D">
        <w:t>5</w:t>
      </w:r>
      <w:r w:rsidRPr="00DA6D29">
        <w:t xml:space="preserve"> General Fund revenue budget, the Section 151 Chief Finance Officer has examined the budget proposals and considers that, with the very substantial investments and service pressure funding provided, reasonable assumptions regarding pay and prices informed by </w:t>
      </w:r>
      <w:r w:rsidR="00FB104D">
        <w:t xml:space="preserve">a prudential view of </w:t>
      </w:r>
      <w:r w:rsidRPr="00DA6D29">
        <w:t>OBR estimates</w:t>
      </w:r>
      <w:r w:rsidR="00FB104D">
        <w:t xml:space="preserve">, </w:t>
      </w:r>
      <w:r w:rsidRPr="00DA6D29">
        <w:t>realistic profiling of capital investments, prudential treasury management estimates, and a reasonable balance of low, medium and higher risk savings proposals, the budget plan for 202</w:t>
      </w:r>
      <w:r w:rsidR="00FB104D">
        <w:t>4</w:t>
      </w:r>
      <w:r w:rsidRPr="00DA6D29">
        <w:t>/2</w:t>
      </w:r>
      <w:r w:rsidR="00FB104D">
        <w:t>5</w:t>
      </w:r>
      <w:r w:rsidRPr="00DA6D29">
        <w:t xml:space="preserve"> is potentially deliverable with effective governance and accountability at all levels. </w:t>
      </w:r>
      <w:proofErr w:type="gramStart"/>
      <w:r w:rsidRPr="00DA6D29">
        <w:t xml:space="preserve">However, </w:t>
      </w:r>
      <w:r w:rsidR="00FB104D">
        <w:t xml:space="preserve">learning from the previous two years, </w:t>
      </w:r>
      <w:r w:rsidR="007E4CE5">
        <w:t>there</w:t>
      </w:r>
      <w:proofErr w:type="gramEnd"/>
      <w:r w:rsidR="007E4CE5">
        <w:t xml:space="preserve"> will </w:t>
      </w:r>
      <w:r w:rsidR="00F70A7A">
        <w:t xml:space="preserve">need to </w:t>
      </w:r>
      <w:r w:rsidR="007E4CE5">
        <w:t xml:space="preserve">be a continued focus on </w:t>
      </w:r>
      <w:r w:rsidRPr="00DA6D29">
        <w:t xml:space="preserve">spending and recruitment controls </w:t>
      </w:r>
      <w:r w:rsidR="007E4CE5">
        <w:t>from day one of the new financial year to ensure that forecast risks, including the risks inherent in a very large savings package, are managed proactively</w:t>
      </w:r>
      <w:r w:rsidRPr="00DA6D29">
        <w:t>.</w:t>
      </w:r>
    </w:p>
    <w:p w14:paraId="673A3B09" w14:textId="7FE67429" w:rsidR="009B058F" w:rsidRPr="00DA6D29" w:rsidRDefault="007004BD" w:rsidP="00E945CB">
      <w:pPr>
        <w:pStyle w:val="Heading2"/>
      </w:pPr>
      <w:r w:rsidRPr="00DA6D29">
        <w:t xml:space="preserve">In terms of the adequacy of reserves, the Section 151 Chief Finance Officer considers a </w:t>
      </w:r>
      <w:r w:rsidR="007E4CE5">
        <w:t xml:space="preserve">minimum </w:t>
      </w:r>
      <w:r w:rsidRPr="00DA6D29">
        <w:t xml:space="preserve">working balance of £9.000m </w:t>
      </w:r>
      <w:r w:rsidR="007E4CE5">
        <w:t>(or replenishment thereof) to be appropriate to manage risks</w:t>
      </w:r>
      <w:r w:rsidRPr="00DA6D29">
        <w:t>, taking into account other available reserves.</w:t>
      </w:r>
    </w:p>
    <w:bookmarkEnd w:id="16"/>
    <w:p w14:paraId="3FF7C720" w14:textId="77777777" w:rsidR="009B058F" w:rsidRPr="00DA6D29" w:rsidRDefault="007004BD" w:rsidP="0057041E">
      <w:pPr>
        <w:pStyle w:val="Heading1"/>
        <w:rPr>
          <w:lang w:val="en-GB"/>
        </w:rPr>
      </w:pPr>
      <w:r w:rsidRPr="00DA6D29">
        <w:rPr>
          <w:lang w:val="en-GB"/>
        </w:rPr>
        <w:t>ANALYSIS &amp; CONSIDERATION OF ANY ALTERNATIVE OPTIONS</w:t>
      </w:r>
    </w:p>
    <w:p w14:paraId="1F9EDDF6" w14:textId="34933908" w:rsidR="009B058F" w:rsidRPr="00DA6D29" w:rsidRDefault="007004BD" w:rsidP="00E945CB">
      <w:pPr>
        <w:pStyle w:val="Heading2"/>
      </w:pPr>
      <w:r w:rsidRPr="00DA6D29">
        <w:t>The budget process allows all parties to engage in the examination of budget proposals and to put forward viable alternative budget and council tax proposals to Budget Council on 2</w:t>
      </w:r>
      <w:r w:rsidR="00DA6D29">
        <w:t>2</w:t>
      </w:r>
      <w:r w:rsidRPr="00DA6D29">
        <w:t xml:space="preserve"> February 202</w:t>
      </w:r>
      <w:r w:rsidR="00DA6D29">
        <w:t>4</w:t>
      </w:r>
      <w:r w:rsidRPr="00DA6D29">
        <w:t>. Budget Council has the opportunity to debate the proposals put forward by this committee at the same time as any viable alternative proposals. Budget Council will normally be recommended to adopt special procedures at the start of the Budget Council meeting, which set out the procedure applicable to any alternative budget proposals put forward.</w:t>
      </w:r>
    </w:p>
    <w:p w14:paraId="2CB5D6D9" w14:textId="684730A7" w:rsidR="009B058F" w:rsidRPr="00DA6D29" w:rsidRDefault="007004BD" w:rsidP="00E945CB">
      <w:pPr>
        <w:pStyle w:val="Heading2"/>
      </w:pPr>
      <w:r w:rsidRPr="00DA6D29">
        <w:t xml:space="preserve">In this respect, a ‘Budget Protocol’ for managing alternative proposals </w:t>
      </w:r>
      <w:r w:rsidR="00DA6D29" w:rsidRPr="00DA6D29">
        <w:t>(Budget Amendments)</w:t>
      </w:r>
      <w:r w:rsidR="00DA6D29">
        <w:t xml:space="preserve"> </w:t>
      </w:r>
      <w:r w:rsidR="00021979">
        <w:t>will be presented to</w:t>
      </w:r>
      <w:r w:rsidR="001C4DE4">
        <w:t xml:space="preserve"> full Council on 1 February 2024 </w:t>
      </w:r>
      <w:r w:rsidR="00DA6D29">
        <w:t xml:space="preserve">and will determine </w:t>
      </w:r>
      <w:r w:rsidRPr="00DA6D29">
        <w:t>both the number of allowable Budget Amendments and the process and timeline for their prior assessment and sign off by the council’s Section 151 Chief Finance Officer, Chief Executive and Monitoring Officer.</w:t>
      </w:r>
    </w:p>
    <w:p w14:paraId="57000A50" w14:textId="77777777" w:rsidR="009B058F" w:rsidRPr="00A90AC8" w:rsidRDefault="007004BD" w:rsidP="0057041E">
      <w:pPr>
        <w:pStyle w:val="Heading1"/>
        <w:rPr>
          <w:lang w:val="en-GB"/>
        </w:rPr>
      </w:pPr>
      <w:bookmarkStart w:id="23" w:name="_Hlk157409451"/>
      <w:bookmarkStart w:id="24" w:name="_Ref56694715"/>
      <w:r w:rsidRPr="00A90AC8">
        <w:rPr>
          <w:lang w:val="en-GB"/>
        </w:rPr>
        <w:t xml:space="preserve">SCHOOLS FUNDING AND BALANCES </w:t>
      </w:r>
    </w:p>
    <w:p w14:paraId="379883D8" w14:textId="5D7707B1" w:rsidR="009B058F" w:rsidRPr="00E945CB" w:rsidRDefault="007004BD" w:rsidP="00E945CB">
      <w:pPr>
        <w:keepNext/>
        <w:spacing w:before="120" w:after="120"/>
        <w:ind w:left="709"/>
        <w:rPr>
          <w:rFonts w:ascii="Arial" w:hAnsi="Arial" w:cs="Arial"/>
          <w:b/>
          <w:bCs/>
          <w:i/>
          <w:iCs/>
          <w:sz w:val="24"/>
          <w:szCs w:val="24"/>
        </w:rPr>
      </w:pPr>
      <w:r w:rsidRPr="00E945CB">
        <w:rPr>
          <w:rFonts w:ascii="Arial" w:hAnsi="Arial" w:cs="Arial"/>
          <w:b/>
          <w:bCs/>
          <w:i/>
          <w:iCs/>
          <w:sz w:val="24"/>
          <w:szCs w:val="24"/>
        </w:rPr>
        <w:t>Dedicated Schools Grant Funding 202</w:t>
      </w:r>
      <w:r w:rsidR="00A90AC8" w:rsidRPr="00E945CB">
        <w:rPr>
          <w:rFonts w:ascii="Arial" w:hAnsi="Arial" w:cs="Arial"/>
          <w:b/>
          <w:bCs/>
          <w:i/>
          <w:iCs/>
          <w:sz w:val="24"/>
          <w:szCs w:val="24"/>
        </w:rPr>
        <w:t>4</w:t>
      </w:r>
      <w:r w:rsidRPr="00E945CB">
        <w:rPr>
          <w:rFonts w:ascii="Arial" w:hAnsi="Arial" w:cs="Arial"/>
          <w:b/>
          <w:bCs/>
          <w:i/>
          <w:iCs/>
          <w:sz w:val="24"/>
          <w:szCs w:val="24"/>
        </w:rPr>
        <w:t>/2</w:t>
      </w:r>
      <w:r w:rsidR="00A90AC8" w:rsidRPr="00E945CB">
        <w:rPr>
          <w:rFonts w:ascii="Arial" w:hAnsi="Arial" w:cs="Arial"/>
          <w:b/>
          <w:bCs/>
          <w:i/>
          <w:iCs/>
          <w:sz w:val="24"/>
          <w:szCs w:val="24"/>
        </w:rPr>
        <w:t>5</w:t>
      </w:r>
      <w:r w:rsidRPr="00E945CB">
        <w:rPr>
          <w:rFonts w:ascii="Arial" w:hAnsi="Arial" w:cs="Arial"/>
          <w:b/>
          <w:bCs/>
          <w:i/>
          <w:iCs/>
          <w:sz w:val="24"/>
          <w:szCs w:val="24"/>
        </w:rPr>
        <w:t xml:space="preserve"> - Overview</w:t>
      </w:r>
    </w:p>
    <w:p w14:paraId="7106B4B5" w14:textId="77777777" w:rsidR="009B058F" w:rsidRPr="00DA6D29" w:rsidRDefault="007004BD" w:rsidP="00E945CB">
      <w:pPr>
        <w:pStyle w:val="Heading2"/>
      </w:pPr>
      <w:r w:rsidRPr="00DA6D29">
        <w:t>The Dedicated Schools Grant (DSG) is divided into four blocks – the schools block, the high needs block (HNB), the central school services block (which allocates funding to local authorities for their ongoing responsibilities towards both maintained schools and academies), and the early years block. Each of the four blocks of the DSG are determined by separate national funding formulae (NFF). </w:t>
      </w:r>
    </w:p>
    <w:p w14:paraId="3E94D182" w14:textId="77777777" w:rsidR="00104AD6" w:rsidRPr="005358A7" w:rsidRDefault="007004BD" w:rsidP="00E945CB">
      <w:pPr>
        <w:pStyle w:val="Heading2"/>
      </w:pPr>
      <w:r w:rsidRPr="008A4D5F">
        <w:t>In December 202</w:t>
      </w:r>
      <w:r>
        <w:t>3</w:t>
      </w:r>
      <w:r w:rsidRPr="008A4D5F">
        <w:t>, the Department for Education (DfE) announced the updated DSG funding settlement for the 202</w:t>
      </w:r>
      <w:r>
        <w:t>4</w:t>
      </w:r>
      <w:r w:rsidRPr="008A4D5F">
        <w:t>/2</w:t>
      </w:r>
      <w:r>
        <w:t>5</w:t>
      </w:r>
      <w:r w:rsidRPr="008A4D5F">
        <w:t xml:space="preserve"> financial year. This </w:t>
      </w:r>
      <w:r>
        <w:t>is set out in the table below, together with a comparison to 2023/24</w:t>
      </w:r>
      <w:r w:rsidRPr="008A4D5F">
        <w:t>.</w:t>
      </w:r>
    </w:p>
    <w:p w14:paraId="6686CDCA" w14:textId="77777777" w:rsidR="009B058F" w:rsidRPr="00DA6D29" w:rsidRDefault="009B058F" w:rsidP="009B058F">
      <w:pPr>
        <w:rPr>
          <w:rFonts w:ascii="Arial" w:hAnsi="Arial" w:cs="Arial"/>
          <w:color w:val="FF0000"/>
          <w:sz w:val="24"/>
          <w:szCs w:val="24"/>
          <w:lang w:val="en-GB"/>
        </w:rPr>
      </w:pPr>
    </w:p>
    <w:tbl>
      <w:tblPr>
        <w:tblStyle w:val="TableGrid"/>
        <w:tblW w:w="8918" w:type="dxa"/>
        <w:tblInd w:w="704" w:type="dxa"/>
        <w:tblLayout w:type="fixed"/>
        <w:tblLook w:val="04A0" w:firstRow="1" w:lastRow="0" w:firstColumn="1" w:lastColumn="0" w:noHBand="0" w:noVBand="1"/>
      </w:tblPr>
      <w:tblGrid>
        <w:gridCol w:w="2693"/>
        <w:gridCol w:w="1245"/>
        <w:gridCol w:w="1245"/>
        <w:gridCol w:w="1245"/>
        <w:gridCol w:w="1245"/>
        <w:gridCol w:w="1245"/>
      </w:tblGrid>
      <w:tr w:rsidR="00A53B77" w14:paraId="1FAAA26A" w14:textId="77777777" w:rsidTr="00104AD6">
        <w:tc>
          <w:tcPr>
            <w:tcW w:w="2693" w:type="dxa"/>
          </w:tcPr>
          <w:p w14:paraId="0F026F14" w14:textId="77777777" w:rsidR="00104AD6" w:rsidRPr="008A4D5F" w:rsidRDefault="007004BD" w:rsidP="00552B18">
            <w:pPr>
              <w:pStyle w:val="DfESOutNumbered1"/>
              <w:numPr>
                <w:ilvl w:val="0"/>
                <w:numId w:val="0"/>
              </w:numPr>
              <w:tabs>
                <w:tab w:val="left" w:pos="862"/>
              </w:tabs>
              <w:rPr>
                <w:b/>
                <w:bCs/>
                <w:color w:val="auto"/>
              </w:rPr>
            </w:pPr>
            <w:r w:rsidRPr="008A4D5F">
              <w:rPr>
                <w:b/>
                <w:bCs/>
                <w:color w:val="auto"/>
              </w:rPr>
              <w:t>Financial Year</w:t>
            </w:r>
          </w:p>
        </w:tc>
        <w:tc>
          <w:tcPr>
            <w:tcW w:w="1245" w:type="dxa"/>
          </w:tcPr>
          <w:p w14:paraId="6B6C1A45" w14:textId="77777777" w:rsidR="00104AD6" w:rsidRPr="008A4D5F" w:rsidRDefault="007004BD" w:rsidP="00552B18">
            <w:pPr>
              <w:pStyle w:val="DfESOutNumbered1"/>
              <w:numPr>
                <w:ilvl w:val="0"/>
                <w:numId w:val="0"/>
              </w:numPr>
              <w:tabs>
                <w:tab w:val="left" w:pos="862"/>
              </w:tabs>
              <w:jc w:val="right"/>
              <w:rPr>
                <w:b/>
                <w:bCs/>
                <w:color w:val="auto"/>
              </w:rPr>
            </w:pPr>
            <w:r w:rsidRPr="008A4D5F">
              <w:rPr>
                <w:b/>
                <w:bCs/>
                <w:color w:val="auto"/>
              </w:rPr>
              <w:t>Schools Block*</w:t>
            </w:r>
          </w:p>
          <w:p w14:paraId="2D38B843" w14:textId="77777777" w:rsidR="00104AD6" w:rsidRPr="008A4D5F" w:rsidRDefault="007004BD" w:rsidP="00552B18">
            <w:pPr>
              <w:pStyle w:val="DfESOutNumbered1"/>
              <w:numPr>
                <w:ilvl w:val="0"/>
                <w:numId w:val="0"/>
              </w:numPr>
              <w:tabs>
                <w:tab w:val="left" w:pos="862"/>
              </w:tabs>
              <w:jc w:val="right"/>
              <w:rPr>
                <w:b/>
                <w:bCs/>
                <w:color w:val="auto"/>
              </w:rPr>
            </w:pPr>
            <w:r w:rsidRPr="008A4D5F">
              <w:rPr>
                <w:b/>
                <w:bCs/>
                <w:color w:val="auto"/>
              </w:rPr>
              <w:t>£’000</w:t>
            </w:r>
          </w:p>
        </w:tc>
        <w:tc>
          <w:tcPr>
            <w:tcW w:w="1245" w:type="dxa"/>
          </w:tcPr>
          <w:p w14:paraId="7401AB18" w14:textId="77777777" w:rsidR="00104AD6" w:rsidRPr="008A4D5F" w:rsidRDefault="007004BD" w:rsidP="00552B18">
            <w:pPr>
              <w:pStyle w:val="DfESOutNumbered1"/>
              <w:numPr>
                <w:ilvl w:val="0"/>
                <w:numId w:val="0"/>
              </w:numPr>
              <w:tabs>
                <w:tab w:val="left" w:pos="862"/>
              </w:tabs>
              <w:jc w:val="right"/>
              <w:rPr>
                <w:b/>
                <w:bCs/>
                <w:color w:val="auto"/>
              </w:rPr>
            </w:pPr>
            <w:r w:rsidRPr="008A4D5F">
              <w:rPr>
                <w:b/>
                <w:bCs/>
                <w:color w:val="auto"/>
              </w:rPr>
              <w:t>Central</w:t>
            </w:r>
          </w:p>
          <w:p w14:paraId="7F0D9FDE" w14:textId="77777777" w:rsidR="00104AD6" w:rsidRPr="008A4D5F" w:rsidRDefault="007004BD" w:rsidP="00552B18">
            <w:pPr>
              <w:pStyle w:val="DfESOutNumbered1"/>
              <w:numPr>
                <w:ilvl w:val="0"/>
                <w:numId w:val="0"/>
              </w:numPr>
              <w:tabs>
                <w:tab w:val="left" w:pos="862"/>
              </w:tabs>
              <w:jc w:val="right"/>
              <w:rPr>
                <w:b/>
                <w:bCs/>
                <w:color w:val="auto"/>
              </w:rPr>
            </w:pPr>
            <w:r w:rsidRPr="008A4D5F">
              <w:rPr>
                <w:b/>
                <w:bCs/>
                <w:color w:val="auto"/>
              </w:rPr>
              <w:t>School</w:t>
            </w:r>
          </w:p>
          <w:p w14:paraId="48BAF412" w14:textId="77777777" w:rsidR="00104AD6" w:rsidRPr="008A4D5F" w:rsidRDefault="007004BD" w:rsidP="00552B18">
            <w:pPr>
              <w:pStyle w:val="DfESOutNumbered1"/>
              <w:numPr>
                <w:ilvl w:val="0"/>
                <w:numId w:val="0"/>
              </w:numPr>
              <w:tabs>
                <w:tab w:val="left" w:pos="862"/>
              </w:tabs>
              <w:jc w:val="right"/>
              <w:rPr>
                <w:b/>
                <w:bCs/>
                <w:color w:val="auto"/>
              </w:rPr>
            </w:pPr>
            <w:r w:rsidRPr="008A4D5F">
              <w:rPr>
                <w:b/>
                <w:bCs/>
                <w:color w:val="auto"/>
              </w:rPr>
              <w:t>Services</w:t>
            </w:r>
          </w:p>
          <w:p w14:paraId="47322A16" w14:textId="77777777" w:rsidR="00104AD6" w:rsidRPr="008A4D5F" w:rsidRDefault="007004BD" w:rsidP="00552B18">
            <w:pPr>
              <w:pStyle w:val="DfESOutNumbered1"/>
              <w:numPr>
                <w:ilvl w:val="0"/>
                <w:numId w:val="0"/>
              </w:numPr>
              <w:tabs>
                <w:tab w:val="left" w:pos="862"/>
              </w:tabs>
              <w:jc w:val="right"/>
              <w:rPr>
                <w:b/>
                <w:bCs/>
                <w:color w:val="auto"/>
              </w:rPr>
            </w:pPr>
            <w:r w:rsidRPr="008A4D5F">
              <w:rPr>
                <w:b/>
                <w:bCs/>
                <w:color w:val="auto"/>
              </w:rPr>
              <w:t>Block</w:t>
            </w:r>
          </w:p>
          <w:p w14:paraId="6A8555C5" w14:textId="77777777" w:rsidR="00104AD6" w:rsidRPr="008A4D5F" w:rsidRDefault="007004BD" w:rsidP="00552B18">
            <w:pPr>
              <w:pStyle w:val="DfESOutNumbered1"/>
              <w:numPr>
                <w:ilvl w:val="0"/>
                <w:numId w:val="0"/>
              </w:numPr>
              <w:tabs>
                <w:tab w:val="left" w:pos="862"/>
              </w:tabs>
              <w:jc w:val="right"/>
              <w:rPr>
                <w:b/>
                <w:bCs/>
                <w:color w:val="auto"/>
              </w:rPr>
            </w:pPr>
            <w:r w:rsidRPr="008A4D5F">
              <w:rPr>
                <w:b/>
                <w:bCs/>
                <w:color w:val="auto"/>
              </w:rPr>
              <w:t>£’000</w:t>
            </w:r>
          </w:p>
        </w:tc>
        <w:tc>
          <w:tcPr>
            <w:tcW w:w="1245" w:type="dxa"/>
          </w:tcPr>
          <w:p w14:paraId="18386739" w14:textId="77777777" w:rsidR="00104AD6" w:rsidRPr="008A4D5F" w:rsidRDefault="007004BD" w:rsidP="00552B18">
            <w:pPr>
              <w:pStyle w:val="DfESOutNumbered1"/>
              <w:numPr>
                <w:ilvl w:val="0"/>
                <w:numId w:val="0"/>
              </w:numPr>
              <w:tabs>
                <w:tab w:val="left" w:pos="862"/>
              </w:tabs>
              <w:jc w:val="right"/>
              <w:rPr>
                <w:b/>
                <w:bCs/>
                <w:color w:val="auto"/>
              </w:rPr>
            </w:pPr>
            <w:r w:rsidRPr="008A4D5F">
              <w:rPr>
                <w:b/>
                <w:bCs/>
                <w:color w:val="auto"/>
              </w:rPr>
              <w:t>High Needs Block</w:t>
            </w:r>
          </w:p>
          <w:p w14:paraId="46DCA476" w14:textId="77777777" w:rsidR="00104AD6" w:rsidRPr="008A4D5F" w:rsidRDefault="007004BD" w:rsidP="00552B18">
            <w:pPr>
              <w:pStyle w:val="DfESOutNumbered1"/>
              <w:numPr>
                <w:ilvl w:val="0"/>
                <w:numId w:val="0"/>
              </w:numPr>
              <w:tabs>
                <w:tab w:val="left" w:pos="862"/>
              </w:tabs>
              <w:jc w:val="right"/>
              <w:rPr>
                <w:b/>
                <w:bCs/>
                <w:color w:val="auto"/>
              </w:rPr>
            </w:pPr>
            <w:r w:rsidRPr="008A4D5F">
              <w:rPr>
                <w:b/>
                <w:bCs/>
                <w:color w:val="auto"/>
              </w:rPr>
              <w:t>£’000</w:t>
            </w:r>
          </w:p>
        </w:tc>
        <w:tc>
          <w:tcPr>
            <w:tcW w:w="1245" w:type="dxa"/>
          </w:tcPr>
          <w:p w14:paraId="199E29E5" w14:textId="77777777" w:rsidR="00104AD6" w:rsidRPr="008A4D5F" w:rsidRDefault="007004BD" w:rsidP="00552B18">
            <w:pPr>
              <w:pStyle w:val="DfESOutNumbered1"/>
              <w:numPr>
                <w:ilvl w:val="0"/>
                <w:numId w:val="0"/>
              </w:numPr>
              <w:tabs>
                <w:tab w:val="left" w:pos="862"/>
              </w:tabs>
              <w:jc w:val="right"/>
              <w:rPr>
                <w:b/>
                <w:bCs/>
                <w:color w:val="auto"/>
              </w:rPr>
            </w:pPr>
            <w:r w:rsidRPr="008A4D5F">
              <w:rPr>
                <w:b/>
                <w:bCs/>
                <w:color w:val="auto"/>
              </w:rPr>
              <w:t>Early Years Block</w:t>
            </w:r>
          </w:p>
          <w:p w14:paraId="63BA06AA" w14:textId="77777777" w:rsidR="00104AD6" w:rsidRPr="008A4D5F" w:rsidRDefault="007004BD" w:rsidP="00552B18">
            <w:pPr>
              <w:pStyle w:val="DfESOutNumbered1"/>
              <w:numPr>
                <w:ilvl w:val="0"/>
                <w:numId w:val="0"/>
              </w:numPr>
              <w:tabs>
                <w:tab w:val="left" w:pos="862"/>
              </w:tabs>
              <w:jc w:val="right"/>
              <w:rPr>
                <w:b/>
                <w:bCs/>
                <w:color w:val="auto"/>
              </w:rPr>
            </w:pPr>
            <w:r w:rsidRPr="008A4D5F">
              <w:rPr>
                <w:b/>
                <w:bCs/>
                <w:color w:val="auto"/>
              </w:rPr>
              <w:t>£’000</w:t>
            </w:r>
          </w:p>
        </w:tc>
        <w:tc>
          <w:tcPr>
            <w:tcW w:w="1245" w:type="dxa"/>
          </w:tcPr>
          <w:p w14:paraId="729E84BE" w14:textId="77777777" w:rsidR="00104AD6" w:rsidRPr="008A4D5F" w:rsidRDefault="007004BD" w:rsidP="00552B18">
            <w:pPr>
              <w:pStyle w:val="DfESOutNumbered1"/>
              <w:numPr>
                <w:ilvl w:val="0"/>
                <w:numId w:val="0"/>
              </w:numPr>
              <w:tabs>
                <w:tab w:val="left" w:pos="862"/>
              </w:tabs>
              <w:jc w:val="right"/>
              <w:rPr>
                <w:b/>
                <w:bCs/>
                <w:color w:val="auto"/>
              </w:rPr>
            </w:pPr>
            <w:r w:rsidRPr="008A4D5F">
              <w:rPr>
                <w:b/>
                <w:bCs/>
                <w:color w:val="auto"/>
              </w:rPr>
              <w:t>Total DSG</w:t>
            </w:r>
          </w:p>
          <w:p w14:paraId="465756D2" w14:textId="77777777" w:rsidR="00104AD6" w:rsidRPr="008A4D5F" w:rsidRDefault="007004BD" w:rsidP="00552B18">
            <w:pPr>
              <w:pStyle w:val="DfESOutNumbered1"/>
              <w:numPr>
                <w:ilvl w:val="0"/>
                <w:numId w:val="0"/>
              </w:numPr>
              <w:tabs>
                <w:tab w:val="left" w:pos="862"/>
              </w:tabs>
              <w:jc w:val="right"/>
              <w:rPr>
                <w:b/>
                <w:bCs/>
                <w:color w:val="auto"/>
              </w:rPr>
            </w:pPr>
            <w:r w:rsidRPr="008A4D5F">
              <w:rPr>
                <w:b/>
                <w:bCs/>
                <w:color w:val="auto"/>
              </w:rPr>
              <w:t>£’000</w:t>
            </w:r>
          </w:p>
        </w:tc>
      </w:tr>
      <w:tr w:rsidR="00A53B77" w14:paraId="0079D7B9" w14:textId="77777777" w:rsidTr="00104AD6">
        <w:tc>
          <w:tcPr>
            <w:tcW w:w="2693" w:type="dxa"/>
          </w:tcPr>
          <w:p w14:paraId="7025741A" w14:textId="77777777" w:rsidR="00104AD6" w:rsidRPr="008A4D5F" w:rsidRDefault="007004BD" w:rsidP="00552B18">
            <w:pPr>
              <w:pStyle w:val="DfESOutNumbered1"/>
              <w:numPr>
                <w:ilvl w:val="0"/>
                <w:numId w:val="0"/>
              </w:numPr>
              <w:tabs>
                <w:tab w:val="left" w:pos="862"/>
              </w:tabs>
              <w:rPr>
                <w:color w:val="auto"/>
              </w:rPr>
            </w:pPr>
            <w:r w:rsidRPr="008A4D5F">
              <w:rPr>
                <w:color w:val="auto"/>
              </w:rPr>
              <w:t>Provisional 202</w:t>
            </w:r>
            <w:r>
              <w:rPr>
                <w:color w:val="auto"/>
              </w:rPr>
              <w:t>4</w:t>
            </w:r>
            <w:r w:rsidRPr="008A4D5F">
              <w:rPr>
                <w:color w:val="auto"/>
              </w:rPr>
              <w:t>/2</w:t>
            </w:r>
            <w:r>
              <w:rPr>
                <w:color w:val="auto"/>
              </w:rPr>
              <w:t>5</w:t>
            </w:r>
          </w:p>
        </w:tc>
        <w:tc>
          <w:tcPr>
            <w:tcW w:w="1245" w:type="dxa"/>
          </w:tcPr>
          <w:p w14:paraId="67E4011B" w14:textId="77777777" w:rsidR="00104AD6" w:rsidRPr="008A4D5F" w:rsidRDefault="007004BD" w:rsidP="00552B18">
            <w:pPr>
              <w:pStyle w:val="DfESOutNumbered1"/>
              <w:numPr>
                <w:ilvl w:val="0"/>
                <w:numId w:val="0"/>
              </w:numPr>
              <w:tabs>
                <w:tab w:val="left" w:pos="862"/>
              </w:tabs>
              <w:jc w:val="right"/>
              <w:rPr>
                <w:color w:val="auto"/>
              </w:rPr>
            </w:pPr>
            <w:r w:rsidRPr="008A4D5F">
              <w:rPr>
                <w:color w:val="auto"/>
              </w:rPr>
              <w:t>1</w:t>
            </w:r>
            <w:r>
              <w:rPr>
                <w:color w:val="auto"/>
              </w:rPr>
              <w:t>65</w:t>
            </w:r>
            <w:r w:rsidRPr="008A4D5F">
              <w:rPr>
                <w:color w:val="auto"/>
              </w:rPr>
              <w:t>,</w:t>
            </w:r>
            <w:r>
              <w:rPr>
                <w:color w:val="auto"/>
              </w:rPr>
              <w:t>039</w:t>
            </w:r>
          </w:p>
        </w:tc>
        <w:tc>
          <w:tcPr>
            <w:tcW w:w="1245" w:type="dxa"/>
          </w:tcPr>
          <w:p w14:paraId="310B45CC" w14:textId="77777777" w:rsidR="00104AD6" w:rsidRPr="008A4D5F" w:rsidRDefault="007004BD" w:rsidP="00552B18">
            <w:pPr>
              <w:pStyle w:val="DfESOutNumbered1"/>
              <w:numPr>
                <w:ilvl w:val="0"/>
                <w:numId w:val="0"/>
              </w:numPr>
              <w:tabs>
                <w:tab w:val="left" w:pos="862"/>
              </w:tabs>
              <w:jc w:val="right"/>
              <w:rPr>
                <w:color w:val="auto"/>
              </w:rPr>
            </w:pPr>
            <w:r w:rsidRPr="008A4D5F">
              <w:rPr>
                <w:color w:val="auto"/>
              </w:rPr>
              <w:t>2,</w:t>
            </w:r>
            <w:r>
              <w:rPr>
                <w:color w:val="auto"/>
              </w:rPr>
              <w:t>074</w:t>
            </w:r>
          </w:p>
        </w:tc>
        <w:tc>
          <w:tcPr>
            <w:tcW w:w="1245" w:type="dxa"/>
          </w:tcPr>
          <w:p w14:paraId="1881668C" w14:textId="77777777" w:rsidR="00104AD6" w:rsidRPr="008A4D5F" w:rsidRDefault="007004BD" w:rsidP="00552B18">
            <w:pPr>
              <w:pStyle w:val="DfESOutNumbered1"/>
              <w:numPr>
                <w:ilvl w:val="0"/>
                <w:numId w:val="0"/>
              </w:numPr>
              <w:tabs>
                <w:tab w:val="left" w:pos="862"/>
              </w:tabs>
              <w:jc w:val="right"/>
              <w:rPr>
                <w:color w:val="auto"/>
              </w:rPr>
            </w:pPr>
            <w:r w:rsidRPr="008A4D5F">
              <w:rPr>
                <w:color w:val="auto"/>
              </w:rPr>
              <w:t>3</w:t>
            </w:r>
            <w:r>
              <w:rPr>
                <w:color w:val="auto"/>
              </w:rPr>
              <w:t>8</w:t>
            </w:r>
            <w:r w:rsidRPr="008A4D5F">
              <w:rPr>
                <w:color w:val="auto"/>
              </w:rPr>
              <w:t>,</w:t>
            </w:r>
            <w:r>
              <w:rPr>
                <w:color w:val="auto"/>
              </w:rPr>
              <w:t>883</w:t>
            </w:r>
          </w:p>
        </w:tc>
        <w:tc>
          <w:tcPr>
            <w:tcW w:w="1245" w:type="dxa"/>
          </w:tcPr>
          <w:p w14:paraId="3747CE9E" w14:textId="77777777" w:rsidR="00104AD6" w:rsidRPr="008A4D5F" w:rsidRDefault="007004BD" w:rsidP="00552B18">
            <w:pPr>
              <w:pStyle w:val="DfESOutNumbered1"/>
              <w:numPr>
                <w:ilvl w:val="0"/>
                <w:numId w:val="0"/>
              </w:numPr>
              <w:tabs>
                <w:tab w:val="left" w:pos="862"/>
              </w:tabs>
              <w:jc w:val="right"/>
              <w:rPr>
                <w:color w:val="auto"/>
              </w:rPr>
            </w:pPr>
            <w:r>
              <w:rPr>
                <w:color w:val="auto"/>
              </w:rPr>
              <w:t>2</w:t>
            </w:r>
            <w:r w:rsidRPr="008A4D5F">
              <w:rPr>
                <w:color w:val="auto"/>
              </w:rPr>
              <w:t>6,</w:t>
            </w:r>
            <w:r>
              <w:rPr>
                <w:color w:val="auto"/>
              </w:rPr>
              <w:t>554</w:t>
            </w:r>
          </w:p>
        </w:tc>
        <w:tc>
          <w:tcPr>
            <w:tcW w:w="1245" w:type="dxa"/>
          </w:tcPr>
          <w:p w14:paraId="58CE615B" w14:textId="77777777" w:rsidR="00104AD6" w:rsidRPr="008A4D5F" w:rsidRDefault="007004BD" w:rsidP="00552B18">
            <w:pPr>
              <w:pStyle w:val="DfESOutNumbered1"/>
              <w:numPr>
                <w:ilvl w:val="0"/>
                <w:numId w:val="0"/>
              </w:numPr>
              <w:tabs>
                <w:tab w:val="left" w:pos="862"/>
              </w:tabs>
              <w:jc w:val="right"/>
              <w:rPr>
                <w:color w:val="auto"/>
              </w:rPr>
            </w:pPr>
            <w:r w:rsidRPr="008A4D5F">
              <w:rPr>
                <w:color w:val="auto"/>
              </w:rPr>
              <w:t>2</w:t>
            </w:r>
            <w:r>
              <w:rPr>
                <w:color w:val="auto"/>
              </w:rPr>
              <w:t>32</w:t>
            </w:r>
            <w:r w:rsidRPr="008A4D5F">
              <w:rPr>
                <w:color w:val="auto"/>
              </w:rPr>
              <w:t>,</w:t>
            </w:r>
            <w:r>
              <w:rPr>
                <w:color w:val="auto"/>
              </w:rPr>
              <w:t>550</w:t>
            </w:r>
          </w:p>
        </w:tc>
      </w:tr>
      <w:tr w:rsidR="00A53B77" w14:paraId="65C9F61F" w14:textId="77777777" w:rsidTr="00104AD6">
        <w:tc>
          <w:tcPr>
            <w:tcW w:w="2693" w:type="dxa"/>
          </w:tcPr>
          <w:p w14:paraId="5D558AC1" w14:textId="77777777" w:rsidR="00104AD6" w:rsidRPr="008A4D5F" w:rsidRDefault="007004BD" w:rsidP="00552B18">
            <w:pPr>
              <w:pStyle w:val="DfESOutNumbered1"/>
              <w:numPr>
                <w:ilvl w:val="0"/>
                <w:numId w:val="0"/>
              </w:numPr>
              <w:tabs>
                <w:tab w:val="left" w:pos="862"/>
              </w:tabs>
              <w:rPr>
                <w:color w:val="auto"/>
              </w:rPr>
            </w:pPr>
            <w:r w:rsidRPr="008A4D5F">
              <w:rPr>
                <w:color w:val="auto"/>
              </w:rPr>
              <w:t>202</w:t>
            </w:r>
            <w:r>
              <w:rPr>
                <w:color w:val="auto"/>
              </w:rPr>
              <w:t>3</w:t>
            </w:r>
            <w:r w:rsidRPr="008A4D5F">
              <w:rPr>
                <w:color w:val="auto"/>
              </w:rPr>
              <w:t>/2</w:t>
            </w:r>
            <w:r>
              <w:rPr>
                <w:color w:val="auto"/>
              </w:rPr>
              <w:t>4</w:t>
            </w:r>
          </w:p>
        </w:tc>
        <w:tc>
          <w:tcPr>
            <w:tcW w:w="1245" w:type="dxa"/>
          </w:tcPr>
          <w:p w14:paraId="35B8F0F2" w14:textId="77777777" w:rsidR="00104AD6" w:rsidRPr="008A4D5F" w:rsidRDefault="007004BD" w:rsidP="00552B18">
            <w:pPr>
              <w:pStyle w:val="DfESOutNumbered1"/>
              <w:numPr>
                <w:ilvl w:val="0"/>
                <w:numId w:val="0"/>
              </w:numPr>
              <w:tabs>
                <w:tab w:val="left" w:pos="862"/>
              </w:tabs>
              <w:jc w:val="right"/>
              <w:rPr>
                <w:color w:val="auto"/>
              </w:rPr>
            </w:pPr>
            <w:r w:rsidRPr="008A4D5F">
              <w:rPr>
                <w:color w:val="auto"/>
              </w:rPr>
              <w:t>15</w:t>
            </w:r>
            <w:r>
              <w:rPr>
                <w:color w:val="auto"/>
              </w:rPr>
              <w:t>9</w:t>
            </w:r>
            <w:r w:rsidRPr="008A4D5F">
              <w:rPr>
                <w:color w:val="auto"/>
              </w:rPr>
              <w:t>,</w:t>
            </w:r>
            <w:r>
              <w:rPr>
                <w:color w:val="auto"/>
              </w:rPr>
              <w:t>378</w:t>
            </w:r>
          </w:p>
        </w:tc>
        <w:tc>
          <w:tcPr>
            <w:tcW w:w="1245" w:type="dxa"/>
          </w:tcPr>
          <w:p w14:paraId="13004943" w14:textId="77777777" w:rsidR="00104AD6" w:rsidRPr="008A4D5F" w:rsidRDefault="007004BD" w:rsidP="00552B18">
            <w:pPr>
              <w:pStyle w:val="DfESOutNumbered1"/>
              <w:numPr>
                <w:ilvl w:val="0"/>
                <w:numId w:val="0"/>
              </w:numPr>
              <w:tabs>
                <w:tab w:val="left" w:pos="862"/>
              </w:tabs>
              <w:jc w:val="right"/>
              <w:rPr>
                <w:color w:val="auto"/>
              </w:rPr>
            </w:pPr>
            <w:r w:rsidRPr="008A4D5F">
              <w:rPr>
                <w:color w:val="auto"/>
              </w:rPr>
              <w:t>2,</w:t>
            </w:r>
            <w:r>
              <w:rPr>
                <w:color w:val="auto"/>
              </w:rPr>
              <w:t>136</w:t>
            </w:r>
          </w:p>
        </w:tc>
        <w:tc>
          <w:tcPr>
            <w:tcW w:w="1245" w:type="dxa"/>
          </w:tcPr>
          <w:p w14:paraId="0D073E8C" w14:textId="77777777" w:rsidR="00104AD6" w:rsidRPr="008A4D5F" w:rsidRDefault="007004BD" w:rsidP="00552B18">
            <w:pPr>
              <w:pStyle w:val="DfESOutNumbered1"/>
              <w:numPr>
                <w:ilvl w:val="0"/>
                <w:numId w:val="0"/>
              </w:numPr>
              <w:tabs>
                <w:tab w:val="left" w:pos="862"/>
              </w:tabs>
              <w:jc w:val="right"/>
              <w:rPr>
                <w:color w:val="auto"/>
              </w:rPr>
            </w:pPr>
            <w:r w:rsidRPr="008A4D5F">
              <w:rPr>
                <w:color w:val="auto"/>
              </w:rPr>
              <w:t>3</w:t>
            </w:r>
            <w:r>
              <w:rPr>
                <w:color w:val="auto"/>
              </w:rPr>
              <w:t>7</w:t>
            </w:r>
            <w:r w:rsidRPr="008A4D5F">
              <w:rPr>
                <w:color w:val="auto"/>
              </w:rPr>
              <w:t>,3</w:t>
            </w:r>
            <w:r>
              <w:rPr>
                <w:color w:val="auto"/>
              </w:rPr>
              <w:t>64</w:t>
            </w:r>
          </w:p>
        </w:tc>
        <w:tc>
          <w:tcPr>
            <w:tcW w:w="1245" w:type="dxa"/>
          </w:tcPr>
          <w:p w14:paraId="69F744F8" w14:textId="77777777" w:rsidR="00104AD6" w:rsidRPr="008A4D5F" w:rsidRDefault="007004BD" w:rsidP="00552B18">
            <w:pPr>
              <w:pStyle w:val="DfESOutNumbered1"/>
              <w:numPr>
                <w:ilvl w:val="0"/>
                <w:numId w:val="0"/>
              </w:numPr>
              <w:tabs>
                <w:tab w:val="left" w:pos="862"/>
              </w:tabs>
              <w:jc w:val="right"/>
              <w:rPr>
                <w:color w:val="auto"/>
              </w:rPr>
            </w:pPr>
            <w:r w:rsidRPr="008A4D5F">
              <w:rPr>
                <w:color w:val="auto"/>
              </w:rPr>
              <w:t>1</w:t>
            </w:r>
            <w:r>
              <w:rPr>
                <w:color w:val="auto"/>
              </w:rPr>
              <w:t>5</w:t>
            </w:r>
            <w:r w:rsidRPr="008A4D5F">
              <w:rPr>
                <w:color w:val="auto"/>
              </w:rPr>
              <w:t>,</w:t>
            </w:r>
            <w:r>
              <w:rPr>
                <w:color w:val="auto"/>
              </w:rPr>
              <w:t>433</w:t>
            </w:r>
          </w:p>
        </w:tc>
        <w:tc>
          <w:tcPr>
            <w:tcW w:w="1245" w:type="dxa"/>
          </w:tcPr>
          <w:p w14:paraId="4E1DBC34" w14:textId="77777777" w:rsidR="00104AD6" w:rsidRPr="008A4D5F" w:rsidRDefault="007004BD" w:rsidP="00552B18">
            <w:pPr>
              <w:pStyle w:val="DfESOutNumbered1"/>
              <w:numPr>
                <w:ilvl w:val="0"/>
                <w:numId w:val="0"/>
              </w:numPr>
              <w:tabs>
                <w:tab w:val="left" w:pos="862"/>
              </w:tabs>
              <w:jc w:val="right"/>
              <w:rPr>
                <w:color w:val="auto"/>
              </w:rPr>
            </w:pPr>
            <w:r w:rsidRPr="008A4D5F">
              <w:rPr>
                <w:color w:val="auto"/>
              </w:rPr>
              <w:t>2</w:t>
            </w:r>
            <w:r>
              <w:rPr>
                <w:color w:val="auto"/>
              </w:rPr>
              <w:t>14</w:t>
            </w:r>
            <w:r w:rsidRPr="008A4D5F">
              <w:rPr>
                <w:color w:val="auto"/>
              </w:rPr>
              <w:t>,</w:t>
            </w:r>
            <w:r>
              <w:rPr>
                <w:color w:val="auto"/>
              </w:rPr>
              <w:t>311</w:t>
            </w:r>
          </w:p>
        </w:tc>
      </w:tr>
      <w:tr w:rsidR="00A53B77" w14:paraId="71B34435" w14:textId="77777777" w:rsidTr="00104AD6">
        <w:tc>
          <w:tcPr>
            <w:tcW w:w="2693" w:type="dxa"/>
          </w:tcPr>
          <w:p w14:paraId="0FF3FE4C" w14:textId="44E86ED5" w:rsidR="00104AD6" w:rsidRPr="008A4D5F" w:rsidRDefault="007004BD" w:rsidP="00552B18">
            <w:pPr>
              <w:pStyle w:val="DfESOutNumbered1"/>
              <w:numPr>
                <w:ilvl w:val="0"/>
                <w:numId w:val="0"/>
              </w:numPr>
              <w:tabs>
                <w:tab w:val="left" w:pos="862"/>
              </w:tabs>
              <w:rPr>
                <w:color w:val="auto"/>
              </w:rPr>
            </w:pPr>
            <w:r w:rsidRPr="008A4D5F">
              <w:rPr>
                <w:color w:val="auto"/>
              </w:rPr>
              <w:t>Increase</w:t>
            </w:r>
            <w:r w:rsidR="00A876C1">
              <w:rPr>
                <w:color w:val="auto"/>
              </w:rPr>
              <w:t xml:space="preserve"> / (Decrease)</w:t>
            </w:r>
          </w:p>
        </w:tc>
        <w:tc>
          <w:tcPr>
            <w:tcW w:w="1245" w:type="dxa"/>
          </w:tcPr>
          <w:p w14:paraId="1E6F66D4" w14:textId="77777777" w:rsidR="00104AD6" w:rsidRPr="008A4D5F" w:rsidRDefault="007004BD" w:rsidP="00552B18">
            <w:pPr>
              <w:pStyle w:val="DfESOutNumbered1"/>
              <w:numPr>
                <w:ilvl w:val="0"/>
                <w:numId w:val="0"/>
              </w:numPr>
              <w:tabs>
                <w:tab w:val="left" w:pos="862"/>
              </w:tabs>
              <w:jc w:val="right"/>
              <w:rPr>
                <w:color w:val="auto"/>
              </w:rPr>
            </w:pPr>
            <w:r w:rsidRPr="008A4D5F">
              <w:rPr>
                <w:color w:val="auto"/>
              </w:rPr>
              <w:t>5,</w:t>
            </w:r>
            <w:r>
              <w:rPr>
                <w:color w:val="auto"/>
              </w:rPr>
              <w:t>661</w:t>
            </w:r>
          </w:p>
        </w:tc>
        <w:tc>
          <w:tcPr>
            <w:tcW w:w="1245" w:type="dxa"/>
          </w:tcPr>
          <w:p w14:paraId="32C895DA" w14:textId="77777777" w:rsidR="00104AD6" w:rsidRPr="008A4D5F" w:rsidRDefault="007004BD" w:rsidP="00552B18">
            <w:pPr>
              <w:pStyle w:val="DfESOutNumbered1"/>
              <w:numPr>
                <w:ilvl w:val="0"/>
                <w:numId w:val="0"/>
              </w:numPr>
              <w:tabs>
                <w:tab w:val="left" w:pos="862"/>
              </w:tabs>
              <w:jc w:val="right"/>
              <w:rPr>
                <w:color w:val="auto"/>
              </w:rPr>
            </w:pPr>
            <w:r w:rsidRPr="008A4D5F">
              <w:rPr>
                <w:color w:val="auto"/>
              </w:rPr>
              <w:t>(</w:t>
            </w:r>
            <w:r>
              <w:rPr>
                <w:color w:val="auto"/>
              </w:rPr>
              <w:t>62</w:t>
            </w:r>
            <w:r w:rsidRPr="008A4D5F">
              <w:rPr>
                <w:color w:val="auto"/>
              </w:rPr>
              <w:t>)</w:t>
            </w:r>
          </w:p>
        </w:tc>
        <w:tc>
          <w:tcPr>
            <w:tcW w:w="1245" w:type="dxa"/>
          </w:tcPr>
          <w:p w14:paraId="5429A6EF" w14:textId="77777777" w:rsidR="00104AD6" w:rsidRPr="008A4D5F" w:rsidRDefault="007004BD" w:rsidP="00552B18">
            <w:pPr>
              <w:pStyle w:val="DfESOutNumbered1"/>
              <w:numPr>
                <w:ilvl w:val="0"/>
                <w:numId w:val="0"/>
              </w:numPr>
              <w:tabs>
                <w:tab w:val="left" w:pos="862"/>
              </w:tabs>
              <w:jc w:val="right"/>
              <w:rPr>
                <w:color w:val="auto"/>
              </w:rPr>
            </w:pPr>
            <w:r>
              <w:rPr>
                <w:color w:val="auto"/>
              </w:rPr>
              <w:t>1</w:t>
            </w:r>
            <w:r w:rsidRPr="008A4D5F">
              <w:rPr>
                <w:color w:val="auto"/>
              </w:rPr>
              <w:t>,</w:t>
            </w:r>
            <w:r>
              <w:rPr>
                <w:color w:val="auto"/>
              </w:rPr>
              <w:t>519</w:t>
            </w:r>
          </w:p>
        </w:tc>
        <w:tc>
          <w:tcPr>
            <w:tcW w:w="1245" w:type="dxa"/>
          </w:tcPr>
          <w:p w14:paraId="5CF5F763" w14:textId="77777777" w:rsidR="00104AD6" w:rsidRPr="008A4D5F" w:rsidRDefault="007004BD" w:rsidP="00552B18">
            <w:pPr>
              <w:pStyle w:val="DfESOutNumbered1"/>
              <w:numPr>
                <w:ilvl w:val="0"/>
                <w:numId w:val="0"/>
              </w:numPr>
              <w:tabs>
                <w:tab w:val="left" w:pos="862"/>
              </w:tabs>
              <w:jc w:val="right"/>
              <w:rPr>
                <w:color w:val="auto"/>
              </w:rPr>
            </w:pPr>
            <w:r>
              <w:rPr>
                <w:color w:val="auto"/>
              </w:rPr>
              <w:t>1</w:t>
            </w:r>
            <w:r w:rsidRPr="008A4D5F">
              <w:rPr>
                <w:color w:val="auto"/>
              </w:rPr>
              <w:t>1,</w:t>
            </w:r>
            <w:r>
              <w:rPr>
                <w:color w:val="auto"/>
              </w:rPr>
              <w:t>121</w:t>
            </w:r>
          </w:p>
        </w:tc>
        <w:tc>
          <w:tcPr>
            <w:tcW w:w="1245" w:type="dxa"/>
          </w:tcPr>
          <w:p w14:paraId="632085A0" w14:textId="77777777" w:rsidR="00104AD6" w:rsidRPr="008A4D5F" w:rsidRDefault="007004BD" w:rsidP="00552B18">
            <w:pPr>
              <w:pStyle w:val="DfESOutNumbered1"/>
              <w:numPr>
                <w:ilvl w:val="0"/>
                <w:numId w:val="0"/>
              </w:numPr>
              <w:tabs>
                <w:tab w:val="left" w:pos="862"/>
              </w:tabs>
              <w:jc w:val="right"/>
              <w:rPr>
                <w:color w:val="auto"/>
              </w:rPr>
            </w:pPr>
            <w:r>
              <w:rPr>
                <w:color w:val="auto"/>
              </w:rPr>
              <w:t>18</w:t>
            </w:r>
            <w:r w:rsidRPr="008A4D5F">
              <w:rPr>
                <w:color w:val="auto"/>
              </w:rPr>
              <w:t>,</w:t>
            </w:r>
            <w:r>
              <w:rPr>
                <w:color w:val="auto"/>
              </w:rPr>
              <w:t>2</w:t>
            </w:r>
            <w:r w:rsidRPr="008A4D5F">
              <w:rPr>
                <w:color w:val="auto"/>
              </w:rPr>
              <w:t>39</w:t>
            </w:r>
          </w:p>
        </w:tc>
      </w:tr>
    </w:tbl>
    <w:p w14:paraId="16EC260C" w14:textId="77777777" w:rsidR="00104AD6" w:rsidRPr="00F70A7A" w:rsidRDefault="007004BD" w:rsidP="00F70A7A">
      <w:pPr>
        <w:keepNext/>
        <w:spacing w:before="120" w:after="120"/>
        <w:ind w:left="709"/>
        <w:rPr>
          <w:rFonts w:ascii="Arial" w:hAnsi="Arial" w:cs="Arial"/>
          <w:b/>
          <w:bCs/>
          <w:i/>
          <w:iCs/>
          <w:sz w:val="24"/>
          <w:szCs w:val="24"/>
        </w:rPr>
      </w:pPr>
      <w:r w:rsidRPr="00F70A7A">
        <w:rPr>
          <w:rFonts w:ascii="Arial" w:hAnsi="Arial" w:cs="Arial"/>
          <w:b/>
          <w:bCs/>
          <w:i/>
          <w:iCs/>
          <w:sz w:val="24"/>
          <w:szCs w:val="24"/>
        </w:rPr>
        <w:t>Schools Block</w:t>
      </w:r>
    </w:p>
    <w:p w14:paraId="6DA6F183" w14:textId="77777777" w:rsidR="00F70A7A" w:rsidRDefault="007004BD" w:rsidP="00E945CB">
      <w:pPr>
        <w:pStyle w:val="Heading2"/>
      </w:pPr>
      <w:r w:rsidRPr="005358A7">
        <w:t>For 2023/24, schools</w:t>
      </w:r>
      <w:r>
        <w:t xml:space="preserve"> have</w:t>
      </w:r>
      <w:r w:rsidRPr="005358A7">
        <w:t xml:space="preserve"> received a</w:t>
      </w:r>
      <w:r>
        <w:t xml:space="preserve"> separate</w:t>
      </w:r>
      <w:r w:rsidRPr="005358A7">
        <w:t xml:space="preserve"> mainstream additional grant outside of the main DSG. This equates to £5.364m. For 2024/25, this funding </w:t>
      </w:r>
      <w:r>
        <w:t xml:space="preserve">is being </w:t>
      </w:r>
      <w:r w:rsidRPr="005358A7">
        <w:t>rolled into the Schools Block of the DSG meaning the overall Schools Block funding is virtually unchanged between the two financial years.</w:t>
      </w:r>
      <w:r>
        <w:t xml:space="preserve"> </w:t>
      </w:r>
      <w:r w:rsidRPr="0061178E">
        <w:t>In overall terms,</w:t>
      </w:r>
      <w:r>
        <w:t xml:space="preserve"> after other adjustments are considered, </w:t>
      </w:r>
      <w:r w:rsidRPr="0061178E">
        <w:t>it is estimated that total funding available to mainstream schools through core formula budget allocations between 202</w:t>
      </w:r>
      <w:r>
        <w:t>3</w:t>
      </w:r>
      <w:r w:rsidRPr="0061178E">
        <w:t>/2</w:t>
      </w:r>
      <w:r>
        <w:t>4</w:t>
      </w:r>
      <w:r w:rsidRPr="0061178E">
        <w:t xml:space="preserve"> and 202</w:t>
      </w:r>
      <w:r>
        <w:t>4</w:t>
      </w:r>
      <w:r w:rsidRPr="0061178E">
        <w:t>/2</w:t>
      </w:r>
      <w:r>
        <w:t>5</w:t>
      </w:r>
      <w:r w:rsidRPr="0061178E">
        <w:t xml:space="preserve"> will increase by</w:t>
      </w:r>
      <w:r>
        <w:t xml:space="preserve"> c.</w:t>
      </w:r>
      <w:r w:rsidRPr="0061178E">
        <w:t xml:space="preserve"> £0.5</w:t>
      </w:r>
      <w:r>
        <w:t>00</w:t>
      </w:r>
      <w:r w:rsidRPr="0061178E">
        <w:t>m. This equates to a percentage increase in cash terms of</w:t>
      </w:r>
      <w:r>
        <w:t xml:space="preserve"> just</w:t>
      </w:r>
      <w:r w:rsidRPr="0061178E">
        <w:t xml:space="preserve"> 0.3%</w:t>
      </w:r>
      <w:r>
        <w:t>,</w:t>
      </w:r>
      <w:r w:rsidRPr="0061178E">
        <w:t xml:space="preserve"> and an increase in per pupil funding of 2.0%.</w:t>
      </w:r>
      <w:r>
        <w:t xml:space="preserve"> For presentational purposes the Schools Block figures above are inclusive of funding for non-domestic business rates.</w:t>
      </w:r>
    </w:p>
    <w:p w14:paraId="7C7C6030" w14:textId="3C721424" w:rsidR="00104AD6" w:rsidRPr="008A4D5F" w:rsidRDefault="007004BD" w:rsidP="00E945CB">
      <w:pPr>
        <w:pStyle w:val="Heading2"/>
      </w:pPr>
      <w:r w:rsidRPr="008A4D5F">
        <w:t>It should be noted that the Schools Block pupil numbers have decreased from 29,</w:t>
      </w:r>
      <w:r>
        <w:t>451</w:t>
      </w:r>
      <w:r w:rsidRPr="008A4D5F">
        <w:t xml:space="preserve"> in October 202</w:t>
      </w:r>
      <w:r>
        <w:t>2</w:t>
      </w:r>
      <w:r w:rsidRPr="008A4D5F">
        <w:t xml:space="preserve"> to 2</w:t>
      </w:r>
      <w:r>
        <w:t>8</w:t>
      </w:r>
      <w:r w:rsidRPr="008A4D5F">
        <w:t>,</w:t>
      </w:r>
      <w:r>
        <w:t>972</w:t>
      </w:r>
      <w:r w:rsidRPr="008A4D5F">
        <w:t xml:space="preserve"> in October 202</w:t>
      </w:r>
      <w:r>
        <w:t>3</w:t>
      </w:r>
      <w:r w:rsidRPr="008A4D5F">
        <w:t xml:space="preserve">. This is a reduction of </w:t>
      </w:r>
      <w:r>
        <w:t>479</w:t>
      </w:r>
      <w:r w:rsidRPr="008A4D5F">
        <w:t xml:space="preserve"> pupils and </w:t>
      </w:r>
      <w:r>
        <w:t>equates to an overall loss of DSG Schools Block funding to the local authority of c. £2.450m.</w:t>
      </w:r>
    </w:p>
    <w:p w14:paraId="48061BA0" w14:textId="408153A1" w:rsidR="00104AD6" w:rsidRPr="00E945CB" w:rsidRDefault="007004BD" w:rsidP="00E945CB">
      <w:pPr>
        <w:keepNext/>
        <w:spacing w:before="120" w:after="120"/>
        <w:ind w:left="709"/>
        <w:rPr>
          <w:rFonts w:ascii="Arial" w:hAnsi="Arial" w:cs="Arial"/>
          <w:b/>
          <w:bCs/>
          <w:i/>
          <w:iCs/>
          <w:sz w:val="24"/>
          <w:szCs w:val="24"/>
        </w:rPr>
      </w:pPr>
      <w:r w:rsidRPr="00E945CB">
        <w:rPr>
          <w:rFonts w:ascii="Arial" w:hAnsi="Arial" w:cs="Arial"/>
          <w:b/>
          <w:bCs/>
          <w:i/>
          <w:iCs/>
          <w:sz w:val="24"/>
          <w:szCs w:val="24"/>
        </w:rPr>
        <w:t>High Needs Block</w:t>
      </w:r>
    </w:p>
    <w:p w14:paraId="1C3F8485" w14:textId="77777777" w:rsidR="00104AD6" w:rsidRDefault="007004BD" w:rsidP="00E945CB">
      <w:pPr>
        <w:pStyle w:val="Heading2"/>
      </w:pPr>
      <w:r w:rsidRPr="004454F5">
        <w:t>The headline allocation of high needs block funding is shown in the table above.</w:t>
      </w:r>
      <w:r>
        <w:t xml:space="preserve"> </w:t>
      </w:r>
      <w:r w:rsidRPr="004454F5">
        <w:t xml:space="preserve"> The high needs block position for the 2024/25 financial year looks very challenging. The government increase in funding of</w:t>
      </w:r>
      <w:r>
        <w:t xml:space="preserve"> c. £1.5m</w:t>
      </w:r>
      <w:r w:rsidRPr="004454F5">
        <w:t xml:space="preserve"> </w:t>
      </w:r>
      <w:r>
        <w:t>(</w:t>
      </w:r>
      <w:r w:rsidRPr="004454F5">
        <w:t>4%</w:t>
      </w:r>
      <w:r>
        <w:t>)</w:t>
      </w:r>
      <w:r w:rsidRPr="004454F5">
        <w:t xml:space="preserve"> is significantly below the demand and cost pressures the council is expecting</w:t>
      </w:r>
      <w:r>
        <w:t>,</w:t>
      </w:r>
      <w:r w:rsidRPr="004454F5">
        <w:t xml:space="preserve"> and forecasts show a potential deficit in the 2024/25 high needs block of approximately £2.5m</w:t>
      </w:r>
    </w:p>
    <w:p w14:paraId="41D1D5A6" w14:textId="77777777" w:rsidR="00104AD6" w:rsidRDefault="007004BD" w:rsidP="00E945CB">
      <w:pPr>
        <w:pStyle w:val="Heading2"/>
      </w:pPr>
      <w:r w:rsidRPr="00E620DE">
        <w:t>The council continues to seek to provide additional</w:t>
      </w:r>
      <w:r>
        <w:t xml:space="preserve"> local</w:t>
      </w:r>
      <w:r w:rsidRPr="00E620DE">
        <w:t xml:space="preserve"> specialist provision linked to the SEN Sufficiency Strategy however costs associated with th</w:t>
      </w:r>
      <w:r>
        <w:t xml:space="preserve">e establishment of this </w:t>
      </w:r>
      <w:r w:rsidRPr="00E620DE">
        <w:t>are high.</w:t>
      </w:r>
    </w:p>
    <w:p w14:paraId="70130806" w14:textId="77777777" w:rsidR="00104AD6" w:rsidRDefault="007004BD" w:rsidP="00E945CB">
      <w:pPr>
        <w:pStyle w:val="Heading2"/>
      </w:pPr>
      <w:r>
        <w:t>Under current national legislation a statutory override mechanism is place which allows local authorities to keep DSG deficits separate from General Fund budget, however this statutory override arrangement is due to finish in March 2026.</w:t>
      </w:r>
    </w:p>
    <w:p w14:paraId="3BC7C7B7" w14:textId="77777777" w:rsidR="00104AD6" w:rsidRDefault="007004BD" w:rsidP="00E945CB">
      <w:pPr>
        <w:pStyle w:val="Heading2"/>
      </w:pPr>
      <w:r>
        <w:t>The latest published data shows that approximately 100 out of 150 local authorities are operating with deficits against the high needs block of their DSG allocations.</w:t>
      </w:r>
    </w:p>
    <w:p w14:paraId="6FFBA59C" w14:textId="77777777" w:rsidR="00104AD6" w:rsidRPr="00F70A7A" w:rsidRDefault="007004BD" w:rsidP="00F70A7A">
      <w:pPr>
        <w:keepNext/>
        <w:spacing w:before="120" w:after="120"/>
        <w:ind w:left="709"/>
        <w:rPr>
          <w:rFonts w:ascii="Arial" w:hAnsi="Arial" w:cs="Arial"/>
          <w:b/>
          <w:bCs/>
          <w:i/>
          <w:iCs/>
          <w:sz w:val="24"/>
          <w:szCs w:val="24"/>
        </w:rPr>
      </w:pPr>
      <w:r w:rsidRPr="00F70A7A">
        <w:rPr>
          <w:rFonts w:ascii="Arial" w:hAnsi="Arial" w:cs="Arial"/>
          <w:b/>
          <w:bCs/>
          <w:i/>
          <w:iCs/>
          <w:sz w:val="24"/>
          <w:szCs w:val="24"/>
        </w:rPr>
        <w:t>Early Years Block</w:t>
      </w:r>
    </w:p>
    <w:p w14:paraId="5F49D480" w14:textId="0DFE4DCF" w:rsidR="00104AD6" w:rsidRDefault="007004BD" w:rsidP="00E945CB">
      <w:pPr>
        <w:pStyle w:val="Heading2"/>
      </w:pPr>
      <w:r w:rsidRPr="00890A2D">
        <w:t>There are significant extensions to free entitlement in 2024/25</w:t>
      </w:r>
      <w:r>
        <w:t xml:space="preserve"> resulting in </w:t>
      </w:r>
      <w:r w:rsidRPr="00890A2D">
        <w:t>a large increase to Early Years Block funding</w:t>
      </w:r>
      <w:r>
        <w:t>. For 2024/25 the main early years entitlements are:</w:t>
      </w:r>
    </w:p>
    <w:p w14:paraId="2E6A2D75" w14:textId="792A147E" w:rsidR="00104AD6" w:rsidRDefault="007004BD" w:rsidP="00CE70A3">
      <w:pPr>
        <w:pStyle w:val="Heading2"/>
        <w:numPr>
          <w:ilvl w:val="0"/>
          <w:numId w:val="16"/>
        </w:numPr>
        <w:ind w:left="1134" w:hanging="425"/>
      </w:pPr>
      <w:r>
        <w:t>the 15 hours entitlement for eligible working parents of children from nine months to two years old (new entitlement from 1 September 2024)</w:t>
      </w:r>
      <w:r w:rsidR="00F70A7A">
        <w:t>;</w:t>
      </w:r>
    </w:p>
    <w:p w14:paraId="3A5EBE1E" w14:textId="5E61109F" w:rsidR="00104AD6" w:rsidRDefault="007004BD" w:rsidP="00CE70A3">
      <w:pPr>
        <w:pStyle w:val="Heading2"/>
        <w:numPr>
          <w:ilvl w:val="0"/>
          <w:numId w:val="16"/>
        </w:numPr>
        <w:ind w:left="1134" w:hanging="425"/>
      </w:pPr>
      <w:r>
        <w:t>the 15 hours entitlement for eligible working parents of two-year-old children (new entitlement from 1 April 2024)</w:t>
      </w:r>
      <w:r w:rsidR="00F70A7A">
        <w:t>;</w:t>
      </w:r>
    </w:p>
    <w:p w14:paraId="5FB04BDB" w14:textId="4CC77E80" w:rsidR="00104AD6" w:rsidRDefault="007004BD" w:rsidP="00CE70A3">
      <w:pPr>
        <w:pStyle w:val="Heading2"/>
        <w:numPr>
          <w:ilvl w:val="0"/>
          <w:numId w:val="16"/>
        </w:numPr>
        <w:ind w:left="1134" w:hanging="425"/>
      </w:pPr>
      <w:r>
        <w:t>the 15 hours entitlement for disadvantaged two-year-olds</w:t>
      </w:r>
      <w:r w:rsidR="00F70A7A">
        <w:t>;</w:t>
      </w:r>
    </w:p>
    <w:p w14:paraId="095AEAED" w14:textId="1C4CCD11" w:rsidR="00104AD6" w:rsidRDefault="007004BD" w:rsidP="00CE70A3">
      <w:pPr>
        <w:pStyle w:val="Heading2"/>
        <w:numPr>
          <w:ilvl w:val="0"/>
          <w:numId w:val="16"/>
        </w:numPr>
        <w:ind w:left="1134" w:hanging="425"/>
      </w:pPr>
      <w:r>
        <w:t>the universal 15 hours entitlement for all three and four-year-olds</w:t>
      </w:r>
      <w:r w:rsidR="00F70A7A">
        <w:t>;</w:t>
      </w:r>
    </w:p>
    <w:p w14:paraId="7FF33BD1" w14:textId="2F85AE94" w:rsidR="00104AD6" w:rsidRDefault="007004BD" w:rsidP="00CE70A3">
      <w:pPr>
        <w:pStyle w:val="Heading2"/>
        <w:numPr>
          <w:ilvl w:val="0"/>
          <w:numId w:val="16"/>
        </w:numPr>
        <w:ind w:left="1134" w:hanging="425"/>
      </w:pPr>
      <w:r>
        <w:t>the additional 15 hours entitlement for eligible working parents of three and four-year-olds</w:t>
      </w:r>
      <w:r w:rsidR="00CB7E5E">
        <w:t>.</w:t>
      </w:r>
    </w:p>
    <w:p w14:paraId="314ACA32" w14:textId="77777777" w:rsidR="00104AD6" w:rsidRDefault="007004BD" w:rsidP="00E945CB">
      <w:pPr>
        <w:pStyle w:val="Heading2"/>
        <w:numPr>
          <w:ilvl w:val="0"/>
          <w:numId w:val="0"/>
        </w:numPr>
        <w:ind w:left="709"/>
      </w:pPr>
      <w:r>
        <w:t xml:space="preserve">Government funding rates are increasing for 2024/25 and there is a requirement for the local authority to pass on a minimum of 95% Early Years Block funding to providers. </w:t>
      </w:r>
    </w:p>
    <w:p w14:paraId="1602998F" w14:textId="77777777" w:rsidR="00104AD6" w:rsidRPr="00E945CB" w:rsidRDefault="007004BD" w:rsidP="00E945CB">
      <w:pPr>
        <w:keepNext/>
        <w:spacing w:before="120" w:after="120"/>
        <w:ind w:left="709"/>
        <w:rPr>
          <w:rFonts w:ascii="Arial" w:hAnsi="Arial" w:cs="Arial"/>
          <w:b/>
          <w:bCs/>
          <w:i/>
          <w:iCs/>
          <w:sz w:val="24"/>
          <w:szCs w:val="24"/>
        </w:rPr>
      </w:pPr>
      <w:r w:rsidRPr="00E945CB">
        <w:rPr>
          <w:rFonts w:ascii="Arial" w:hAnsi="Arial" w:cs="Arial"/>
          <w:b/>
          <w:bCs/>
          <w:i/>
          <w:iCs/>
          <w:sz w:val="24"/>
          <w:szCs w:val="24"/>
        </w:rPr>
        <w:t>Mainstream Schools</w:t>
      </w:r>
    </w:p>
    <w:p w14:paraId="7CC9B1C7" w14:textId="3A6EEDB0" w:rsidR="00104AD6" w:rsidRPr="008A4D5F" w:rsidRDefault="007004BD" w:rsidP="00E945CB">
      <w:pPr>
        <w:pStyle w:val="Heading2"/>
      </w:pPr>
      <w:r w:rsidRPr="008A4D5F">
        <w:t>Core funding allocations for each mainstream school and academy will be determined through calculation using the local authority’s funding formula.</w:t>
      </w:r>
      <w:r>
        <w:t xml:space="preserve"> </w:t>
      </w:r>
      <w:r w:rsidRPr="008A4D5F">
        <w:t>During autumn 202</w:t>
      </w:r>
      <w:r>
        <w:t>3</w:t>
      </w:r>
      <w:r w:rsidRPr="008A4D5F">
        <w:t xml:space="preserve"> it was agreed that limited changes would be made to the operation of the local school funding formula for 202</w:t>
      </w:r>
      <w:r>
        <w:t>4</w:t>
      </w:r>
      <w:r w:rsidRPr="008A4D5F">
        <w:t>/2</w:t>
      </w:r>
      <w:r>
        <w:t>5</w:t>
      </w:r>
      <w:r w:rsidRPr="008A4D5F">
        <w:t>. These proposals were subject to consideration by the Schools Forum in October 202</w:t>
      </w:r>
      <w:r>
        <w:t>3</w:t>
      </w:r>
      <w:r w:rsidRPr="008A4D5F">
        <w:t>. The key changes to the 202</w:t>
      </w:r>
      <w:r>
        <w:t>4</w:t>
      </w:r>
      <w:r w:rsidRPr="008A4D5F">
        <w:t>/2</w:t>
      </w:r>
      <w:r>
        <w:t>5</w:t>
      </w:r>
      <w:r w:rsidRPr="008A4D5F">
        <w:t xml:space="preserve"> local formula are summarised below and follow the principle of moving towards the proposed National Funding Formula</w:t>
      </w:r>
      <w:r>
        <w:t xml:space="preserve"> (NFF)</w:t>
      </w:r>
      <w:r w:rsidRPr="008A4D5F">
        <w:t xml:space="preserve"> on a</w:t>
      </w:r>
      <w:r>
        <w:t>n</w:t>
      </w:r>
      <w:r w:rsidRPr="008A4D5F">
        <w:t xml:space="preserve"> </w:t>
      </w:r>
      <w:r>
        <w:t>incremental</w:t>
      </w:r>
      <w:r w:rsidRPr="008A4D5F">
        <w:t xml:space="preserve"> basis as follows:</w:t>
      </w:r>
    </w:p>
    <w:p w14:paraId="60B60D49" w14:textId="22F24902" w:rsidR="00104AD6" w:rsidRDefault="007004BD" w:rsidP="00CE70A3">
      <w:pPr>
        <w:pStyle w:val="Heading2"/>
        <w:numPr>
          <w:ilvl w:val="1"/>
          <w:numId w:val="17"/>
        </w:numPr>
        <w:ind w:left="1134" w:hanging="425"/>
      </w:pPr>
      <w:r w:rsidRPr="008A4D5F">
        <w:t xml:space="preserve">the </w:t>
      </w:r>
      <w:r>
        <w:t xml:space="preserve">mainstream </w:t>
      </w:r>
      <w:r w:rsidRPr="008A4D5F">
        <w:t>school</w:t>
      </w:r>
      <w:r>
        <w:t xml:space="preserve"> additional</w:t>
      </w:r>
      <w:r w:rsidRPr="008A4D5F">
        <w:t xml:space="preserve"> grant funding provided </w:t>
      </w:r>
      <w:r>
        <w:t>by government in</w:t>
      </w:r>
      <w:r w:rsidRPr="008A4D5F">
        <w:t xml:space="preserve"> 202</w:t>
      </w:r>
      <w:r>
        <w:t>3</w:t>
      </w:r>
      <w:r w:rsidRPr="008A4D5F">
        <w:t>/2</w:t>
      </w:r>
      <w:r>
        <w:t>4</w:t>
      </w:r>
      <w:r w:rsidRPr="008A4D5F">
        <w:t xml:space="preserve"> has been rolled into the Schools Block and core formula budgets in 202</w:t>
      </w:r>
      <w:r>
        <w:t>4</w:t>
      </w:r>
      <w:r w:rsidRPr="008A4D5F">
        <w:t>/2</w:t>
      </w:r>
      <w:r>
        <w:t>5</w:t>
      </w:r>
      <w:r w:rsidR="00CB7E5E">
        <w:t>;</w:t>
      </w:r>
    </w:p>
    <w:p w14:paraId="43289C3C" w14:textId="43E7A5B9" w:rsidR="00104AD6" w:rsidRPr="00420EFD" w:rsidRDefault="007004BD" w:rsidP="00CE70A3">
      <w:pPr>
        <w:pStyle w:val="Heading2"/>
        <w:numPr>
          <w:ilvl w:val="1"/>
          <w:numId w:val="17"/>
        </w:numPr>
        <w:ind w:left="1134" w:hanging="425"/>
      </w:pPr>
      <w:r w:rsidRPr="00420EFD">
        <w:t>in line with government requirements</w:t>
      </w:r>
      <w:r>
        <w:t>,</w:t>
      </w:r>
      <w:r w:rsidRPr="00420EFD">
        <w:t xml:space="preserve"> all local formula factor values</w:t>
      </w:r>
      <w:r>
        <w:t xml:space="preserve"> outside of permitted tolerance levels</w:t>
      </w:r>
      <w:r w:rsidRPr="00420EFD">
        <w:t xml:space="preserve"> will be moved 10% closer to those in the NFF</w:t>
      </w:r>
      <w:r w:rsidR="00CB7E5E">
        <w:t>;</w:t>
      </w:r>
    </w:p>
    <w:p w14:paraId="07FE8729" w14:textId="5AFF6D9D" w:rsidR="00104AD6" w:rsidRDefault="007004BD" w:rsidP="00CE70A3">
      <w:pPr>
        <w:pStyle w:val="Heading2"/>
        <w:numPr>
          <w:ilvl w:val="1"/>
          <w:numId w:val="17"/>
        </w:numPr>
        <w:ind w:left="1134" w:hanging="425"/>
      </w:pPr>
      <w:r>
        <w:t>apply the</w:t>
      </w:r>
      <w:r w:rsidRPr="00511574">
        <w:t xml:space="preserve"> mandatory factor to ensure that minimum funding per pupil levels (excluding premises factors) are set at £</w:t>
      </w:r>
      <w:r>
        <w:t>4</w:t>
      </w:r>
      <w:r w:rsidRPr="00511574">
        <w:t>,</w:t>
      </w:r>
      <w:r>
        <w:t>610</w:t>
      </w:r>
      <w:r w:rsidRPr="00511574">
        <w:t xml:space="preserve"> for primary schools and £5,</w:t>
      </w:r>
      <w:r>
        <w:t>995</w:t>
      </w:r>
      <w:r w:rsidRPr="00511574">
        <w:t xml:space="preserve"> for secondary school</w:t>
      </w:r>
      <w:r>
        <w:t>s</w:t>
      </w:r>
      <w:r w:rsidR="00CB7E5E">
        <w:t>;</w:t>
      </w:r>
    </w:p>
    <w:p w14:paraId="4A93EFCF" w14:textId="141D1873" w:rsidR="00104AD6" w:rsidRDefault="007004BD" w:rsidP="00CE70A3">
      <w:pPr>
        <w:pStyle w:val="Heading2"/>
        <w:numPr>
          <w:ilvl w:val="1"/>
          <w:numId w:val="17"/>
        </w:numPr>
        <w:ind w:left="1134" w:hanging="425"/>
      </w:pPr>
      <w:r>
        <w:t>apply uplifts to formula factors to reflect increases in national funding allocations</w:t>
      </w:r>
      <w:r w:rsidR="00CB7E5E">
        <w:t>;</w:t>
      </w:r>
    </w:p>
    <w:p w14:paraId="2863AFB8" w14:textId="3B3FA348" w:rsidR="00104AD6" w:rsidRPr="00A045A7" w:rsidRDefault="007004BD" w:rsidP="00CE70A3">
      <w:pPr>
        <w:pStyle w:val="Heading2"/>
        <w:numPr>
          <w:ilvl w:val="1"/>
          <w:numId w:val="17"/>
        </w:numPr>
        <w:ind w:left="1134" w:hanging="425"/>
      </w:pPr>
      <w:r w:rsidRPr="00A045A7">
        <w:t>split site funding will be allocated using a DfE set formulaic approach, replacing the previous locally determined split sites factor</w:t>
      </w:r>
      <w:r w:rsidR="00CB7E5E">
        <w:t>;</w:t>
      </w:r>
    </w:p>
    <w:p w14:paraId="1358DF51" w14:textId="1367E124" w:rsidR="00104AD6" w:rsidRDefault="007004BD" w:rsidP="00CE70A3">
      <w:pPr>
        <w:pStyle w:val="Heading2"/>
        <w:numPr>
          <w:ilvl w:val="1"/>
          <w:numId w:val="17"/>
        </w:numPr>
        <w:ind w:left="1134" w:hanging="425"/>
      </w:pPr>
      <w:r>
        <w:t>apply a minimum funding guarantee of +0.50% per pupil</w:t>
      </w:r>
      <w:r w:rsidR="00CB7E5E">
        <w:t>.</w:t>
      </w:r>
    </w:p>
    <w:p w14:paraId="537BE61D" w14:textId="77777777" w:rsidR="00104AD6" w:rsidRPr="008A4D5F" w:rsidRDefault="007004BD" w:rsidP="00E945CB">
      <w:pPr>
        <w:pStyle w:val="Heading2"/>
      </w:pPr>
      <w:r w:rsidRPr="008A4D5F">
        <w:t>As in previous years, academies and free schools are included in the DSG allocation to ensure all schools, academies and free schools are funded on the same basis using the LA’s funding formula. DfE then recoups the funding attributable to academies and free schools and pays this directly to these establishments.</w:t>
      </w:r>
    </w:p>
    <w:p w14:paraId="5337CF82" w14:textId="77777777" w:rsidR="00104AD6" w:rsidRDefault="007004BD" w:rsidP="00E945CB">
      <w:pPr>
        <w:pStyle w:val="Heading2"/>
      </w:pPr>
      <w:r w:rsidRPr="008A4D5F">
        <w:t>Funding proposals for 202</w:t>
      </w:r>
      <w:r>
        <w:t>4</w:t>
      </w:r>
      <w:r w:rsidRPr="008A4D5F">
        <w:t>/2</w:t>
      </w:r>
      <w:r>
        <w:t>5</w:t>
      </w:r>
      <w:r w:rsidRPr="008A4D5F">
        <w:t xml:space="preserve"> were presented to, and agreed with, the Schools Forum on 1</w:t>
      </w:r>
      <w:r>
        <w:t>5</w:t>
      </w:r>
      <w:r w:rsidRPr="008A4D5F">
        <w:t xml:space="preserve"> January 202</w:t>
      </w:r>
      <w:r>
        <w:t>4</w:t>
      </w:r>
      <w:r w:rsidRPr="008A4D5F">
        <w:t xml:space="preserve"> and are subject to final sign off by the government.</w:t>
      </w:r>
    </w:p>
    <w:p w14:paraId="4F8FBDEF" w14:textId="70DCAD1F" w:rsidR="009B058F" w:rsidRPr="00DA6D29" w:rsidRDefault="007004BD" w:rsidP="00E945CB">
      <w:pPr>
        <w:pStyle w:val="Heading2"/>
      </w:pPr>
      <w:r w:rsidRPr="00CD7A00">
        <w:t>The net school carry forwards at the end of 2023/24 are expected to be around the breakeven mark, a reduction of around £4.5</w:t>
      </w:r>
      <w:r w:rsidR="00CB7E5E">
        <w:t>00</w:t>
      </w:r>
      <w:r w:rsidRPr="00CD7A00">
        <w:t>m from £4.540m carried forward into 2023/24.</w:t>
      </w:r>
      <w:r>
        <w:t xml:space="preserve"> </w:t>
      </w:r>
      <w:r w:rsidRPr="00CD7A00">
        <w:t>School budgets</w:t>
      </w:r>
      <w:r>
        <w:t xml:space="preserve"> for 2024/25</w:t>
      </w:r>
      <w:r w:rsidRPr="00CD7A00">
        <w:t xml:space="preserve"> are likely to be issued in </w:t>
      </w:r>
      <w:r>
        <w:t xml:space="preserve">early </w:t>
      </w:r>
      <w:r w:rsidRPr="00CD7A00">
        <w:t>February 2024</w:t>
      </w:r>
      <w:r>
        <w:t>,</w:t>
      </w:r>
      <w:r w:rsidRPr="00CD7A00">
        <w:t xml:space="preserve"> once DfE have completed compliance checks to funding regulations. Overall funding for mainstream schools is increasing in the 2024/25 financial year by an average of approximately 2% per pupil. However, a large number of schools are continuing to see reductions in pupil numbers, and this will have an adverse impact on the financial position of these schools with approximately half of all mainstream schools seeing a reduction in actual funding in 2024/25 compared to 2023/24. There is considerable uncertainty about unavoidable cost pressures, such as the level of pay awards in 2024/25. </w:t>
      </w:r>
      <w:r>
        <w:t>The impact on future levels of school balances will become clearer in early March once draft school budget plans for 2024/25 are received.</w:t>
      </w:r>
    </w:p>
    <w:bookmarkEnd w:id="23"/>
    <w:p w14:paraId="587648F3" w14:textId="77777777" w:rsidR="009B058F" w:rsidRPr="00710300" w:rsidRDefault="007004BD" w:rsidP="0057041E">
      <w:pPr>
        <w:pStyle w:val="Heading1"/>
        <w:rPr>
          <w:lang w:val="en-GB"/>
        </w:rPr>
      </w:pPr>
      <w:r w:rsidRPr="00710300">
        <w:rPr>
          <w:lang w:val="en-GB"/>
        </w:rPr>
        <w:t>COMMUNITY ENGAGEMENT &amp; CONSULTATION</w:t>
      </w:r>
      <w:bookmarkEnd w:id="24"/>
    </w:p>
    <w:p w14:paraId="4CD964EC" w14:textId="77777777" w:rsidR="009B058F" w:rsidRPr="00DA6D29" w:rsidRDefault="007004BD" w:rsidP="00E945CB">
      <w:pPr>
        <w:pStyle w:val="Heading2"/>
      </w:pPr>
      <w:r w:rsidRPr="00DA6D29">
        <w:t>General information and advice about the council’s budget will continue to be provided through the council’s web site which provides information and graphics on how money is spent on services, where the money comes from and a summary of the financial challenges ahead. These materials will continue to be promoted to residents across the budget setting period.</w:t>
      </w:r>
    </w:p>
    <w:p w14:paraId="4B0198FC" w14:textId="1E501423" w:rsidR="009B058F" w:rsidRPr="00DA6D29" w:rsidRDefault="007004BD" w:rsidP="00E945CB">
      <w:pPr>
        <w:pStyle w:val="Heading2"/>
      </w:pPr>
      <w:r w:rsidRPr="00DA6D29">
        <w:t>The council will also publicise on-line its key proposals from the budget along with information about council services, and questions and comments invited from residents over the period leading to the February Budget Council meeting.</w:t>
      </w:r>
    </w:p>
    <w:p w14:paraId="1756E0ED" w14:textId="77777777" w:rsidR="009B058F" w:rsidRPr="00362F9B" w:rsidRDefault="007004BD" w:rsidP="00E945CB">
      <w:pPr>
        <w:pStyle w:val="Heading2"/>
      </w:pPr>
      <w:r w:rsidRPr="00362F9B">
        <w:t xml:space="preserve">Frequently asked questions and common themes have previously emerged through the development of the annual budget and have been responded to in our ‘Behind the Budget’ web page: </w:t>
      </w:r>
      <w:hyperlink r:id="rId12" w:history="1">
        <w:r w:rsidRPr="00362F9B">
          <w:rPr>
            <w:rStyle w:val="Hyperlink"/>
            <w:color w:val="auto"/>
          </w:rPr>
          <w:t>Behind the budget (brighton-hove.gov.uk)</w:t>
        </w:r>
      </w:hyperlink>
    </w:p>
    <w:p w14:paraId="7AFFB4B8" w14:textId="77777777" w:rsidR="009B058F" w:rsidRPr="00362F9B" w:rsidRDefault="007004BD" w:rsidP="00E945CB">
      <w:pPr>
        <w:pStyle w:val="Heading2"/>
      </w:pPr>
      <w:r w:rsidRPr="00362F9B">
        <w:t>The frequently asked questions and themes include:</w:t>
      </w:r>
    </w:p>
    <w:p w14:paraId="3EC4E1C4" w14:textId="77777777" w:rsidR="009B058F" w:rsidRPr="00362F9B" w:rsidRDefault="007004BD" w:rsidP="00A35550">
      <w:pPr>
        <w:pStyle w:val="ListParagraph"/>
        <w:numPr>
          <w:ilvl w:val="0"/>
          <w:numId w:val="4"/>
        </w:numPr>
        <w:spacing w:before="120" w:after="120"/>
        <w:ind w:left="1134" w:hanging="425"/>
        <w:contextualSpacing w:val="0"/>
        <w:rPr>
          <w:rFonts w:ascii="Arial" w:hAnsi="Arial" w:cs="Arial"/>
          <w:sz w:val="24"/>
          <w:szCs w:val="24"/>
          <w:lang w:val="en-GB"/>
        </w:rPr>
      </w:pPr>
      <w:r w:rsidRPr="00362F9B">
        <w:rPr>
          <w:rFonts w:ascii="Arial" w:hAnsi="Arial" w:cs="Arial"/>
          <w:sz w:val="24"/>
          <w:szCs w:val="24"/>
          <w:lang w:val="en-GB"/>
        </w:rPr>
        <w:t>Doesn’t Council Tax [alone] pay for all council services?</w:t>
      </w:r>
    </w:p>
    <w:p w14:paraId="2215FDD6" w14:textId="77777777" w:rsidR="009B058F" w:rsidRPr="00362F9B" w:rsidRDefault="007004BD" w:rsidP="00A35550">
      <w:pPr>
        <w:pStyle w:val="ListParagraph"/>
        <w:numPr>
          <w:ilvl w:val="0"/>
          <w:numId w:val="4"/>
        </w:numPr>
        <w:spacing w:before="120" w:after="120"/>
        <w:ind w:left="1134" w:hanging="425"/>
        <w:contextualSpacing w:val="0"/>
        <w:rPr>
          <w:rFonts w:ascii="Arial" w:hAnsi="Arial" w:cs="Arial"/>
          <w:sz w:val="24"/>
          <w:szCs w:val="24"/>
          <w:lang w:val="en-GB"/>
        </w:rPr>
      </w:pPr>
      <w:r w:rsidRPr="00362F9B">
        <w:rPr>
          <w:rFonts w:ascii="Arial" w:hAnsi="Arial" w:cs="Arial"/>
          <w:sz w:val="24"/>
          <w:szCs w:val="24"/>
          <w:lang w:val="en-GB"/>
        </w:rPr>
        <w:t>How about using [i.e. raising or changing] parking charges further?</w:t>
      </w:r>
    </w:p>
    <w:p w14:paraId="40B7C838" w14:textId="77777777" w:rsidR="009B058F" w:rsidRPr="00362F9B" w:rsidRDefault="007004BD" w:rsidP="00A35550">
      <w:pPr>
        <w:pStyle w:val="ListParagraph"/>
        <w:numPr>
          <w:ilvl w:val="0"/>
          <w:numId w:val="4"/>
        </w:numPr>
        <w:spacing w:before="120" w:after="120"/>
        <w:ind w:left="1134" w:hanging="425"/>
        <w:contextualSpacing w:val="0"/>
        <w:rPr>
          <w:rFonts w:ascii="Arial" w:hAnsi="Arial" w:cs="Arial"/>
          <w:sz w:val="24"/>
          <w:szCs w:val="24"/>
          <w:lang w:val="en-GB"/>
        </w:rPr>
      </w:pPr>
      <w:r w:rsidRPr="00362F9B">
        <w:rPr>
          <w:rFonts w:ascii="Arial" w:hAnsi="Arial" w:cs="Arial"/>
          <w:sz w:val="24"/>
          <w:szCs w:val="24"/>
          <w:lang w:val="en-GB"/>
        </w:rPr>
        <w:t>[Why not] Cut pay instead of services?</w:t>
      </w:r>
    </w:p>
    <w:p w14:paraId="6588DF23" w14:textId="77777777" w:rsidR="009B058F" w:rsidRPr="00362F9B" w:rsidRDefault="007004BD" w:rsidP="00A35550">
      <w:pPr>
        <w:pStyle w:val="ListParagraph"/>
        <w:numPr>
          <w:ilvl w:val="0"/>
          <w:numId w:val="4"/>
        </w:numPr>
        <w:spacing w:before="120" w:after="120"/>
        <w:ind w:left="1134" w:hanging="425"/>
        <w:contextualSpacing w:val="0"/>
        <w:rPr>
          <w:rFonts w:ascii="Arial" w:hAnsi="Arial" w:cs="Arial"/>
          <w:sz w:val="24"/>
          <w:szCs w:val="24"/>
          <w:lang w:val="en-GB"/>
        </w:rPr>
      </w:pPr>
      <w:r w:rsidRPr="00362F9B">
        <w:rPr>
          <w:rFonts w:ascii="Arial" w:hAnsi="Arial" w:cs="Arial"/>
          <w:sz w:val="24"/>
          <w:szCs w:val="24"/>
          <w:lang w:val="en-GB"/>
        </w:rPr>
        <w:t>[Why not] Make students pay Council Tax?</w:t>
      </w:r>
    </w:p>
    <w:p w14:paraId="4EE536E7" w14:textId="77777777" w:rsidR="009B058F" w:rsidRPr="00362F9B" w:rsidRDefault="007004BD" w:rsidP="00A35550">
      <w:pPr>
        <w:pStyle w:val="ListParagraph"/>
        <w:numPr>
          <w:ilvl w:val="0"/>
          <w:numId w:val="4"/>
        </w:numPr>
        <w:spacing w:before="120" w:after="120"/>
        <w:ind w:left="1134" w:hanging="425"/>
        <w:contextualSpacing w:val="0"/>
        <w:rPr>
          <w:rFonts w:ascii="Arial" w:hAnsi="Arial" w:cs="Arial"/>
          <w:sz w:val="24"/>
          <w:szCs w:val="24"/>
          <w:lang w:val="en-GB"/>
        </w:rPr>
      </w:pPr>
      <w:r w:rsidRPr="00362F9B">
        <w:rPr>
          <w:rFonts w:ascii="Arial" w:hAnsi="Arial" w:cs="Arial"/>
          <w:sz w:val="24"/>
          <w:szCs w:val="24"/>
          <w:lang w:val="en-GB"/>
        </w:rPr>
        <w:t>[Why not] Just cut councillors and/or their allowances?</w:t>
      </w:r>
    </w:p>
    <w:p w14:paraId="4A78190E" w14:textId="77777777" w:rsidR="009B058F" w:rsidRPr="00362F9B" w:rsidRDefault="007004BD" w:rsidP="00A35550">
      <w:pPr>
        <w:pStyle w:val="ListParagraph"/>
        <w:numPr>
          <w:ilvl w:val="0"/>
          <w:numId w:val="4"/>
        </w:numPr>
        <w:spacing w:before="120" w:after="120"/>
        <w:ind w:left="1134" w:hanging="425"/>
        <w:contextualSpacing w:val="0"/>
        <w:rPr>
          <w:rFonts w:ascii="Arial" w:hAnsi="Arial" w:cs="Arial"/>
          <w:sz w:val="24"/>
          <w:szCs w:val="24"/>
          <w:lang w:val="en-GB"/>
        </w:rPr>
      </w:pPr>
      <w:r w:rsidRPr="00362F9B">
        <w:rPr>
          <w:rFonts w:ascii="Arial" w:hAnsi="Arial" w:cs="Arial"/>
          <w:sz w:val="24"/>
          <w:szCs w:val="24"/>
          <w:lang w:val="en-GB"/>
        </w:rPr>
        <w:t>[Why not] Charge wealthier people more Council Tax?</w:t>
      </w:r>
    </w:p>
    <w:p w14:paraId="7C65FF74" w14:textId="77777777" w:rsidR="009B058F" w:rsidRPr="00362F9B" w:rsidRDefault="007004BD" w:rsidP="00A35550">
      <w:pPr>
        <w:pStyle w:val="ListParagraph"/>
        <w:numPr>
          <w:ilvl w:val="0"/>
          <w:numId w:val="4"/>
        </w:numPr>
        <w:spacing w:before="120" w:after="120"/>
        <w:ind w:left="1134" w:hanging="425"/>
        <w:contextualSpacing w:val="0"/>
        <w:rPr>
          <w:rFonts w:ascii="Arial" w:hAnsi="Arial" w:cs="Arial"/>
          <w:sz w:val="24"/>
          <w:szCs w:val="24"/>
          <w:lang w:val="en-GB"/>
        </w:rPr>
      </w:pPr>
      <w:r w:rsidRPr="00362F9B">
        <w:rPr>
          <w:rFonts w:ascii="Arial" w:hAnsi="Arial" w:cs="Arial"/>
          <w:sz w:val="24"/>
          <w:szCs w:val="24"/>
          <w:lang w:val="en-GB"/>
        </w:rPr>
        <w:t>Extra Business Rates will solve the problem [won’t they]?</w:t>
      </w:r>
    </w:p>
    <w:p w14:paraId="70060F61" w14:textId="77777777" w:rsidR="009B058F" w:rsidRPr="00362F9B" w:rsidRDefault="007004BD" w:rsidP="00E945CB">
      <w:pPr>
        <w:pStyle w:val="Heading2"/>
        <w:numPr>
          <w:ilvl w:val="0"/>
          <w:numId w:val="0"/>
        </w:numPr>
        <w:ind w:left="720"/>
      </w:pPr>
      <w:r w:rsidRPr="00362F9B">
        <w:t>Other consultation and engagement processes are as follows:</w:t>
      </w:r>
    </w:p>
    <w:p w14:paraId="33890163" w14:textId="286DB4A2" w:rsidR="009B058F" w:rsidRPr="00DA6D29" w:rsidRDefault="007004BD" w:rsidP="00E945CB">
      <w:pPr>
        <w:pStyle w:val="Heading2"/>
      </w:pPr>
      <w:r w:rsidRPr="00DA6D29">
        <w:t xml:space="preserve">Information will be shared with Strategic Partners and community groups as normal. Local Strategic Partners remain acutely aware of the potential cumulative impact of funding pressures across public sector agencies on the city. </w:t>
      </w:r>
      <w:r w:rsidR="00140662">
        <w:t>A</w:t>
      </w:r>
      <w:r w:rsidRPr="00DA6D29">
        <w:t>ll Local Strategic Partnership representatives will therefore ensure that information is shared across the sector to assess and mitigate adverse cumulative impacts wherever possible and develop joint actions where appropriate. Engagement with statutory partners will continue on an ongoing basis to further share and understand the potential cumulative impact of budget proposals across the city as they take shape.</w:t>
      </w:r>
    </w:p>
    <w:p w14:paraId="2A070444" w14:textId="7BA5367B" w:rsidR="009B058F" w:rsidRPr="00DA6D29" w:rsidRDefault="007004BD" w:rsidP="00E945CB">
      <w:pPr>
        <w:pStyle w:val="Heading2"/>
      </w:pPr>
      <w:r w:rsidRPr="00DA6D29">
        <w:t xml:space="preserve">In particular, the council continues to engage fully with </w:t>
      </w:r>
      <w:r w:rsidR="00362F9B">
        <w:t>the NHS</w:t>
      </w:r>
      <w:r w:rsidRPr="00DA6D29">
        <w:t xml:space="preserve"> Sussex Integrated Care System to ensure that the budget processes of the two organisations are aligned and communicated as far as practicably possible. As with the council, the local NHS is likely to remain under severe financial pressure due to continually increasing demands on the local health economy.</w:t>
      </w:r>
      <w:r w:rsidR="00362F9B">
        <w:t xml:space="preserve"> Unfortunately, NHS funding announcements (Operating Plans) are normally announced much later than Local Government, often close to or after the start of the next financial year.</w:t>
      </w:r>
    </w:p>
    <w:p w14:paraId="6A3B5B40" w14:textId="18D09403" w:rsidR="009B058F" w:rsidRPr="00DA6D29" w:rsidRDefault="007004BD" w:rsidP="00E945CB">
      <w:pPr>
        <w:pStyle w:val="Heading2"/>
      </w:pPr>
      <w:r w:rsidRPr="00DA6D29">
        <w:t xml:space="preserve">There </w:t>
      </w:r>
      <w:r w:rsidR="00140662">
        <w:t xml:space="preserve">is </w:t>
      </w:r>
      <w:r w:rsidRPr="00DA6D29">
        <w:t xml:space="preserve">ongoing </w:t>
      </w:r>
      <w:r w:rsidR="00140662">
        <w:t>liaison</w:t>
      </w:r>
      <w:r w:rsidRPr="00DA6D29">
        <w:t xml:space="preserve"> and discussion with the Economic Partnership that cover</w:t>
      </w:r>
      <w:r w:rsidR="00140662">
        <w:t>s</w:t>
      </w:r>
      <w:r w:rsidRPr="00DA6D29">
        <w:t xml:space="preserve"> potential funding sources and bids, city regeneration, economic growth, employment and apprenticeship strategies. Officers of the council and members of the administration me</w:t>
      </w:r>
      <w:r w:rsidR="00362F9B">
        <w:t>e</w:t>
      </w:r>
      <w:r w:rsidRPr="00DA6D29">
        <w:t xml:space="preserve">t </w:t>
      </w:r>
      <w:r w:rsidR="00362F9B">
        <w:t xml:space="preserve">periodically </w:t>
      </w:r>
      <w:r w:rsidRPr="00DA6D29">
        <w:t xml:space="preserve">with representatives of the Chamber of Commerce and B&amp;H Economic Partnership to discuss </w:t>
      </w:r>
      <w:r w:rsidR="00362F9B">
        <w:t xml:space="preserve">the council’s </w:t>
      </w:r>
      <w:r w:rsidRPr="00DA6D29">
        <w:t>high level</w:t>
      </w:r>
      <w:r w:rsidR="00362F9B">
        <w:t xml:space="preserve"> plans and over-arching budget situation</w:t>
      </w:r>
      <w:r w:rsidRPr="00DA6D29">
        <w:t>.</w:t>
      </w:r>
    </w:p>
    <w:p w14:paraId="02288916" w14:textId="47C66C26" w:rsidR="009B058F" w:rsidRPr="00DA6D29" w:rsidRDefault="007004BD" w:rsidP="00E945CB">
      <w:pPr>
        <w:pStyle w:val="Heading2"/>
      </w:pPr>
      <w:r w:rsidRPr="00DA6D29">
        <w:t xml:space="preserve">The Schools Forum, a consultative body attended by representatives of all school phases, received a report on the </w:t>
      </w:r>
      <w:r w:rsidR="00362F9B">
        <w:t xml:space="preserve">overall budget position and </w:t>
      </w:r>
      <w:r w:rsidRPr="00DA6D29">
        <w:t xml:space="preserve">potential </w:t>
      </w:r>
      <w:r w:rsidR="00362F9B">
        <w:t xml:space="preserve">scale </w:t>
      </w:r>
      <w:r w:rsidRPr="00DA6D29">
        <w:t xml:space="preserve">of General Fund budget </w:t>
      </w:r>
      <w:r w:rsidR="00362F9B">
        <w:t xml:space="preserve">savings </w:t>
      </w:r>
      <w:r w:rsidRPr="00DA6D29">
        <w:t>at its meeting on 1</w:t>
      </w:r>
      <w:r w:rsidR="00362F9B">
        <w:t>5</w:t>
      </w:r>
      <w:r w:rsidRPr="00DA6D29">
        <w:t xml:space="preserve"> January 202</w:t>
      </w:r>
      <w:r w:rsidR="00362F9B">
        <w:t>4</w:t>
      </w:r>
      <w:r w:rsidRPr="00DA6D29">
        <w:t xml:space="preserve">, providing an opportunity to feedback views. </w:t>
      </w:r>
      <w:r w:rsidR="00362F9B">
        <w:t xml:space="preserve">Unfortunately, the lateness of the Local Government Financial Settlement precluded detailed proposals being shared as in previous years, due to proposals still being developed throughout January. </w:t>
      </w:r>
      <w:r w:rsidRPr="00DA6D29">
        <w:t>Th</w:t>
      </w:r>
      <w:r w:rsidR="00362F9B">
        <w:t>e forum</w:t>
      </w:r>
      <w:r w:rsidRPr="00DA6D29">
        <w:t xml:space="preserve"> is a public, </w:t>
      </w:r>
      <w:proofErr w:type="spellStart"/>
      <w:r w:rsidRPr="00DA6D29">
        <w:t>minuted</w:t>
      </w:r>
      <w:proofErr w:type="spellEnd"/>
      <w:r w:rsidRPr="00DA6D29">
        <w:t xml:space="preserve"> meeting and agenda</w:t>
      </w:r>
      <w:r w:rsidR="00140662">
        <w:t>s</w:t>
      </w:r>
      <w:r w:rsidRPr="00DA6D29">
        <w:t xml:space="preserve"> and minutes are available on the council’s website.</w:t>
      </w:r>
    </w:p>
    <w:p w14:paraId="681FB482" w14:textId="24AD509C" w:rsidR="009B058F" w:rsidRPr="00DA6D29" w:rsidRDefault="007004BD" w:rsidP="00E945CB">
      <w:pPr>
        <w:pStyle w:val="Heading2"/>
      </w:pPr>
      <w:r w:rsidRPr="00DA6D29">
        <w:t>Similarly, officers of the council and members of the Administration met with representatives of the Community &amp; Voluntary Sector on 2</w:t>
      </w:r>
      <w:r w:rsidR="00D0262F">
        <w:t xml:space="preserve">2 January 2024 </w:t>
      </w:r>
      <w:r w:rsidRPr="00DA6D29">
        <w:t>to discuss the budget proposals</w:t>
      </w:r>
      <w:r w:rsidR="00D0262F">
        <w:t>, including reductions in third sector funding,</w:t>
      </w:r>
      <w:r w:rsidRPr="00DA6D29">
        <w:t xml:space="preserve"> and</w:t>
      </w:r>
      <w:r w:rsidR="00D0262F">
        <w:t xml:space="preserve"> to</w:t>
      </w:r>
      <w:r w:rsidRPr="00DA6D29">
        <w:t xml:space="preserve"> provide them with an opportunity to feedback their views to the council and members.</w:t>
      </w:r>
    </w:p>
    <w:p w14:paraId="235CBCD1" w14:textId="2213A6E3" w:rsidR="009B058F" w:rsidRPr="004D5954" w:rsidRDefault="007004BD" w:rsidP="00E945CB">
      <w:pPr>
        <w:pStyle w:val="Heading2"/>
      </w:pPr>
      <w:r w:rsidRPr="004D5954">
        <w:rPr>
          <w:rStyle w:val="cf01"/>
          <w:rFonts w:ascii="Arial" w:hAnsi="Arial" w:cs="Arial"/>
          <w:sz w:val="24"/>
          <w:szCs w:val="24"/>
        </w:rPr>
        <w:t>For staff</w:t>
      </w:r>
      <w:r w:rsidR="004D5954" w:rsidRPr="004D5954">
        <w:rPr>
          <w:rStyle w:val="cf01"/>
          <w:rFonts w:ascii="Arial" w:hAnsi="Arial" w:cs="Arial"/>
          <w:sz w:val="24"/>
          <w:szCs w:val="24"/>
        </w:rPr>
        <w:t>ing proposals</w:t>
      </w:r>
      <w:r w:rsidRPr="004D5954">
        <w:rPr>
          <w:rStyle w:val="cf01"/>
          <w:rFonts w:ascii="Arial" w:hAnsi="Arial" w:cs="Arial"/>
          <w:sz w:val="24"/>
          <w:szCs w:val="24"/>
        </w:rPr>
        <w:t xml:space="preserve">, there have been </w:t>
      </w:r>
      <w:r w:rsidR="004D5954" w:rsidRPr="004D5954">
        <w:rPr>
          <w:rStyle w:val="cf01"/>
          <w:rFonts w:ascii="Arial" w:hAnsi="Arial" w:cs="Arial"/>
          <w:sz w:val="24"/>
          <w:szCs w:val="24"/>
        </w:rPr>
        <w:t>a number of confidential meetings</w:t>
      </w:r>
      <w:r w:rsidRPr="004D5954">
        <w:rPr>
          <w:rStyle w:val="cf01"/>
          <w:rFonts w:ascii="Arial" w:hAnsi="Arial" w:cs="Arial"/>
          <w:sz w:val="24"/>
          <w:szCs w:val="24"/>
        </w:rPr>
        <w:t xml:space="preserve"> with the council's recognised unions</w:t>
      </w:r>
      <w:r w:rsidR="004D5954" w:rsidRPr="004D5954">
        <w:rPr>
          <w:rStyle w:val="cf01"/>
          <w:rFonts w:ascii="Arial" w:hAnsi="Arial" w:cs="Arial"/>
          <w:sz w:val="24"/>
          <w:szCs w:val="24"/>
        </w:rPr>
        <w:t>, including appropriate officers and members of the Administration, to keep unions abreast of developing proposals to ensure they have early sight of where support to their memberships may be required</w:t>
      </w:r>
      <w:r w:rsidRPr="004D5954">
        <w:rPr>
          <w:rStyle w:val="cf01"/>
          <w:rFonts w:ascii="Arial" w:hAnsi="Arial" w:cs="Arial"/>
          <w:sz w:val="24"/>
          <w:szCs w:val="24"/>
        </w:rPr>
        <w:t xml:space="preserve">. See also Section </w:t>
      </w:r>
      <w:r w:rsidR="00744F1C">
        <w:rPr>
          <w:rStyle w:val="cf01"/>
          <w:rFonts w:ascii="Arial" w:hAnsi="Arial" w:cs="Arial"/>
          <w:sz w:val="24"/>
          <w:szCs w:val="24"/>
        </w:rPr>
        <w:fldChar w:fldCharType="begin"/>
      </w:r>
      <w:r w:rsidR="00744F1C">
        <w:rPr>
          <w:rStyle w:val="cf01"/>
          <w:rFonts w:ascii="Arial" w:hAnsi="Arial" w:cs="Arial"/>
          <w:sz w:val="24"/>
          <w:szCs w:val="24"/>
        </w:rPr>
        <w:instrText xml:space="preserve"> REF _Ref157535418 \r \h </w:instrText>
      </w:r>
      <w:r w:rsidR="00744F1C">
        <w:rPr>
          <w:rStyle w:val="cf01"/>
          <w:rFonts w:ascii="Arial" w:hAnsi="Arial" w:cs="Arial"/>
          <w:sz w:val="24"/>
          <w:szCs w:val="24"/>
        </w:rPr>
      </w:r>
      <w:r w:rsidR="00744F1C">
        <w:rPr>
          <w:rStyle w:val="cf01"/>
          <w:rFonts w:ascii="Arial" w:hAnsi="Arial" w:cs="Arial"/>
          <w:sz w:val="24"/>
          <w:szCs w:val="24"/>
        </w:rPr>
        <w:fldChar w:fldCharType="separate"/>
      </w:r>
      <w:r w:rsidR="00744F1C">
        <w:rPr>
          <w:rStyle w:val="cf01"/>
          <w:rFonts w:ascii="Arial" w:hAnsi="Arial" w:cs="Arial"/>
          <w:sz w:val="24"/>
          <w:szCs w:val="24"/>
        </w:rPr>
        <w:t>9</w:t>
      </w:r>
      <w:r w:rsidR="00744F1C">
        <w:rPr>
          <w:rStyle w:val="cf01"/>
          <w:rFonts w:ascii="Arial" w:hAnsi="Arial" w:cs="Arial"/>
          <w:sz w:val="24"/>
          <w:szCs w:val="24"/>
        </w:rPr>
        <w:fldChar w:fldCharType="end"/>
      </w:r>
      <w:r w:rsidRPr="004D5954">
        <w:rPr>
          <w:rStyle w:val="cf01"/>
          <w:rFonts w:ascii="Arial" w:hAnsi="Arial" w:cs="Arial"/>
          <w:sz w:val="24"/>
          <w:szCs w:val="24"/>
        </w:rPr>
        <w:t xml:space="preserve"> Staffing Implications for further information. </w:t>
      </w:r>
      <w:r w:rsidR="004D5954" w:rsidRPr="004D5954">
        <w:rPr>
          <w:rStyle w:val="cf01"/>
          <w:rFonts w:ascii="Arial" w:hAnsi="Arial" w:cs="Arial"/>
          <w:sz w:val="24"/>
          <w:szCs w:val="24"/>
        </w:rPr>
        <w:t xml:space="preserve">Proposals will be shared with staff ahead of formal publication of budget proposals through Departmental Consultative Groups (DCGs) and through line management. </w:t>
      </w:r>
      <w:r w:rsidRPr="004D5954">
        <w:rPr>
          <w:rStyle w:val="cf01"/>
          <w:rFonts w:ascii="Arial" w:hAnsi="Arial" w:cs="Arial"/>
          <w:sz w:val="24"/>
          <w:szCs w:val="24"/>
        </w:rPr>
        <w:t xml:space="preserve">Further </w:t>
      </w:r>
      <w:r w:rsidRPr="004D5954">
        <w:t xml:space="preserve">updates </w:t>
      </w:r>
      <w:r w:rsidR="004D5954" w:rsidRPr="004D5954">
        <w:t xml:space="preserve">and communications </w:t>
      </w:r>
      <w:r w:rsidRPr="004D5954">
        <w:t>are provided via the council’s intranet, corporate email broadcasts</w:t>
      </w:r>
      <w:r w:rsidR="004D5954" w:rsidRPr="004D5954">
        <w:t xml:space="preserve"> and Chief Executive blog. F</w:t>
      </w:r>
      <w:r w:rsidRPr="004D5954">
        <w:t xml:space="preserve">ormal consultation and engagement with directly affected staff </w:t>
      </w:r>
      <w:r w:rsidR="004D5954" w:rsidRPr="004D5954">
        <w:t xml:space="preserve">will be undertaken as normal, including relevant </w:t>
      </w:r>
      <w:r w:rsidRPr="004D5954">
        <w:t>union representatives</w:t>
      </w:r>
      <w:r w:rsidR="004D5954" w:rsidRPr="004D5954">
        <w:t>,</w:t>
      </w:r>
      <w:r w:rsidRPr="004D5954">
        <w:t xml:space="preserve"> under the council’s Organisation Change Management Framework.</w:t>
      </w:r>
    </w:p>
    <w:p w14:paraId="37C46363" w14:textId="77777777" w:rsidR="009B058F" w:rsidRPr="00DA6D29" w:rsidRDefault="007004BD" w:rsidP="00E945CB">
      <w:pPr>
        <w:pStyle w:val="Heading2"/>
      </w:pPr>
      <w:r w:rsidRPr="00DA6D29">
        <w:t>Similarly, where appropriate or required by statute, specific consultation will be undertaken with residents and other people directly affected by proposed changes to service delivery.</w:t>
      </w:r>
    </w:p>
    <w:p w14:paraId="04258F0E" w14:textId="77777777" w:rsidR="009B058F" w:rsidRPr="00E05745" w:rsidRDefault="007004BD" w:rsidP="0057041E">
      <w:pPr>
        <w:pStyle w:val="Heading1"/>
        <w:rPr>
          <w:lang w:val="en-GB"/>
        </w:rPr>
      </w:pPr>
      <w:r w:rsidRPr="00E05745">
        <w:rPr>
          <w:lang w:val="en-GB"/>
        </w:rPr>
        <w:t>CONCLUSION</w:t>
      </w:r>
    </w:p>
    <w:p w14:paraId="6219D05F" w14:textId="1B6E741D" w:rsidR="009B058F" w:rsidRPr="00E05745" w:rsidRDefault="007004BD" w:rsidP="00E945CB">
      <w:pPr>
        <w:pStyle w:val="Heading2"/>
        <w:rPr>
          <w:b/>
          <w:bCs/>
        </w:rPr>
      </w:pPr>
      <w:r w:rsidRPr="00E05745">
        <w:t>The council is under a statutory duty to set its budget and council tax before 11 March each year and must agree a lawfully balanced budget. This report sets out the budget assumptions to be used as the basis for Council Tax calculations in order to meet the statutory duty and the proposals to achieve a balanced budget. The full details of 202</w:t>
      </w:r>
      <w:r w:rsidR="00DA6D29">
        <w:t>4</w:t>
      </w:r>
      <w:r w:rsidRPr="00E05745">
        <w:t>/2</w:t>
      </w:r>
      <w:r w:rsidR="00DA6D29">
        <w:t>5</w:t>
      </w:r>
      <w:r w:rsidRPr="00E05745">
        <w:t xml:space="preserve"> revenue and capital budgets are appended to this report and will be brought together in an annual Budget Book which will provided to Budget Council as a supplementary item. </w:t>
      </w:r>
    </w:p>
    <w:p w14:paraId="135BC167" w14:textId="77777777" w:rsidR="009B058F" w:rsidRPr="00E05745" w:rsidRDefault="007004BD" w:rsidP="0057041E">
      <w:pPr>
        <w:pStyle w:val="Heading1"/>
        <w:rPr>
          <w:lang w:val="en-GB"/>
        </w:rPr>
      </w:pPr>
      <w:r w:rsidRPr="00E05745">
        <w:rPr>
          <w:lang w:val="en-GB"/>
        </w:rPr>
        <w:t>FINANCIAL &amp; OTHER IMPLICATIONS</w:t>
      </w:r>
    </w:p>
    <w:p w14:paraId="42174DAE" w14:textId="77777777" w:rsidR="009B058F" w:rsidRPr="00E05745" w:rsidRDefault="007004BD" w:rsidP="009B058F">
      <w:pPr>
        <w:ind w:left="720"/>
        <w:rPr>
          <w:rFonts w:ascii="Arial" w:hAnsi="Arial" w:cs="Arial"/>
          <w:b/>
          <w:bCs/>
          <w:sz w:val="24"/>
          <w:szCs w:val="24"/>
          <w:lang w:val="en-GB"/>
        </w:rPr>
      </w:pPr>
      <w:r w:rsidRPr="00E05745">
        <w:rPr>
          <w:rFonts w:ascii="Arial" w:hAnsi="Arial" w:cs="Arial"/>
          <w:b/>
          <w:bCs/>
          <w:sz w:val="24"/>
          <w:szCs w:val="24"/>
          <w:lang w:val="en-GB"/>
        </w:rPr>
        <w:t>Financial Implications</w:t>
      </w:r>
    </w:p>
    <w:p w14:paraId="0554600C" w14:textId="77777777" w:rsidR="009B058F" w:rsidRPr="00E05745" w:rsidRDefault="007004BD" w:rsidP="00E945CB">
      <w:pPr>
        <w:pStyle w:val="Heading2"/>
      </w:pPr>
      <w:r w:rsidRPr="00E05745">
        <w:t>These are contained within the main body of the report.</w:t>
      </w:r>
    </w:p>
    <w:p w14:paraId="10F5563F" w14:textId="0A159EBF" w:rsidR="009B058F" w:rsidRPr="00E05745" w:rsidRDefault="007004BD" w:rsidP="00DA6D29">
      <w:pPr>
        <w:tabs>
          <w:tab w:val="left" w:pos="720"/>
          <w:tab w:val="left" w:pos="3840"/>
        </w:tabs>
        <w:ind w:left="720" w:hanging="720"/>
        <w:rPr>
          <w:rFonts w:ascii="Arial" w:hAnsi="Arial" w:cs="Arial"/>
          <w:i/>
          <w:sz w:val="24"/>
          <w:szCs w:val="24"/>
          <w:lang w:val="en-GB"/>
        </w:rPr>
      </w:pPr>
      <w:r w:rsidRPr="00E05745">
        <w:rPr>
          <w:rFonts w:ascii="Arial" w:hAnsi="Arial" w:cs="Arial"/>
          <w:i/>
          <w:sz w:val="24"/>
          <w:szCs w:val="24"/>
          <w:lang w:val="en-GB"/>
        </w:rPr>
        <w:tab/>
        <w:t>Finance Officer Consulted: James Hengeveld</w:t>
      </w:r>
      <w:r w:rsidR="00DA6D29">
        <w:rPr>
          <w:rFonts w:ascii="Arial" w:hAnsi="Arial" w:cs="Arial"/>
          <w:i/>
          <w:sz w:val="24"/>
          <w:szCs w:val="24"/>
          <w:lang w:val="en-GB"/>
        </w:rPr>
        <w:tab/>
      </w:r>
      <w:r w:rsidRPr="00E05745">
        <w:rPr>
          <w:rFonts w:ascii="Arial" w:hAnsi="Arial" w:cs="Arial"/>
          <w:i/>
          <w:sz w:val="24"/>
          <w:szCs w:val="24"/>
          <w:lang w:val="en-GB"/>
        </w:rPr>
        <w:tab/>
        <w:t xml:space="preserve">Date: </w:t>
      </w:r>
      <w:r w:rsidR="00DA6D29">
        <w:rPr>
          <w:rFonts w:ascii="Arial" w:hAnsi="Arial" w:cs="Arial"/>
          <w:i/>
          <w:sz w:val="24"/>
          <w:szCs w:val="24"/>
          <w:lang w:val="en-GB"/>
        </w:rPr>
        <w:t>2</w:t>
      </w:r>
      <w:r w:rsidR="00DE5C2E">
        <w:rPr>
          <w:rFonts w:ascii="Arial" w:hAnsi="Arial" w:cs="Arial"/>
          <w:i/>
          <w:sz w:val="24"/>
          <w:szCs w:val="24"/>
          <w:lang w:val="en-GB"/>
        </w:rPr>
        <w:t>9</w:t>
      </w:r>
      <w:r w:rsidR="00DA6D29">
        <w:rPr>
          <w:rFonts w:ascii="Arial" w:hAnsi="Arial" w:cs="Arial"/>
          <w:i/>
          <w:sz w:val="24"/>
          <w:szCs w:val="24"/>
          <w:lang w:val="en-GB"/>
        </w:rPr>
        <w:t>/1/24</w:t>
      </w:r>
    </w:p>
    <w:p w14:paraId="2EFA76F8" w14:textId="77777777" w:rsidR="009B058F" w:rsidRPr="00E05745" w:rsidRDefault="009B058F" w:rsidP="009B058F">
      <w:pPr>
        <w:tabs>
          <w:tab w:val="left" w:pos="720"/>
        </w:tabs>
        <w:rPr>
          <w:rFonts w:ascii="Arial" w:hAnsi="Arial" w:cs="Arial"/>
          <w:sz w:val="24"/>
          <w:szCs w:val="24"/>
          <w:lang w:val="en-GB"/>
        </w:rPr>
      </w:pPr>
    </w:p>
    <w:p w14:paraId="59B2D7E4" w14:textId="77777777" w:rsidR="009B058F" w:rsidRPr="00CB7E5E" w:rsidRDefault="007004BD" w:rsidP="009B058F">
      <w:pPr>
        <w:keepNext/>
        <w:tabs>
          <w:tab w:val="left" w:pos="720"/>
          <w:tab w:val="left" w:pos="3600"/>
          <w:tab w:val="left" w:pos="6960"/>
        </w:tabs>
        <w:rPr>
          <w:rFonts w:ascii="Arial" w:hAnsi="Arial" w:cs="Arial"/>
          <w:b/>
          <w:bCs/>
          <w:sz w:val="24"/>
          <w:szCs w:val="24"/>
          <w:lang w:val="en-GB"/>
        </w:rPr>
      </w:pPr>
      <w:r w:rsidRPr="00CB7E5E">
        <w:rPr>
          <w:rFonts w:ascii="Arial" w:hAnsi="Arial" w:cs="Arial"/>
          <w:sz w:val="24"/>
          <w:szCs w:val="24"/>
          <w:lang w:val="en-GB"/>
        </w:rPr>
        <w:tab/>
      </w:r>
      <w:r w:rsidRPr="00CB7E5E">
        <w:rPr>
          <w:rFonts w:ascii="Arial" w:hAnsi="Arial" w:cs="Arial"/>
          <w:b/>
          <w:bCs/>
          <w:sz w:val="24"/>
          <w:szCs w:val="24"/>
          <w:lang w:val="en-GB"/>
        </w:rPr>
        <w:t>Legal Implications</w:t>
      </w:r>
    </w:p>
    <w:p w14:paraId="3D1130D4" w14:textId="67C913C4" w:rsidR="009B058F" w:rsidRPr="00DE5C2E" w:rsidRDefault="007004BD" w:rsidP="00E945CB">
      <w:pPr>
        <w:pStyle w:val="Heading2"/>
      </w:pPr>
      <w:bookmarkStart w:id="25" w:name="_Ref157435930"/>
      <w:r w:rsidRPr="00DE5C2E">
        <w:t xml:space="preserve">Whilst the </w:t>
      </w:r>
      <w:r w:rsidR="0070180B" w:rsidRPr="00DE5C2E">
        <w:t>Strategy, Finance &amp; City Regeneration</w:t>
      </w:r>
      <w:r w:rsidRPr="00DE5C2E">
        <w:t xml:space="preserve"> Committee is being asked to recommend, and subsequently the Council asked to agree, the revenue budget and capital strategy, the budget decision is a resourcing decision and does not necessarily constitute final approval of what policies will be implemented or what sums of money will be saved under the service proposals.</w:t>
      </w:r>
      <w:bookmarkEnd w:id="25"/>
    </w:p>
    <w:p w14:paraId="578AF72D" w14:textId="77777777" w:rsidR="009B058F" w:rsidRPr="00DE5C2E" w:rsidRDefault="007004BD" w:rsidP="00E945CB">
      <w:pPr>
        <w:pStyle w:val="Heading2"/>
      </w:pPr>
      <w:bookmarkStart w:id="26" w:name="_Ref283705"/>
      <w:r w:rsidRPr="00DE5C2E">
        <w:t xml:space="preserve">Any </w:t>
      </w:r>
      <w:bookmarkEnd w:id="26"/>
      <w:r w:rsidRPr="00DE5C2E">
        <w:t>decisions taken as part of the budget setting process are subject to compliance with relevant legal requirements, where appropriate, before implementation. The revenue budget and capital strategy recommendations in the report do not commit the council to implement any specific savings proposal. When specific decisions on budget reductions are necessary, focussed consultations and the full equality implications of doing one thing rather than another will be considered in appropriate detail. If it is considered necessary, in light of equality or other considerations, it will be open to those taking the decisions to spend more on one activity and less on another within the overall resources available to the council.</w:t>
      </w:r>
    </w:p>
    <w:p w14:paraId="0939621A" w14:textId="77777777" w:rsidR="009B058F" w:rsidRPr="00DE5C2E" w:rsidRDefault="007004BD" w:rsidP="00E945CB">
      <w:pPr>
        <w:pStyle w:val="Heading2"/>
      </w:pPr>
      <w:r w:rsidRPr="00DE5C2E">
        <w:t xml:space="preserve">For these purposes, the “budget” includes the allocation of financial resources to different services and </w:t>
      </w:r>
      <w:proofErr w:type="gramStart"/>
      <w:r w:rsidRPr="00DE5C2E">
        <w:t>projects, and</w:t>
      </w:r>
      <w:proofErr w:type="gramEnd"/>
      <w:r w:rsidRPr="00DE5C2E">
        <w:t xml:space="preserve"> setting the council tax.</w:t>
      </w:r>
    </w:p>
    <w:p w14:paraId="7975305F" w14:textId="77777777" w:rsidR="009B058F" w:rsidRPr="00DE5C2E" w:rsidRDefault="007004BD" w:rsidP="00E945CB">
      <w:pPr>
        <w:pStyle w:val="Heading2"/>
      </w:pPr>
      <w:r w:rsidRPr="00DE5C2E">
        <w:t>Section 52ZB of the Local Government Finance Act 1992 requires a billing authority to determine whether its relevant basic amount of council tax is “excessive”. If the amount is excessive, the billing authority is required to hold a referendum, with a view to applying an alternative amount if the excessive amount is rejected in a referendum.</w:t>
      </w:r>
    </w:p>
    <w:p w14:paraId="1FCD9DCE" w14:textId="77777777" w:rsidR="009B058F" w:rsidRPr="00DE5C2E" w:rsidRDefault="007004BD" w:rsidP="00E945CB">
      <w:pPr>
        <w:pStyle w:val="Heading2"/>
      </w:pPr>
      <w:r w:rsidRPr="00DE5C2E">
        <w:t xml:space="preserve">The determination of whether a relevant basic amount of council tax is excessive must be made in accordance with principles determined by the Secretary of State.   </w:t>
      </w:r>
    </w:p>
    <w:p w14:paraId="2E2BB3E4" w14:textId="5C79E3E1" w:rsidR="009B058F" w:rsidRPr="00021979" w:rsidRDefault="007004BD" w:rsidP="00E945CB">
      <w:pPr>
        <w:pStyle w:val="Heading2"/>
      </w:pPr>
      <w:r w:rsidRPr="00DE5C2E">
        <w:t xml:space="preserve">Strategy, Finance &amp; City Regeneration Committee has delegated power to formulate the council’s revenue budget proposals, Capital Strategy, including the capital investment programme, and the Treasury Management Strategy Statement, including the Annual Investment Strategy, and to recommend their adoption by full </w:t>
      </w:r>
      <w:r w:rsidRPr="00021979">
        <w:t>Council as part of the overall budget setting process.</w:t>
      </w:r>
    </w:p>
    <w:p w14:paraId="5DA0F350" w14:textId="055A7AB3" w:rsidR="009B058F" w:rsidRPr="00021979" w:rsidRDefault="007004BD" w:rsidP="00DA6D29">
      <w:pPr>
        <w:tabs>
          <w:tab w:val="left" w:pos="720"/>
        </w:tabs>
        <w:ind w:left="720" w:hanging="720"/>
        <w:rPr>
          <w:rFonts w:ascii="Arial" w:hAnsi="Arial" w:cs="Arial"/>
          <w:i/>
          <w:sz w:val="24"/>
          <w:szCs w:val="24"/>
          <w:lang w:val="en-GB"/>
        </w:rPr>
      </w:pPr>
      <w:r w:rsidRPr="00021979">
        <w:rPr>
          <w:rFonts w:ascii="Arial" w:hAnsi="Arial" w:cs="Arial"/>
          <w:sz w:val="24"/>
          <w:szCs w:val="24"/>
          <w:lang w:val="en-GB"/>
        </w:rPr>
        <w:tab/>
      </w:r>
      <w:r w:rsidRPr="00021979">
        <w:rPr>
          <w:rFonts w:ascii="Arial" w:hAnsi="Arial" w:cs="Arial"/>
          <w:i/>
          <w:sz w:val="24"/>
          <w:szCs w:val="24"/>
          <w:lang w:val="en-GB"/>
        </w:rPr>
        <w:t>Lawyer Consulted:</w:t>
      </w:r>
      <w:r w:rsidR="00021979" w:rsidRPr="00021979">
        <w:rPr>
          <w:rFonts w:ascii="Arial" w:hAnsi="Arial" w:cs="Arial"/>
          <w:i/>
          <w:sz w:val="24"/>
          <w:szCs w:val="24"/>
          <w:lang w:val="en-GB"/>
        </w:rPr>
        <w:t xml:space="preserve"> Elizabeth Culbert</w:t>
      </w:r>
      <w:r w:rsidR="00DA6D29" w:rsidRPr="00021979">
        <w:rPr>
          <w:rFonts w:ascii="Arial" w:hAnsi="Arial" w:cs="Arial"/>
          <w:i/>
          <w:sz w:val="24"/>
          <w:szCs w:val="24"/>
          <w:lang w:val="en-GB"/>
        </w:rPr>
        <w:tab/>
      </w:r>
      <w:r w:rsidR="00DA6D29" w:rsidRPr="00021979">
        <w:rPr>
          <w:rFonts w:ascii="Arial" w:hAnsi="Arial" w:cs="Arial"/>
          <w:i/>
          <w:sz w:val="24"/>
          <w:szCs w:val="24"/>
          <w:lang w:val="en-GB"/>
        </w:rPr>
        <w:tab/>
      </w:r>
      <w:r w:rsidR="00DA6D29" w:rsidRPr="00021979">
        <w:rPr>
          <w:rFonts w:ascii="Arial" w:hAnsi="Arial" w:cs="Arial"/>
          <w:i/>
          <w:sz w:val="24"/>
          <w:szCs w:val="24"/>
          <w:lang w:val="en-GB"/>
        </w:rPr>
        <w:tab/>
      </w:r>
      <w:r w:rsidRPr="00021979">
        <w:rPr>
          <w:rFonts w:ascii="Arial" w:hAnsi="Arial" w:cs="Arial"/>
          <w:i/>
          <w:sz w:val="24"/>
          <w:szCs w:val="24"/>
          <w:lang w:val="en-GB"/>
        </w:rPr>
        <w:t xml:space="preserve">Date: </w:t>
      </w:r>
      <w:r w:rsidR="00021979" w:rsidRPr="00021979">
        <w:rPr>
          <w:rFonts w:ascii="Arial" w:hAnsi="Arial" w:cs="Arial"/>
          <w:i/>
          <w:sz w:val="24"/>
          <w:szCs w:val="24"/>
          <w:lang w:val="en-GB"/>
        </w:rPr>
        <w:t>30/01/2024</w:t>
      </w:r>
    </w:p>
    <w:p w14:paraId="02A33AD4" w14:textId="77777777" w:rsidR="009B058F" w:rsidRPr="00E05745" w:rsidRDefault="009B058F" w:rsidP="009B058F">
      <w:pPr>
        <w:rPr>
          <w:rFonts w:ascii="Arial" w:hAnsi="Arial" w:cs="Arial"/>
          <w:color w:val="FF0000"/>
          <w:sz w:val="24"/>
          <w:szCs w:val="24"/>
          <w:lang w:val="en-GB"/>
        </w:rPr>
      </w:pPr>
    </w:p>
    <w:p w14:paraId="4B1486AB" w14:textId="77777777" w:rsidR="009B058F" w:rsidRPr="00E1052F" w:rsidRDefault="007004BD" w:rsidP="009B058F">
      <w:pPr>
        <w:keepNext/>
        <w:tabs>
          <w:tab w:val="left" w:pos="720"/>
        </w:tabs>
        <w:rPr>
          <w:rFonts w:ascii="Arial" w:hAnsi="Arial" w:cs="Arial"/>
          <w:b/>
          <w:bCs/>
          <w:sz w:val="24"/>
          <w:szCs w:val="24"/>
          <w:lang w:val="en-GB"/>
        </w:rPr>
      </w:pPr>
      <w:r w:rsidRPr="00E1052F">
        <w:rPr>
          <w:rFonts w:ascii="Arial" w:hAnsi="Arial" w:cs="Arial"/>
          <w:sz w:val="24"/>
          <w:szCs w:val="24"/>
          <w:lang w:val="en-GB"/>
        </w:rPr>
        <w:tab/>
      </w:r>
      <w:bookmarkStart w:id="27" w:name="_Hlk94605601"/>
      <w:r w:rsidRPr="00E1052F">
        <w:rPr>
          <w:rFonts w:ascii="Arial" w:hAnsi="Arial" w:cs="Arial"/>
          <w:b/>
          <w:bCs/>
          <w:sz w:val="24"/>
          <w:szCs w:val="24"/>
          <w:lang w:val="en-GB"/>
        </w:rPr>
        <w:t>Equalities Implications</w:t>
      </w:r>
    </w:p>
    <w:p w14:paraId="6D7F3C0A" w14:textId="77777777" w:rsidR="009B058F" w:rsidRPr="00DA6D29" w:rsidRDefault="007004BD" w:rsidP="00E945CB">
      <w:pPr>
        <w:pStyle w:val="Heading2"/>
      </w:pPr>
      <w:r w:rsidRPr="00DA6D29">
        <w:t>In Brighton &amp; Hove City Council a budget Equality Impact Assessment (EIA) process has been used to identify the potential disproportionate impacts of proposals on groups/individuals covered by legislation (the ‘protected characteristics’ in the Equality Act 2010) and actions to mitigate these negative impacts or promote positive impacts. This is a key part of meeting the requirements of the Act and demonstrating that the council is doing so.</w:t>
      </w:r>
    </w:p>
    <w:p w14:paraId="452F4E62" w14:textId="77777777" w:rsidR="009B058F" w:rsidRPr="00DA6D29" w:rsidRDefault="007004BD" w:rsidP="00E945CB">
      <w:pPr>
        <w:pStyle w:val="Heading2"/>
      </w:pPr>
      <w:r w:rsidRPr="00DA6D29">
        <w:t xml:space="preserve">In law, the potential impacts identified, and how far proposed actions mitigate them, must be given due regard by decision-makers when making budget and resource decisions. However, as noted under legal implications above, in setting the budget members are making resourcing decisions which remain subject to compliance with all necessary legal and statutory consultation requirements. </w:t>
      </w:r>
    </w:p>
    <w:p w14:paraId="48E7CFE0" w14:textId="77777777" w:rsidR="00D37476" w:rsidRDefault="007004BD" w:rsidP="00E945CB">
      <w:pPr>
        <w:pStyle w:val="Heading2"/>
      </w:pPr>
      <w:r w:rsidRPr="00DA6D29">
        <w:t>All proposals with a potential equalities impact in 202</w:t>
      </w:r>
      <w:r w:rsidR="00E1052F">
        <w:t>4</w:t>
      </w:r>
      <w:r w:rsidRPr="00DA6D29">
        <w:t>/2</w:t>
      </w:r>
      <w:r w:rsidR="00E1052F">
        <w:t>5</w:t>
      </w:r>
      <w:r w:rsidRPr="00DA6D29">
        <w:t xml:space="preserve"> will have an EIA completed and provided to all Members for the Budget Council. EIAs are cross-referenced with savings proposals in Appendix 1. Detailed EIAs are available at Appendix 6</w:t>
      </w:r>
      <w:r>
        <w:t>.</w:t>
      </w:r>
    </w:p>
    <w:p w14:paraId="42DEDE18" w14:textId="0F8F27FC" w:rsidR="009B058F" w:rsidRPr="00DA6D29" w:rsidRDefault="007004BD" w:rsidP="00E945CB">
      <w:pPr>
        <w:pStyle w:val="Heading2"/>
      </w:pPr>
      <w:r>
        <w:t>Note that, as in previous years, EIAs relating to staffing impacts are not published with the budget report as these may contain sensitive information</w:t>
      </w:r>
      <w:r w:rsidRPr="00DA6D29">
        <w:t>.</w:t>
      </w:r>
      <w:r>
        <w:t xml:space="preserve"> Instead, EIAs relating to staffing changes are provided as part of the relevant consultation paper issued to affected staff and recognised trade unions.</w:t>
      </w:r>
    </w:p>
    <w:bookmarkEnd w:id="27"/>
    <w:p w14:paraId="7AFB060C" w14:textId="77777777" w:rsidR="009B058F" w:rsidRPr="00E1052F" w:rsidRDefault="007004BD" w:rsidP="009B058F">
      <w:pPr>
        <w:keepNext/>
        <w:tabs>
          <w:tab w:val="left" w:pos="720"/>
        </w:tabs>
        <w:rPr>
          <w:rFonts w:ascii="Arial" w:hAnsi="Arial" w:cs="Arial"/>
          <w:b/>
          <w:bCs/>
          <w:sz w:val="24"/>
          <w:szCs w:val="24"/>
          <w:lang w:val="en-GB"/>
        </w:rPr>
      </w:pPr>
      <w:r w:rsidRPr="00E1052F">
        <w:rPr>
          <w:rFonts w:ascii="Arial" w:hAnsi="Arial" w:cs="Arial"/>
          <w:sz w:val="24"/>
          <w:szCs w:val="24"/>
          <w:lang w:val="en-GB"/>
        </w:rPr>
        <w:tab/>
      </w:r>
      <w:r w:rsidRPr="00E1052F">
        <w:rPr>
          <w:rFonts w:ascii="Arial" w:hAnsi="Arial" w:cs="Arial"/>
          <w:b/>
          <w:bCs/>
          <w:sz w:val="24"/>
          <w:szCs w:val="24"/>
          <w:lang w:val="en-GB"/>
        </w:rPr>
        <w:t>Sustainability Implications</w:t>
      </w:r>
    </w:p>
    <w:p w14:paraId="5AF7C52E" w14:textId="77777777" w:rsidR="00E1052F" w:rsidRDefault="007004BD" w:rsidP="00E945CB">
      <w:pPr>
        <w:pStyle w:val="Heading2"/>
      </w:pPr>
      <w:r w:rsidRPr="00DA6D29">
        <w:t>One of the criteria considered for developing budget proposals, aligned with the Co</w:t>
      </w:r>
      <w:r>
        <w:t>uncil</w:t>
      </w:r>
      <w:r w:rsidRPr="00DA6D29">
        <w:t xml:space="preserve"> Plan, is whether or not budget proposals contribute to carbon </w:t>
      </w:r>
      <w:r>
        <w:t>net zero</w:t>
      </w:r>
      <w:r w:rsidRPr="00DA6D29">
        <w:t>. This plays out through everything from reviewing the council’s use of office buildings and facilitating remote working for staff which can reduce office space, to increasing the number of electric vehicles in its fleet, through to</w:t>
      </w:r>
      <w:r>
        <w:t xml:space="preserve"> embedding sustainability within its procurement requirements</w:t>
      </w:r>
      <w:r w:rsidRPr="00DA6D29">
        <w:t>.</w:t>
      </w:r>
    </w:p>
    <w:p w14:paraId="0B23F791" w14:textId="523ED876" w:rsidR="009B058F" w:rsidRPr="00DA6D29" w:rsidRDefault="007004BD" w:rsidP="00E945CB">
      <w:pPr>
        <w:pStyle w:val="Heading2"/>
      </w:pPr>
      <w:r w:rsidRPr="00DA6D29">
        <w:t>The capital and revenue budget proposals for 202</w:t>
      </w:r>
      <w:r w:rsidR="00E1052F">
        <w:t>4</w:t>
      </w:r>
      <w:r w:rsidRPr="00DA6D29">
        <w:t>/2</w:t>
      </w:r>
      <w:r w:rsidR="00E1052F">
        <w:t>5</w:t>
      </w:r>
      <w:r w:rsidRPr="00DA6D29">
        <w:t xml:space="preserve"> cannot address all of the Co</w:t>
      </w:r>
      <w:r w:rsidR="00E1052F">
        <w:t>uncil</w:t>
      </w:r>
      <w:r w:rsidRPr="00DA6D29">
        <w:t xml:space="preserve"> Plan objectives but do aim to balance support to these and other priorities within the resources available. In addition, the council has been successful in attracting external funding to support this objective including Active Travel funding, Bus Services Improvement Plan funding and funding for Electric Vehicle charging infrastructure.</w:t>
      </w:r>
    </w:p>
    <w:p w14:paraId="7DDD3D3B" w14:textId="77777777" w:rsidR="009B058F" w:rsidRPr="00DA6D29" w:rsidRDefault="007004BD" w:rsidP="009B058F">
      <w:pPr>
        <w:keepNext/>
        <w:ind w:left="357" w:firstLine="357"/>
        <w:rPr>
          <w:rFonts w:ascii="Arial" w:hAnsi="Arial" w:cs="Arial"/>
          <w:b/>
          <w:bCs/>
          <w:sz w:val="24"/>
          <w:szCs w:val="24"/>
          <w:lang w:val="en-GB"/>
        </w:rPr>
      </w:pPr>
      <w:r w:rsidRPr="00DA6D29">
        <w:rPr>
          <w:rFonts w:ascii="Arial" w:hAnsi="Arial" w:cs="Arial"/>
          <w:b/>
          <w:bCs/>
          <w:sz w:val="24"/>
          <w:szCs w:val="24"/>
          <w:lang w:val="en-GB"/>
        </w:rPr>
        <w:t xml:space="preserve">Crime &amp; disorder implications: </w:t>
      </w:r>
    </w:p>
    <w:p w14:paraId="2B82EC2F" w14:textId="7E938932" w:rsidR="009B058F" w:rsidRPr="00DA6D29" w:rsidRDefault="007004BD" w:rsidP="00E945CB">
      <w:pPr>
        <w:pStyle w:val="Heading2"/>
      </w:pPr>
      <w:r w:rsidRPr="00DA6D29">
        <w:t xml:space="preserve">The budget includes provision for many services that support the prevention of crime and disorder, in particular, through the Community Safety budget which includes budgets for supporting Women’s Safety including those affected by Domestic Abuse, as well as budgets to promote the council’s Anti-Racism Strategy, support efforts to reduce anti-social behaviour and reduce drug related crime. There are also budgets </w:t>
      </w:r>
      <w:r w:rsidR="00DA6D29">
        <w:t xml:space="preserve">for commissioned or contracted support from </w:t>
      </w:r>
      <w:r w:rsidRPr="00DA6D29">
        <w:t xml:space="preserve">third sector organisations also working across these and other areas. </w:t>
      </w:r>
    </w:p>
    <w:p w14:paraId="46B43772" w14:textId="77777777" w:rsidR="009B058F" w:rsidRPr="00DA6D29" w:rsidRDefault="007004BD" w:rsidP="009B058F">
      <w:pPr>
        <w:keepNext/>
        <w:ind w:left="720"/>
        <w:rPr>
          <w:rFonts w:ascii="Arial" w:hAnsi="Arial" w:cs="Arial"/>
          <w:b/>
          <w:bCs/>
          <w:sz w:val="24"/>
          <w:szCs w:val="24"/>
          <w:lang w:val="en-GB"/>
        </w:rPr>
      </w:pPr>
      <w:r w:rsidRPr="00DA6D29">
        <w:rPr>
          <w:rFonts w:ascii="Arial" w:hAnsi="Arial" w:cs="Arial"/>
          <w:b/>
          <w:bCs/>
          <w:sz w:val="24"/>
          <w:szCs w:val="24"/>
          <w:lang w:val="en-GB"/>
        </w:rPr>
        <w:t>Public health implications:</w:t>
      </w:r>
    </w:p>
    <w:p w14:paraId="0ABFE337" w14:textId="77777777" w:rsidR="009B058F" w:rsidRPr="00DA6D29" w:rsidRDefault="007004BD" w:rsidP="00E945CB">
      <w:pPr>
        <w:pStyle w:val="Heading2"/>
      </w:pPr>
      <w:r w:rsidRPr="00DA6D29">
        <w:t xml:space="preserve">The budget includes the ring-fenced Public Health Grant which is spent on providing priority public health services, including advice and support, in accordance with the Joint Health &amp; Well-Being Strategy (with the NHS) and Annual Public Health Reports both of which link to national research and guidelines and involve considerable engagement and consultation. </w:t>
      </w:r>
    </w:p>
    <w:p w14:paraId="7E7C5D70" w14:textId="77777777" w:rsidR="009B058F" w:rsidRPr="00DA6D29" w:rsidRDefault="009B058F" w:rsidP="009B058F">
      <w:pPr>
        <w:rPr>
          <w:rFonts w:ascii="Arial" w:hAnsi="Arial" w:cs="Arial"/>
          <w:sz w:val="24"/>
          <w:szCs w:val="24"/>
          <w:lang w:val="en-GB"/>
        </w:rPr>
      </w:pPr>
    </w:p>
    <w:p w14:paraId="04199531" w14:textId="77777777" w:rsidR="009B058F" w:rsidRPr="00DA6D29" w:rsidRDefault="007004BD" w:rsidP="009B058F">
      <w:pPr>
        <w:tabs>
          <w:tab w:val="left" w:pos="720"/>
        </w:tabs>
        <w:jc w:val="center"/>
        <w:rPr>
          <w:rFonts w:ascii="Arial" w:hAnsi="Arial" w:cs="Arial"/>
          <w:sz w:val="24"/>
          <w:szCs w:val="24"/>
          <w:lang w:val="en-GB"/>
        </w:rPr>
      </w:pPr>
      <w:r w:rsidRPr="00DA6D29">
        <w:rPr>
          <w:rFonts w:ascii="Arial" w:hAnsi="Arial" w:cs="Arial"/>
          <w:b/>
          <w:sz w:val="24"/>
          <w:szCs w:val="24"/>
          <w:u w:val="single"/>
          <w:lang w:val="en-GB"/>
        </w:rPr>
        <w:t>SUPPORTING DOCUMENTATION</w:t>
      </w:r>
    </w:p>
    <w:p w14:paraId="647D23E2" w14:textId="77777777" w:rsidR="009B058F" w:rsidRPr="00DA6D29" w:rsidRDefault="009B058F" w:rsidP="009B058F">
      <w:pPr>
        <w:tabs>
          <w:tab w:val="left" w:pos="720"/>
        </w:tabs>
        <w:ind w:left="720" w:hanging="720"/>
        <w:rPr>
          <w:rFonts w:ascii="Arial" w:hAnsi="Arial" w:cs="Arial"/>
          <w:sz w:val="24"/>
          <w:szCs w:val="24"/>
          <w:lang w:val="en-GB"/>
        </w:rPr>
      </w:pPr>
    </w:p>
    <w:p w14:paraId="2FD67FF3" w14:textId="77777777" w:rsidR="009B058F" w:rsidRPr="00DA6D29" w:rsidRDefault="007004BD" w:rsidP="009B058F">
      <w:pPr>
        <w:tabs>
          <w:tab w:val="left" w:pos="720"/>
        </w:tabs>
        <w:ind w:left="720" w:hanging="720"/>
        <w:rPr>
          <w:rFonts w:ascii="Arial" w:hAnsi="Arial" w:cs="Arial"/>
          <w:b/>
          <w:sz w:val="24"/>
          <w:szCs w:val="24"/>
          <w:lang w:val="en-GB"/>
        </w:rPr>
      </w:pPr>
      <w:r w:rsidRPr="00DA6D29">
        <w:rPr>
          <w:rFonts w:ascii="Arial" w:hAnsi="Arial" w:cs="Arial"/>
          <w:b/>
          <w:sz w:val="24"/>
          <w:szCs w:val="24"/>
          <w:lang w:val="en-GB"/>
        </w:rPr>
        <w:t>Appendices:</w:t>
      </w:r>
    </w:p>
    <w:p w14:paraId="52F767DD" w14:textId="77777777" w:rsidR="009B058F" w:rsidRPr="00DA6D29" w:rsidRDefault="007004BD" w:rsidP="00A35550">
      <w:pPr>
        <w:pStyle w:val="ListParagraph"/>
        <w:numPr>
          <w:ilvl w:val="0"/>
          <w:numId w:val="3"/>
        </w:numPr>
        <w:tabs>
          <w:tab w:val="left" w:pos="720"/>
        </w:tabs>
        <w:spacing w:before="20" w:after="20"/>
        <w:ind w:left="720" w:hanging="720"/>
        <w:contextualSpacing w:val="0"/>
        <w:rPr>
          <w:rFonts w:ascii="Arial" w:hAnsi="Arial" w:cs="Arial"/>
          <w:sz w:val="24"/>
          <w:szCs w:val="24"/>
          <w:lang w:val="en-GB"/>
        </w:rPr>
      </w:pPr>
      <w:r w:rsidRPr="00DA6D29">
        <w:rPr>
          <w:rFonts w:ascii="Arial" w:hAnsi="Arial" w:cs="Arial"/>
          <w:sz w:val="24"/>
          <w:szCs w:val="24"/>
          <w:lang w:val="en-GB"/>
        </w:rPr>
        <w:t>Budget Strategies and proposed savings</w:t>
      </w:r>
    </w:p>
    <w:p w14:paraId="78587A46" w14:textId="6BC5C770" w:rsidR="009B058F" w:rsidRPr="00DA6D29" w:rsidRDefault="007004BD" w:rsidP="00A35550">
      <w:pPr>
        <w:pStyle w:val="ListParagraph"/>
        <w:numPr>
          <w:ilvl w:val="0"/>
          <w:numId w:val="3"/>
        </w:numPr>
        <w:tabs>
          <w:tab w:val="left" w:pos="720"/>
        </w:tabs>
        <w:spacing w:before="20" w:after="20"/>
        <w:ind w:left="720" w:hanging="720"/>
        <w:contextualSpacing w:val="0"/>
        <w:rPr>
          <w:rFonts w:ascii="Arial" w:hAnsi="Arial" w:cs="Arial"/>
          <w:sz w:val="24"/>
          <w:szCs w:val="24"/>
          <w:lang w:val="en-GB"/>
        </w:rPr>
      </w:pPr>
      <w:r w:rsidRPr="00DA6D29">
        <w:rPr>
          <w:rFonts w:ascii="Arial" w:hAnsi="Arial" w:cs="Arial"/>
          <w:sz w:val="24"/>
          <w:szCs w:val="24"/>
          <w:lang w:val="en-GB"/>
        </w:rPr>
        <w:t>Capital Strategy</w:t>
      </w:r>
      <w:r w:rsidR="00DA6D29" w:rsidRPr="00DA6D29">
        <w:rPr>
          <w:rFonts w:ascii="Arial" w:hAnsi="Arial" w:cs="Arial"/>
          <w:sz w:val="24"/>
          <w:szCs w:val="24"/>
          <w:lang w:val="en-GB"/>
        </w:rPr>
        <w:t xml:space="preserve"> including the Capital Investment Programme</w:t>
      </w:r>
      <w:r w:rsidRPr="00DA6D29">
        <w:rPr>
          <w:rFonts w:ascii="Arial" w:hAnsi="Arial" w:cs="Arial"/>
          <w:sz w:val="24"/>
          <w:szCs w:val="24"/>
          <w:lang w:val="en-GB"/>
        </w:rPr>
        <w:t xml:space="preserve"> 202</w:t>
      </w:r>
      <w:r w:rsidR="00DA6D29" w:rsidRPr="00DA6D29">
        <w:rPr>
          <w:rFonts w:ascii="Arial" w:hAnsi="Arial" w:cs="Arial"/>
          <w:sz w:val="24"/>
          <w:szCs w:val="24"/>
          <w:lang w:val="en-GB"/>
        </w:rPr>
        <w:t>4</w:t>
      </w:r>
      <w:r w:rsidRPr="00DA6D29">
        <w:rPr>
          <w:rFonts w:ascii="Arial" w:hAnsi="Arial" w:cs="Arial"/>
          <w:sz w:val="24"/>
          <w:szCs w:val="24"/>
          <w:lang w:val="en-GB"/>
        </w:rPr>
        <w:t>/2</w:t>
      </w:r>
      <w:r w:rsidR="00DA6D29" w:rsidRPr="00DA6D29">
        <w:rPr>
          <w:rFonts w:ascii="Arial" w:hAnsi="Arial" w:cs="Arial"/>
          <w:sz w:val="24"/>
          <w:szCs w:val="24"/>
          <w:lang w:val="en-GB"/>
        </w:rPr>
        <w:t>5</w:t>
      </w:r>
    </w:p>
    <w:p w14:paraId="7557CC55" w14:textId="4B07C959" w:rsidR="009B058F" w:rsidRPr="00DA6D29" w:rsidRDefault="007004BD" w:rsidP="00A35550">
      <w:pPr>
        <w:pStyle w:val="ListParagraph"/>
        <w:numPr>
          <w:ilvl w:val="0"/>
          <w:numId w:val="3"/>
        </w:numPr>
        <w:tabs>
          <w:tab w:val="left" w:pos="720"/>
        </w:tabs>
        <w:spacing w:before="20" w:after="20"/>
        <w:ind w:left="720" w:hanging="720"/>
        <w:contextualSpacing w:val="0"/>
        <w:rPr>
          <w:rFonts w:ascii="Arial" w:hAnsi="Arial" w:cs="Arial"/>
          <w:sz w:val="24"/>
          <w:szCs w:val="24"/>
          <w:lang w:val="en-GB"/>
        </w:rPr>
      </w:pPr>
      <w:r w:rsidRPr="00DA6D29">
        <w:rPr>
          <w:rFonts w:ascii="Arial" w:hAnsi="Arial" w:cs="Arial"/>
          <w:sz w:val="24"/>
          <w:szCs w:val="24"/>
          <w:lang w:val="en-GB"/>
        </w:rPr>
        <w:t>Treasury Management Strategy Statement 202</w:t>
      </w:r>
      <w:r w:rsidR="00DA6D29" w:rsidRPr="00DA6D29">
        <w:rPr>
          <w:rFonts w:ascii="Arial" w:hAnsi="Arial" w:cs="Arial"/>
          <w:sz w:val="24"/>
          <w:szCs w:val="24"/>
          <w:lang w:val="en-GB"/>
        </w:rPr>
        <w:t>4</w:t>
      </w:r>
      <w:r w:rsidRPr="00DA6D29">
        <w:rPr>
          <w:rFonts w:ascii="Arial" w:hAnsi="Arial" w:cs="Arial"/>
          <w:sz w:val="24"/>
          <w:szCs w:val="24"/>
          <w:lang w:val="en-GB"/>
        </w:rPr>
        <w:t>/2</w:t>
      </w:r>
      <w:r w:rsidR="00DA6D29" w:rsidRPr="00DA6D29">
        <w:rPr>
          <w:rFonts w:ascii="Arial" w:hAnsi="Arial" w:cs="Arial"/>
          <w:sz w:val="24"/>
          <w:szCs w:val="24"/>
          <w:lang w:val="en-GB"/>
        </w:rPr>
        <w:t>5</w:t>
      </w:r>
    </w:p>
    <w:p w14:paraId="4446D14A" w14:textId="77777777" w:rsidR="009B058F" w:rsidRPr="00DA6D29" w:rsidRDefault="007004BD" w:rsidP="00A35550">
      <w:pPr>
        <w:pStyle w:val="ListParagraph"/>
        <w:numPr>
          <w:ilvl w:val="0"/>
          <w:numId w:val="3"/>
        </w:numPr>
        <w:tabs>
          <w:tab w:val="left" w:pos="720"/>
        </w:tabs>
        <w:spacing w:before="20" w:after="20"/>
        <w:ind w:left="720" w:hanging="720"/>
        <w:contextualSpacing w:val="0"/>
        <w:rPr>
          <w:rFonts w:ascii="Arial" w:hAnsi="Arial" w:cs="Arial"/>
          <w:sz w:val="24"/>
          <w:szCs w:val="24"/>
          <w:lang w:val="en-GB"/>
        </w:rPr>
      </w:pPr>
      <w:r w:rsidRPr="00DA6D29">
        <w:rPr>
          <w:rFonts w:ascii="Arial" w:hAnsi="Arial" w:cs="Arial"/>
          <w:sz w:val="24"/>
          <w:szCs w:val="24"/>
          <w:lang w:val="en-GB"/>
        </w:rPr>
        <w:t>Review of Reserves</w:t>
      </w:r>
    </w:p>
    <w:p w14:paraId="6BD7D9D3" w14:textId="77777777" w:rsidR="009B058F" w:rsidRPr="00DA6D29" w:rsidRDefault="007004BD" w:rsidP="00A35550">
      <w:pPr>
        <w:numPr>
          <w:ilvl w:val="0"/>
          <w:numId w:val="3"/>
        </w:numPr>
        <w:spacing w:before="20" w:after="20"/>
        <w:ind w:left="720" w:hanging="720"/>
        <w:rPr>
          <w:rFonts w:ascii="Arial" w:hAnsi="Arial" w:cs="Arial"/>
          <w:sz w:val="24"/>
          <w:szCs w:val="24"/>
          <w:lang w:val="en-GB"/>
        </w:rPr>
      </w:pPr>
      <w:r w:rsidRPr="00DA6D29">
        <w:rPr>
          <w:rFonts w:ascii="Arial" w:hAnsi="Arial" w:cs="Arial"/>
          <w:sz w:val="24"/>
          <w:szCs w:val="24"/>
          <w:lang w:val="en-GB"/>
        </w:rPr>
        <w:t>Assessment of Risks</w:t>
      </w:r>
    </w:p>
    <w:p w14:paraId="52CC5A9A" w14:textId="77777777" w:rsidR="009B058F" w:rsidRPr="00DA6D29" w:rsidRDefault="007004BD" w:rsidP="00A35550">
      <w:pPr>
        <w:numPr>
          <w:ilvl w:val="0"/>
          <w:numId w:val="3"/>
        </w:numPr>
        <w:spacing w:before="20" w:after="20"/>
        <w:ind w:left="720" w:hanging="720"/>
        <w:rPr>
          <w:rFonts w:ascii="Arial" w:hAnsi="Arial" w:cs="Arial"/>
          <w:sz w:val="24"/>
          <w:szCs w:val="24"/>
          <w:lang w:val="en-GB"/>
        </w:rPr>
      </w:pPr>
      <w:r w:rsidRPr="00DA6D29">
        <w:rPr>
          <w:rFonts w:ascii="Arial" w:hAnsi="Arial" w:cs="Arial"/>
          <w:sz w:val="24"/>
          <w:szCs w:val="24"/>
          <w:lang w:val="en-GB"/>
        </w:rPr>
        <w:t>Equalities Impact Assessments (EIAs) – Individual Assessments</w:t>
      </w:r>
    </w:p>
    <w:p w14:paraId="569D8D69" w14:textId="77777777" w:rsidR="009B058F" w:rsidRPr="00DA6D29" w:rsidRDefault="009B058F" w:rsidP="009B058F">
      <w:pPr>
        <w:spacing w:before="20" w:after="20"/>
        <w:ind w:left="720"/>
        <w:rPr>
          <w:rFonts w:ascii="Arial" w:hAnsi="Arial" w:cs="Arial"/>
          <w:sz w:val="24"/>
          <w:szCs w:val="24"/>
          <w:lang w:val="en-GB"/>
        </w:rPr>
      </w:pPr>
    </w:p>
    <w:p w14:paraId="7546D653" w14:textId="77777777" w:rsidR="009B058F" w:rsidRPr="00DA6D29" w:rsidRDefault="007004BD" w:rsidP="009B058F">
      <w:pPr>
        <w:tabs>
          <w:tab w:val="left" w:pos="720"/>
        </w:tabs>
        <w:ind w:left="720" w:hanging="720"/>
        <w:rPr>
          <w:rFonts w:ascii="Arial" w:hAnsi="Arial" w:cs="Arial"/>
          <w:b/>
          <w:sz w:val="24"/>
          <w:szCs w:val="24"/>
          <w:lang w:val="en-GB"/>
        </w:rPr>
      </w:pPr>
      <w:r w:rsidRPr="00DA6D29">
        <w:rPr>
          <w:rFonts w:ascii="Arial" w:hAnsi="Arial" w:cs="Arial"/>
          <w:b/>
          <w:sz w:val="24"/>
          <w:szCs w:val="24"/>
          <w:lang w:val="en-GB"/>
        </w:rPr>
        <w:t>Documents in Members’ Rooms</w:t>
      </w:r>
    </w:p>
    <w:p w14:paraId="39991E8C" w14:textId="77777777" w:rsidR="009B058F" w:rsidRPr="00DA6D29" w:rsidRDefault="007004BD" w:rsidP="009B058F">
      <w:pPr>
        <w:tabs>
          <w:tab w:val="left" w:pos="720"/>
        </w:tabs>
        <w:spacing w:before="40" w:after="40"/>
        <w:ind w:left="794" w:hanging="794"/>
        <w:rPr>
          <w:rFonts w:ascii="Arial" w:hAnsi="Arial" w:cs="Arial"/>
          <w:sz w:val="24"/>
          <w:szCs w:val="24"/>
          <w:lang w:val="en-GB"/>
        </w:rPr>
      </w:pPr>
      <w:r w:rsidRPr="00DA6D29">
        <w:rPr>
          <w:rFonts w:ascii="Arial" w:hAnsi="Arial" w:cs="Arial"/>
          <w:sz w:val="24"/>
          <w:szCs w:val="24"/>
          <w:lang w:val="en-GB"/>
        </w:rPr>
        <w:t>1.</w:t>
      </w:r>
      <w:r w:rsidRPr="00DA6D29">
        <w:rPr>
          <w:rFonts w:ascii="Arial" w:hAnsi="Arial" w:cs="Arial"/>
          <w:sz w:val="24"/>
          <w:szCs w:val="24"/>
          <w:lang w:val="en-GB"/>
        </w:rPr>
        <w:tab/>
        <w:t>None</w:t>
      </w:r>
    </w:p>
    <w:p w14:paraId="4235A605" w14:textId="77777777" w:rsidR="009B058F" w:rsidRPr="00DA6D29" w:rsidRDefault="009B058F" w:rsidP="009B058F">
      <w:pPr>
        <w:tabs>
          <w:tab w:val="left" w:pos="720"/>
        </w:tabs>
        <w:rPr>
          <w:rFonts w:ascii="Arial" w:hAnsi="Arial" w:cs="Arial"/>
          <w:sz w:val="24"/>
          <w:szCs w:val="24"/>
          <w:lang w:val="en-GB"/>
        </w:rPr>
      </w:pPr>
    </w:p>
    <w:p w14:paraId="1F2EDA65" w14:textId="77777777" w:rsidR="009B058F" w:rsidRPr="00DA6D29" w:rsidRDefault="007004BD" w:rsidP="009B058F">
      <w:pPr>
        <w:keepNext/>
        <w:keepLines/>
        <w:tabs>
          <w:tab w:val="left" w:pos="720"/>
        </w:tabs>
        <w:ind w:left="720" w:hanging="720"/>
        <w:rPr>
          <w:rFonts w:ascii="Arial" w:hAnsi="Arial" w:cs="Arial"/>
          <w:b/>
          <w:sz w:val="24"/>
          <w:szCs w:val="24"/>
          <w:lang w:val="en-GB"/>
        </w:rPr>
      </w:pPr>
      <w:r w:rsidRPr="00DA6D29">
        <w:rPr>
          <w:rFonts w:ascii="Arial" w:hAnsi="Arial" w:cs="Arial"/>
          <w:b/>
          <w:sz w:val="24"/>
          <w:szCs w:val="24"/>
          <w:lang w:val="en-GB"/>
        </w:rPr>
        <w:t>Background Documents</w:t>
      </w:r>
    </w:p>
    <w:p w14:paraId="637D2098" w14:textId="77777777" w:rsidR="009B058F" w:rsidRPr="00DA6D29" w:rsidRDefault="007004BD" w:rsidP="00A35550">
      <w:pPr>
        <w:pStyle w:val="ListParagraph"/>
        <w:numPr>
          <w:ilvl w:val="0"/>
          <w:numId w:val="2"/>
        </w:numPr>
        <w:tabs>
          <w:tab w:val="left" w:pos="720"/>
        </w:tabs>
        <w:spacing w:before="40" w:after="40"/>
        <w:contextualSpacing w:val="0"/>
        <w:rPr>
          <w:rFonts w:ascii="Arial" w:hAnsi="Arial" w:cs="Arial"/>
          <w:sz w:val="24"/>
          <w:szCs w:val="24"/>
          <w:lang w:val="en-GB"/>
        </w:rPr>
      </w:pPr>
      <w:r w:rsidRPr="00DA6D29">
        <w:rPr>
          <w:rFonts w:ascii="Arial" w:hAnsi="Arial" w:cs="Arial"/>
          <w:sz w:val="24"/>
          <w:szCs w:val="24"/>
          <w:lang w:val="en-GB"/>
        </w:rPr>
        <w:t>Budget files held within Finance</w:t>
      </w:r>
    </w:p>
    <w:p w14:paraId="52584122" w14:textId="77777777" w:rsidR="009B058F" w:rsidRPr="00E05745" w:rsidRDefault="009B058F" w:rsidP="009B058F">
      <w:pPr>
        <w:rPr>
          <w:rFonts w:ascii="Arial" w:hAnsi="Arial" w:cs="Arial"/>
          <w:color w:val="FF0000"/>
          <w:sz w:val="24"/>
          <w:szCs w:val="24"/>
          <w:lang w:val="en-GB"/>
        </w:rPr>
      </w:pPr>
    </w:p>
    <w:p w14:paraId="0819BD81" w14:textId="77777777" w:rsidR="000729CF" w:rsidRDefault="000729CF" w:rsidP="009B058F">
      <w:pPr>
        <w:rPr>
          <w:rFonts w:ascii="Arial" w:hAnsi="Arial" w:cs="Arial"/>
          <w:sz w:val="24"/>
          <w:szCs w:val="24"/>
          <w:lang w:val="en-GB"/>
        </w:rPr>
        <w:sectPr w:rsidR="000729CF" w:rsidSect="00A90AC8">
          <w:footerReference w:type="default" r:id="rId13"/>
          <w:headerReference w:type="first" r:id="rId14"/>
          <w:pgSz w:w="11907" w:h="16840" w:code="9"/>
          <w:pgMar w:top="1361" w:right="1378" w:bottom="993" w:left="993" w:header="720" w:footer="720" w:gutter="0"/>
          <w:cols w:space="720"/>
          <w:titlePg/>
          <w:docGrid w:linePitch="272"/>
        </w:sectPr>
      </w:pPr>
    </w:p>
    <w:p w14:paraId="0E0A0AFE" w14:textId="77777777" w:rsidR="000729CF" w:rsidRPr="000729CF" w:rsidRDefault="000729CF" w:rsidP="000729CF">
      <w:pPr>
        <w:spacing w:after="160" w:line="259" w:lineRule="auto"/>
        <w:rPr>
          <w:rFonts w:ascii="Calibri" w:eastAsia="Calibri" w:hAnsi="Calibri" w:cs="Calibri"/>
          <w:b/>
          <w:bCs/>
          <w:sz w:val="28"/>
          <w:szCs w:val="28"/>
          <w:lang w:val="en-GB"/>
        </w:rPr>
      </w:pPr>
      <w:r w:rsidRPr="000729CF">
        <w:rPr>
          <w:rFonts w:ascii="Calibri" w:eastAsia="Calibri" w:hAnsi="Calibri" w:cs="Calibri"/>
          <w:b/>
          <w:bCs/>
          <w:sz w:val="28"/>
          <w:szCs w:val="28"/>
          <w:lang w:val="en-GB"/>
        </w:rPr>
        <w:t>2024/25 BUDGET - Budget changes from 2023/24 to 2024/25</w:t>
      </w:r>
      <w:r w:rsidRPr="000729CF">
        <w:rPr>
          <w:rFonts w:ascii="Calibri" w:eastAsia="Calibri" w:hAnsi="Calibri" w:cs="Calibri"/>
          <w:b/>
          <w:bCs/>
          <w:sz w:val="28"/>
          <w:szCs w:val="28"/>
          <w:lang w:val="en-GB"/>
        </w:rPr>
        <w:tab/>
      </w:r>
      <w:r w:rsidRPr="000729CF">
        <w:rPr>
          <w:rFonts w:ascii="Calibri" w:eastAsia="Calibri" w:hAnsi="Calibri" w:cs="Calibri"/>
          <w:b/>
          <w:bCs/>
          <w:sz w:val="28"/>
          <w:szCs w:val="28"/>
          <w:lang w:val="en-GB"/>
        </w:rPr>
        <w:tab/>
      </w:r>
      <w:r w:rsidRPr="000729CF">
        <w:rPr>
          <w:rFonts w:ascii="Calibri" w:eastAsia="Calibri" w:hAnsi="Calibri" w:cs="Calibri"/>
          <w:b/>
          <w:bCs/>
          <w:sz w:val="28"/>
          <w:szCs w:val="28"/>
          <w:lang w:val="en-GB"/>
        </w:rPr>
        <w:tab/>
      </w:r>
      <w:r w:rsidRPr="000729CF">
        <w:rPr>
          <w:rFonts w:ascii="Calibri" w:eastAsia="Calibri" w:hAnsi="Calibri" w:cs="Calibri"/>
          <w:b/>
          <w:bCs/>
          <w:sz w:val="28"/>
          <w:szCs w:val="28"/>
          <w:lang w:val="en-GB"/>
        </w:rPr>
        <w:tab/>
      </w:r>
      <w:r w:rsidRPr="000729CF">
        <w:rPr>
          <w:rFonts w:ascii="Calibri" w:eastAsia="Calibri" w:hAnsi="Calibri" w:cs="Calibri"/>
          <w:b/>
          <w:bCs/>
          <w:sz w:val="28"/>
          <w:szCs w:val="28"/>
          <w:lang w:val="en-GB"/>
        </w:rPr>
        <w:tab/>
      </w:r>
      <w:r w:rsidRPr="000729CF">
        <w:rPr>
          <w:rFonts w:ascii="Calibri" w:eastAsia="Calibri" w:hAnsi="Calibri" w:cs="Calibri"/>
          <w:b/>
          <w:bCs/>
          <w:sz w:val="28"/>
          <w:szCs w:val="28"/>
          <w:lang w:val="en-GB"/>
        </w:rPr>
        <w:tab/>
      </w:r>
      <w:r w:rsidRPr="000729CF">
        <w:rPr>
          <w:rFonts w:ascii="Calibri" w:eastAsia="Calibri" w:hAnsi="Calibri" w:cs="Calibri"/>
          <w:b/>
          <w:bCs/>
          <w:sz w:val="28"/>
          <w:szCs w:val="28"/>
          <w:lang w:val="en-GB"/>
        </w:rPr>
        <w:tab/>
      </w:r>
      <w:r w:rsidRPr="000729CF">
        <w:rPr>
          <w:rFonts w:ascii="Calibri" w:eastAsia="Calibri" w:hAnsi="Calibri" w:cs="Calibri"/>
          <w:b/>
          <w:bCs/>
          <w:sz w:val="28"/>
          <w:szCs w:val="28"/>
          <w:lang w:val="en-GB"/>
        </w:rPr>
        <w:tab/>
      </w:r>
      <w:r w:rsidRPr="000729CF">
        <w:rPr>
          <w:rFonts w:ascii="Calibri" w:eastAsia="Calibri" w:hAnsi="Calibri" w:cs="Calibri"/>
          <w:b/>
          <w:bCs/>
          <w:sz w:val="28"/>
          <w:szCs w:val="28"/>
          <w:lang w:val="en-GB"/>
        </w:rPr>
        <w:tab/>
      </w:r>
      <w:r w:rsidRPr="000729CF">
        <w:rPr>
          <w:rFonts w:ascii="Calibri" w:eastAsia="Calibri" w:hAnsi="Calibri" w:cs="Calibri"/>
          <w:b/>
          <w:bCs/>
          <w:sz w:val="28"/>
          <w:szCs w:val="28"/>
          <w:lang w:val="en-GB"/>
        </w:rPr>
        <w:tab/>
        <w:t>Appendix 1</w:t>
      </w:r>
    </w:p>
    <w:tbl>
      <w:tblPr>
        <w:tblW w:w="5000" w:type="pct"/>
        <w:tblLook w:val="04A0" w:firstRow="1" w:lastRow="0" w:firstColumn="1" w:lastColumn="0" w:noHBand="0" w:noVBand="1"/>
      </w:tblPr>
      <w:tblGrid>
        <w:gridCol w:w="4888"/>
        <w:gridCol w:w="1234"/>
        <w:gridCol w:w="1228"/>
        <w:gridCol w:w="1243"/>
        <w:gridCol w:w="1511"/>
        <w:gridCol w:w="1228"/>
        <w:gridCol w:w="1600"/>
        <w:gridCol w:w="1231"/>
        <w:gridCol w:w="1225"/>
      </w:tblGrid>
      <w:tr w:rsidR="000729CF" w:rsidRPr="000729CF" w14:paraId="6E1000BD" w14:textId="77777777" w:rsidTr="00BC26AB">
        <w:trPr>
          <w:trHeight w:val="20"/>
        </w:trPr>
        <w:tc>
          <w:tcPr>
            <w:tcW w:w="1588" w:type="pct"/>
            <w:tcBorders>
              <w:top w:val="single" w:sz="4" w:space="0" w:color="auto"/>
              <w:left w:val="single" w:sz="4" w:space="0" w:color="auto"/>
              <w:bottom w:val="single" w:sz="4" w:space="0" w:color="auto"/>
              <w:right w:val="nil"/>
            </w:tcBorders>
            <w:shd w:val="clear" w:color="000000" w:fill="A6A6A6"/>
            <w:noWrap/>
            <w:tcMar>
              <w:left w:w="45" w:type="dxa"/>
              <w:right w:w="45" w:type="dxa"/>
            </w:tcMar>
            <w:vAlign w:val="bottom"/>
            <w:hideMark/>
          </w:tcPr>
          <w:p w14:paraId="32545A96" w14:textId="77777777" w:rsidR="000729CF" w:rsidRPr="000729CF" w:rsidRDefault="000729CF" w:rsidP="000729CF">
            <w:pPr>
              <w:rPr>
                <w:rFonts w:ascii="Calibri" w:hAnsi="Calibri" w:cs="Calibri"/>
                <w:b/>
                <w:bCs/>
                <w:i/>
                <w:iCs/>
                <w:sz w:val="22"/>
                <w:szCs w:val="22"/>
                <w:lang w:val="en-GB" w:eastAsia="en-GB"/>
              </w:rPr>
            </w:pPr>
            <w:r w:rsidRPr="000729CF">
              <w:rPr>
                <w:rFonts w:ascii="Calibri" w:hAnsi="Calibri" w:cs="Calibri"/>
                <w:b/>
                <w:bCs/>
                <w:i/>
                <w:iCs/>
                <w:sz w:val="22"/>
                <w:szCs w:val="22"/>
                <w:lang w:val="en-GB" w:eastAsia="en-GB"/>
              </w:rPr>
              <w:t> </w:t>
            </w:r>
          </w:p>
        </w:tc>
        <w:tc>
          <w:tcPr>
            <w:tcW w:w="401" w:type="pct"/>
            <w:tcBorders>
              <w:top w:val="single" w:sz="4" w:space="0" w:color="auto"/>
              <w:left w:val="nil"/>
              <w:bottom w:val="single" w:sz="4" w:space="0" w:color="auto"/>
              <w:right w:val="single" w:sz="4" w:space="0" w:color="auto"/>
            </w:tcBorders>
            <w:shd w:val="clear" w:color="000000" w:fill="A6A6A6"/>
            <w:tcMar>
              <w:left w:w="45" w:type="dxa"/>
              <w:right w:w="45" w:type="dxa"/>
            </w:tcMar>
            <w:vAlign w:val="bottom"/>
            <w:hideMark/>
          </w:tcPr>
          <w:p w14:paraId="6923FBB0" w14:textId="77777777" w:rsidR="000729CF" w:rsidRPr="000729CF" w:rsidRDefault="000729CF" w:rsidP="000729CF">
            <w:pPr>
              <w:jc w:val="right"/>
              <w:rPr>
                <w:rFonts w:ascii="Calibri" w:hAnsi="Calibri" w:cs="Calibri"/>
                <w:b/>
                <w:bCs/>
                <w:i/>
                <w:iCs/>
                <w:sz w:val="22"/>
                <w:szCs w:val="22"/>
                <w:lang w:val="en-GB" w:eastAsia="en-GB"/>
              </w:rPr>
            </w:pPr>
            <w:r w:rsidRPr="000729CF">
              <w:rPr>
                <w:rFonts w:ascii="Calibri" w:hAnsi="Calibri" w:cs="Calibri"/>
                <w:b/>
                <w:bCs/>
                <w:i/>
                <w:iCs/>
                <w:sz w:val="22"/>
                <w:szCs w:val="22"/>
                <w:lang w:val="en-GB" w:eastAsia="en-GB"/>
              </w:rPr>
              <w:t>2023/24 Adjusted Base        £'000</w:t>
            </w:r>
          </w:p>
        </w:tc>
        <w:tc>
          <w:tcPr>
            <w:tcW w:w="399" w:type="pct"/>
            <w:tcBorders>
              <w:top w:val="single" w:sz="4" w:space="0" w:color="auto"/>
              <w:left w:val="nil"/>
              <w:bottom w:val="single" w:sz="4" w:space="0" w:color="auto"/>
              <w:right w:val="single" w:sz="4" w:space="0" w:color="auto"/>
            </w:tcBorders>
            <w:shd w:val="clear" w:color="000000" w:fill="A6A6A6"/>
            <w:tcMar>
              <w:left w:w="45" w:type="dxa"/>
              <w:right w:w="45" w:type="dxa"/>
            </w:tcMar>
            <w:vAlign w:val="bottom"/>
            <w:hideMark/>
          </w:tcPr>
          <w:p w14:paraId="247B8EEB" w14:textId="77777777" w:rsidR="000729CF" w:rsidRPr="000729CF" w:rsidRDefault="000729CF" w:rsidP="000729CF">
            <w:pPr>
              <w:jc w:val="right"/>
              <w:rPr>
                <w:rFonts w:ascii="Calibri" w:hAnsi="Calibri" w:cs="Calibri"/>
                <w:b/>
                <w:bCs/>
                <w:i/>
                <w:iCs/>
                <w:sz w:val="22"/>
                <w:szCs w:val="22"/>
                <w:lang w:val="en-GB" w:eastAsia="en-GB"/>
              </w:rPr>
            </w:pPr>
            <w:r w:rsidRPr="000729CF">
              <w:rPr>
                <w:rFonts w:ascii="Calibri" w:hAnsi="Calibri" w:cs="Calibri"/>
                <w:b/>
                <w:bCs/>
                <w:i/>
                <w:iCs/>
                <w:sz w:val="22"/>
                <w:szCs w:val="22"/>
                <w:lang w:val="en-GB" w:eastAsia="en-GB"/>
              </w:rPr>
              <w:t>Inflation   £'000</w:t>
            </w:r>
          </w:p>
        </w:tc>
        <w:tc>
          <w:tcPr>
            <w:tcW w:w="404" w:type="pct"/>
            <w:tcBorders>
              <w:top w:val="single" w:sz="4" w:space="0" w:color="auto"/>
              <w:left w:val="nil"/>
              <w:bottom w:val="single" w:sz="4" w:space="0" w:color="auto"/>
              <w:right w:val="single" w:sz="4" w:space="0" w:color="auto"/>
            </w:tcBorders>
            <w:shd w:val="clear" w:color="000000" w:fill="A6A6A6"/>
            <w:tcMar>
              <w:left w:w="45" w:type="dxa"/>
              <w:right w:w="45" w:type="dxa"/>
            </w:tcMar>
            <w:vAlign w:val="bottom"/>
            <w:hideMark/>
          </w:tcPr>
          <w:p w14:paraId="33268A24" w14:textId="77777777" w:rsidR="000729CF" w:rsidRPr="000729CF" w:rsidRDefault="000729CF" w:rsidP="000729CF">
            <w:pPr>
              <w:jc w:val="right"/>
              <w:rPr>
                <w:rFonts w:ascii="Calibri" w:hAnsi="Calibri" w:cs="Calibri"/>
                <w:b/>
                <w:bCs/>
                <w:i/>
                <w:iCs/>
                <w:sz w:val="22"/>
                <w:szCs w:val="22"/>
                <w:lang w:val="en-GB" w:eastAsia="en-GB"/>
              </w:rPr>
            </w:pPr>
            <w:r w:rsidRPr="000729CF">
              <w:rPr>
                <w:rFonts w:ascii="Calibri" w:hAnsi="Calibri" w:cs="Calibri"/>
                <w:b/>
                <w:bCs/>
                <w:i/>
                <w:iCs/>
                <w:sz w:val="22"/>
                <w:szCs w:val="22"/>
                <w:lang w:val="en-GB" w:eastAsia="en-GB"/>
              </w:rPr>
              <w:t>Service Pressures   £'000</w:t>
            </w:r>
          </w:p>
        </w:tc>
        <w:tc>
          <w:tcPr>
            <w:tcW w:w="491" w:type="pct"/>
            <w:tcBorders>
              <w:top w:val="single" w:sz="4" w:space="0" w:color="auto"/>
              <w:left w:val="nil"/>
              <w:bottom w:val="single" w:sz="4" w:space="0" w:color="auto"/>
              <w:right w:val="single" w:sz="4" w:space="0" w:color="auto"/>
            </w:tcBorders>
            <w:shd w:val="clear" w:color="000000" w:fill="A6A6A6"/>
            <w:tcMar>
              <w:left w:w="45" w:type="dxa"/>
              <w:right w:w="45" w:type="dxa"/>
            </w:tcMar>
            <w:vAlign w:val="bottom"/>
            <w:hideMark/>
          </w:tcPr>
          <w:p w14:paraId="688E4677" w14:textId="77777777" w:rsidR="000729CF" w:rsidRPr="000729CF" w:rsidRDefault="000729CF" w:rsidP="000729CF">
            <w:pPr>
              <w:jc w:val="right"/>
              <w:rPr>
                <w:rFonts w:ascii="Calibri" w:hAnsi="Calibri" w:cs="Calibri"/>
                <w:b/>
                <w:bCs/>
                <w:i/>
                <w:iCs/>
                <w:sz w:val="22"/>
                <w:szCs w:val="22"/>
                <w:lang w:val="en-GB" w:eastAsia="en-GB"/>
              </w:rPr>
            </w:pPr>
            <w:r w:rsidRPr="000729CF">
              <w:rPr>
                <w:rFonts w:ascii="Calibri" w:hAnsi="Calibri" w:cs="Calibri"/>
                <w:b/>
                <w:bCs/>
                <w:i/>
                <w:iCs/>
                <w:sz w:val="22"/>
                <w:szCs w:val="22"/>
                <w:lang w:val="en-GB" w:eastAsia="en-GB"/>
              </w:rPr>
              <w:t xml:space="preserve"> Commitments and Reinvestment  £'000</w:t>
            </w:r>
          </w:p>
        </w:tc>
        <w:tc>
          <w:tcPr>
            <w:tcW w:w="399" w:type="pct"/>
            <w:tcBorders>
              <w:top w:val="single" w:sz="4" w:space="0" w:color="auto"/>
              <w:left w:val="nil"/>
              <w:bottom w:val="single" w:sz="4" w:space="0" w:color="auto"/>
              <w:right w:val="single" w:sz="4" w:space="0" w:color="auto"/>
            </w:tcBorders>
            <w:shd w:val="clear" w:color="000000" w:fill="A6A6A6"/>
            <w:tcMar>
              <w:left w:w="45" w:type="dxa"/>
              <w:right w:w="45" w:type="dxa"/>
            </w:tcMar>
            <w:vAlign w:val="bottom"/>
            <w:hideMark/>
          </w:tcPr>
          <w:p w14:paraId="353236B2" w14:textId="77777777" w:rsidR="000729CF" w:rsidRPr="000729CF" w:rsidRDefault="000729CF" w:rsidP="000729CF">
            <w:pPr>
              <w:jc w:val="right"/>
              <w:rPr>
                <w:rFonts w:ascii="Calibri" w:hAnsi="Calibri" w:cs="Calibri"/>
                <w:b/>
                <w:bCs/>
                <w:i/>
                <w:iCs/>
                <w:sz w:val="22"/>
                <w:szCs w:val="22"/>
                <w:lang w:val="en-GB" w:eastAsia="en-GB"/>
              </w:rPr>
            </w:pPr>
            <w:r w:rsidRPr="000729CF">
              <w:rPr>
                <w:rFonts w:ascii="Calibri" w:hAnsi="Calibri" w:cs="Calibri"/>
                <w:b/>
                <w:bCs/>
                <w:i/>
                <w:iCs/>
                <w:sz w:val="22"/>
                <w:szCs w:val="22"/>
                <w:lang w:val="en-GB" w:eastAsia="en-GB"/>
              </w:rPr>
              <w:t xml:space="preserve"> VFM &amp; Other Savings £'000</w:t>
            </w:r>
          </w:p>
        </w:tc>
        <w:tc>
          <w:tcPr>
            <w:tcW w:w="520" w:type="pct"/>
            <w:tcBorders>
              <w:top w:val="single" w:sz="4" w:space="0" w:color="auto"/>
              <w:left w:val="nil"/>
              <w:bottom w:val="single" w:sz="4" w:space="0" w:color="auto"/>
              <w:right w:val="single" w:sz="4" w:space="0" w:color="auto"/>
            </w:tcBorders>
            <w:shd w:val="clear" w:color="000000" w:fill="A6A6A6"/>
            <w:tcMar>
              <w:left w:w="45" w:type="dxa"/>
              <w:right w:w="45" w:type="dxa"/>
            </w:tcMar>
            <w:vAlign w:val="bottom"/>
            <w:hideMark/>
          </w:tcPr>
          <w:p w14:paraId="626920FB" w14:textId="77777777" w:rsidR="000729CF" w:rsidRPr="000729CF" w:rsidRDefault="000729CF" w:rsidP="000729CF">
            <w:pPr>
              <w:jc w:val="right"/>
              <w:rPr>
                <w:rFonts w:ascii="Calibri" w:hAnsi="Calibri" w:cs="Calibri"/>
                <w:b/>
                <w:bCs/>
                <w:i/>
                <w:iCs/>
                <w:sz w:val="22"/>
                <w:szCs w:val="22"/>
                <w:lang w:val="en-GB" w:eastAsia="en-GB"/>
              </w:rPr>
            </w:pPr>
            <w:r w:rsidRPr="000729CF">
              <w:rPr>
                <w:rFonts w:ascii="Calibri" w:hAnsi="Calibri" w:cs="Calibri"/>
                <w:b/>
                <w:bCs/>
                <w:i/>
                <w:iCs/>
                <w:sz w:val="22"/>
                <w:szCs w:val="22"/>
                <w:lang w:val="en-GB" w:eastAsia="en-GB"/>
              </w:rPr>
              <w:t>2024/25 Original Budget £'000</w:t>
            </w:r>
          </w:p>
        </w:tc>
        <w:tc>
          <w:tcPr>
            <w:tcW w:w="400" w:type="pct"/>
            <w:tcBorders>
              <w:top w:val="single" w:sz="4" w:space="0" w:color="auto"/>
              <w:left w:val="nil"/>
              <w:bottom w:val="single" w:sz="4" w:space="0" w:color="auto"/>
              <w:right w:val="single" w:sz="4" w:space="0" w:color="auto"/>
            </w:tcBorders>
            <w:shd w:val="clear" w:color="000000" w:fill="A6A6A6"/>
            <w:tcMar>
              <w:left w:w="45" w:type="dxa"/>
              <w:right w:w="45" w:type="dxa"/>
            </w:tcMar>
            <w:vAlign w:val="bottom"/>
            <w:hideMark/>
          </w:tcPr>
          <w:p w14:paraId="7623209C" w14:textId="77777777" w:rsidR="000729CF" w:rsidRPr="000729CF" w:rsidRDefault="000729CF" w:rsidP="000729CF">
            <w:pPr>
              <w:jc w:val="right"/>
              <w:rPr>
                <w:rFonts w:ascii="Calibri" w:hAnsi="Calibri" w:cs="Calibri"/>
                <w:b/>
                <w:bCs/>
                <w:i/>
                <w:iCs/>
                <w:sz w:val="22"/>
                <w:szCs w:val="22"/>
                <w:lang w:val="en-GB" w:eastAsia="en-GB"/>
              </w:rPr>
            </w:pPr>
            <w:r w:rsidRPr="000729CF">
              <w:rPr>
                <w:rFonts w:ascii="Calibri" w:hAnsi="Calibri" w:cs="Calibri"/>
                <w:b/>
                <w:bCs/>
                <w:i/>
                <w:iCs/>
                <w:sz w:val="22"/>
                <w:szCs w:val="22"/>
                <w:lang w:val="en-GB" w:eastAsia="en-GB"/>
              </w:rPr>
              <w:t>Change over adjusted base     £'000</w:t>
            </w:r>
          </w:p>
        </w:tc>
        <w:tc>
          <w:tcPr>
            <w:tcW w:w="398" w:type="pct"/>
            <w:tcBorders>
              <w:top w:val="single" w:sz="4" w:space="0" w:color="auto"/>
              <w:left w:val="nil"/>
              <w:bottom w:val="single" w:sz="4" w:space="0" w:color="auto"/>
              <w:right w:val="single" w:sz="4" w:space="0" w:color="auto"/>
            </w:tcBorders>
            <w:shd w:val="clear" w:color="000000" w:fill="A6A6A6"/>
            <w:tcMar>
              <w:left w:w="45" w:type="dxa"/>
              <w:right w:w="45" w:type="dxa"/>
            </w:tcMar>
            <w:vAlign w:val="bottom"/>
            <w:hideMark/>
          </w:tcPr>
          <w:p w14:paraId="3CA7024C" w14:textId="77777777" w:rsidR="000729CF" w:rsidRPr="000729CF" w:rsidRDefault="000729CF" w:rsidP="000729CF">
            <w:pPr>
              <w:jc w:val="right"/>
              <w:rPr>
                <w:rFonts w:ascii="Calibri" w:hAnsi="Calibri" w:cs="Calibri"/>
                <w:b/>
                <w:bCs/>
                <w:i/>
                <w:iCs/>
                <w:sz w:val="22"/>
                <w:szCs w:val="22"/>
                <w:lang w:val="en-GB" w:eastAsia="en-GB"/>
              </w:rPr>
            </w:pPr>
            <w:r w:rsidRPr="000729CF">
              <w:rPr>
                <w:rFonts w:ascii="Calibri" w:hAnsi="Calibri" w:cs="Calibri"/>
                <w:b/>
                <w:bCs/>
                <w:i/>
                <w:iCs/>
                <w:sz w:val="22"/>
                <w:szCs w:val="22"/>
                <w:lang w:val="en-GB" w:eastAsia="en-GB"/>
              </w:rPr>
              <w:t>Change over adjusted base            %</w:t>
            </w:r>
          </w:p>
        </w:tc>
      </w:tr>
      <w:tr w:rsidR="000729CF" w:rsidRPr="000729CF" w14:paraId="43028749" w14:textId="77777777" w:rsidTr="00BC26AB">
        <w:trPr>
          <w:trHeight w:val="20"/>
        </w:trPr>
        <w:tc>
          <w:tcPr>
            <w:tcW w:w="1588" w:type="pct"/>
            <w:tcBorders>
              <w:top w:val="nil"/>
              <w:left w:val="single" w:sz="4" w:space="0" w:color="auto"/>
              <w:bottom w:val="nil"/>
              <w:right w:val="nil"/>
            </w:tcBorders>
            <w:shd w:val="clear" w:color="000000" w:fill="FFFFFF"/>
            <w:noWrap/>
            <w:tcMar>
              <w:left w:w="45" w:type="dxa"/>
              <w:right w:w="45" w:type="dxa"/>
            </w:tcMar>
            <w:vAlign w:val="bottom"/>
            <w:hideMark/>
          </w:tcPr>
          <w:p w14:paraId="76F93869"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Families, Children &amp; Learning</w:t>
            </w:r>
          </w:p>
        </w:tc>
        <w:tc>
          <w:tcPr>
            <w:tcW w:w="401" w:type="pct"/>
            <w:tcBorders>
              <w:top w:val="nil"/>
              <w:left w:val="nil"/>
              <w:bottom w:val="nil"/>
              <w:right w:val="single" w:sz="4" w:space="0" w:color="auto"/>
            </w:tcBorders>
            <w:shd w:val="clear" w:color="000000" w:fill="FFFFFF"/>
            <w:noWrap/>
            <w:tcMar>
              <w:left w:w="45" w:type="dxa"/>
              <w:right w:w="45" w:type="dxa"/>
            </w:tcMar>
            <w:vAlign w:val="bottom"/>
            <w:hideMark/>
          </w:tcPr>
          <w:p w14:paraId="51F607C2"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 xml:space="preserve">63,001 </w:t>
            </w:r>
          </w:p>
        </w:tc>
        <w:tc>
          <w:tcPr>
            <w:tcW w:w="399" w:type="pct"/>
            <w:tcBorders>
              <w:top w:val="nil"/>
              <w:left w:val="nil"/>
              <w:bottom w:val="nil"/>
              <w:right w:val="single" w:sz="4" w:space="0" w:color="auto"/>
            </w:tcBorders>
            <w:shd w:val="clear" w:color="000000" w:fill="FFFFFF"/>
            <w:noWrap/>
            <w:tcMar>
              <w:left w:w="45" w:type="dxa"/>
              <w:right w:w="45" w:type="dxa"/>
            </w:tcMar>
            <w:vAlign w:val="bottom"/>
            <w:hideMark/>
          </w:tcPr>
          <w:p w14:paraId="669481C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2,506 </w:t>
            </w:r>
          </w:p>
        </w:tc>
        <w:tc>
          <w:tcPr>
            <w:tcW w:w="404" w:type="pct"/>
            <w:tcBorders>
              <w:top w:val="nil"/>
              <w:left w:val="nil"/>
              <w:bottom w:val="nil"/>
              <w:right w:val="single" w:sz="4" w:space="0" w:color="auto"/>
            </w:tcBorders>
            <w:shd w:val="clear" w:color="000000" w:fill="FFFFFF"/>
            <w:noWrap/>
            <w:tcMar>
              <w:left w:w="45" w:type="dxa"/>
              <w:right w:w="45" w:type="dxa"/>
            </w:tcMar>
            <w:vAlign w:val="bottom"/>
            <w:hideMark/>
          </w:tcPr>
          <w:p w14:paraId="6A449DF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4,476 </w:t>
            </w:r>
          </w:p>
        </w:tc>
        <w:tc>
          <w:tcPr>
            <w:tcW w:w="491" w:type="pct"/>
            <w:tcBorders>
              <w:top w:val="nil"/>
              <w:left w:val="nil"/>
              <w:bottom w:val="nil"/>
              <w:right w:val="single" w:sz="4" w:space="0" w:color="auto"/>
            </w:tcBorders>
            <w:shd w:val="clear" w:color="000000" w:fill="FFFFFF"/>
            <w:noWrap/>
            <w:tcMar>
              <w:left w:w="45" w:type="dxa"/>
              <w:right w:w="45" w:type="dxa"/>
            </w:tcMar>
            <w:vAlign w:val="bottom"/>
            <w:hideMark/>
          </w:tcPr>
          <w:p w14:paraId="656DF12A"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399" w:type="pct"/>
            <w:tcBorders>
              <w:top w:val="nil"/>
              <w:left w:val="nil"/>
              <w:bottom w:val="nil"/>
              <w:right w:val="single" w:sz="4" w:space="0" w:color="auto"/>
            </w:tcBorders>
            <w:shd w:val="clear" w:color="000000" w:fill="FFFFFF"/>
            <w:noWrap/>
            <w:tcMar>
              <w:left w:w="45" w:type="dxa"/>
              <w:right w:w="45" w:type="dxa"/>
            </w:tcMar>
            <w:vAlign w:val="bottom"/>
            <w:hideMark/>
          </w:tcPr>
          <w:p w14:paraId="45C9B492"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(4,991)</w:t>
            </w:r>
          </w:p>
        </w:tc>
        <w:tc>
          <w:tcPr>
            <w:tcW w:w="520" w:type="pct"/>
            <w:tcBorders>
              <w:top w:val="nil"/>
              <w:left w:val="nil"/>
              <w:bottom w:val="nil"/>
              <w:right w:val="single" w:sz="4" w:space="0" w:color="auto"/>
            </w:tcBorders>
            <w:shd w:val="clear" w:color="000000" w:fill="FFFFFF"/>
            <w:noWrap/>
            <w:tcMar>
              <w:left w:w="45" w:type="dxa"/>
              <w:right w:w="45" w:type="dxa"/>
            </w:tcMar>
            <w:vAlign w:val="bottom"/>
            <w:hideMark/>
          </w:tcPr>
          <w:p w14:paraId="6621167C"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 xml:space="preserve">64,992 </w:t>
            </w:r>
          </w:p>
        </w:tc>
        <w:tc>
          <w:tcPr>
            <w:tcW w:w="400" w:type="pct"/>
            <w:tcBorders>
              <w:top w:val="nil"/>
              <w:left w:val="nil"/>
              <w:bottom w:val="nil"/>
              <w:right w:val="single" w:sz="4" w:space="0" w:color="auto"/>
            </w:tcBorders>
            <w:shd w:val="clear" w:color="000000" w:fill="FFFFFF"/>
            <w:noWrap/>
            <w:tcMar>
              <w:left w:w="45" w:type="dxa"/>
              <w:right w:w="45" w:type="dxa"/>
            </w:tcMar>
            <w:vAlign w:val="bottom"/>
            <w:hideMark/>
          </w:tcPr>
          <w:p w14:paraId="1E687DE6"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1,991 </w:t>
            </w:r>
          </w:p>
        </w:tc>
        <w:tc>
          <w:tcPr>
            <w:tcW w:w="398" w:type="pct"/>
            <w:tcBorders>
              <w:top w:val="nil"/>
              <w:left w:val="nil"/>
              <w:bottom w:val="nil"/>
              <w:right w:val="single" w:sz="4" w:space="0" w:color="auto"/>
            </w:tcBorders>
            <w:shd w:val="clear" w:color="000000" w:fill="FFFFFF"/>
            <w:noWrap/>
            <w:tcMar>
              <w:left w:w="45" w:type="dxa"/>
              <w:right w:w="45" w:type="dxa"/>
            </w:tcMar>
            <w:vAlign w:val="bottom"/>
            <w:hideMark/>
          </w:tcPr>
          <w:p w14:paraId="29B294C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3.16 </w:t>
            </w:r>
          </w:p>
        </w:tc>
      </w:tr>
      <w:tr w:rsidR="000729CF" w:rsidRPr="000729CF" w14:paraId="62D69E15" w14:textId="77777777" w:rsidTr="00BC26AB">
        <w:trPr>
          <w:trHeight w:val="20"/>
        </w:trPr>
        <w:tc>
          <w:tcPr>
            <w:tcW w:w="1588" w:type="pct"/>
            <w:tcBorders>
              <w:top w:val="nil"/>
              <w:left w:val="single" w:sz="4" w:space="0" w:color="auto"/>
              <w:bottom w:val="nil"/>
              <w:right w:val="nil"/>
            </w:tcBorders>
            <w:shd w:val="clear" w:color="000000" w:fill="D9D9D9"/>
            <w:noWrap/>
            <w:tcMar>
              <w:left w:w="45" w:type="dxa"/>
              <w:right w:w="45" w:type="dxa"/>
            </w:tcMar>
            <w:vAlign w:val="bottom"/>
            <w:hideMark/>
          </w:tcPr>
          <w:p w14:paraId="530CD210"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Health &amp; Adult Social Care</w:t>
            </w:r>
          </w:p>
        </w:tc>
        <w:tc>
          <w:tcPr>
            <w:tcW w:w="401" w:type="pct"/>
            <w:tcBorders>
              <w:top w:val="nil"/>
              <w:left w:val="nil"/>
              <w:bottom w:val="nil"/>
              <w:right w:val="single" w:sz="4" w:space="0" w:color="auto"/>
            </w:tcBorders>
            <w:shd w:val="clear" w:color="000000" w:fill="D9D9D9"/>
            <w:noWrap/>
            <w:tcMar>
              <w:left w:w="45" w:type="dxa"/>
              <w:right w:w="45" w:type="dxa"/>
            </w:tcMar>
            <w:vAlign w:val="bottom"/>
            <w:hideMark/>
          </w:tcPr>
          <w:p w14:paraId="2DE381C9"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 xml:space="preserve">98,943 </w:t>
            </w:r>
          </w:p>
        </w:tc>
        <w:tc>
          <w:tcPr>
            <w:tcW w:w="399" w:type="pct"/>
            <w:tcBorders>
              <w:top w:val="nil"/>
              <w:left w:val="nil"/>
              <w:bottom w:val="nil"/>
              <w:right w:val="single" w:sz="4" w:space="0" w:color="auto"/>
            </w:tcBorders>
            <w:shd w:val="clear" w:color="000000" w:fill="D9D9D9"/>
            <w:noWrap/>
            <w:tcMar>
              <w:left w:w="45" w:type="dxa"/>
              <w:right w:w="45" w:type="dxa"/>
            </w:tcMar>
            <w:vAlign w:val="bottom"/>
            <w:hideMark/>
          </w:tcPr>
          <w:p w14:paraId="0BF6CAEC"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5,160 </w:t>
            </w:r>
          </w:p>
        </w:tc>
        <w:tc>
          <w:tcPr>
            <w:tcW w:w="404" w:type="pct"/>
            <w:tcBorders>
              <w:top w:val="nil"/>
              <w:left w:val="nil"/>
              <w:bottom w:val="nil"/>
              <w:right w:val="single" w:sz="4" w:space="0" w:color="auto"/>
            </w:tcBorders>
            <w:shd w:val="clear" w:color="000000" w:fill="D9D9D9"/>
            <w:noWrap/>
            <w:tcMar>
              <w:left w:w="45" w:type="dxa"/>
              <w:right w:w="45" w:type="dxa"/>
            </w:tcMar>
            <w:vAlign w:val="bottom"/>
            <w:hideMark/>
          </w:tcPr>
          <w:p w14:paraId="15D37D7A"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10,302 </w:t>
            </w:r>
          </w:p>
        </w:tc>
        <w:tc>
          <w:tcPr>
            <w:tcW w:w="491" w:type="pct"/>
            <w:tcBorders>
              <w:top w:val="nil"/>
              <w:left w:val="nil"/>
              <w:bottom w:val="nil"/>
              <w:right w:val="single" w:sz="4" w:space="0" w:color="auto"/>
            </w:tcBorders>
            <w:shd w:val="clear" w:color="000000" w:fill="D9D9D9"/>
            <w:noWrap/>
            <w:tcMar>
              <w:left w:w="45" w:type="dxa"/>
              <w:right w:w="45" w:type="dxa"/>
            </w:tcMar>
            <w:vAlign w:val="bottom"/>
            <w:hideMark/>
          </w:tcPr>
          <w:p w14:paraId="6D817E92"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(62)</w:t>
            </w:r>
          </w:p>
        </w:tc>
        <w:tc>
          <w:tcPr>
            <w:tcW w:w="399" w:type="pct"/>
            <w:tcBorders>
              <w:top w:val="nil"/>
              <w:left w:val="nil"/>
              <w:bottom w:val="nil"/>
              <w:right w:val="single" w:sz="4" w:space="0" w:color="auto"/>
            </w:tcBorders>
            <w:shd w:val="clear" w:color="000000" w:fill="D9D9D9"/>
            <w:noWrap/>
            <w:tcMar>
              <w:left w:w="45" w:type="dxa"/>
              <w:right w:w="45" w:type="dxa"/>
            </w:tcMar>
            <w:vAlign w:val="bottom"/>
            <w:hideMark/>
          </w:tcPr>
          <w:p w14:paraId="1BE18B4C"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(4,712)</w:t>
            </w:r>
          </w:p>
        </w:tc>
        <w:tc>
          <w:tcPr>
            <w:tcW w:w="520" w:type="pct"/>
            <w:tcBorders>
              <w:top w:val="nil"/>
              <w:left w:val="nil"/>
              <w:bottom w:val="nil"/>
              <w:right w:val="single" w:sz="4" w:space="0" w:color="auto"/>
            </w:tcBorders>
            <w:shd w:val="clear" w:color="000000" w:fill="D9D9D9"/>
            <w:noWrap/>
            <w:tcMar>
              <w:left w:w="45" w:type="dxa"/>
              <w:right w:w="45" w:type="dxa"/>
            </w:tcMar>
            <w:vAlign w:val="bottom"/>
            <w:hideMark/>
          </w:tcPr>
          <w:p w14:paraId="36A99796"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 xml:space="preserve">109,631 </w:t>
            </w:r>
          </w:p>
        </w:tc>
        <w:tc>
          <w:tcPr>
            <w:tcW w:w="400" w:type="pct"/>
            <w:tcBorders>
              <w:top w:val="nil"/>
              <w:left w:val="nil"/>
              <w:bottom w:val="nil"/>
              <w:right w:val="single" w:sz="4" w:space="0" w:color="auto"/>
            </w:tcBorders>
            <w:shd w:val="clear" w:color="000000" w:fill="D9D9D9"/>
            <w:noWrap/>
            <w:tcMar>
              <w:left w:w="45" w:type="dxa"/>
              <w:right w:w="45" w:type="dxa"/>
            </w:tcMar>
            <w:vAlign w:val="bottom"/>
            <w:hideMark/>
          </w:tcPr>
          <w:p w14:paraId="2329191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10,688 </w:t>
            </w:r>
          </w:p>
        </w:tc>
        <w:tc>
          <w:tcPr>
            <w:tcW w:w="398" w:type="pct"/>
            <w:tcBorders>
              <w:top w:val="nil"/>
              <w:left w:val="nil"/>
              <w:bottom w:val="nil"/>
              <w:right w:val="single" w:sz="4" w:space="0" w:color="auto"/>
            </w:tcBorders>
            <w:shd w:val="clear" w:color="000000" w:fill="D9D9D9"/>
            <w:noWrap/>
            <w:tcMar>
              <w:left w:w="45" w:type="dxa"/>
              <w:right w:w="45" w:type="dxa"/>
            </w:tcMar>
            <w:vAlign w:val="bottom"/>
            <w:hideMark/>
          </w:tcPr>
          <w:p w14:paraId="7AB3E7F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10.80 </w:t>
            </w:r>
          </w:p>
        </w:tc>
      </w:tr>
      <w:tr w:rsidR="000729CF" w:rsidRPr="000729CF" w14:paraId="6914023C" w14:textId="77777777" w:rsidTr="00BC26AB">
        <w:trPr>
          <w:trHeight w:val="20"/>
        </w:trPr>
        <w:tc>
          <w:tcPr>
            <w:tcW w:w="1588" w:type="pct"/>
            <w:tcBorders>
              <w:top w:val="nil"/>
              <w:left w:val="single" w:sz="4" w:space="0" w:color="auto"/>
              <w:bottom w:val="nil"/>
              <w:right w:val="nil"/>
            </w:tcBorders>
            <w:shd w:val="clear" w:color="000000" w:fill="FFFFFF"/>
            <w:noWrap/>
            <w:tcMar>
              <w:left w:w="45" w:type="dxa"/>
              <w:right w:w="45" w:type="dxa"/>
            </w:tcMar>
            <w:vAlign w:val="bottom"/>
            <w:hideMark/>
          </w:tcPr>
          <w:p w14:paraId="5E7B840A"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Economy, Environment &amp; Culture</w:t>
            </w:r>
          </w:p>
        </w:tc>
        <w:tc>
          <w:tcPr>
            <w:tcW w:w="401" w:type="pct"/>
            <w:tcBorders>
              <w:top w:val="nil"/>
              <w:left w:val="nil"/>
              <w:bottom w:val="nil"/>
              <w:right w:val="single" w:sz="4" w:space="0" w:color="auto"/>
            </w:tcBorders>
            <w:shd w:val="clear" w:color="000000" w:fill="FFFFFF"/>
            <w:noWrap/>
            <w:tcMar>
              <w:left w:w="45" w:type="dxa"/>
              <w:right w:w="45" w:type="dxa"/>
            </w:tcMar>
            <w:vAlign w:val="bottom"/>
            <w:hideMark/>
          </w:tcPr>
          <w:p w14:paraId="43854980"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 xml:space="preserve">40,005 </w:t>
            </w:r>
          </w:p>
        </w:tc>
        <w:tc>
          <w:tcPr>
            <w:tcW w:w="399" w:type="pct"/>
            <w:tcBorders>
              <w:top w:val="nil"/>
              <w:left w:val="nil"/>
              <w:bottom w:val="nil"/>
              <w:right w:val="single" w:sz="4" w:space="0" w:color="auto"/>
            </w:tcBorders>
            <w:shd w:val="clear" w:color="000000" w:fill="FFFFFF"/>
            <w:noWrap/>
            <w:tcMar>
              <w:left w:w="45" w:type="dxa"/>
              <w:right w:w="45" w:type="dxa"/>
            </w:tcMar>
            <w:vAlign w:val="bottom"/>
            <w:hideMark/>
          </w:tcPr>
          <w:p w14:paraId="6B61937B"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1,078 </w:t>
            </w:r>
          </w:p>
        </w:tc>
        <w:tc>
          <w:tcPr>
            <w:tcW w:w="404" w:type="pct"/>
            <w:tcBorders>
              <w:top w:val="nil"/>
              <w:left w:val="nil"/>
              <w:bottom w:val="nil"/>
              <w:right w:val="single" w:sz="4" w:space="0" w:color="auto"/>
            </w:tcBorders>
            <w:shd w:val="clear" w:color="000000" w:fill="FFFFFF"/>
            <w:noWrap/>
            <w:tcMar>
              <w:left w:w="45" w:type="dxa"/>
              <w:right w:w="45" w:type="dxa"/>
            </w:tcMar>
            <w:vAlign w:val="bottom"/>
            <w:hideMark/>
          </w:tcPr>
          <w:p w14:paraId="1963C9A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7,817 </w:t>
            </w:r>
          </w:p>
        </w:tc>
        <w:tc>
          <w:tcPr>
            <w:tcW w:w="491" w:type="pct"/>
            <w:tcBorders>
              <w:top w:val="nil"/>
              <w:left w:val="nil"/>
              <w:bottom w:val="nil"/>
              <w:right w:val="single" w:sz="4" w:space="0" w:color="auto"/>
            </w:tcBorders>
            <w:shd w:val="clear" w:color="000000" w:fill="FFFFFF"/>
            <w:noWrap/>
            <w:tcMar>
              <w:left w:w="45" w:type="dxa"/>
              <w:right w:w="45" w:type="dxa"/>
            </w:tcMar>
            <w:vAlign w:val="bottom"/>
            <w:hideMark/>
          </w:tcPr>
          <w:p w14:paraId="243CAC3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264 </w:t>
            </w:r>
          </w:p>
        </w:tc>
        <w:tc>
          <w:tcPr>
            <w:tcW w:w="399" w:type="pct"/>
            <w:tcBorders>
              <w:top w:val="nil"/>
              <w:left w:val="nil"/>
              <w:bottom w:val="nil"/>
              <w:right w:val="single" w:sz="4" w:space="0" w:color="auto"/>
            </w:tcBorders>
            <w:shd w:val="clear" w:color="000000" w:fill="FFFFFF"/>
            <w:noWrap/>
            <w:tcMar>
              <w:left w:w="45" w:type="dxa"/>
              <w:right w:w="45" w:type="dxa"/>
            </w:tcMar>
            <w:vAlign w:val="bottom"/>
            <w:hideMark/>
          </w:tcPr>
          <w:p w14:paraId="46A7A6E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(6,801)</w:t>
            </w:r>
          </w:p>
        </w:tc>
        <w:tc>
          <w:tcPr>
            <w:tcW w:w="520" w:type="pct"/>
            <w:tcBorders>
              <w:top w:val="nil"/>
              <w:left w:val="nil"/>
              <w:bottom w:val="nil"/>
              <w:right w:val="single" w:sz="4" w:space="0" w:color="auto"/>
            </w:tcBorders>
            <w:shd w:val="clear" w:color="000000" w:fill="FFFFFF"/>
            <w:noWrap/>
            <w:tcMar>
              <w:left w:w="45" w:type="dxa"/>
              <w:right w:w="45" w:type="dxa"/>
            </w:tcMar>
            <w:vAlign w:val="bottom"/>
            <w:hideMark/>
          </w:tcPr>
          <w:p w14:paraId="28BBAFFC"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 xml:space="preserve">42,363 </w:t>
            </w:r>
          </w:p>
        </w:tc>
        <w:tc>
          <w:tcPr>
            <w:tcW w:w="400" w:type="pct"/>
            <w:tcBorders>
              <w:top w:val="nil"/>
              <w:left w:val="nil"/>
              <w:bottom w:val="nil"/>
              <w:right w:val="single" w:sz="4" w:space="0" w:color="auto"/>
            </w:tcBorders>
            <w:shd w:val="clear" w:color="000000" w:fill="FFFFFF"/>
            <w:noWrap/>
            <w:tcMar>
              <w:left w:w="45" w:type="dxa"/>
              <w:right w:w="45" w:type="dxa"/>
            </w:tcMar>
            <w:vAlign w:val="bottom"/>
            <w:hideMark/>
          </w:tcPr>
          <w:p w14:paraId="435B20E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2,358 </w:t>
            </w:r>
          </w:p>
        </w:tc>
        <w:tc>
          <w:tcPr>
            <w:tcW w:w="398" w:type="pct"/>
            <w:tcBorders>
              <w:top w:val="nil"/>
              <w:left w:val="nil"/>
              <w:bottom w:val="nil"/>
              <w:right w:val="single" w:sz="4" w:space="0" w:color="auto"/>
            </w:tcBorders>
            <w:shd w:val="clear" w:color="000000" w:fill="FFFFFF"/>
            <w:noWrap/>
            <w:tcMar>
              <w:left w:w="45" w:type="dxa"/>
              <w:right w:w="45" w:type="dxa"/>
            </w:tcMar>
            <w:vAlign w:val="bottom"/>
            <w:hideMark/>
          </w:tcPr>
          <w:p w14:paraId="1A09126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5.89 </w:t>
            </w:r>
          </w:p>
        </w:tc>
      </w:tr>
      <w:tr w:rsidR="000729CF" w:rsidRPr="000729CF" w14:paraId="625455E9" w14:textId="77777777" w:rsidTr="00BC26AB">
        <w:trPr>
          <w:trHeight w:val="20"/>
        </w:trPr>
        <w:tc>
          <w:tcPr>
            <w:tcW w:w="1588" w:type="pct"/>
            <w:tcBorders>
              <w:top w:val="nil"/>
              <w:left w:val="single" w:sz="4" w:space="0" w:color="auto"/>
              <w:bottom w:val="nil"/>
              <w:right w:val="nil"/>
            </w:tcBorders>
            <w:shd w:val="clear" w:color="000000" w:fill="D9D9D9"/>
            <w:noWrap/>
            <w:tcMar>
              <w:left w:w="45" w:type="dxa"/>
              <w:right w:w="45" w:type="dxa"/>
            </w:tcMar>
            <w:vAlign w:val="bottom"/>
            <w:hideMark/>
          </w:tcPr>
          <w:p w14:paraId="3FA6AB90"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Housing, Neighbourhoods &amp; Communities</w:t>
            </w:r>
          </w:p>
        </w:tc>
        <w:tc>
          <w:tcPr>
            <w:tcW w:w="401" w:type="pct"/>
            <w:tcBorders>
              <w:top w:val="nil"/>
              <w:left w:val="nil"/>
              <w:bottom w:val="nil"/>
              <w:right w:val="single" w:sz="4" w:space="0" w:color="auto"/>
            </w:tcBorders>
            <w:shd w:val="clear" w:color="000000" w:fill="D9D9D9"/>
            <w:noWrap/>
            <w:tcMar>
              <w:left w:w="45" w:type="dxa"/>
              <w:right w:w="45" w:type="dxa"/>
            </w:tcMar>
            <w:vAlign w:val="bottom"/>
            <w:hideMark/>
          </w:tcPr>
          <w:p w14:paraId="78107F23"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 xml:space="preserve">21,493 </w:t>
            </w:r>
          </w:p>
        </w:tc>
        <w:tc>
          <w:tcPr>
            <w:tcW w:w="399" w:type="pct"/>
            <w:tcBorders>
              <w:top w:val="nil"/>
              <w:left w:val="nil"/>
              <w:bottom w:val="nil"/>
              <w:right w:val="single" w:sz="4" w:space="0" w:color="auto"/>
            </w:tcBorders>
            <w:shd w:val="clear" w:color="000000" w:fill="D9D9D9"/>
            <w:noWrap/>
            <w:tcMar>
              <w:left w:w="45" w:type="dxa"/>
              <w:right w:w="45" w:type="dxa"/>
            </w:tcMar>
            <w:vAlign w:val="bottom"/>
            <w:hideMark/>
          </w:tcPr>
          <w:p w14:paraId="2BEA5B06"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924 </w:t>
            </w:r>
          </w:p>
        </w:tc>
        <w:tc>
          <w:tcPr>
            <w:tcW w:w="404" w:type="pct"/>
            <w:tcBorders>
              <w:top w:val="nil"/>
              <w:left w:val="nil"/>
              <w:bottom w:val="nil"/>
              <w:right w:val="single" w:sz="4" w:space="0" w:color="auto"/>
            </w:tcBorders>
            <w:shd w:val="clear" w:color="000000" w:fill="D9D9D9"/>
            <w:noWrap/>
            <w:tcMar>
              <w:left w:w="45" w:type="dxa"/>
              <w:right w:w="45" w:type="dxa"/>
            </w:tcMar>
            <w:vAlign w:val="bottom"/>
            <w:hideMark/>
          </w:tcPr>
          <w:p w14:paraId="58B2D20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2,776 </w:t>
            </w:r>
          </w:p>
        </w:tc>
        <w:tc>
          <w:tcPr>
            <w:tcW w:w="491" w:type="pct"/>
            <w:tcBorders>
              <w:top w:val="nil"/>
              <w:left w:val="nil"/>
              <w:bottom w:val="nil"/>
              <w:right w:val="single" w:sz="4" w:space="0" w:color="auto"/>
            </w:tcBorders>
            <w:shd w:val="clear" w:color="000000" w:fill="D9D9D9"/>
            <w:noWrap/>
            <w:tcMar>
              <w:left w:w="45" w:type="dxa"/>
              <w:right w:w="45" w:type="dxa"/>
            </w:tcMar>
            <w:vAlign w:val="bottom"/>
            <w:hideMark/>
          </w:tcPr>
          <w:p w14:paraId="5F2FBF5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399" w:type="pct"/>
            <w:tcBorders>
              <w:top w:val="nil"/>
              <w:left w:val="nil"/>
              <w:bottom w:val="nil"/>
              <w:right w:val="single" w:sz="4" w:space="0" w:color="auto"/>
            </w:tcBorders>
            <w:shd w:val="clear" w:color="000000" w:fill="D9D9D9"/>
            <w:noWrap/>
            <w:tcMar>
              <w:left w:w="45" w:type="dxa"/>
              <w:right w:w="45" w:type="dxa"/>
            </w:tcMar>
            <w:vAlign w:val="bottom"/>
            <w:hideMark/>
          </w:tcPr>
          <w:p w14:paraId="45CB546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(2,993)</w:t>
            </w:r>
          </w:p>
        </w:tc>
        <w:tc>
          <w:tcPr>
            <w:tcW w:w="520" w:type="pct"/>
            <w:tcBorders>
              <w:top w:val="nil"/>
              <w:left w:val="nil"/>
              <w:bottom w:val="nil"/>
              <w:right w:val="single" w:sz="4" w:space="0" w:color="auto"/>
            </w:tcBorders>
            <w:shd w:val="clear" w:color="000000" w:fill="D9D9D9"/>
            <w:noWrap/>
            <w:tcMar>
              <w:left w:w="45" w:type="dxa"/>
              <w:right w:w="45" w:type="dxa"/>
            </w:tcMar>
            <w:vAlign w:val="bottom"/>
            <w:hideMark/>
          </w:tcPr>
          <w:p w14:paraId="2472B6CF"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 xml:space="preserve">22,200 </w:t>
            </w:r>
          </w:p>
        </w:tc>
        <w:tc>
          <w:tcPr>
            <w:tcW w:w="400" w:type="pct"/>
            <w:tcBorders>
              <w:top w:val="nil"/>
              <w:left w:val="nil"/>
              <w:bottom w:val="nil"/>
              <w:right w:val="single" w:sz="4" w:space="0" w:color="auto"/>
            </w:tcBorders>
            <w:shd w:val="clear" w:color="000000" w:fill="D9D9D9"/>
            <w:noWrap/>
            <w:tcMar>
              <w:left w:w="45" w:type="dxa"/>
              <w:right w:w="45" w:type="dxa"/>
            </w:tcMar>
            <w:vAlign w:val="bottom"/>
            <w:hideMark/>
          </w:tcPr>
          <w:p w14:paraId="5FDBFB8A"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707 </w:t>
            </w:r>
          </w:p>
        </w:tc>
        <w:tc>
          <w:tcPr>
            <w:tcW w:w="398" w:type="pct"/>
            <w:tcBorders>
              <w:top w:val="nil"/>
              <w:left w:val="nil"/>
              <w:bottom w:val="nil"/>
              <w:right w:val="single" w:sz="4" w:space="0" w:color="auto"/>
            </w:tcBorders>
            <w:shd w:val="clear" w:color="000000" w:fill="D9D9D9"/>
            <w:noWrap/>
            <w:tcMar>
              <w:left w:w="45" w:type="dxa"/>
              <w:right w:w="45" w:type="dxa"/>
            </w:tcMar>
            <w:vAlign w:val="bottom"/>
            <w:hideMark/>
          </w:tcPr>
          <w:p w14:paraId="154DBCE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3.29 </w:t>
            </w:r>
          </w:p>
        </w:tc>
      </w:tr>
      <w:tr w:rsidR="000729CF" w:rsidRPr="000729CF" w14:paraId="0A8688B7" w14:textId="77777777" w:rsidTr="00BC26AB">
        <w:trPr>
          <w:trHeight w:val="20"/>
        </w:trPr>
        <w:tc>
          <w:tcPr>
            <w:tcW w:w="1588" w:type="pct"/>
            <w:tcBorders>
              <w:top w:val="nil"/>
              <w:left w:val="single" w:sz="4" w:space="0" w:color="auto"/>
              <w:bottom w:val="nil"/>
              <w:right w:val="nil"/>
            </w:tcBorders>
            <w:shd w:val="clear" w:color="000000" w:fill="FFFFFF"/>
            <w:noWrap/>
            <w:tcMar>
              <w:left w:w="45" w:type="dxa"/>
              <w:right w:w="45" w:type="dxa"/>
            </w:tcMar>
            <w:vAlign w:val="bottom"/>
            <w:hideMark/>
          </w:tcPr>
          <w:p w14:paraId="5870B8BD"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Governance, People &amp; Resources</w:t>
            </w:r>
          </w:p>
        </w:tc>
        <w:tc>
          <w:tcPr>
            <w:tcW w:w="401" w:type="pct"/>
            <w:tcBorders>
              <w:top w:val="nil"/>
              <w:left w:val="nil"/>
              <w:bottom w:val="nil"/>
              <w:right w:val="single" w:sz="4" w:space="0" w:color="auto"/>
            </w:tcBorders>
            <w:shd w:val="clear" w:color="000000" w:fill="FFFFFF"/>
            <w:noWrap/>
            <w:tcMar>
              <w:left w:w="45" w:type="dxa"/>
              <w:right w:w="45" w:type="dxa"/>
            </w:tcMar>
            <w:vAlign w:val="bottom"/>
            <w:hideMark/>
          </w:tcPr>
          <w:p w14:paraId="776C167B"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 xml:space="preserve">31,006 </w:t>
            </w:r>
          </w:p>
        </w:tc>
        <w:tc>
          <w:tcPr>
            <w:tcW w:w="399" w:type="pct"/>
            <w:tcBorders>
              <w:top w:val="nil"/>
              <w:left w:val="nil"/>
              <w:bottom w:val="nil"/>
              <w:right w:val="single" w:sz="4" w:space="0" w:color="auto"/>
            </w:tcBorders>
            <w:shd w:val="clear" w:color="000000" w:fill="FFFFFF"/>
            <w:noWrap/>
            <w:tcMar>
              <w:left w:w="45" w:type="dxa"/>
              <w:right w:w="45" w:type="dxa"/>
            </w:tcMar>
            <w:vAlign w:val="bottom"/>
            <w:hideMark/>
          </w:tcPr>
          <w:p w14:paraId="08A7552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904 </w:t>
            </w:r>
          </w:p>
        </w:tc>
        <w:tc>
          <w:tcPr>
            <w:tcW w:w="404" w:type="pct"/>
            <w:tcBorders>
              <w:top w:val="nil"/>
              <w:left w:val="nil"/>
              <w:bottom w:val="nil"/>
              <w:right w:val="single" w:sz="4" w:space="0" w:color="auto"/>
            </w:tcBorders>
            <w:shd w:val="clear" w:color="000000" w:fill="FFFFFF"/>
            <w:noWrap/>
            <w:tcMar>
              <w:left w:w="45" w:type="dxa"/>
              <w:right w:w="45" w:type="dxa"/>
            </w:tcMar>
            <w:vAlign w:val="bottom"/>
            <w:hideMark/>
          </w:tcPr>
          <w:p w14:paraId="1679DB4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998 </w:t>
            </w:r>
          </w:p>
        </w:tc>
        <w:tc>
          <w:tcPr>
            <w:tcW w:w="491" w:type="pct"/>
            <w:tcBorders>
              <w:top w:val="nil"/>
              <w:left w:val="nil"/>
              <w:bottom w:val="nil"/>
              <w:right w:val="single" w:sz="4" w:space="0" w:color="auto"/>
            </w:tcBorders>
            <w:shd w:val="clear" w:color="000000" w:fill="FFFFFF"/>
            <w:noWrap/>
            <w:tcMar>
              <w:left w:w="45" w:type="dxa"/>
              <w:right w:w="45" w:type="dxa"/>
            </w:tcMar>
            <w:vAlign w:val="bottom"/>
            <w:hideMark/>
          </w:tcPr>
          <w:p w14:paraId="5BDE428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10 </w:t>
            </w:r>
          </w:p>
        </w:tc>
        <w:tc>
          <w:tcPr>
            <w:tcW w:w="399" w:type="pct"/>
            <w:tcBorders>
              <w:top w:val="nil"/>
              <w:left w:val="nil"/>
              <w:bottom w:val="nil"/>
              <w:right w:val="single" w:sz="4" w:space="0" w:color="auto"/>
            </w:tcBorders>
            <w:shd w:val="clear" w:color="000000" w:fill="FFFFFF"/>
            <w:noWrap/>
            <w:tcMar>
              <w:left w:w="45" w:type="dxa"/>
              <w:right w:w="45" w:type="dxa"/>
            </w:tcMar>
            <w:vAlign w:val="bottom"/>
            <w:hideMark/>
          </w:tcPr>
          <w:p w14:paraId="78AA378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(1,758)</w:t>
            </w:r>
          </w:p>
        </w:tc>
        <w:tc>
          <w:tcPr>
            <w:tcW w:w="520" w:type="pct"/>
            <w:tcBorders>
              <w:top w:val="nil"/>
              <w:left w:val="nil"/>
              <w:bottom w:val="nil"/>
              <w:right w:val="single" w:sz="4" w:space="0" w:color="auto"/>
            </w:tcBorders>
            <w:shd w:val="clear" w:color="000000" w:fill="FFFFFF"/>
            <w:noWrap/>
            <w:tcMar>
              <w:left w:w="45" w:type="dxa"/>
              <w:right w:w="45" w:type="dxa"/>
            </w:tcMar>
            <w:vAlign w:val="bottom"/>
            <w:hideMark/>
          </w:tcPr>
          <w:p w14:paraId="35217975"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 xml:space="preserve">31,160 </w:t>
            </w:r>
          </w:p>
        </w:tc>
        <w:tc>
          <w:tcPr>
            <w:tcW w:w="400" w:type="pct"/>
            <w:tcBorders>
              <w:top w:val="nil"/>
              <w:left w:val="nil"/>
              <w:bottom w:val="nil"/>
              <w:right w:val="single" w:sz="4" w:space="0" w:color="auto"/>
            </w:tcBorders>
            <w:shd w:val="clear" w:color="000000" w:fill="FFFFFF"/>
            <w:noWrap/>
            <w:tcMar>
              <w:left w:w="45" w:type="dxa"/>
              <w:right w:w="45" w:type="dxa"/>
            </w:tcMar>
            <w:vAlign w:val="bottom"/>
            <w:hideMark/>
          </w:tcPr>
          <w:p w14:paraId="603D4C8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154 </w:t>
            </w:r>
          </w:p>
        </w:tc>
        <w:tc>
          <w:tcPr>
            <w:tcW w:w="398" w:type="pct"/>
            <w:tcBorders>
              <w:top w:val="nil"/>
              <w:left w:val="nil"/>
              <w:bottom w:val="nil"/>
              <w:right w:val="single" w:sz="4" w:space="0" w:color="auto"/>
            </w:tcBorders>
            <w:shd w:val="clear" w:color="000000" w:fill="FFFFFF"/>
            <w:noWrap/>
            <w:tcMar>
              <w:left w:w="45" w:type="dxa"/>
              <w:right w:w="45" w:type="dxa"/>
            </w:tcMar>
            <w:vAlign w:val="bottom"/>
            <w:hideMark/>
          </w:tcPr>
          <w:p w14:paraId="2AAEAF4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0.50 </w:t>
            </w:r>
          </w:p>
        </w:tc>
      </w:tr>
      <w:tr w:rsidR="000729CF" w:rsidRPr="000729CF" w14:paraId="09B9F55C" w14:textId="77777777" w:rsidTr="00BC26AB">
        <w:trPr>
          <w:trHeight w:val="20"/>
        </w:trPr>
        <w:tc>
          <w:tcPr>
            <w:tcW w:w="1588" w:type="pct"/>
            <w:tcBorders>
              <w:top w:val="single" w:sz="4" w:space="0" w:color="auto"/>
              <w:left w:val="single" w:sz="4" w:space="0" w:color="auto"/>
              <w:bottom w:val="single" w:sz="4" w:space="0" w:color="auto"/>
              <w:right w:val="nil"/>
            </w:tcBorders>
            <w:shd w:val="clear" w:color="000000" w:fill="000000"/>
            <w:noWrap/>
            <w:tcMar>
              <w:left w:w="45" w:type="dxa"/>
              <w:right w:w="45" w:type="dxa"/>
            </w:tcMar>
            <w:vAlign w:val="bottom"/>
            <w:hideMark/>
          </w:tcPr>
          <w:p w14:paraId="6637931E" w14:textId="77777777" w:rsidR="000729CF" w:rsidRPr="000729CF" w:rsidRDefault="000729CF" w:rsidP="000729CF">
            <w:pPr>
              <w:rPr>
                <w:rFonts w:ascii="Calibri" w:hAnsi="Calibri" w:cs="Calibri"/>
                <w:b/>
                <w:bCs/>
                <w:color w:val="FFFFFF"/>
                <w:sz w:val="22"/>
                <w:szCs w:val="22"/>
                <w:lang w:val="en-GB" w:eastAsia="en-GB"/>
              </w:rPr>
            </w:pPr>
            <w:r w:rsidRPr="000729CF">
              <w:rPr>
                <w:rFonts w:ascii="Calibri" w:hAnsi="Calibri" w:cs="Calibri"/>
                <w:b/>
                <w:bCs/>
                <w:color w:val="FFFFFF"/>
                <w:sz w:val="22"/>
                <w:szCs w:val="22"/>
                <w:lang w:val="en-GB" w:eastAsia="en-GB"/>
              </w:rPr>
              <w:t>Total Directorate Spending</w:t>
            </w:r>
          </w:p>
        </w:tc>
        <w:tc>
          <w:tcPr>
            <w:tcW w:w="401" w:type="pct"/>
            <w:tcBorders>
              <w:top w:val="single" w:sz="4" w:space="0" w:color="auto"/>
              <w:left w:val="nil"/>
              <w:bottom w:val="single" w:sz="4" w:space="0" w:color="auto"/>
              <w:right w:val="single" w:sz="4" w:space="0" w:color="auto"/>
            </w:tcBorders>
            <w:shd w:val="clear" w:color="000000" w:fill="000000"/>
            <w:noWrap/>
            <w:tcMar>
              <w:left w:w="45" w:type="dxa"/>
              <w:right w:w="45" w:type="dxa"/>
            </w:tcMar>
            <w:vAlign w:val="bottom"/>
            <w:hideMark/>
          </w:tcPr>
          <w:p w14:paraId="7D13E067" w14:textId="77777777" w:rsidR="000729CF" w:rsidRPr="000729CF" w:rsidRDefault="000729CF" w:rsidP="000729CF">
            <w:pPr>
              <w:jc w:val="right"/>
              <w:rPr>
                <w:rFonts w:ascii="Calibri" w:hAnsi="Calibri" w:cs="Calibri"/>
                <w:b/>
                <w:bCs/>
                <w:color w:val="FFFFFF"/>
                <w:sz w:val="22"/>
                <w:szCs w:val="22"/>
                <w:lang w:val="en-GB" w:eastAsia="en-GB"/>
              </w:rPr>
            </w:pPr>
            <w:r w:rsidRPr="000729CF">
              <w:rPr>
                <w:rFonts w:ascii="Calibri" w:hAnsi="Calibri" w:cs="Calibri"/>
                <w:b/>
                <w:bCs/>
                <w:color w:val="FFFFFF"/>
                <w:sz w:val="22"/>
                <w:szCs w:val="22"/>
                <w:lang w:val="en-GB" w:eastAsia="en-GB"/>
              </w:rPr>
              <w:t xml:space="preserve">254,448 </w:t>
            </w:r>
          </w:p>
        </w:tc>
        <w:tc>
          <w:tcPr>
            <w:tcW w:w="399" w:type="pct"/>
            <w:tcBorders>
              <w:top w:val="single" w:sz="4" w:space="0" w:color="auto"/>
              <w:left w:val="nil"/>
              <w:bottom w:val="single" w:sz="4" w:space="0" w:color="auto"/>
              <w:right w:val="single" w:sz="4" w:space="0" w:color="auto"/>
            </w:tcBorders>
            <w:shd w:val="clear" w:color="000000" w:fill="000000"/>
            <w:noWrap/>
            <w:tcMar>
              <w:left w:w="45" w:type="dxa"/>
              <w:right w:w="45" w:type="dxa"/>
            </w:tcMar>
            <w:vAlign w:val="bottom"/>
            <w:hideMark/>
          </w:tcPr>
          <w:p w14:paraId="7E94CEF1" w14:textId="77777777" w:rsidR="000729CF" w:rsidRPr="000729CF" w:rsidRDefault="000729CF" w:rsidP="000729CF">
            <w:pPr>
              <w:jc w:val="right"/>
              <w:rPr>
                <w:rFonts w:ascii="Calibri" w:hAnsi="Calibri" w:cs="Calibri"/>
                <w:b/>
                <w:bCs/>
                <w:color w:val="FFFFFF"/>
                <w:sz w:val="22"/>
                <w:szCs w:val="22"/>
                <w:lang w:val="en-GB" w:eastAsia="en-GB"/>
              </w:rPr>
            </w:pPr>
            <w:r w:rsidRPr="000729CF">
              <w:rPr>
                <w:rFonts w:ascii="Calibri" w:hAnsi="Calibri" w:cs="Calibri"/>
                <w:b/>
                <w:bCs/>
                <w:color w:val="FFFFFF"/>
                <w:sz w:val="22"/>
                <w:szCs w:val="22"/>
                <w:lang w:val="en-GB" w:eastAsia="en-GB"/>
              </w:rPr>
              <w:t xml:space="preserve">10,572 </w:t>
            </w:r>
          </w:p>
        </w:tc>
        <w:tc>
          <w:tcPr>
            <w:tcW w:w="404" w:type="pct"/>
            <w:tcBorders>
              <w:top w:val="single" w:sz="4" w:space="0" w:color="auto"/>
              <w:left w:val="nil"/>
              <w:bottom w:val="single" w:sz="4" w:space="0" w:color="auto"/>
              <w:right w:val="single" w:sz="4" w:space="0" w:color="auto"/>
            </w:tcBorders>
            <w:shd w:val="clear" w:color="000000" w:fill="000000"/>
            <w:noWrap/>
            <w:tcMar>
              <w:left w:w="45" w:type="dxa"/>
              <w:right w:w="45" w:type="dxa"/>
            </w:tcMar>
            <w:vAlign w:val="bottom"/>
            <w:hideMark/>
          </w:tcPr>
          <w:p w14:paraId="2DD3F9C0" w14:textId="77777777" w:rsidR="000729CF" w:rsidRPr="000729CF" w:rsidRDefault="000729CF" w:rsidP="000729CF">
            <w:pPr>
              <w:jc w:val="right"/>
              <w:rPr>
                <w:rFonts w:ascii="Calibri" w:hAnsi="Calibri" w:cs="Calibri"/>
                <w:b/>
                <w:bCs/>
                <w:color w:val="FFFFFF"/>
                <w:sz w:val="22"/>
                <w:szCs w:val="22"/>
                <w:lang w:val="en-GB" w:eastAsia="en-GB"/>
              </w:rPr>
            </w:pPr>
            <w:r w:rsidRPr="000729CF">
              <w:rPr>
                <w:rFonts w:ascii="Calibri" w:hAnsi="Calibri" w:cs="Calibri"/>
                <w:b/>
                <w:bCs/>
                <w:color w:val="FFFFFF"/>
                <w:sz w:val="22"/>
                <w:szCs w:val="22"/>
                <w:lang w:val="en-GB" w:eastAsia="en-GB"/>
              </w:rPr>
              <w:t xml:space="preserve">26,369 </w:t>
            </w:r>
          </w:p>
        </w:tc>
        <w:tc>
          <w:tcPr>
            <w:tcW w:w="491" w:type="pct"/>
            <w:tcBorders>
              <w:top w:val="single" w:sz="4" w:space="0" w:color="auto"/>
              <w:left w:val="nil"/>
              <w:bottom w:val="single" w:sz="4" w:space="0" w:color="auto"/>
              <w:right w:val="single" w:sz="4" w:space="0" w:color="auto"/>
            </w:tcBorders>
            <w:shd w:val="clear" w:color="000000" w:fill="000000"/>
            <w:noWrap/>
            <w:tcMar>
              <w:left w:w="45" w:type="dxa"/>
              <w:right w:w="45" w:type="dxa"/>
            </w:tcMar>
            <w:vAlign w:val="bottom"/>
            <w:hideMark/>
          </w:tcPr>
          <w:p w14:paraId="3820FA84" w14:textId="77777777" w:rsidR="000729CF" w:rsidRPr="000729CF" w:rsidRDefault="000729CF" w:rsidP="000729CF">
            <w:pPr>
              <w:jc w:val="right"/>
              <w:rPr>
                <w:rFonts w:ascii="Calibri" w:hAnsi="Calibri" w:cs="Calibri"/>
                <w:b/>
                <w:bCs/>
                <w:color w:val="FFFFFF"/>
                <w:sz w:val="22"/>
                <w:szCs w:val="22"/>
                <w:lang w:val="en-GB" w:eastAsia="en-GB"/>
              </w:rPr>
            </w:pPr>
            <w:r w:rsidRPr="000729CF">
              <w:rPr>
                <w:rFonts w:ascii="Calibri" w:hAnsi="Calibri" w:cs="Calibri"/>
                <w:b/>
                <w:bCs/>
                <w:color w:val="FFFFFF"/>
                <w:sz w:val="22"/>
                <w:szCs w:val="22"/>
                <w:lang w:val="en-GB" w:eastAsia="en-GB"/>
              </w:rPr>
              <w:t xml:space="preserve">212 </w:t>
            </w:r>
          </w:p>
        </w:tc>
        <w:tc>
          <w:tcPr>
            <w:tcW w:w="399" w:type="pct"/>
            <w:tcBorders>
              <w:top w:val="single" w:sz="4" w:space="0" w:color="auto"/>
              <w:left w:val="nil"/>
              <w:bottom w:val="single" w:sz="4" w:space="0" w:color="auto"/>
              <w:right w:val="single" w:sz="4" w:space="0" w:color="auto"/>
            </w:tcBorders>
            <w:shd w:val="clear" w:color="000000" w:fill="000000"/>
            <w:noWrap/>
            <w:tcMar>
              <w:left w:w="45" w:type="dxa"/>
              <w:right w:w="45" w:type="dxa"/>
            </w:tcMar>
            <w:vAlign w:val="bottom"/>
            <w:hideMark/>
          </w:tcPr>
          <w:p w14:paraId="64376388" w14:textId="77777777" w:rsidR="000729CF" w:rsidRPr="000729CF" w:rsidRDefault="000729CF" w:rsidP="000729CF">
            <w:pPr>
              <w:jc w:val="right"/>
              <w:rPr>
                <w:rFonts w:ascii="Calibri" w:hAnsi="Calibri" w:cs="Calibri"/>
                <w:b/>
                <w:bCs/>
                <w:color w:val="FFFFFF"/>
                <w:sz w:val="22"/>
                <w:szCs w:val="22"/>
                <w:lang w:val="en-GB" w:eastAsia="en-GB"/>
              </w:rPr>
            </w:pPr>
            <w:r w:rsidRPr="000729CF">
              <w:rPr>
                <w:rFonts w:ascii="Calibri" w:hAnsi="Calibri" w:cs="Calibri"/>
                <w:b/>
                <w:bCs/>
                <w:color w:val="FFFFFF"/>
                <w:sz w:val="22"/>
                <w:szCs w:val="22"/>
                <w:lang w:val="en-GB" w:eastAsia="en-GB"/>
              </w:rPr>
              <w:t>(21,255)</w:t>
            </w:r>
          </w:p>
        </w:tc>
        <w:tc>
          <w:tcPr>
            <w:tcW w:w="520" w:type="pct"/>
            <w:tcBorders>
              <w:top w:val="single" w:sz="4" w:space="0" w:color="auto"/>
              <w:left w:val="nil"/>
              <w:bottom w:val="single" w:sz="4" w:space="0" w:color="auto"/>
              <w:right w:val="single" w:sz="4" w:space="0" w:color="auto"/>
            </w:tcBorders>
            <w:shd w:val="clear" w:color="000000" w:fill="000000"/>
            <w:noWrap/>
            <w:tcMar>
              <w:left w:w="45" w:type="dxa"/>
              <w:right w:w="45" w:type="dxa"/>
            </w:tcMar>
            <w:vAlign w:val="bottom"/>
            <w:hideMark/>
          </w:tcPr>
          <w:p w14:paraId="3BF2407B" w14:textId="77777777" w:rsidR="000729CF" w:rsidRPr="000729CF" w:rsidRDefault="000729CF" w:rsidP="000729CF">
            <w:pPr>
              <w:jc w:val="right"/>
              <w:rPr>
                <w:rFonts w:ascii="Calibri" w:hAnsi="Calibri" w:cs="Calibri"/>
                <w:b/>
                <w:bCs/>
                <w:color w:val="FFFFFF"/>
                <w:sz w:val="22"/>
                <w:szCs w:val="22"/>
                <w:lang w:val="en-GB" w:eastAsia="en-GB"/>
              </w:rPr>
            </w:pPr>
            <w:r w:rsidRPr="000729CF">
              <w:rPr>
                <w:rFonts w:ascii="Calibri" w:hAnsi="Calibri" w:cs="Calibri"/>
                <w:b/>
                <w:bCs/>
                <w:color w:val="FFFFFF"/>
                <w:sz w:val="22"/>
                <w:szCs w:val="22"/>
                <w:lang w:val="en-GB" w:eastAsia="en-GB"/>
              </w:rPr>
              <w:t xml:space="preserve">270,346 </w:t>
            </w:r>
          </w:p>
        </w:tc>
        <w:tc>
          <w:tcPr>
            <w:tcW w:w="400" w:type="pct"/>
            <w:tcBorders>
              <w:top w:val="single" w:sz="4" w:space="0" w:color="auto"/>
              <w:left w:val="nil"/>
              <w:bottom w:val="single" w:sz="4" w:space="0" w:color="auto"/>
              <w:right w:val="single" w:sz="4" w:space="0" w:color="auto"/>
            </w:tcBorders>
            <w:shd w:val="clear" w:color="000000" w:fill="000000"/>
            <w:noWrap/>
            <w:tcMar>
              <w:left w:w="45" w:type="dxa"/>
              <w:right w:w="45" w:type="dxa"/>
            </w:tcMar>
            <w:vAlign w:val="bottom"/>
            <w:hideMark/>
          </w:tcPr>
          <w:p w14:paraId="57A093FC" w14:textId="77777777" w:rsidR="000729CF" w:rsidRPr="000729CF" w:rsidRDefault="000729CF" w:rsidP="000729CF">
            <w:pPr>
              <w:jc w:val="right"/>
              <w:rPr>
                <w:rFonts w:ascii="Calibri" w:hAnsi="Calibri" w:cs="Calibri"/>
                <w:b/>
                <w:bCs/>
                <w:color w:val="FFFFFF"/>
                <w:sz w:val="22"/>
                <w:szCs w:val="22"/>
                <w:lang w:val="en-GB" w:eastAsia="en-GB"/>
              </w:rPr>
            </w:pPr>
            <w:r w:rsidRPr="000729CF">
              <w:rPr>
                <w:rFonts w:ascii="Calibri" w:hAnsi="Calibri" w:cs="Calibri"/>
                <w:b/>
                <w:bCs/>
                <w:color w:val="FFFFFF"/>
                <w:sz w:val="22"/>
                <w:szCs w:val="22"/>
                <w:lang w:val="en-GB" w:eastAsia="en-GB"/>
              </w:rPr>
              <w:t xml:space="preserve">15,898 </w:t>
            </w:r>
          </w:p>
        </w:tc>
        <w:tc>
          <w:tcPr>
            <w:tcW w:w="398" w:type="pct"/>
            <w:tcBorders>
              <w:top w:val="nil"/>
              <w:left w:val="nil"/>
              <w:bottom w:val="single" w:sz="4" w:space="0" w:color="auto"/>
              <w:right w:val="single" w:sz="4" w:space="0" w:color="auto"/>
            </w:tcBorders>
            <w:shd w:val="clear" w:color="000000" w:fill="000000"/>
            <w:noWrap/>
            <w:tcMar>
              <w:left w:w="45" w:type="dxa"/>
              <w:right w:w="45" w:type="dxa"/>
            </w:tcMar>
            <w:vAlign w:val="bottom"/>
            <w:hideMark/>
          </w:tcPr>
          <w:p w14:paraId="465A1A91" w14:textId="77777777" w:rsidR="000729CF" w:rsidRPr="000729CF" w:rsidRDefault="000729CF" w:rsidP="000729CF">
            <w:pPr>
              <w:jc w:val="right"/>
              <w:rPr>
                <w:rFonts w:ascii="Calibri" w:hAnsi="Calibri" w:cs="Calibri"/>
                <w:b/>
                <w:bCs/>
                <w:color w:val="FFFFFF"/>
                <w:sz w:val="22"/>
                <w:szCs w:val="22"/>
                <w:lang w:val="en-GB" w:eastAsia="en-GB"/>
              </w:rPr>
            </w:pPr>
            <w:r w:rsidRPr="000729CF">
              <w:rPr>
                <w:rFonts w:ascii="Calibri" w:hAnsi="Calibri" w:cs="Calibri"/>
                <w:b/>
                <w:bCs/>
                <w:color w:val="FFFFFF"/>
                <w:sz w:val="22"/>
                <w:szCs w:val="22"/>
                <w:lang w:val="en-GB" w:eastAsia="en-GB"/>
              </w:rPr>
              <w:t xml:space="preserve">6.25 </w:t>
            </w:r>
          </w:p>
        </w:tc>
      </w:tr>
      <w:tr w:rsidR="000729CF" w:rsidRPr="000729CF" w14:paraId="2EFE01C1" w14:textId="77777777" w:rsidTr="00BC26AB">
        <w:trPr>
          <w:trHeight w:val="20"/>
        </w:trPr>
        <w:tc>
          <w:tcPr>
            <w:tcW w:w="1588" w:type="pct"/>
            <w:tcBorders>
              <w:top w:val="nil"/>
              <w:left w:val="single" w:sz="4" w:space="0" w:color="auto"/>
              <w:bottom w:val="nil"/>
              <w:right w:val="nil"/>
            </w:tcBorders>
            <w:shd w:val="clear" w:color="000000" w:fill="FFFFFF"/>
            <w:noWrap/>
            <w:tcMar>
              <w:left w:w="45" w:type="dxa"/>
              <w:right w:w="45" w:type="dxa"/>
            </w:tcMar>
            <w:vAlign w:val="bottom"/>
            <w:hideMark/>
          </w:tcPr>
          <w:p w14:paraId="3E06853E"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Housing Benefit Subsidy</w:t>
            </w:r>
          </w:p>
        </w:tc>
        <w:tc>
          <w:tcPr>
            <w:tcW w:w="401" w:type="pct"/>
            <w:tcBorders>
              <w:top w:val="nil"/>
              <w:left w:val="nil"/>
              <w:bottom w:val="nil"/>
              <w:right w:val="single" w:sz="4" w:space="0" w:color="auto"/>
            </w:tcBorders>
            <w:shd w:val="clear" w:color="000000" w:fill="FFFFFF"/>
            <w:noWrap/>
            <w:tcMar>
              <w:left w:w="45" w:type="dxa"/>
              <w:right w:w="45" w:type="dxa"/>
            </w:tcMar>
            <w:vAlign w:val="bottom"/>
            <w:hideMark/>
          </w:tcPr>
          <w:p w14:paraId="1B32658E"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(301)</w:t>
            </w:r>
          </w:p>
        </w:tc>
        <w:tc>
          <w:tcPr>
            <w:tcW w:w="399" w:type="pct"/>
            <w:tcBorders>
              <w:top w:val="nil"/>
              <w:left w:val="nil"/>
              <w:bottom w:val="nil"/>
              <w:right w:val="single" w:sz="4" w:space="0" w:color="auto"/>
            </w:tcBorders>
            <w:shd w:val="clear" w:color="000000" w:fill="FFFFFF"/>
            <w:noWrap/>
            <w:tcMar>
              <w:left w:w="45" w:type="dxa"/>
              <w:right w:w="45" w:type="dxa"/>
            </w:tcMar>
            <w:vAlign w:val="bottom"/>
            <w:hideMark/>
          </w:tcPr>
          <w:p w14:paraId="776EBDB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04" w:type="pct"/>
            <w:tcBorders>
              <w:top w:val="nil"/>
              <w:left w:val="nil"/>
              <w:bottom w:val="nil"/>
              <w:right w:val="single" w:sz="4" w:space="0" w:color="auto"/>
            </w:tcBorders>
            <w:shd w:val="clear" w:color="000000" w:fill="FFFFFF"/>
            <w:noWrap/>
            <w:tcMar>
              <w:left w:w="45" w:type="dxa"/>
              <w:right w:w="45" w:type="dxa"/>
            </w:tcMar>
            <w:vAlign w:val="bottom"/>
            <w:hideMark/>
          </w:tcPr>
          <w:p w14:paraId="6E7214F6"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700 </w:t>
            </w:r>
          </w:p>
        </w:tc>
        <w:tc>
          <w:tcPr>
            <w:tcW w:w="491" w:type="pct"/>
            <w:tcBorders>
              <w:top w:val="nil"/>
              <w:left w:val="nil"/>
              <w:bottom w:val="nil"/>
              <w:right w:val="single" w:sz="4" w:space="0" w:color="auto"/>
            </w:tcBorders>
            <w:shd w:val="clear" w:color="000000" w:fill="FFFFFF"/>
            <w:noWrap/>
            <w:tcMar>
              <w:left w:w="45" w:type="dxa"/>
              <w:right w:w="45" w:type="dxa"/>
            </w:tcMar>
            <w:vAlign w:val="bottom"/>
            <w:hideMark/>
          </w:tcPr>
          <w:p w14:paraId="299B13C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399" w:type="pct"/>
            <w:tcBorders>
              <w:top w:val="nil"/>
              <w:left w:val="nil"/>
              <w:bottom w:val="nil"/>
              <w:right w:val="single" w:sz="4" w:space="0" w:color="auto"/>
            </w:tcBorders>
            <w:shd w:val="clear" w:color="000000" w:fill="FFFFFF"/>
            <w:noWrap/>
            <w:tcMar>
              <w:left w:w="45" w:type="dxa"/>
              <w:right w:w="45" w:type="dxa"/>
            </w:tcMar>
            <w:vAlign w:val="bottom"/>
            <w:hideMark/>
          </w:tcPr>
          <w:p w14:paraId="3D52C79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520" w:type="pct"/>
            <w:tcBorders>
              <w:top w:val="nil"/>
              <w:left w:val="nil"/>
              <w:bottom w:val="nil"/>
              <w:right w:val="single" w:sz="4" w:space="0" w:color="auto"/>
            </w:tcBorders>
            <w:shd w:val="clear" w:color="000000" w:fill="FFFFFF"/>
            <w:noWrap/>
            <w:tcMar>
              <w:left w:w="45" w:type="dxa"/>
              <w:right w:w="45" w:type="dxa"/>
            </w:tcMar>
            <w:vAlign w:val="bottom"/>
            <w:hideMark/>
          </w:tcPr>
          <w:p w14:paraId="2BBF767F"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 xml:space="preserve">399 </w:t>
            </w:r>
          </w:p>
        </w:tc>
        <w:tc>
          <w:tcPr>
            <w:tcW w:w="400" w:type="pct"/>
            <w:tcBorders>
              <w:top w:val="nil"/>
              <w:left w:val="nil"/>
              <w:bottom w:val="nil"/>
              <w:right w:val="single" w:sz="4" w:space="0" w:color="auto"/>
            </w:tcBorders>
            <w:shd w:val="clear" w:color="000000" w:fill="FFFFFF"/>
            <w:noWrap/>
            <w:tcMar>
              <w:left w:w="45" w:type="dxa"/>
              <w:right w:w="45" w:type="dxa"/>
            </w:tcMar>
            <w:vAlign w:val="bottom"/>
            <w:hideMark/>
          </w:tcPr>
          <w:p w14:paraId="6B31B80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700 </w:t>
            </w:r>
          </w:p>
        </w:tc>
        <w:tc>
          <w:tcPr>
            <w:tcW w:w="398" w:type="pct"/>
            <w:tcBorders>
              <w:top w:val="nil"/>
              <w:left w:val="nil"/>
              <w:bottom w:val="nil"/>
              <w:right w:val="single" w:sz="4" w:space="0" w:color="auto"/>
            </w:tcBorders>
            <w:shd w:val="clear" w:color="000000" w:fill="FFFFFF"/>
            <w:noWrap/>
            <w:tcMar>
              <w:left w:w="45" w:type="dxa"/>
              <w:right w:w="45" w:type="dxa"/>
            </w:tcMar>
            <w:vAlign w:val="bottom"/>
            <w:hideMark/>
          </w:tcPr>
          <w:p w14:paraId="6D6DF93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(232.56)</w:t>
            </w:r>
          </w:p>
        </w:tc>
      </w:tr>
      <w:tr w:rsidR="000729CF" w:rsidRPr="000729CF" w14:paraId="73958473" w14:textId="77777777" w:rsidTr="00BC26AB">
        <w:trPr>
          <w:trHeight w:val="20"/>
        </w:trPr>
        <w:tc>
          <w:tcPr>
            <w:tcW w:w="1588" w:type="pct"/>
            <w:tcBorders>
              <w:top w:val="nil"/>
              <w:left w:val="single" w:sz="4" w:space="0" w:color="auto"/>
              <w:bottom w:val="nil"/>
              <w:right w:val="nil"/>
            </w:tcBorders>
            <w:shd w:val="clear" w:color="000000" w:fill="D9D9D9"/>
            <w:noWrap/>
            <w:tcMar>
              <w:left w:w="45" w:type="dxa"/>
              <w:right w:w="45" w:type="dxa"/>
            </w:tcMar>
            <w:vAlign w:val="bottom"/>
            <w:hideMark/>
          </w:tcPr>
          <w:p w14:paraId="61961610"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Bulk Insurance Premia</w:t>
            </w:r>
          </w:p>
        </w:tc>
        <w:tc>
          <w:tcPr>
            <w:tcW w:w="401" w:type="pct"/>
            <w:tcBorders>
              <w:top w:val="nil"/>
              <w:left w:val="nil"/>
              <w:bottom w:val="nil"/>
              <w:right w:val="single" w:sz="4" w:space="0" w:color="auto"/>
            </w:tcBorders>
            <w:shd w:val="clear" w:color="000000" w:fill="D9D9D9"/>
            <w:noWrap/>
            <w:tcMar>
              <w:left w:w="45" w:type="dxa"/>
              <w:right w:w="45" w:type="dxa"/>
            </w:tcMar>
            <w:vAlign w:val="bottom"/>
            <w:hideMark/>
          </w:tcPr>
          <w:p w14:paraId="55D9528E"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 xml:space="preserve">3,548 </w:t>
            </w:r>
          </w:p>
        </w:tc>
        <w:tc>
          <w:tcPr>
            <w:tcW w:w="399" w:type="pct"/>
            <w:tcBorders>
              <w:top w:val="nil"/>
              <w:left w:val="nil"/>
              <w:bottom w:val="nil"/>
              <w:right w:val="single" w:sz="4" w:space="0" w:color="auto"/>
            </w:tcBorders>
            <w:shd w:val="clear" w:color="000000" w:fill="D9D9D9"/>
            <w:noWrap/>
            <w:tcMar>
              <w:left w:w="45" w:type="dxa"/>
              <w:right w:w="45" w:type="dxa"/>
            </w:tcMar>
            <w:vAlign w:val="bottom"/>
            <w:hideMark/>
          </w:tcPr>
          <w:p w14:paraId="0D40FD4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66 </w:t>
            </w:r>
          </w:p>
        </w:tc>
        <w:tc>
          <w:tcPr>
            <w:tcW w:w="404" w:type="pct"/>
            <w:tcBorders>
              <w:top w:val="nil"/>
              <w:left w:val="nil"/>
              <w:bottom w:val="nil"/>
              <w:right w:val="single" w:sz="4" w:space="0" w:color="auto"/>
            </w:tcBorders>
            <w:shd w:val="clear" w:color="000000" w:fill="D9D9D9"/>
            <w:noWrap/>
            <w:tcMar>
              <w:left w:w="45" w:type="dxa"/>
              <w:right w:w="45" w:type="dxa"/>
            </w:tcMar>
            <w:vAlign w:val="bottom"/>
            <w:hideMark/>
          </w:tcPr>
          <w:p w14:paraId="1140A77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91" w:type="pct"/>
            <w:tcBorders>
              <w:top w:val="nil"/>
              <w:left w:val="nil"/>
              <w:bottom w:val="nil"/>
              <w:right w:val="single" w:sz="4" w:space="0" w:color="auto"/>
            </w:tcBorders>
            <w:shd w:val="clear" w:color="000000" w:fill="D9D9D9"/>
            <w:noWrap/>
            <w:tcMar>
              <w:left w:w="45" w:type="dxa"/>
              <w:right w:w="45" w:type="dxa"/>
            </w:tcMar>
            <w:vAlign w:val="bottom"/>
            <w:hideMark/>
          </w:tcPr>
          <w:p w14:paraId="7866506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150 </w:t>
            </w:r>
          </w:p>
        </w:tc>
        <w:tc>
          <w:tcPr>
            <w:tcW w:w="399" w:type="pct"/>
            <w:tcBorders>
              <w:top w:val="nil"/>
              <w:left w:val="nil"/>
              <w:bottom w:val="nil"/>
              <w:right w:val="single" w:sz="4" w:space="0" w:color="auto"/>
            </w:tcBorders>
            <w:shd w:val="clear" w:color="000000" w:fill="D9D9D9"/>
            <w:noWrap/>
            <w:tcMar>
              <w:left w:w="45" w:type="dxa"/>
              <w:right w:w="45" w:type="dxa"/>
            </w:tcMar>
            <w:vAlign w:val="bottom"/>
            <w:hideMark/>
          </w:tcPr>
          <w:p w14:paraId="08288CF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520" w:type="pct"/>
            <w:tcBorders>
              <w:top w:val="nil"/>
              <w:left w:val="nil"/>
              <w:bottom w:val="nil"/>
              <w:right w:val="single" w:sz="4" w:space="0" w:color="auto"/>
            </w:tcBorders>
            <w:shd w:val="clear" w:color="000000" w:fill="D9D9D9"/>
            <w:noWrap/>
            <w:tcMar>
              <w:left w:w="45" w:type="dxa"/>
              <w:right w:w="45" w:type="dxa"/>
            </w:tcMar>
            <w:vAlign w:val="bottom"/>
            <w:hideMark/>
          </w:tcPr>
          <w:p w14:paraId="16B597A9"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 xml:space="preserve">3,764 </w:t>
            </w:r>
          </w:p>
        </w:tc>
        <w:tc>
          <w:tcPr>
            <w:tcW w:w="400" w:type="pct"/>
            <w:tcBorders>
              <w:top w:val="nil"/>
              <w:left w:val="nil"/>
              <w:bottom w:val="nil"/>
              <w:right w:val="single" w:sz="4" w:space="0" w:color="auto"/>
            </w:tcBorders>
            <w:shd w:val="clear" w:color="000000" w:fill="D9D9D9"/>
            <w:noWrap/>
            <w:tcMar>
              <w:left w:w="45" w:type="dxa"/>
              <w:right w:w="45" w:type="dxa"/>
            </w:tcMar>
            <w:vAlign w:val="bottom"/>
            <w:hideMark/>
          </w:tcPr>
          <w:p w14:paraId="4F87E86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216 </w:t>
            </w:r>
          </w:p>
        </w:tc>
        <w:tc>
          <w:tcPr>
            <w:tcW w:w="398" w:type="pct"/>
            <w:tcBorders>
              <w:top w:val="nil"/>
              <w:left w:val="nil"/>
              <w:bottom w:val="nil"/>
              <w:right w:val="single" w:sz="4" w:space="0" w:color="auto"/>
            </w:tcBorders>
            <w:shd w:val="clear" w:color="000000" w:fill="D9D9D9"/>
            <w:noWrap/>
            <w:tcMar>
              <w:left w:w="45" w:type="dxa"/>
              <w:right w:w="45" w:type="dxa"/>
            </w:tcMar>
            <w:vAlign w:val="bottom"/>
            <w:hideMark/>
          </w:tcPr>
          <w:p w14:paraId="2BEB0E6F"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6.09 </w:t>
            </w:r>
          </w:p>
        </w:tc>
      </w:tr>
      <w:tr w:rsidR="000729CF" w:rsidRPr="000729CF" w14:paraId="11E7FBB4" w14:textId="77777777" w:rsidTr="00BC26AB">
        <w:trPr>
          <w:trHeight w:val="20"/>
        </w:trPr>
        <w:tc>
          <w:tcPr>
            <w:tcW w:w="1588" w:type="pct"/>
            <w:tcBorders>
              <w:top w:val="nil"/>
              <w:left w:val="single" w:sz="4" w:space="0" w:color="auto"/>
              <w:bottom w:val="nil"/>
              <w:right w:val="nil"/>
            </w:tcBorders>
            <w:shd w:val="clear" w:color="000000" w:fill="FFFFFF"/>
            <w:noWrap/>
            <w:tcMar>
              <w:left w:w="45" w:type="dxa"/>
              <w:right w:w="45" w:type="dxa"/>
            </w:tcMar>
            <w:vAlign w:val="bottom"/>
            <w:hideMark/>
          </w:tcPr>
          <w:p w14:paraId="4A071E99"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Capital Financing Costs</w:t>
            </w:r>
          </w:p>
        </w:tc>
        <w:tc>
          <w:tcPr>
            <w:tcW w:w="401" w:type="pct"/>
            <w:tcBorders>
              <w:top w:val="nil"/>
              <w:left w:val="nil"/>
              <w:bottom w:val="nil"/>
              <w:right w:val="single" w:sz="4" w:space="0" w:color="auto"/>
            </w:tcBorders>
            <w:shd w:val="clear" w:color="000000" w:fill="FFFFFF"/>
            <w:noWrap/>
            <w:tcMar>
              <w:left w:w="45" w:type="dxa"/>
              <w:right w:w="45" w:type="dxa"/>
            </w:tcMar>
            <w:vAlign w:val="bottom"/>
            <w:hideMark/>
          </w:tcPr>
          <w:p w14:paraId="0E2D9FF0"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 xml:space="preserve">6,466 </w:t>
            </w:r>
          </w:p>
        </w:tc>
        <w:tc>
          <w:tcPr>
            <w:tcW w:w="399" w:type="pct"/>
            <w:tcBorders>
              <w:top w:val="nil"/>
              <w:left w:val="nil"/>
              <w:bottom w:val="nil"/>
              <w:right w:val="single" w:sz="4" w:space="0" w:color="auto"/>
            </w:tcBorders>
            <w:shd w:val="clear" w:color="000000" w:fill="FFFFFF"/>
            <w:noWrap/>
            <w:tcMar>
              <w:left w:w="45" w:type="dxa"/>
              <w:right w:w="45" w:type="dxa"/>
            </w:tcMar>
            <w:vAlign w:val="bottom"/>
            <w:hideMark/>
          </w:tcPr>
          <w:p w14:paraId="075D713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04" w:type="pct"/>
            <w:tcBorders>
              <w:top w:val="nil"/>
              <w:left w:val="nil"/>
              <w:bottom w:val="nil"/>
              <w:right w:val="single" w:sz="4" w:space="0" w:color="auto"/>
            </w:tcBorders>
            <w:shd w:val="clear" w:color="000000" w:fill="FFFFFF"/>
            <w:noWrap/>
            <w:tcMar>
              <w:left w:w="45" w:type="dxa"/>
              <w:right w:w="45" w:type="dxa"/>
            </w:tcMar>
            <w:vAlign w:val="bottom"/>
            <w:hideMark/>
          </w:tcPr>
          <w:p w14:paraId="26CBFE5A"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91" w:type="pct"/>
            <w:tcBorders>
              <w:top w:val="nil"/>
              <w:left w:val="nil"/>
              <w:bottom w:val="nil"/>
              <w:right w:val="single" w:sz="4" w:space="0" w:color="auto"/>
            </w:tcBorders>
            <w:shd w:val="clear" w:color="000000" w:fill="FFFFFF"/>
            <w:noWrap/>
            <w:tcMar>
              <w:left w:w="45" w:type="dxa"/>
              <w:right w:w="45" w:type="dxa"/>
            </w:tcMar>
            <w:vAlign w:val="bottom"/>
            <w:hideMark/>
          </w:tcPr>
          <w:p w14:paraId="7AE99A3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1,371 </w:t>
            </w:r>
          </w:p>
        </w:tc>
        <w:tc>
          <w:tcPr>
            <w:tcW w:w="399" w:type="pct"/>
            <w:tcBorders>
              <w:top w:val="nil"/>
              <w:left w:val="nil"/>
              <w:bottom w:val="nil"/>
              <w:right w:val="single" w:sz="4" w:space="0" w:color="auto"/>
            </w:tcBorders>
            <w:shd w:val="clear" w:color="000000" w:fill="FFFFFF"/>
            <w:noWrap/>
            <w:tcMar>
              <w:left w:w="45" w:type="dxa"/>
              <w:right w:w="45" w:type="dxa"/>
            </w:tcMar>
            <w:vAlign w:val="bottom"/>
            <w:hideMark/>
          </w:tcPr>
          <w:p w14:paraId="6ECDE97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520" w:type="pct"/>
            <w:tcBorders>
              <w:top w:val="nil"/>
              <w:left w:val="nil"/>
              <w:bottom w:val="nil"/>
              <w:right w:val="single" w:sz="4" w:space="0" w:color="auto"/>
            </w:tcBorders>
            <w:shd w:val="clear" w:color="000000" w:fill="FFFFFF"/>
            <w:noWrap/>
            <w:tcMar>
              <w:left w:w="45" w:type="dxa"/>
              <w:right w:w="45" w:type="dxa"/>
            </w:tcMar>
            <w:vAlign w:val="bottom"/>
            <w:hideMark/>
          </w:tcPr>
          <w:p w14:paraId="6C81C6E7"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 xml:space="preserve">7,837 </w:t>
            </w:r>
          </w:p>
        </w:tc>
        <w:tc>
          <w:tcPr>
            <w:tcW w:w="400" w:type="pct"/>
            <w:tcBorders>
              <w:top w:val="nil"/>
              <w:left w:val="nil"/>
              <w:bottom w:val="nil"/>
              <w:right w:val="single" w:sz="4" w:space="0" w:color="auto"/>
            </w:tcBorders>
            <w:shd w:val="clear" w:color="000000" w:fill="FFFFFF"/>
            <w:noWrap/>
            <w:tcMar>
              <w:left w:w="45" w:type="dxa"/>
              <w:right w:w="45" w:type="dxa"/>
            </w:tcMar>
            <w:vAlign w:val="bottom"/>
            <w:hideMark/>
          </w:tcPr>
          <w:p w14:paraId="49B87BEF"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1,371 </w:t>
            </w:r>
          </w:p>
        </w:tc>
        <w:tc>
          <w:tcPr>
            <w:tcW w:w="398" w:type="pct"/>
            <w:tcBorders>
              <w:top w:val="nil"/>
              <w:left w:val="nil"/>
              <w:bottom w:val="nil"/>
              <w:right w:val="single" w:sz="4" w:space="0" w:color="auto"/>
            </w:tcBorders>
            <w:shd w:val="clear" w:color="000000" w:fill="FFFFFF"/>
            <w:noWrap/>
            <w:tcMar>
              <w:left w:w="45" w:type="dxa"/>
              <w:right w:w="45" w:type="dxa"/>
            </w:tcMar>
            <w:vAlign w:val="bottom"/>
            <w:hideMark/>
          </w:tcPr>
          <w:p w14:paraId="45776EF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21.20 </w:t>
            </w:r>
          </w:p>
        </w:tc>
      </w:tr>
      <w:tr w:rsidR="000729CF" w:rsidRPr="000729CF" w14:paraId="04DDBD2F" w14:textId="77777777" w:rsidTr="00BC26AB">
        <w:trPr>
          <w:trHeight w:val="20"/>
        </w:trPr>
        <w:tc>
          <w:tcPr>
            <w:tcW w:w="1588" w:type="pct"/>
            <w:tcBorders>
              <w:top w:val="nil"/>
              <w:left w:val="single" w:sz="4" w:space="0" w:color="auto"/>
              <w:bottom w:val="nil"/>
              <w:right w:val="nil"/>
            </w:tcBorders>
            <w:shd w:val="clear" w:color="000000" w:fill="D9D9D9"/>
            <w:noWrap/>
            <w:tcMar>
              <w:left w:w="45" w:type="dxa"/>
              <w:right w:w="45" w:type="dxa"/>
            </w:tcMar>
            <w:vAlign w:val="bottom"/>
            <w:hideMark/>
          </w:tcPr>
          <w:p w14:paraId="0BAFEE4D"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Corporate VFM Savings</w:t>
            </w:r>
          </w:p>
        </w:tc>
        <w:tc>
          <w:tcPr>
            <w:tcW w:w="401" w:type="pct"/>
            <w:tcBorders>
              <w:top w:val="nil"/>
              <w:left w:val="nil"/>
              <w:bottom w:val="nil"/>
              <w:right w:val="single" w:sz="4" w:space="0" w:color="auto"/>
            </w:tcBorders>
            <w:shd w:val="clear" w:color="000000" w:fill="D9D9D9"/>
            <w:noWrap/>
            <w:tcMar>
              <w:left w:w="45" w:type="dxa"/>
              <w:right w:w="45" w:type="dxa"/>
            </w:tcMar>
            <w:vAlign w:val="bottom"/>
            <w:hideMark/>
          </w:tcPr>
          <w:p w14:paraId="7755C581"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(147)</w:t>
            </w:r>
          </w:p>
        </w:tc>
        <w:tc>
          <w:tcPr>
            <w:tcW w:w="399" w:type="pct"/>
            <w:tcBorders>
              <w:top w:val="nil"/>
              <w:left w:val="nil"/>
              <w:bottom w:val="nil"/>
              <w:right w:val="single" w:sz="4" w:space="0" w:color="auto"/>
            </w:tcBorders>
            <w:shd w:val="clear" w:color="000000" w:fill="D9D9D9"/>
            <w:noWrap/>
            <w:tcMar>
              <w:left w:w="45" w:type="dxa"/>
              <w:right w:w="45" w:type="dxa"/>
            </w:tcMar>
            <w:vAlign w:val="bottom"/>
            <w:hideMark/>
          </w:tcPr>
          <w:p w14:paraId="3086D54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(13)</w:t>
            </w:r>
          </w:p>
        </w:tc>
        <w:tc>
          <w:tcPr>
            <w:tcW w:w="404" w:type="pct"/>
            <w:tcBorders>
              <w:top w:val="nil"/>
              <w:left w:val="nil"/>
              <w:bottom w:val="nil"/>
              <w:right w:val="single" w:sz="4" w:space="0" w:color="auto"/>
            </w:tcBorders>
            <w:shd w:val="clear" w:color="000000" w:fill="D9D9D9"/>
            <w:noWrap/>
            <w:tcMar>
              <w:left w:w="45" w:type="dxa"/>
              <w:right w:w="45" w:type="dxa"/>
            </w:tcMar>
            <w:vAlign w:val="bottom"/>
            <w:hideMark/>
          </w:tcPr>
          <w:p w14:paraId="3FB108E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91" w:type="pct"/>
            <w:tcBorders>
              <w:top w:val="nil"/>
              <w:left w:val="nil"/>
              <w:bottom w:val="nil"/>
              <w:right w:val="single" w:sz="4" w:space="0" w:color="auto"/>
            </w:tcBorders>
            <w:shd w:val="clear" w:color="000000" w:fill="D9D9D9"/>
            <w:noWrap/>
            <w:tcMar>
              <w:left w:w="45" w:type="dxa"/>
              <w:right w:w="45" w:type="dxa"/>
            </w:tcMar>
            <w:vAlign w:val="bottom"/>
            <w:hideMark/>
          </w:tcPr>
          <w:p w14:paraId="05AEF596"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399" w:type="pct"/>
            <w:tcBorders>
              <w:top w:val="nil"/>
              <w:left w:val="nil"/>
              <w:bottom w:val="nil"/>
              <w:right w:val="single" w:sz="4" w:space="0" w:color="auto"/>
            </w:tcBorders>
            <w:shd w:val="clear" w:color="000000" w:fill="D9D9D9"/>
            <w:noWrap/>
            <w:tcMar>
              <w:left w:w="45" w:type="dxa"/>
              <w:right w:w="45" w:type="dxa"/>
            </w:tcMar>
            <w:vAlign w:val="bottom"/>
            <w:hideMark/>
          </w:tcPr>
          <w:p w14:paraId="24103E6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(2,475)</w:t>
            </w:r>
          </w:p>
        </w:tc>
        <w:tc>
          <w:tcPr>
            <w:tcW w:w="520" w:type="pct"/>
            <w:tcBorders>
              <w:top w:val="nil"/>
              <w:left w:val="nil"/>
              <w:bottom w:val="nil"/>
              <w:right w:val="single" w:sz="4" w:space="0" w:color="auto"/>
            </w:tcBorders>
            <w:shd w:val="clear" w:color="000000" w:fill="D9D9D9"/>
            <w:noWrap/>
            <w:tcMar>
              <w:left w:w="45" w:type="dxa"/>
              <w:right w:w="45" w:type="dxa"/>
            </w:tcMar>
            <w:vAlign w:val="bottom"/>
            <w:hideMark/>
          </w:tcPr>
          <w:p w14:paraId="1E36D720"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(2,635)</w:t>
            </w:r>
          </w:p>
        </w:tc>
        <w:tc>
          <w:tcPr>
            <w:tcW w:w="400" w:type="pct"/>
            <w:tcBorders>
              <w:top w:val="nil"/>
              <w:left w:val="nil"/>
              <w:bottom w:val="nil"/>
              <w:right w:val="single" w:sz="4" w:space="0" w:color="auto"/>
            </w:tcBorders>
            <w:shd w:val="clear" w:color="000000" w:fill="D9D9D9"/>
            <w:noWrap/>
            <w:tcMar>
              <w:left w:w="45" w:type="dxa"/>
              <w:right w:w="45" w:type="dxa"/>
            </w:tcMar>
            <w:vAlign w:val="bottom"/>
            <w:hideMark/>
          </w:tcPr>
          <w:p w14:paraId="38E7BB12"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(2,488)</w:t>
            </w:r>
          </w:p>
        </w:tc>
        <w:tc>
          <w:tcPr>
            <w:tcW w:w="398" w:type="pct"/>
            <w:tcBorders>
              <w:top w:val="nil"/>
              <w:left w:val="nil"/>
              <w:bottom w:val="nil"/>
              <w:right w:val="single" w:sz="4" w:space="0" w:color="auto"/>
            </w:tcBorders>
            <w:shd w:val="clear" w:color="000000" w:fill="D9D9D9"/>
            <w:noWrap/>
            <w:tcMar>
              <w:left w:w="45" w:type="dxa"/>
              <w:right w:w="45" w:type="dxa"/>
            </w:tcMar>
            <w:vAlign w:val="bottom"/>
            <w:hideMark/>
          </w:tcPr>
          <w:p w14:paraId="2D00703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1,692.52 </w:t>
            </w:r>
          </w:p>
        </w:tc>
      </w:tr>
      <w:tr w:rsidR="000729CF" w:rsidRPr="000729CF" w14:paraId="647B3719" w14:textId="77777777" w:rsidTr="00BC26AB">
        <w:trPr>
          <w:trHeight w:val="20"/>
        </w:trPr>
        <w:tc>
          <w:tcPr>
            <w:tcW w:w="1588" w:type="pct"/>
            <w:tcBorders>
              <w:top w:val="nil"/>
              <w:left w:val="single" w:sz="4" w:space="0" w:color="auto"/>
              <w:bottom w:val="nil"/>
              <w:right w:val="nil"/>
            </w:tcBorders>
            <w:shd w:val="clear" w:color="000000" w:fill="FFFFFF"/>
            <w:noWrap/>
            <w:tcMar>
              <w:left w:w="45" w:type="dxa"/>
              <w:right w:w="45" w:type="dxa"/>
            </w:tcMar>
            <w:vAlign w:val="bottom"/>
            <w:hideMark/>
          </w:tcPr>
          <w:p w14:paraId="49AF6753"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Contingency and Risk Provisions</w:t>
            </w:r>
          </w:p>
        </w:tc>
        <w:tc>
          <w:tcPr>
            <w:tcW w:w="401" w:type="pct"/>
            <w:tcBorders>
              <w:top w:val="nil"/>
              <w:left w:val="nil"/>
              <w:bottom w:val="nil"/>
              <w:right w:val="single" w:sz="4" w:space="0" w:color="auto"/>
            </w:tcBorders>
            <w:shd w:val="clear" w:color="000000" w:fill="FFFFFF"/>
            <w:noWrap/>
            <w:tcMar>
              <w:left w:w="45" w:type="dxa"/>
              <w:right w:w="45" w:type="dxa"/>
            </w:tcMar>
            <w:vAlign w:val="bottom"/>
            <w:hideMark/>
          </w:tcPr>
          <w:p w14:paraId="691BBE48"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(3,343)</w:t>
            </w:r>
          </w:p>
        </w:tc>
        <w:tc>
          <w:tcPr>
            <w:tcW w:w="399" w:type="pct"/>
            <w:tcBorders>
              <w:top w:val="nil"/>
              <w:left w:val="nil"/>
              <w:bottom w:val="nil"/>
              <w:right w:val="single" w:sz="4" w:space="0" w:color="auto"/>
            </w:tcBorders>
            <w:shd w:val="clear" w:color="000000" w:fill="FFFFFF"/>
            <w:noWrap/>
            <w:tcMar>
              <w:left w:w="45" w:type="dxa"/>
              <w:right w:w="45" w:type="dxa"/>
            </w:tcMar>
            <w:vAlign w:val="bottom"/>
            <w:hideMark/>
          </w:tcPr>
          <w:p w14:paraId="685FB5E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(96)</w:t>
            </w:r>
          </w:p>
        </w:tc>
        <w:tc>
          <w:tcPr>
            <w:tcW w:w="404" w:type="pct"/>
            <w:tcBorders>
              <w:top w:val="nil"/>
              <w:left w:val="nil"/>
              <w:bottom w:val="nil"/>
              <w:right w:val="single" w:sz="4" w:space="0" w:color="auto"/>
            </w:tcBorders>
            <w:shd w:val="clear" w:color="000000" w:fill="FFFFFF"/>
            <w:noWrap/>
            <w:tcMar>
              <w:left w:w="45" w:type="dxa"/>
              <w:right w:w="45" w:type="dxa"/>
            </w:tcMar>
            <w:vAlign w:val="bottom"/>
            <w:hideMark/>
          </w:tcPr>
          <w:p w14:paraId="3AD278BF"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660 </w:t>
            </w:r>
          </w:p>
        </w:tc>
        <w:tc>
          <w:tcPr>
            <w:tcW w:w="491" w:type="pct"/>
            <w:tcBorders>
              <w:top w:val="nil"/>
              <w:left w:val="nil"/>
              <w:bottom w:val="nil"/>
              <w:right w:val="single" w:sz="4" w:space="0" w:color="auto"/>
            </w:tcBorders>
            <w:shd w:val="clear" w:color="000000" w:fill="FFFFFF"/>
            <w:noWrap/>
            <w:tcMar>
              <w:left w:w="45" w:type="dxa"/>
              <w:right w:w="45" w:type="dxa"/>
            </w:tcMar>
            <w:vAlign w:val="bottom"/>
            <w:hideMark/>
          </w:tcPr>
          <w:p w14:paraId="376F0DB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3,958 </w:t>
            </w:r>
          </w:p>
        </w:tc>
        <w:tc>
          <w:tcPr>
            <w:tcW w:w="399" w:type="pct"/>
            <w:tcBorders>
              <w:top w:val="nil"/>
              <w:left w:val="nil"/>
              <w:bottom w:val="nil"/>
              <w:right w:val="single" w:sz="4" w:space="0" w:color="auto"/>
            </w:tcBorders>
            <w:shd w:val="clear" w:color="000000" w:fill="FFFFFF"/>
            <w:noWrap/>
            <w:tcMar>
              <w:left w:w="45" w:type="dxa"/>
              <w:right w:w="45" w:type="dxa"/>
            </w:tcMar>
            <w:vAlign w:val="bottom"/>
            <w:hideMark/>
          </w:tcPr>
          <w:p w14:paraId="3A6D95D2"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520" w:type="pct"/>
            <w:tcBorders>
              <w:top w:val="nil"/>
              <w:left w:val="nil"/>
              <w:bottom w:val="nil"/>
              <w:right w:val="single" w:sz="4" w:space="0" w:color="auto"/>
            </w:tcBorders>
            <w:shd w:val="clear" w:color="000000" w:fill="FFFFFF"/>
            <w:noWrap/>
            <w:tcMar>
              <w:left w:w="45" w:type="dxa"/>
              <w:right w:w="45" w:type="dxa"/>
            </w:tcMar>
            <w:vAlign w:val="bottom"/>
            <w:hideMark/>
          </w:tcPr>
          <w:p w14:paraId="1919748E"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 xml:space="preserve">1,179 </w:t>
            </w:r>
          </w:p>
        </w:tc>
        <w:tc>
          <w:tcPr>
            <w:tcW w:w="400" w:type="pct"/>
            <w:tcBorders>
              <w:top w:val="nil"/>
              <w:left w:val="nil"/>
              <w:bottom w:val="nil"/>
              <w:right w:val="single" w:sz="4" w:space="0" w:color="auto"/>
            </w:tcBorders>
            <w:shd w:val="clear" w:color="000000" w:fill="FFFFFF"/>
            <w:noWrap/>
            <w:tcMar>
              <w:left w:w="45" w:type="dxa"/>
              <w:right w:w="45" w:type="dxa"/>
            </w:tcMar>
            <w:vAlign w:val="bottom"/>
            <w:hideMark/>
          </w:tcPr>
          <w:p w14:paraId="0099283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4,522 </w:t>
            </w:r>
          </w:p>
        </w:tc>
        <w:tc>
          <w:tcPr>
            <w:tcW w:w="398" w:type="pct"/>
            <w:tcBorders>
              <w:top w:val="nil"/>
              <w:left w:val="nil"/>
              <w:bottom w:val="nil"/>
              <w:right w:val="single" w:sz="4" w:space="0" w:color="auto"/>
            </w:tcBorders>
            <w:shd w:val="clear" w:color="000000" w:fill="FFFFFF"/>
            <w:noWrap/>
            <w:tcMar>
              <w:left w:w="45" w:type="dxa"/>
              <w:right w:w="45" w:type="dxa"/>
            </w:tcMar>
            <w:vAlign w:val="bottom"/>
            <w:hideMark/>
          </w:tcPr>
          <w:p w14:paraId="0EA82AB6"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(135.27)</w:t>
            </w:r>
          </w:p>
        </w:tc>
      </w:tr>
      <w:tr w:rsidR="000729CF" w:rsidRPr="000729CF" w14:paraId="1B13CFE4" w14:textId="77777777" w:rsidTr="00BC26AB">
        <w:trPr>
          <w:trHeight w:val="20"/>
        </w:trPr>
        <w:tc>
          <w:tcPr>
            <w:tcW w:w="1588" w:type="pct"/>
            <w:tcBorders>
              <w:top w:val="nil"/>
              <w:left w:val="single" w:sz="4" w:space="0" w:color="auto"/>
              <w:bottom w:val="nil"/>
              <w:right w:val="nil"/>
            </w:tcBorders>
            <w:shd w:val="clear" w:color="000000" w:fill="D9D9D9"/>
            <w:noWrap/>
            <w:tcMar>
              <w:left w:w="45" w:type="dxa"/>
              <w:right w:w="45" w:type="dxa"/>
            </w:tcMar>
            <w:vAlign w:val="bottom"/>
            <w:hideMark/>
          </w:tcPr>
          <w:p w14:paraId="65FD9B26"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Unringfenced Grants</w:t>
            </w:r>
          </w:p>
        </w:tc>
        <w:tc>
          <w:tcPr>
            <w:tcW w:w="401" w:type="pct"/>
            <w:tcBorders>
              <w:top w:val="nil"/>
              <w:left w:val="nil"/>
              <w:bottom w:val="nil"/>
              <w:right w:val="single" w:sz="4" w:space="0" w:color="auto"/>
            </w:tcBorders>
            <w:shd w:val="clear" w:color="000000" w:fill="D9D9D9"/>
            <w:noWrap/>
            <w:tcMar>
              <w:left w:w="45" w:type="dxa"/>
              <w:right w:w="45" w:type="dxa"/>
            </w:tcMar>
            <w:vAlign w:val="bottom"/>
            <w:hideMark/>
          </w:tcPr>
          <w:p w14:paraId="4D35F9E3"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(23,318)</w:t>
            </w:r>
          </w:p>
        </w:tc>
        <w:tc>
          <w:tcPr>
            <w:tcW w:w="399" w:type="pct"/>
            <w:tcBorders>
              <w:top w:val="nil"/>
              <w:left w:val="nil"/>
              <w:bottom w:val="nil"/>
              <w:right w:val="single" w:sz="4" w:space="0" w:color="auto"/>
            </w:tcBorders>
            <w:shd w:val="clear" w:color="000000" w:fill="D9D9D9"/>
            <w:noWrap/>
            <w:tcMar>
              <w:left w:w="45" w:type="dxa"/>
              <w:right w:w="45" w:type="dxa"/>
            </w:tcMar>
            <w:vAlign w:val="bottom"/>
            <w:hideMark/>
          </w:tcPr>
          <w:p w14:paraId="2AC067B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04" w:type="pct"/>
            <w:tcBorders>
              <w:top w:val="nil"/>
              <w:left w:val="nil"/>
              <w:bottom w:val="nil"/>
              <w:right w:val="single" w:sz="4" w:space="0" w:color="auto"/>
            </w:tcBorders>
            <w:shd w:val="clear" w:color="000000" w:fill="D9D9D9"/>
            <w:noWrap/>
            <w:tcMar>
              <w:left w:w="45" w:type="dxa"/>
              <w:right w:w="45" w:type="dxa"/>
            </w:tcMar>
            <w:vAlign w:val="bottom"/>
            <w:hideMark/>
          </w:tcPr>
          <w:p w14:paraId="325685D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91" w:type="pct"/>
            <w:tcBorders>
              <w:top w:val="nil"/>
              <w:left w:val="nil"/>
              <w:bottom w:val="nil"/>
              <w:right w:val="single" w:sz="4" w:space="0" w:color="auto"/>
            </w:tcBorders>
            <w:shd w:val="clear" w:color="000000" w:fill="D9D9D9"/>
            <w:noWrap/>
            <w:tcMar>
              <w:left w:w="45" w:type="dxa"/>
              <w:right w:w="45" w:type="dxa"/>
            </w:tcMar>
            <w:vAlign w:val="bottom"/>
            <w:hideMark/>
          </w:tcPr>
          <w:p w14:paraId="3C590D6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(8,795)</w:t>
            </w:r>
          </w:p>
        </w:tc>
        <w:tc>
          <w:tcPr>
            <w:tcW w:w="399" w:type="pct"/>
            <w:tcBorders>
              <w:top w:val="nil"/>
              <w:left w:val="nil"/>
              <w:bottom w:val="nil"/>
              <w:right w:val="single" w:sz="4" w:space="0" w:color="auto"/>
            </w:tcBorders>
            <w:shd w:val="clear" w:color="000000" w:fill="D9D9D9"/>
            <w:noWrap/>
            <w:tcMar>
              <w:left w:w="45" w:type="dxa"/>
              <w:right w:w="45" w:type="dxa"/>
            </w:tcMar>
            <w:vAlign w:val="bottom"/>
            <w:hideMark/>
          </w:tcPr>
          <w:p w14:paraId="3F63034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520" w:type="pct"/>
            <w:tcBorders>
              <w:top w:val="nil"/>
              <w:left w:val="nil"/>
              <w:bottom w:val="nil"/>
              <w:right w:val="single" w:sz="4" w:space="0" w:color="auto"/>
            </w:tcBorders>
            <w:shd w:val="clear" w:color="000000" w:fill="D9D9D9"/>
            <w:noWrap/>
            <w:tcMar>
              <w:left w:w="45" w:type="dxa"/>
              <w:right w:w="45" w:type="dxa"/>
            </w:tcMar>
            <w:vAlign w:val="bottom"/>
            <w:hideMark/>
          </w:tcPr>
          <w:p w14:paraId="548187BE"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(32,113)</w:t>
            </w:r>
          </w:p>
        </w:tc>
        <w:tc>
          <w:tcPr>
            <w:tcW w:w="400" w:type="pct"/>
            <w:tcBorders>
              <w:top w:val="nil"/>
              <w:left w:val="nil"/>
              <w:bottom w:val="nil"/>
              <w:right w:val="single" w:sz="4" w:space="0" w:color="auto"/>
            </w:tcBorders>
            <w:shd w:val="clear" w:color="000000" w:fill="D9D9D9"/>
            <w:noWrap/>
            <w:tcMar>
              <w:left w:w="45" w:type="dxa"/>
              <w:right w:w="45" w:type="dxa"/>
            </w:tcMar>
            <w:vAlign w:val="bottom"/>
            <w:hideMark/>
          </w:tcPr>
          <w:p w14:paraId="084172C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(8,795)</w:t>
            </w:r>
          </w:p>
        </w:tc>
        <w:tc>
          <w:tcPr>
            <w:tcW w:w="398" w:type="pct"/>
            <w:tcBorders>
              <w:top w:val="nil"/>
              <w:left w:val="nil"/>
              <w:bottom w:val="nil"/>
              <w:right w:val="single" w:sz="4" w:space="0" w:color="auto"/>
            </w:tcBorders>
            <w:shd w:val="clear" w:color="000000" w:fill="D9D9D9"/>
            <w:noWrap/>
            <w:tcMar>
              <w:left w:w="45" w:type="dxa"/>
              <w:right w:w="45" w:type="dxa"/>
            </w:tcMar>
            <w:vAlign w:val="bottom"/>
            <w:hideMark/>
          </w:tcPr>
          <w:p w14:paraId="51DCB4E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37.72 </w:t>
            </w:r>
          </w:p>
        </w:tc>
      </w:tr>
      <w:tr w:rsidR="000729CF" w:rsidRPr="000729CF" w14:paraId="7FEA9E72" w14:textId="77777777" w:rsidTr="00BC26AB">
        <w:trPr>
          <w:trHeight w:val="20"/>
        </w:trPr>
        <w:tc>
          <w:tcPr>
            <w:tcW w:w="1588" w:type="pct"/>
            <w:tcBorders>
              <w:top w:val="nil"/>
              <w:left w:val="single" w:sz="4" w:space="0" w:color="auto"/>
              <w:bottom w:val="nil"/>
              <w:right w:val="nil"/>
            </w:tcBorders>
            <w:shd w:val="clear" w:color="000000" w:fill="FFFFFF"/>
            <w:noWrap/>
            <w:tcMar>
              <w:left w:w="45" w:type="dxa"/>
              <w:right w:w="45" w:type="dxa"/>
            </w:tcMar>
            <w:vAlign w:val="bottom"/>
            <w:hideMark/>
          </w:tcPr>
          <w:p w14:paraId="621B217D"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Levies to External Bodies</w:t>
            </w:r>
          </w:p>
        </w:tc>
        <w:tc>
          <w:tcPr>
            <w:tcW w:w="401" w:type="pct"/>
            <w:tcBorders>
              <w:top w:val="nil"/>
              <w:left w:val="nil"/>
              <w:bottom w:val="nil"/>
              <w:right w:val="single" w:sz="4" w:space="0" w:color="auto"/>
            </w:tcBorders>
            <w:shd w:val="clear" w:color="000000" w:fill="FFFFFF"/>
            <w:noWrap/>
            <w:tcMar>
              <w:left w:w="45" w:type="dxa"/>
              <w:right w:w="45" w:type="dxa"/>
            </w:tcMar>
            <w:vAlign w:val="bottom"/>
            <w:hideMark/>
          </w:tcPr>
          <w:p w14:paraId="45E09313"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 xml:space="preserve">229 </w:t>
            </w:r>
          </w:p>
        </w:tc>
        <w:tc>
          <w:tcPr>
            <w:tcW w:w="399" w:type="pct"/>
            <w:tcBorders>
              <w:top w:val="nil"/>
              <w:left w:val="nil"/>
              <w:bottom w:val="nil"/>
              <w:right w:val="single" w:sz="4" w:space="0" w:color="auto"/>
            </w:tcBorders>
            <w:shd w:val="clear" w:color="000000" w:fill="FFFFFF"/>
            <w:noWrap/>
            <w:tcMar>
              <w:left w:w="45" w:type="dxa"/>
              <w:right w:w="45" w:type="dxa"/>
            </w:tcMar>
            <w:vAlign w:val="bottom"/>
            <w:hideMark/>
          </w:tcPr>
          <w:p w14:paraId="5377118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8 </w:t>
            </w:r>
          </w:p>
        </w:tc>
        <w:tc>
          <w:tcPr>
            <w:tcW w:w="404" w:type="pct"/>
            <w:tcBorders>
              <w:top w:val="nil"/>
              <w:left w:val="nil"/>
              <w:bottom w:val="nil"/>
              <w:right w:val="single" w:sz="4" w:space="0" w:color="auto"/>
            </w:tcBorders>
            <w:shd w:val="clear" w:color="000000" w:fill="FFFFFF"/>
            <w:noWrap/>
            <w:tcMar>
              <w:left w:w="45" w:type="dxa"/>
              <w:right w:w="45" w:type="dxa"/>
            </w:tcMar>
            <w:vAlign w:val="bottom"/>
            <w:hideMark/>
          </w:tcPr>
          <w:p w14:paraId="19E72DEC"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91" w:type="pct"/>
            <w:tcBorders>
              <w:top w:val="nil"/>
              <w:left w:val="nil"/>
              <w:bottom w:val="nil"/>
              <w:right w:val="single" w:sz="4" w:space="0" w:color="auto"/>
            </w:tcBorders>
            <w:shd w:val="clear" w:color="000000" w:fill="FFFFFF"/>
            <w:noWrap/>
            <w:tcMar>
              <w:left w:w="45" w:type="dxa"/>
              <w:right w:w="45" w:type="dxa"/>
            </w:tcMar>
            <w:vAlign w:val="bottom"/>
            <w:hideMark/>
          </w:tcPr>
          <w:p w14:paraId="54D9891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399" w:type="pct"/>
            <w:tcBorders>
              <w:top w:val="nil"/>
              <w:left w:val="nil"/>
              <w:bottom w:val="nil"/>
              <w:right w:val="single" w:sz="4" w:space="0" w:color="auto"/>
            </w:tcBorders>
            <w:shd w:val="clear" w:color="000000" w:fill="FFFFFF"/>
            <w:noWrap/>
            <w:tcMar>
              <w:left w:w="45" w:type="dxa"/>
              <w:right w:w="45" w:type="dxa"/>
            </w:tcMar>
            <w:vAlign w:val="bottom"/>
            <w:hideMark/>
          </w:tcPr>
          <w:p w14:paraId="386CB602"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520" w:type="pct"/>
            <w:tcBorders>
              <w:top w:val="nil"/>
              <w:left w:val="nil"/>
              <w:bottom w:val="nil"/>
              <w:right w:val="single" w:sz="4" w:space="0" w:color="auto"/>
            </w:tcBorders>
            <w:shd w:val="clear" w:color="000000" w:fill="FFFFFF"/>
            <w:noWrap/>
            <w:tcMar>
              <w:left w:w="45" w:type="dxa"/>
              <w:right w:w="45" w:type="dxa"/>
            </w:tcMar>
            <w:vAlign w:val="bottom"/>
            <w:hideMark/>
          </w:tcPr>
          <w:p w14:paraId="3D8F3A3A"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 xml:space="preserve">237 </w:t>
            </w:r>
          </w:p>
        </w:tc>
        <w:tc>
          <w:tcPr>
            <w:tcW w:w="400" w:type="pct"/>
            <w:tcBorders>
              <w:top w:val="nil"/>
              <w:left w:val="nil"/>
              <w:bottom w:val="nil"/>
              <w:right w:val="single" w:sz="4" w:space="0" w:color="auto"/>
            </w:tcBorders>
            <w:shd w:val="clear" w:color="000000" w:fill="FFFFFF"/>
            <w:noWrap/>
            <w:tcMar>
              <w:left w:w="45" w:type="dxa"/>
              <w:right w:w="45" w:type="dxa"/>
            </w:tcMar>
            <w:vAlign w:val="bottom"/>
            <w:hideMark/>
          </w:tcPr>
          <w:p w14:paraId="3AB99232"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8 </w:t>
            </w:r>
          </w:p>
        </w:tc>
        <w:tc>
          <w:tcPr>
            <w:tcW w:w="398" w:type="pct"/>
            <w:tcBorders>
              <w:top w:val="nil"/>
              <w:left w:val="nil"/>
              <w:bottom w:val="nil"/>
              <w:right w:val="single" w:sz="4" w:space="0" w:color="auto"/>
            </w:tcBorders>
            <w:shd w:val="clear" w:color="000000" w:fill="FFFFFF"/>
            <w:noWrap/>
            <w:tcMar>
              <w:left w:w="45" w:type="dxa"/>
              <w:right w:w="45" w:type="dxa"/>
            </w:tcMar>
            <w:vAlign w:val="bottom"/>
            <w:hideMark/>
          </w:tcPr>
          <w:p w14:paraId="7C2A5AC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3.49 </w:t>
            </w:r>
          </w:p>
        </w:tc>
      </w:tr>
      <w:tr w:rsidR="000729CF" w:rsidRPr="000729CF" w14:paraId="7E9A8117" w14:textId="77777777" w:rsidTr="00BC26AB">
        <w:trPr>
          <w:trHeight w:val="20"/>
        </w:trPr>
        <w:tc>
          <w:tcPr>
            <w:tcW w:w="1588" w:type="pct"/>
            <w:tcBorders>
              <w:top w:val="nil"/>
              <w:left w:val="single" w:sz="4" w:space="0" w:color="auto"/>
              <w:bottom w:val="nil"/>
              <w:right w:val="nil"/>
            </w:tcBorders>
            <w:shd w:val="clear" w:color="000000" w:fill="D9D9D9"/>
            <w:noWrap/>
            <w:tcMar>
              <w:left w:w="45" w:type="dxa"/>
              <w:right w:w="45" w:type="dxa"/>
            </w:tcMar>
            <w:vAlign w:val="bottom"/>
            <w:hideMark/>
          </w:tcPr>
          <w:p w14:paraId="66CD874E"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Other Corporate Budgets</w:t>
            </w:r>
          </w:p>
        </w:tc>
        <w:tc>
          <w:tcPr>
            <w:tcW w:w="401" w:type="pct"/>
            <w:tcBorders>
              <w:top w:val="nil"/>
              <w:left w:val="nil"/>
              <w:bottom w:val="nil"/>
              <w:right w:val="single" w:sz="4" w:space="0" w:color="auto"/>
            </w:tcBorders>
            <w:shd w:val="clear" w:color="000000" w:fill="D9D9D9"/>
            <w:noWrap/>
            <w:tcMar>
              <w:left w:w="45" w:type="dxa"/>
              <w:right w:w="45" w:type="dxa"/>
            </w:tcMar>
            <w:vAlign w:val="bottom"/>
            <w:hideMark/>
          </w:tcPr>
          <w:p w14:paraId="75CC99F8"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(3,027)</w:t>
            </w:r>
          </w:p>
        </w:tc>
        <w:tc>
          <w:tcPr>
            <w:tcW w:w="399" w:type="pct"/>
            <w:tcBorders>
              <w:top w:val="nil"/>
              <w:left w:val="nil"/>
              <w:bottom w:val="nil"/>
              <w:right w:val="single" w:sz="4" w:space="0" w:color="auto"/>
            </w:tcBorders>
            <w:shd w:val="clear" w:color="000000" w:fill="D9D9D9"/>
            <w:noWrap/>
            <w:tcMar>
              <w:left w:w="45" w:type="dxa"/>
              <w:right w:w="45" w:type="dxa"/>
            </w:tcMar>
            <w:vAlign w:val="bottom"/>
            <w:hideMark/>
          </w:tcPr>
          <w:p w14:paraId="453BA8B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(105)</w:t>
            </w:r>
          </w:p>
        </w:tc>
        <w:tc>
          <w:tcPr>
            <w:tcW w:w="404" w:type="pct"/>
            <w:tcBorders>
              <w:top w:val="nil"/>
              <w:left w:val="nil"/>
              <w:bottom w:val="nil"/>
              <w:right w:val="single" w:sz="4" w:space="0" w:color="auto"/>
            </w:tcBorders>
            <w:shd w:val="clear" w:color="000000" w:fill="D9D9D9"/>
            <w:noWrap/>
            <w:tcMar>
              <w:left w:w="45" w:type="dxa"/>
              <w:right w:w="45" w:type="dxa"/>
            </w:tcMar>
            <w:vAlign w:val="bottom"/>
            <w:hideMark/>
          </w:tcPr>
          <w:p w14:paraId="1CC55F5C"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91" w:type="pct"/>
            <w:tcBorders>
              <w:top w:val="nil"/>
              <w:left w:val="nil"/>
              <w:bottom w:val="nil"/>
              <w:right w:val="single" w:sz="4" w:space="0" w:color="auto"/>
            </w:tcBorders>
            <w:shd w:val="clear" w:color="000000" w:fill="D9D9D9"/>
            <w:noWrap/>
            <w:tcMar>
              <w:left w:w="45" w:type="dxa"/>
              <w:right w:w="45" w:type="dxa"/>
            </w:tcMar>
            <w:vAlign w:val="bottom"/>
            <w:hideMark/>
          </w:tcPr>
          <w:p w14:paraId="5AE81A32"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100 </w:t>
            </w:r>
          </w:p>
        </w:tc>
        <w:tc>
          <w:tcPr>
            <w:tcW w:w="399" w:type="pct"/>
            <w:tcBorders>
              <w:top w:val="nil"/>
              <w:left w:val="nil"/>
              <w:bottom w:val="nil"/>
              <w:right w:val="single" w:sz="4" w:space="0" w:color="auto"/>
            </w:tcBorders>
            <w:shd w:val="clear" w:color="000000" w:fill="D9D9D9"/>
            <w:noWrap/>
            <w:tcMar>
              <w:left w:w="45" w:type="dxa"/>
              <w:right w:w="45" w:type="dxa"/>
            </w:tcMar>
            <w:vAlign w:val="bottom"/>
            <w:hideMark/>
          </w:tcPr>
          <w:p w14:paraId="1541DED6"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520" w:type="pct"/>
            <w:tcBorders>
              <w:top w:val="nil"/>
              <w:left w:val="nil"/>
              <w:bottom w:val="nil"/>
              <w:right w:val="single" w:sz="4" w:space="0" w:color="auto"/>
            </w:tcBorders>
            <w:shd w:val="clear" w:color="000000" w:fill="D9D9D9"/>
            <w:noWrap/>
            <w:tcMar>
              <w:left w:w="45" w:type="dxa"/>
              <w:right w:w="45" w:type="dxa"/>
            </w:tcMar>
            <w:vAlign w:val="bottom"/>
            <w:hideMark/>
          </w:tcPr>
          <w:p w14:paraId="1B0E7616"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(3,032)</w:t>
            </w:r>
          </w:p>
        </w:tc>
        <w:tc>
          <w:tcPr>
            <w:tcW w:w="400" w:type="pct"/>
            <w:tcBorders>
              <w:top w:val="nil"/>
              <w:left w:val="nil"/>
              <w:bottom w:val="nil"/>
              <w:right w:val="single" w:sz="4" w:space="0" w:color="auto"/>
            </w:tcBorders>
            <w:shd w:val="clear" w:color="000000" w:fill="D9D9D9"/>
            <w:noWrap/>
            <w:tcMar>
              <w:left w:w="45" w:type="dxa"/>
              <w:right w:w="45" w:type="dxa"/>
            </w:tcMar>
            <w:vAlign w:val="bottom"/>
            <w:hideMark/>
          </w:tcPr>
          <w:p w14:paraId="14D4E24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w:t>
            </w:r>
          </w:p>
        </w:tc>
        <w:tc>
          <w:tcPr>
            <w:tcW w:w="398" w:type="pct"/>
            <w:tcBorders>
              <w:top w:val="nil"/>
              <w:left w:val="nil"/>
              <w:bottom w:val="nil"/>
              <w:right w:val="single" w:sz="4" w:space="0" w:color="auto"/>
            </w:tcBorders>
            <w:shd w:val="clear" w:color="000000" w:fill="D9D9D9"/>
            <w:noWrap/>
            <w:tcMar>
              <w:left w:w="45" w:type="dxa"/>
              <w:right w:w="45" w:type="dxa"/>
            </w:tcMar>
            <w:vAlign w:val="bottom"/>
            <w:hideMark/>
          </w:tcPr>
          <w:p w14:paraId="45F90DF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0.17 </w:t>
            </w:r>
          </w:p>
        </w:tc>
      </w:tr>
      <w:tr w:rsidR="000729CF" w:rsidRPr="000729CF" w14:paraId="25593026" w14:textId="77777777" w:rsidTr="00BC26AB">
        <w:trPr>
          <w:trHeight w:val="20"/>
        </w:trPr>
        <w:tc>
          <w:tcPr>
            <w:tcW w:w="1588" w:type="pct"/>
            <w:tcBorders>
              <w:top w:val="single" w:sz="4" w:space="0" w:color="auto"/>
              <w:left w:val="single" w:sz="4" w:space="0" w:color="auto"/>
              <w:bottom w:val="single" w:sz="4" w:space="0" w:color="auto"/>
              <w:right w:val="nil"/>
            </w:tcBorders>
            <w:shd w:val="clear" w:color="000000" w:fill="000000"/>
            <w:noWrap/>
            <w:tcMar>
              <w:left w:w="45" w:type="dxa"/>
              <w:right w:w="45" w:type="dxa"/>
            </w:tcMar>
            <w:vAlign w:val="bottom"/>
            <w:hideMark/>
          </w:tcPr>
          <w:p w14:paraId="08575BED" w14:textId="77777777" w:rsidR="000729CF" w:rsidRPr="000729CF" w:rsidRDefault="000729CF" w:rsidP="000729CF">
            <w:pPr>
              <w:rPr>
                <w:rFonts w:ascii="Calibri" w:hAnsi="Calibri" w:cs="Calibri"/>
                <w:b/>
                <w:bCs/>
                <w:color w:val="FFFFFF"/>
                <w:sz w:val="22"/>
                <w:szCs w:val="22"/>
                <w:lang w:val="en-GB" w:eastAsia="en-GB"/>
              </w:rPr>
            </w:pPr>
            <w:r w:rsidRPr="000729CF">
              <w:rPr>
                <w:rFonts w:ascii="Calibri" w:hAnsi="Calibri" w:cs="Calibri"/>
                <w:b/>
                <w:bCs/>
                <w:color w:val="FFFFFF"/>
                <w:sz w:val="22"/>
                <w:szCs w:val="22"/>
                <w:lang w:val="en-GB" w:eastAsia="en-GB"/>
              </w:rPr>
              <w:t>NET REVENUE EXPENDITURE</w:t>
            </w:r>
          </w:p>
        </w:tc>
        <w:tc>
          <w:tcPr>
            <w:tcW w:w="401" w:type="pct"/>
            <w:tcBorders>
              <w:top w:val="single" w:sz="4" w:space="0" w:color="auto"/>
              <w:left w:val="nil"/>
              <w:bottom w:val="single" w:sz="4" w:space="0" w:color="auto"/>
              <w:right w:val="single" w:sz="4" w:space="0" w:color="auto"/>
            </w:tcBorders>
            <w:shd w:val="clear" w:color="000000" w:fill="000000"/>
            <w:noWrap/>
            <w:tcMar>
              <w:left w:w="45" w:type="dxa"/>
              <w:right w:w="45" w:type="dxa"/>
            </w:tcMar>
            <w:vAlign w:val="bottom"/>
            <w:hideMark/>
          </w:tcPr>
          <w:p w14:paraId="1A6E3D49" w14:textId="77777777" w:rsidR="000729CF" w:rsidRPr="000729CF" w:rsidRDefault="000729CF" w:rsidP="000729CF">
            <w:pPr>
              <w:jc w:val="right"/>
              <w:rPr>
                <w:rFonts w:ascii="Calibri" w:hAnsi="Calibri" w:cs="Calibri"/>
                <w:b/>
                <w:bCs/>
                <w:color w:val="FFFFFF"/>
                <w:sz w:val="22"/>
                <w:szCs w:val="22"/>
                <w:lang w:val="en-GB" w:eastAsia="en-GB"/>
              </w:rPr>
            </w:pPr>
            <w:r w:rsidRPr="000729CF">
              <w:rPr>
                <w:rFonts w:ascii="Calibri" w:hAnsi="Calibri" w:cs="Calibri"/>
                <w:b/>
                <w:bCs/>
                <w:color w:val="FFFFFF"/>
                <w:sz w:val="22"/>
                <w:szCs w:val="22"/>
                <w:lang w:val="en-GB" w:eastAsia="en-GB"/>
              </w:rPr>
              <w:t xml:space="preserve">234,555 </w:t>
            </w:r>
          </w:p>
        </w:tc>
        <w:tc>
          <w:tcPr>
            <w:tcW w:w="399" w:type="pct"/>
            <w:tcBorders>
              <w:top w:val="single" w:sz="4" w:space="0" w:color="auto"/>
              <w:left w:val="nil"/>
              <w:bottom w:val="single" w:sz="4" w:space="0" w:color="auto"/>
              <w:right w:val="single" w:sz="4" w:space="0" w:color="auto"/>
            </w:tcBorders>
            <w:shd w:val="clear" w:color="000000" w:fill="000000"/>
            <w:noWrap/>
            <w:tcMar>
              <w:left w:w="45" w:type="dxa"/>
              <w:right w:w="45" w:type="dxa"/>
            </w:tcMar>
            <w:vAlign w:val="bottom"/>
            <w:hideMark/>
          </w:tcPr>
          <w:p w14:paraId="1231D71D" w14:textId="77777777" w:rsidR="000729CF" w:rsidRPr="000729CF" w:rsidRDefault="000729CF" w:rsidP="000729CF">
            <w:pPr>
              <w:jc w:val="right"/>
              <w:rPr>
                <w:rFonts w:ascii="Calibri" w:hAnsi="Calibri" w:cs="Calibri"/>
                <w:b/>
                <w:bCs/>
                <w:color w:val="FFFFFF"/>
                <w:sz w:val="22"/>
                <w:szCs w:val="22"/>
                <w:lang w:val="en-GB" w:eastAsia="en-GB"/>
              </w:rPr>
            </w:pPr>
            <w:r w:rsidRPr="000729CF">
              <w:rPr>
                <w:rFonts w:ascii="Calibri" w:hAnsi="Calibri" w:cs="Calibri"/>
                <w:b/>
                <w:bCs/>
                <w:color w:val="FFFFFF"/>
                <w:sz w:val="22"/>
                <w:szCs w:val="22"/>
                <w:lang w:val="en-GB" w:eastAsia="en-GB"/>
              </w:rPr>
              <w:t xml:space="preserve">10,432 </w:t>
            </w:r>
          </w:p>
        </w:tc>
        <w:tc>
          <w:tcPr>
            <w:tcW w:w="404" w:type="pct"/>
            <w:tcBorders>
              <w:top w:val="single" w:sz="4" w:space="0" w:color="auto"/>
              <w:left w:val="nil"/>
              <w:bottom w:val="single" w:sz="4" w:space="0" w:color="auto"/>
              <w:right w:val="single" w:sz="4" w:space="0" w:color="auto"/>
            </w:tcBorders>
            <w:shd w:val="clear" w:color="000000" w:fill="000000"/>
            <w:noWrap/>
            <w:tcMar>
              <w:left w:w="45" w:type="dxa"/>
              <w:right w:w="45" w:type="dxa"/>
            </w:tcMar>
            <w:vAlign w:val="bottom"/>
            <w:hideMark/>
          </w:tcPr>
          <w:p w14:paraId="1D1632DA" w14:textId="77777777" w:rsidR="000729CF" w:rsidRPr="000729CF" w:rsidRDefault="000729CF" w:rsidP="000729CF">
            <w:pPr>
              <w:jc w:val="right"/>
              <w:rPr>
                <w:rFonts w:ascii="Calibri" w:hAnsi="Calibri" w:cs="Calibri"/>
                <w:b/>
                <w:bCs/>
                <w:color w:val="FFFFFF"/>
                <w:sz w:val="22"/>
                <w:szCs w:val="22"/>
                <w:lang w:val="en-GB" w:eastAsia="en-GB"/>
              </w:rPr>
            </w:pPr>
            <w:r w:rsidRPr="000729CF">
              <w:rPr>
                <w:rFonts w:ascii="Calibri" w:hAnsi="Calibri" w:cs="Calibri"/>
                <w:b/>
                <w:bCs/>
                <w:color w:val="FFFFFF"/>
                <w:sz w:val="22"/>
                <w:szCs w:val="22"/>
                <w:lang w:val="en-GB" w:eastAsia="en-GB"/>
              </w:rPr>
              <w:t xml:space="preserve">27,729 </w:t>
            </w:r>
          </w:p>
        </w:tc>
        <w:tc>
          <w:tcPr>
            <w:tcW w:w="491" w:type="pct"/>
            <w:tcBorders>
              <w:top w:val="single" w:sz="4" w:space="0" w:color="auto"/>
              <w:left w:val="nil"/>
              <w:bottom w:val="single" w:sz="4" w:space="0" w:color="auto"/>
              <w:right w:val="single" w:sz="4" w:space="0" w:color="auto"/>
            </w:tcBorders>
            <w:shd w:val="clear" w:color="000000" w:fill="000000"/>
            <w:noWrap/>
            <w:tcMar>
              <w:left w:w="45" w:type="dxa"/>
              <w:right w:w="45" w:type="dxa"/>
            </w:tcMar>
            <w:vAlign w:val="bottom"/>
            <w:hideMark/>
          </w:tcPr>
          <w:p w14:paraId="77A99B53" w14:textId="77777777" w:rsidR="000729CF" w:rsidRPr="000729CF" w:rsidRDefault="000729CF" w:rsidP="000729CF">
            <w:pPr>
              <w:jc w:val="right"/>
              <w:rPr>
                <w:rFonts w:ascii="Calibri" w:hAnsi="Calibri" w:cs="Calibri"/>
                <w:b/>
                <w:bCs/>
                <w:color w:val="FFFFFF"/>
                <w:sz w:val="22"/>
                <w:szCs w:val="22"/>
                <w:lang w:val="en-GB" w:eastAsia="en-GB"/>
              </w:rPr>
            </w:pPr>
            <w:r w:rsidRPr="000729CF">
              <w:rPr>
                <w:rFonts w:ascii="Calibri" w:hAnsi="Calibri" w:cs="Calibri"/>
                <w:b/>
                <w:bCs/>
                <w:color w:val="FFFFFF"/>
                <w:sz w:val="22"/>
                <w:szCs w:val="22"/>
                <w:lang w:val="en-GB" w:eastAsia="en-GB"/>
              </w:rPr>
              <w:t>(3,004)</w:t>
            </w:r>
          </w:p>
        </w:tc>
        <w:tc>
          <w:tcPr>
            <w:tcW w:w="399" w:type="pct"/>
            <w:tcBorders>
              <w:top w:val="single" w:sz="4" w:space="0" w:color="auto"/>
              <w:left w:val="nil"/>
              <w:bottom w:val="single" w:sz="4" w:space="0" w:color="auto"/>
              <w:right w:val="single" w:sz="4" w:space="0" w:color="auto"/>
            </w:tcBorders>
            <w:shd w:val="clear" w:color="000000" w:fill="000000"/>
            <w:noWrap/>
            <w:tcMar>
              <w:left w:w="45" w:type="dxa"/>
              <w:right w:w="45" w:type="dxa"/>
            </w:tcMar>
            <w:vAlign w:val="bottom"/>
            <w:hideMark/>
          </w:tcPr>
          <w:p w14:paraId="40B8BFF4" w14:textId="77777777" w:rsidR="000729CF" w:rsidRPr="000729CF" w:rsidRDefault="000729CF" w:rsidP="000729CF">
            <w:pPr>
              <w:jc w:val="right"/>
              <w:rPr>
                <w:rFonts w:ascii="Calibri" w:hAnsi="Calibri" w:cs="Calibri"/>
                <w:b/>
                <w:bCs/>
                <w:color w:val="FFFFFF"/>
                <w:sz w:val="22"/>
                <w:szCs w:val="22"/>
                <w:lang w:val="en-GB" w:eastAsia="en-GB"/>
              </w:rPr>
            </w:pPr>
            <w:r w:rsidRPr="000729CF">
              <w:rPr>
                <w:rFonts w:ascii="Calibri" w:hAnsi="Calibri" w:cs="Calibri"/>
                <w:b/>
                <w:bCs/>
                <w:color w:val="FFFFFF"/>
                <w:sz w:val="22"/>
                <w:szCs w:val="22"/>
                <w:lang w:val="en-GB" w:eastAsia="en-GB"/>
              </w:rPr>
              <w:t>(23,730)</w:t>
            </w:r>
          </w:p>
        </w:tc>
        <w:tc>
          <w:tcPr>
            <w:tcW w:w="520" w:type="pct"/>
            <w:tcBorders>
              <w:top w:val="single" w:sz="4" w:space="0" w:color="auto"/>
              <w:left w:val="nil"/>
              <w:bottom w:val="single" w:sz="4" w:space="0" w:color="auto"/>
              <w:right w:val="single" w:sz="4" w:space="0" w:color="auto"/>
            </w:tcBorders>
            <w:shd w:val="clear" w:color="000000" w:fill="000000"/>
            <w:noWrap/>
            <w:tcMar>
              <w:left w:w="45" w:type="dxa"/>
              <w:right w:w="45" w:type="dxa"/>
            </w:tcMar>
            <w:vAlign w:val="bottom"/>
            <w:hideMark/>
          </w:tcPr>
          <w:p w14:paraId="0AA8D6C6" w14:textId="77777777" w:rsidR="000729CF" w:rsidRPr="000729CF" w:rsidRDefault="000729CF" w:rsidP="000729CF">
            <w:pPr>
              <w:jc w:val="right"/>
              <w:rPr>
                <w:rFonts w:ascii="Calibri" w:hAnsi="Calibri" w:cs="Calibri"/>
                <w:b/>
                <w:bCs/>
                <w:color w:val="FFFFFF"/>
                <w:sz w:val="22"/>
                <w:szCs w:val="22"/>
                <w:lang w:val="en-GB" w:eastAsia="en-GB"/>
              </w:rPr>
            </w:pPr>
            <w:r w:rsidRPr="000729CF">
              <w:rPr>
                <w:rFonts w:ascii="Calibri" w:hAnsi="Calibri" w:cs="Calibri"/>
                <w:b/>
                <w:bCs/>
                <w:color w:val="FFFFFF"/>
                <w:sz w:val="22"/>
                <w:szCs w:val="22"/>
                <w:lang w:val="en-GB" w:eastAsia="en-GB"/>
              </w:rPr>
              <w:t xml:space="preserve">245,982 </w:t>
            </w:r>
          </w:p>
        </w:tc>
        <w:tc>
          <w:tcPr>
            <w:tcW w:w="400" w:type="pct"/>
            <w:tcBorders>
              <w:top w:val="single" w:sz="4" w:space="0" w:color="auto"/>
              <w:left w:val="nil"/>
              <w:bottom w:val="single" w:sz="4" w:space="0" w:color="auto"/>
              <w:right w:val="single" w:sz="4" w:space="0" w:color="auto"/>
            </w:tcBorders>
            <w:shd w:val="clear" w:color="000000" w:fill="000000"/>
            <w:noWrap/>
            <w:tcMar>
              <w:left w:w="45" w:type="dxa"/>
              <w:right w:w="45" w:type="dxa"/>
            </w:tcMar>
            <w:vAlign w:val="bottom"/>
            <w:hideMark/>
          </w:tcPr>
          <w:p w14:paraId="0A442953" w14:textId="77777777" w:rsidR="000729CF" w:rsidRPr="000729CF" w:rsidRDefault="000729CF" w:rsidP="000729CF">
            <w:pPr>
              <w:jc w:val="right"/>
              <w:rPr>
                <w:rFonts w:ascii="Calibri" w:hAnsi="Calibri" w:cs="Calibri"/>
                <w:b/>
                <w:bCs/>
                <w:color w:val="FFFFFF"/>
                <w:sz w:val="22"/>
                <w:szCs w:val="22"/>
                <w:lang w:val="en-GB" w:eastAsia="en-GB"/>
              </w:rPr>
            </w:pPr>
            <w:r w:rsidRPr="000729CF">
              <w:rPr>
                <w:rFonts w:ascii="Calibri" w:hAnsi="Calibri" w:cs="Calibri"/>
                <w:b/>
                <w:bCs/>
                <w:color w:val="FFFFFF"/>
                <w:sz w:val="22"/>
                <w:szCs w:val="22"/>
                <w:lang w:val="en-GB" w:eastAsia="en-GB"/>
              </w:rPr>
              <w:t xml:space="preserve">11,427 </w:t>
            </w:r>
          </w:p>
        </w:tc>
        <w:tc>
          <w:tcPr>
            <w:tcW w:w="398" w:type="pct"/>
            <w:tcBorders>
              <w:top w:val="single" w:sz="4" w:space="0" w:color="auto"/>
              <w:left w:val="nil"/>
              <w:bottom w:val="single" w:sz="4" w:space="0" w:color="auto"/>
              <w:right w:val="single" w:sz="4" w:space="0" w:color="auto"/>
            </w:tcBorders>
            <w:shd w:val="clear" w:color="000000" w:fill="000000"/>
            <w:noWrap/>
            <w:tcMar>
              <w:left w:w="45" w:type="dxa"/>
              <w:right w:w="45" w:type="dxa"/>
            </w:tcMar>
            <w:vAlign w:val="bottom"/>
            <w:hideMark/>
          </w:tcPr>
          <w:p w14:paraId="73F1FBE3" w14:textId="77777777" w:rsidR="000729CF" w:rsidRPr="000729CF" w:rsidRDefault="000729CF" w:rsidP="000729CF">
            <w:pPr>
              <w:jc w:val="right"/>
              <w:rPr>
                <w:rFonts w:ascii="Calibri" w:hAnsi="Calibri" w:cs="Calibri"/>
                <w:b/>
                <w:bCs/>
                <w:color w:val="FFFFFF"/>
                <w:sz w:val="22"/>
                <w:szCs w:val="22"/>
                <w:lang w:val="en-GB" w:eastAsia="en-GB"/>
              </w:rPr>
            </w:pPr>
            <w:r w:rsidRPr="000729CF">
              <w:rPr>
                <w:rFonts w:ascii="Calibri" w:hAnsi="Calibri" w:cs="Calibri"/>
                <w:b/>
                <w:bCs/>
                <w:color w:val="FFFFFF"/>
                <w:sz w:val="22"/>
                <w:szCs w:val="22"/>
                <w:lang w:val="en-GB" w:eastAsia="en-GB"/>
              </w:rPr>
              <w:t xml:space="preserve">4.87 </w:t>
            </w:r>
          </w:p>
        </w:tc>
      </w:tr>
      <w:tr w:rsidR="000729CF" w:rsidRPr="000729CF" w14:paraId="125F75B0" w14:textId="77777777" w:rsidTr="00BC26AB">
        <w:trPr>
          <w:trHeight w:val="20"/>
        </w:trPr>
        <w:tc>
          <w:tcPr>
            <w:tcW w:w="1588" w:type="pct"/>
            <w:tcBorders>
              <w:top w:val="nil"/>
              <w:left w:val="single" w:sz="4" w:space="0" w:color="auto"/>
              <w:bottom w:val="nil"/>
              <w:right w:val="nil"/>
            </w:tcBorders>
            <w:shd w:val="clear" w:color="000000" w:fill="FFFFFF"/>
            <w:noWrap/>
            <w:tcMar>
              <w:left w:w="45" w:type="dxa"/>
              <w:right w:w="45" w:type="dxa"/>
            </w:tcMar>
            <w:vAlign w:val="bottom"/>
            <w:hideMark/>
          </w:tcPr>
          <w:p w14:paraId="6998DEDE"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Contributions to/ from(-) reserves</w:t>
            </w:r>
          </w:p>
        </w:tc>
        <w:tc>
          <w:tcPr>
            <w:tcW w:w="401" w:type="pct"/>
            <w:tcBorders>
              <w:top w:val="nil"/>
              <w:left w:val="nil"/>
              <w:bottom w:val="nil"/>
              <w:right w:val="single" w:sz="4" w:space="0" w:color="auto"/>
            </w:tcBorders>
            <w:shd w:val="clear" w:color="000000" w:fill="FFFFFF"/>
            <w:noWrap/>
            <w:tcMar>
              <w:left w:w="45" w:type="dxa"/>
              <w:right w:w="45" w:type="dxa"/>
            </w:tcMar>
            <w:vAlign w:val="bottom"/>
            <w:hideMark/>
          </w:tcPr>
          <w:p w14:paraId="28AAEC47"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 xml:space="preserve">461 </w:t>
            </w:r>
          </w:p>
        </w:tc>
        <w:tc>
          <w:tcPr>
            <w:tcW w:w="399" w:type="pct"/>
            <w:tcBorders>
              <w:top w:val="nil"/>
              <w:left w:val="nil"/>
              <w:bottom w:val="nil"/>
              <w:right w:val="single" w:sz="4" w:space="0" w:color="auto"/>
            </w:tcBorders>
            <w:shd w:val="clear" w:color="000000" w:fill="FFFFFF"/>
            <w:noWrap/>
            <w:tcMar>
              <w:left w:w="45" w:type="dxa"/>
              <w:right w:w="45" w:type="dxa"/>
            </w:tcMar>
            <w:vAlign w:val="bottom"/>
            <w:hideMark/>
          </w:tcPr>
          <w:p w14:paraId="40371C6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04" w:type="pct"/>
            <w:tcBorders>
              <w:top w:val="nil"/>
              <w:left w:val="nil"/>
              <w:bottom w:val="single" w:sz="4" w:space="0" w:color="auto"/>
              <w:right w:val="single" w:sz="4" w:space="0" w:color="auto"/>
            </w:tcBorders>
            <w:shd w:val="clear" w:color="000000" w:fill="FFFFFF"/>
            <w:noWrap/>
            <w:tcMar>
              <w:left w:w="45" w:type="dxa"/>
              <w:right w:w="45" w:type="dxa"/>
            </w:tcMar>
            <w:vAlign w:val="bottom"/>
            <w:hideMark/>
          </w:tcPr>
          <w:p w14:paraId="1D49BFF7"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 xml:space="preserve">- </w:t>
            </w:r>
          </w:p>
        </w:tc>
        <w:tc>
          <w:tcPr>
            <w:tcW w:w="491" w:type="pct"/>
            <w:tcBorders>
              <w:top w:val="nil"/>
              <w:left w:val="nil"/>
              <w:bottom w:val="nil"/>
              <w:right w:val="single" w:sz="4" w:space="0" w:color="auto"/>
            </w:tcBorders>
            <w:shd w:val="clear" w:color="000000" w:fill="FFFFFF"/>
            <w:noWrap/>
            <w:tcMar>
              <w:left w:w="45" w:type="dxa"/>
              <w:right w:w="45" w:type="dxa"/>
            </w:tcMar>
            <w:vAlign w:val="bottom"/>
            <w:hideMark/>
          </w:tcPr>
          <w:p w14:paraId="315615B6"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(90)</w:t>
            </w:r>
          </w:p>
        </w:tc>
        <w:tc>
          <w:tcPr>
            <w:tcW w:w="399" w:type="pct"/>
            <w:tcBorders>
              <w:top w:val="nil"/>
              <w:left w:val="nil"/>
              <w:bottom w:val="nil"/>
              <w:right w:val="single" w:sz="4" w:space="0" w:color="auto"/>
            </w:tcBorders>
            <w:shd w:val="clear" w:color="000000" w:fill="FFFFFF"/>
            <w:noWrap/>
            <w:tcMar>
              <w:left w:w="45" w:type="dxa"/>
              <w:right w:w="45" w:type="dxa"/>
            </w:tcMar>
            <w:vAlign w:val="bottom"/>
            <w:hideMark/>
          </w:tcPr>
          <w:p w14:paraId="4E8BBCAF"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520" w:type="pct"/>
            <w:tcBorders>
              <w:top w:val="nil"/>
              <w:left w:val="nil"/>
              <w:bottom w:val="nil"/>
              <w:right w:val="single" w:sz="4" w:space="0" w:color="auto"/>
            </w:tcBorders>
            <w:shd w:val="clear" w:color="000000" w:fill="FFFFFF"/>
            <w:noWrap/>
            <w:tcMar>
              <w:left w:w="45" w:type="dxa"/>
              <w:right w:w="45" w:type="dxa"/>
            </w:tcMar>
            <w:vAlign w:val="bottom"/>
            <w:hideMark/>
          </w:tcPr>
          <w:p w14:paraId="61D2700C"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 xml:space="preserve">371 </w:t>
            </w:r>
          </w:p>
        </w:tc>
        <w:tc>
          <w:tcPr>
            <w:tcW w:w="400" w:type="pct"/>
            <w:tcBorders>
              <w:top w:val="nil"/>
              <w:left w:val="nil"/>
              <w:bottom w:val="nil"/>
              <w:right w:val="single" w:sz="4" w:space="0" w:color="auto"/>
            </w:tcBorders>
            <w:shd w:val="clear" w:color="000000" w:fill="FFFFFF"/>
            <w:noWrap/>
            <w:tcMar>
              <w:left w:w="45" w:type="dxa"/>
              <w:right w:w="45" w:type="dxa"/>
            </w:tcMar>
            <w:vAlign w:val="bottom"/>
            <w:hideMark/>
          </w:tcPr>
          <w:p w14:paraId="61215A7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(90)</w:t>
            </w:r>
          </w:p>
        </w:tc>
        <w:tc>
          <w:tcPr>
            <w:tcW w:w="398" w:type="pct"/>
            <w:tcBorders>
              <w:top w:val="nil"/>
              <w:left w:val="nil"/>
              <w:bottom w:val="nil"/>
              <w:right w:val="single" w:sz="4" w:space="0" w:color="auto"/>
            </w:tcBorders>
            <w:shd w:val="clear" w:color="000000" w:fill="FFFFFF"/>
            <w:noWrap/>
            <w:tcMar>
              <w:left w:w="45" w:type="dxa"/>
              <w:right w:w="45" w:type="dxa"/>
            </w:tcMar>
            <w:vAlign w:val="bottom"/>
            <w:hideMark/>
          </w:tcPr>
          <w:p w14:paraId="57988CD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(19.52)</w:t>
            </w:r>
          </w:p>
        </w:tc>
      </w:tr>
      <w:tr w:rsidR="000729CF" w:rsidRPr="000729CF" w14:paraId="3916954C" w14:textId="77777777" w:rsidTr="00BC26AB">
        <w:trPr>
          <w:trHeight w:val="20"/>
        </w:trPr>
        <w:tc>
          <w:tcPr>
            <w:tcW w:w="1588" w:type="pct"/>
            <w:tcBorders>
              <w:top w:val="single" w:sz="4" w:space="0" w:color="auto"/>
              <w:left w:val="single" w:sz="4" w:space="0" w:color="auto"/>
              <w:bottom w:val="single" w:sz="4" w:space="0" w:color="auto"/>
              <w:right w:val="nil"/>
            </w:tcBorders>
            <w:shd w:val="clear" w:color="000000" w:fill="000000"/>
            <w:noWrap/>
            <w:tcMar>
              <w:left w:w="45" w:type="dxa"/>
              <w:right w:w="45" w:type="dxa"/>
            </w:tcMar>
            <w:vAlign w:val="bottom"/>
            <w:hideMark/>
          </w:tcPr>
          <w:p w14:paraId="73329E27" w14:textId="77777777" w:rsidR="000729CF" w:rsidRPr="000729CF" w:rsidRDefault="000729CF" w:rsidP="000729CF">
            <w:pPr>
              <w:rPr>
                <w:rFonts w:ascii="Calibri" w:hAnsi="Calibri" w:cs="Calibri"/>
                <w:b/>
                <w:bCs/>
                <w:color w:val="FFFFFF"/>
                <w:sz w:val="22"/>
                <w:szCs w:val="22"/>
                <w:lang w:val="en-GB" w:eastAsia="en-GB"/>
              </w:rPr>
            </w:pPr>
            <w:r w:rsidRPr="000729CF">
              <w:rPr>
                <w:rFonts w:ascii="Calibri" w:hAnsi="Calibri" w:cs="Calibri"/>
                <w:b/>
                <w:bCs/>
                <w:color w:val="FFFFFF"/>
                <w:sz w:val="22"/>
                <w:szCs w:val="22"/>
                <w:lang w:val="en-GB" w:eastAsia="en-GB"/>
              </w:rPr>
              <w:t>BUDGET REQUIREMENT</w:t>
            </w:r>
          </w:p>
        </w:tc>
        <w:tc>
          <w:tcPr>
            <w:tcW w:w="401" w:type="pct"/>
            <w:tcBorders>
              <w:top w:val="single" w:sz="4" w:space="0" w:color="auto"/>
              <w:left w:val="nil"/>
              <w:bottom w:val="single" w:sz="4" w:space="0" w:color="auto"/>
              <w:right w:val="single" w:sz="4" w:space="0" w:color="auto"/>
            </w:tcBorders>
            <w:shd w:val="clear" w:color="000000" w:fill="000000"/>
            <w:noWrap/>
            <w:tcMar>
              <w:left w:w="45" w:type="dxa"/>
              <w:right w:w="45" w:type="dxa"/>
            </w:tcMar>
            <w:vAlign w:val="bottom"/>
            <w:hideMark/>
          </w:tcPr>
          <w:p w14:paraId="77EA275D" w14:textId="77777777" w:rsidR="000729CF" w:rsidRPr="000729CF" w:rsidRDefault="000729CF" w:rsidP="000729CF">
            <w:pPr>
              <w:jc w:val="right"/>
              <w:rPr>
                <w:rFonts w:ascii="Calibri" w:hAnsi="Calibri" w:cs="Calibri"/>
                <w:b/>
                <w:bCs/>
                <w:color w:val="FFFFFF"/>
                <w:sz w:val="22"/>
                <w:szCs w:val="22"/>
                <w:lang w:val="en-GB" w:eastAsia="en-GB"/>
              </w:rPr>
            </w:pPr>
            <w:r w:rsidRPr="000729CF">
              <w:rPr>
                <w:rFonts w:ascii="Calibri" w:hAnsi="Calibri" w:cs="Calibri"/>
                <w:b/>
                <w:bCs/>
                <w:color w:val="FFFFFF"/>
                <w:sz w:val="22"/>
                <w:szCs w:val="22"/>
                <w:lang w:val="en-GB" w:eastAsia="en-GB"/>
              </w:rPr>
              <w:t xml:space="preserve">235,016 </w:t>
            </w:r>
          </w:p>
        </w:tc>
        <w:tc>
          <w:tcPr>
            <w:tcW w:w="399" w:type="pct"/>
            <w:tcBorders>
              <w:top w:val="single" w:sz="4" w:space="0" w:color="auto"/>
              <w:left w:val="nil"/>
              <w:bottom w:val="single" w:sz="4" w:space="0" w:color="auto"/>
              <w:right w:val="single" w:sz="4" w:space="0" w:color="auto"/>
            </w:tcBorders>
            <w:shd w:val="clear" w:color="000000" w:fill="000000"/>
            <w:noWrap/>
            <w:tcMar>
              <w:left w:w="45" w:type="dxa"/>
              <w:right w:w="45" w:type="dxa"/>
            </w:tcMar>
            <w:vAlign w:val="bottom"/>
            <w:hideMark/>
          </w:tcPr>
          <w:p w14:paraId="6CF51BE2" w14:textId="77777777" w:rsidR="000729CF" w:rsidRPr="000729CF" w:rsidRDefault="000729CF" w:rsidP="000729CF">
            <w:pPr>
              <w:jc w:val="right"/>
              <w:rPr>
                <w:rFonts w:ascii="Calibri" w:hAnsi="Calibri" w:cs="Calibri"/>
                <w:b/>
                <w:bCs/>
                <w:color w:val="FFFFFF"/>
                <w:sz w:val="22"/>
                <w:szCs w:val="22"/>
                <w:lang w:val="en-GB" w:eastAsia="en-GB"/>
              </w:rPr>
            </w:pPr>
            <w:r w:rsidRPr="000729CF">
              <w:rPr>
                <w:rFonts w:ascii="Calibri" w:hAnsi="Calibri" w:cs="Calibri"/>
                <w:b/>
                <w:bCs/>
                <w:color w:val="FFFFFF"/>
                <w:sz w:val="22"/>
                <w:szCs w:val="22"/>
                <w:lang w:val="en-GB" w:eastAsia="en-GB"/>
              </w:rPr>
              <w:t xml:space="preserve">10,432 </w:t>
            </w:r>
          </w:p>
        </w:tc>
        <w:tc>
          <w:tcPr>
            <w:tcW w:w="404" w:type="pct"/>
            <w:tcBorders>
              <w:top w:val="nil"/>
              <w:left w:val="nil"/>
              <w:bottom w:val="single" w:sz="4" w:space="0" w:color="auto"/>
              <w:right w:val="single" w:sz="4" w:space="0" w:color="auto"/>
            </w:tcBorders>
            <w:shd w:val="clear" w:color="000000" w:fill="000000"/>
            <w:noWrap/>
            <w:tcMar>
              <w:left w:w="45" w:type="dxa"/>
              <w:right w:w="45" w:type="dxa"/>
            </w:tcMar>
            <w:vAlign w:val="bottom"/>
            <w:hideMark/>
          </w:tcPr>
          <w:p w14:paraId="123BAC1C" w14:textId="77777777" w:rsidR="000729CF" w:rsidRPr="000729CF" w:rsidRDefault="000729CF" w:rsidP="000729CF">
            <w:pPr>
              <w:jc w:val="right"/>
              <w:rPr>
                <w:rFonts w:ascii="Calibri" w:hAnsi="Calibri" w:cs="Calibri"/>
                <w:b/>
                <w:bCs/>
                <w:color w:val="FFFFFF"/>
                <w:sz w:val="22"/>
                <w:szCs w:val="22"/>
                <w:lang w:val="en-GB" w:eastAsia="en-GB"/>
              </w:rPr>
            </w:pPr>
            <w:r w:rsidRPr="000729CF">
              <w:rPr>
                <w:rFonts w:ascii="Calibri" w:hAnsi="Calibri" w:cs="Calibri"/>
                <w:b/>
                <w:bCs/>
                <w:color w:val="FFFFFF"/>
                <w:sz w:val="22"/>
                <w:szCs w:val="22"/>
                <w:lang w:val="en-GB" w:eastAsia="en-GB"/>
              </w:rPr>
              <w:t xml:space="preserve">27,729 </w:t>
            </w:r>
          </w:p>
        </w:tc>
        <w:tc>
          <w:tcPr>
            <w:tcW w:w="491" w:type="pct"/>
            <w:tcBorders>
              <w:top w:val="single" w:sz="4" w:space="0" w:color="auto"/>
              <w:left w:val="nil"/>
              <w:bottom w:val="single" w:sz="4" w:space="0" w:color="auto"/>
              <w:right w:val="single" w:sz="4" w:space="0" w:color="auto"/>
            </w:tcBorders>
            <w:shd w:val="clear" w:color="000000" w:fill="000000"/>
            <w:noWrap/>
            <w:tcMar>
              <w:left w:w="45" w:type="dxa"/>
              <w:right w:w="45" w:type="dxa"/>
            </w:tcMar>
            <w:vAlign w:val="bottom"/>
            <w:hideMark/>
          </w:tcPr>
          <w:p w14:paraId="16465D28" w14:textId="77777777" w:rsidR="000729CF" w:rsidRPr="000729CF" w:rsidRDefault="000729CF" w:rsidP="000729CF">
            <w:pPr>
              <w:jc w:val="right"/>
              <w:rPr>
                <w:rFonts w:ascii="Calibri" w:hAnsi="Calibri" w:cs="Calibri"/>
                <w:b/>
                <w:bCs/>
                <w:color w:val="FFFFFF"/>
                <w:sz w:val="22"/>
                <w:szCs w:val="22"/>
                <w:lang w:val="en-GB" w:eastAsia="en-GB"/>
              </w:rPr>
            </w:pPr>
            <w:r w:rsidRPr="000729CF">
              <w:rPr>
                <w:rFonts w:ascii="Calibri" w:hAnsi="Calibri" w:cs="Calibri"/>
                <w:b/>
                <w:bCs/>
                <w:color w:val="FFFFFF"/>
                <w:sz w:val="22"/>
                <w:szCs w:val="22"/>
                <w:lang w:val="en-GB" w:eastAsia="en-GB"/>
              </w:rPr>
              <w:t>(3,094)</w:t>
            </w:r>
          </w:p>
        </w:tc>
        <w:tc>
          <w:tcPr>
            <w:tcW w:w="399" w:type="pct"/>
            <w:tcBorders>
              <w:top w:val="single" w:sz="4" w:space="0" w:color="auto"/>
              <w:left w:val="nil"/>
              <w:bottom w:val="single" w:sz="4" w:space="0" w:color="auto"/>
              <w:right w:val="single" w:sz="4" w:space="0" w:color="auto"/>
            </w:tcBorders>
            <w:shd w:val="clear" w:color="000000" w:fill="000000"/>
            <w:noWrap/>
            <w:tcMar>
              <w:left w:w="45" w:type="dxa"/>
              <w:right w:w="45" w:type="dxa"/>
            </w:tcMar>
            <w:vAlign w:val="bottom"/>
            <w:hideMark/>
          </w:tcPr>
          <w:p w14:paraId="247076BD" w14:textId="77777777" w:rsidR="000729CF" w:rsidRPr="000729CF" w:rsidRDefault="000729CF" w:rsidP="000729CF">
            <w:pPr>
              <w:jc w:val="right"/>
              <w:rPr>
                <w:rFonts w:ascii="Calibri" w:hAnsi="Calibri" w:cs="Calibri"/>
                <w:b/>
                <w:bCs/>
                <w:color w:val="FFFFFF"/>
                <w:sz w:val="22"/>
                <w:szCs w:val="22"/>
                <w:lang w:val="en-GB" w:eastAsia="en-GB"/>
              </w:rPr>
            </w:pPr>
            <w:r w:rsidRPr="000729CF">
              <w:rPr>
                <w:rFonts w:ascii="Calibri" w:hAnsi="Calibri" w:cs="Calibri"/>
                <w:b/>
                <w:bCs/>
                <w:color w:val="FFFFFF"/>
                <w:sz w:val="22"/>
                <w:szCs w:val="22"/>
                <w:lang w:val="en-GB" w:eastAsia="en-GB"/>
              </w:rPr>
              <w:t>(23,730)</w:t>
            </w:r>
          </w:p>
        </w:tc>
        <w:tc>
          <w:tcPr>
            <w:tcW w:w="520" w:type="pct"/>
            <w:tcBorders>
              <w:top w:val="single" w:sz="4" w:space="0" w:color="auto"/>
              <w:left w:val="nil"/>
              <w:bottom w:val="single" w:sz="4" w:space="0" w:color="auto"/>
              <w:right w:val="single" w:sz="4" w:space="0" w:color="auto"/>
            </w:tcBorders>
            <w:shd w:val="clear" w:color="000000" w:fill="000000"/>
            <w:noWrap/>
            <w:tcMar>
              <w:left w:w="45" w:type="dxa"/>
              <w:right w:w="45" w:type="dxa"/>
            </w:tcMar>
            <w:vAlign w:val="bottom"/>
            <w:hideMark/>
          </w:tcPr>
          <w:p w14:paraId="0987F4C6" w14:textId="77777777" w:rsidR="000729CF" w:rsidRPr="000729CF" w:rsidRDefault="000729CF" w:rsidP="000729CF">
            <w:pPr>
              <w:jc w:val="right"/>
              <w:rPr>
                <w:rFonts w:ascii="Calibri" w:hAnsi="Calibri" w:cs="Calibri"/>
                <w:b/>
                <w:bCs/>
                <w:color w:val="FFFFFF"/>
                <w:sz w:val="22"/>
                <w:szCs w:val="22"/>
                <w:lang w:val="en-GB" w:eastAsia="en-GB"/>
              </w:rPr>
            </w:pPr>
            <w:r w:rsidRPr="000729CF">
              <w:rPr>
                <w:rFonts w:ascii="Calibri" w:hAnsi="Calibri" w:cs="Calibri"/>
                <w:b/>
                <w:bCs/>
                <w:color w:val="FFFFFF"/>
                <w:sz w:val="22"/>
                <w:szCs w:val="22"/>
                <w:lang w:val="en-GB" w:eastAsia="en-GB"/>
              </w:rPr>
              <w:t xml:space="preserve">246,353 </w:t>
            </w:r>
          </w:p>
        </w:tc>
        <w:tc>
          <w:tcPr>
            <w:tcW w:w="400" w:type="pct"/>
            <w:tcBorders>
              <w:top w:val="single" w:sz="4" w:space="0" w:color="auto"/>
              <w:left w:val="nil"/>
              <w:bottom w:val="single" w:sz="4" w:space="0" w:color="auto"/>
              <w:right w:val="single" w:sz="4" w:space="0" w:color="auto"/>
            </w:tcBorders>
            <w:shd w:val="clear" w:color="000000" w:fill="000000"/>
            <w:noWrap/>
            <w:tcMar>
              <w:left w:w="45" w:type="dxa"/>
              <w:right w:w="45" w:type="dxa"/>
            </w:tcMar>
            <w:vAlign w:val="bottom"/>
            <w:hideMark/>
          </w:tcPr>
          <w:p w14:paraId="3FC607AD" w14:textId="77777777" w:rsidR="000729CF" w:rsidRPr="000729CF" w:rsidRDefault="000729CF" w:rsidP="000729CF">
            <w:pPr>
              <w:jc w:val="right"/>
              <w:rPr>
                <w:rFonts w:ascii="Calibri" w:hAnsi="Calibri" w:cs="Calibri"/>
                <w:b/>
                <w:bCs/>
                <w:color w:val="FFFFFF"/>
                <w:sz w:val="22"/>
                <w:szCs w:val="22"/>
                <w:lang w:val="en-GB" w:eastAsia="en-GB"/>
              </w:rPr>
            </w:pPr>
            <w:r w:rsidRPr="000729CF">
              <w:rPr>
                <w:rFonts w:ascii="Calibri" w:hAnsi="Calibri" w:cs="Calibri"/>
                <w:b/>
                <w:bCs/>
                <w:color w:val="FFFFFF"/>
                <w:sz w:val="22"/>
                <w:szCs w:val="22"/>
                <w:lang w:val="en-GB" w:eastAsia="en-GB"/>
              </w:rPr>
              <w:t xml:space="preserve">11,337 </w:t>
            </w:r>
          </w:p>
        </w:tc>
        <w:tc>
          <w:tcPr>
            <w:tcW w:w="398" w:type="pct"/>
            <w:tcBorders>
              <w:top w:val="single" w:sz="4" w:space="0" w:color="auto"/>
              <w:left w:val="nil"/>
              <w:bottom w:val="single" w:sz="4" w:space="0" w:color="auto"/>
              <w:right w:val="single" w:sz="4" w:space="0" w:color="auto"/>
            </w:tcBorders>
            <w:shd w:val="clear" w:color="000000" w:fill="000000"/>
            <w:noWrap/>
            <w:tcMar>
              <w:left w:w="45" w:type="dxa"/>
              <w:right w:w="45" w:type="dxa"/>
            </w:tcMar>
            <w:vAlign w:val="bottom"/>
            <w:hideMark/>
          </w:tcPr>
          <w:p w14:paraId="2B215715" w14:textId="77777777" w:rsidR="000729CF" w:rsidRPr="000729CF" w:rsidRDefault="000729CF" w:rsidP="000729CF">
            <w:pPr>
              <w:jc w:val="right"/>
              <w:rPr>
                <w:rFonts w:ascii="Calibri" w:hAnsi="Calibri" w:cs="Calibri"/>
                <w:b/>
                <w:bCs/>
                <w:color w:val="FFFFFF"/>
                <w:sz w:val="22"/>
                <w:szCs w:val="22"/>
                <w:lang w:val="en-GB" w:eastAsia="en-GB"/>
              </w:rPr>
            </w:pPr>
            <w:r w:rsidRPr="000729CF">
              <w:rPr>
                <w:rFonts w:ascii="Calibri" w:hAnsi="Calibri" w:cs="Calibri"/>
                <w:b/>
                <w:bCs/>
                <w:color w:val="FFFFFF"/>
                <w:sz w:val="22"/>
                <w:szCs w:val="22"/>
                <w:lang w:val="en-GB" w:eastAsia="en-GB"/>
              </w:rPr>
              <w:t xml:space="preserve">4.82 </w:t>
            </w:r>
          </w:p>
        </w:tc>
      </w:tr>
      <w:tr w:rsidR="000729CF" w:rsidRPr="000729CF" w14:paraId="29F190A2" w14:textId="77777777" w:rsidTr="00BC26AB">
        <w:trPr>
          <w:trHeight w:val="20"/>
        </w:trPr>
        <w:tc>
          <w:tcPr>
            <w:tcW w:w="1588" w:type="pct"/>
            <w:tcBorders>
              <w:top w:val="nil"/>
              <w:left w:val="single" w:sz="4" w:space="0" w:color="auto"/>
              <w:bottom w:val="nil"/>
              <w:right w:val="nil"/>
            </w:tcBorders>
            <w:shd w:val="clear" w:color="000000" w:fill="FFFFFF"/>
            <w:noWrap/>
            <w:tcMar>
              <w:left w:w="45" w:type="dxa"/>
              <w:right w:w="45" w:type="dxa"/>
            </w:tcMar>
            <w:vAlign w:val="bottom"/>
            <w:hideMark/>
          </w:tcPr>
          <w:p w14:paraId="326A6831" w14:textId="77777777" w:rsidR="000729CF" w:rsidRPr="000729CF" w:rsidRDefault="000729CF" w:rsidP="000729CF">
            <w:pPr>
              <w:rPr>
                <w:rFonts w:ascii="Calibri" w:hAnsi="Calibri" w:cs="Calibri"/>
                <w:b/>
                <w:bCs/>
                <w:sz w:val="22"/>
                <w:szCs w:val="22"/>
                <w:lang w:val="en-GB" w:eastAsia="en-GB"/>
              </w:rPr>
            </w:pPr>
            <w:r w:rsidRPr="000729CF">
              <w:rPr>
                <w:rFonts w:ascii="Calibri" w:hAnsi="Calibri" w:cs="Calibri"/>
                <w:b/>
                <w:bCs/>
                <w:sz w:val="22"/>
                <w:szCs w:val="22"/>
                <w:lang w:val="en-GB" w:eastAsia="en-GB"/>
              </w:rPr>
              <w:t>Funded By:</w:t>
            </w:r>
          </w:p>
        </w:tc>
        <w:tc>
          <w:tcPr>
            <w:tcW w:w="401" w:type="pct"/>
            <w:tcBorders>
              <w:top w:val="nil"/>
              <w:left w:val="nil"/>
              <w:bottom w:val="nil"/>
              <w:right w:val="single" w:sz="4" w:space="0" w:color="auto"/>
            </w:tcBorders>
            <w:shd w:val="clear" w:color="000000" w:fill="FFFFFF"/>
            <w:noWrap/>
            <w:tcMar>
              <w:left w:w="45" w:type="dxa"/>
              <w:right w:w="45" w:type="dxa"/>
            </w:tcMar>
            <w:vAlign w:val="bottom"/>
            <w:hideMark/>
          </w:tcPr>
          <w:p w14:paraId="372BE2A3" w14:textId="77777777" w:rsidR="000729CF" w:rsidRPr="000729CF" w:rsidRDefault="000729CF" w:rsidP="000729CF">
            <w:pPr>
              <w:rPr>
                <w:rFonts w:ascii="Calibri" w:hAnsi="Calibri" w:cs="Calibri"/>
                <w:b/>
                <w:bCs/>
                <w:sz w:val="22"/>
                <w:szCs w:val="22"/>
                <w:lang w:val="en-GB" w:eastAsia="en-GB"/>
              </w:rPr>
            </w:pPr>
            <w:r w:rsidRPr="000729CF">
              <w:rPr>
                <w:rFonts w:ascii="Calibri" w:hAnsi="Calibri" w:cs="Calibri"/>
                <w:b/>
                <w:bCs/>
                <w:sz w:val="22"/>
                <w:szCs w:val="22"/>
                <w:lang w:val="en-GB" w:eastAsia="en-GB"/>
              </w:rPr>
              <w:t> </w:t>
            </w:r>
          </w:p>
        </w:tc>
        <w:tc>
          <w:tcPr>
            <w:tcW w:w="399" w:type="pct"/>
            <w:tcBorders>
              <w:top w:val="nil"/>
              <w:left w:val="nil"/>
              <w:bottom w:val="nil"/>
              <w:right w:val="single" w:sz="4" w:space="0" w:color="auto"/>
            </w:tcBorders>
            <w:shd w:val="clear" w:color="000000" w:fill="FFFFFF"/>
            <w:noWrap/>
            <w:tcMar>
              <w:left w:w="45" w:type="dxa"/>
              <w:right w:w="45" w:type="dxa"/>
            </w:tcMar>
            <w:vAlign w:val="bottom"/>
            <w:hideMark/>
          </w:tcPr>
          <w:p w14:paraId="29A261F4"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04" w:type="pct"/>
            <w:tcBorders>
              <w:top w:val="nil"/>
              <w:left w:val="nil"/>
              <w:bottom w:val="nil"/>
              <w:right w:val="single" w:sz="4" w:space="0" w:color="auto"/>
            </w:tcBorders>
            <w:shd w:val="clear" w:color="000000" w:fill="FFFFFF"/>
            <w:noWrap/>
            <w:tcMar>
              <w:left w:w="45" w:type="dxa"/>
              <w:right w:w="45" w:type="dxa"/>
            </w:tcMar>
            <w:vAlign w:val="bottom"/>
            <w:hideMark/>
          </w:tcPr>
          <w:p w14:paraId="5594A634"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91" w:type="pct"/>
            <w:tcBorders>
              <w:top w:val="nil"/>
              <w:left w:val="nil"/>
              <w:bottom w:val="nil"/>
              <w:right w:val="single" w:sz="4" w:space="0" w:color="auto"/>
            </w:tcBorders>
            <w:shd w:val="clear" w:color="000000" w:fill="FFFFFF"/>
            <w:noWrap/>
            <w:tcMar>
              <w:left w:w="45" w:type="dxa"/>
              <w:right w:w="45" w:type="dxa"/>
            </w:tcMar>
            <w:vAlign w:val="bottom"/>
            <w:hideMark/>
          </w:tcPr>
          <w:p w14:paraId="42B90D8E"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399" w:type="pct"/>
            <w:tcBorders>
              <w:top w:val="nil"/>
              <w:left w:val="nil"/>
              <w:bottom w:val="nil"/>
              <w:right w:val="single" w:sz="4" w:space="0" w:color="auto"/>
            </w:tcBorders>
            <w:shd w:val="clear" w:color="000000" w:fill="FFFFFF"/>
            <w:noWrap/>
            <w:tcMar>
              <w:left w:w="45" w:type="dxa"/>
              <w:right w:w="45" w:type="dxa"/>
            </w:tcMar>
            <w:vAlign w:val="bottom"/>
            <w:hideMark/>
          </w:tcPr>
          <w:p w14:paraId="5049D34E"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520" w:type="pct"/>
            <w:tcBorders>
              <w:top w:val="nil"/>
              <w:left w:val="nil"/>
              <w:bottom w:val="nil"/>
              <w:right w:val="single" w:sz="4" w:space="0" w:color="auto"/>
            </w:tcBorders>
            <w:shd w:val="clear" w:color="000000" w:fill="FFFFFF"/>
            <w:noWrap/>
            <w:tcMar>
              <w:left w:w="45" w:type="dxa"/>
              <w:right w:w="45" w:type="dxa"/>
            </w:tcMar>
            <w:vAlign w:val="bottom"/>
            <w:hideMark/>
          </w:tcPr>
          <w:p w14:paraId="3B3C458E" w14:textId="77777777" w:rsidR="000729CF" w:rsidRPr="000729CF" w:rsidRDefault="000729CF" w:rsidP="000729CF">
            <w:pPr>
              <w:rPr>
                <w:rFonts w:ascii="Calibri" w:hAnsi="Calibri" w:cs="Calibri"/>
                <w:b/>
                <w:bCs/>
                <w:sz w:val="22"/>
                <w:szCs w:val="22"/>
                <w:lang w:val="en-GB" w:eastAsia="en-GB"/>
              </w:rPr>
            </w:pPr>
            <w:r w:rsidRPr="000729CF">
              <w:rPr>
                <w:rFonts w:ascii="Calibri" w:hAnsi="Calibri" w:cs="Calibri"/>
                <w:b/>
                <w:bCs/>
                <w:sz w:val="22"/>
                <w:szCs w:val="22"/>
                <w:lang w:val="en-GB" w:eastAsia="en-GB"/>
              </w:rPr>
              <w:t> </w:t>
            </w:r>
          </w:p>
        </w:tc>
        <w:tc>
          <w:tcPr>
            <w:tcW w:w="400" w:type="pct"/>
            <w:tcBorders>
              <w:top w:val="nil"/>
              <w:left w:val="nil"/>
              <w:bottom w:val="nil"/>
              <w:right w:val="single" w:sz="4" w:space="0" w:color="auto"/>
            </w:tcBorders>
            <w:shd w:val="clear" w:color="000000" w:fill="FFFFFF"/>
            <w:noWrap/>
            <w:tcMar>
              <w:left w:w="45" w:type="dxa"/>
              <w:right w:w="45" w:type="dxa"/>
            </w:tcMar>
            <w:vAlign w:val="bottom"/>
            <w:hideMark/>
          </w:tcPr>
          <w:p w14:paraId="124539D9"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398" w:type="pct"/>
            <w:tcBorders>
              <w:top w:val="nil"/>
              <w:left w:val="nil"/>
              <w:bottom w:val="nil"/>
              <w:right w:val="single" w:sz="4" w:space="0" w:color="auto"/>
            </w:tcBorders>
            <w:shd w:val="clear" w:color="000000" w:fill="FFFFFF"/>
            <w:noWrap/>
            <w:tcMar>
              <w:left w:w="45" w:type="dxa"/>
              <w:right w:w="45" w:type="dxa"/>
            </w:tcMar>
            <w:vAlign w:val="bottom"/>
            <w:hideMark/>
          </w:tcPr>
          <w:p w14:paraId="04C8E478"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r>
      <w:tr w:rsidR="000729CF" w:rsidRPr="000729CF" w14:paraId="26607B39" w14:textId="77777777" w:rsidTr="00BC26AB">
        <w:trPr>
          <w:trHeight w:val="20"/>
        </w:trPr>
        <w:tc>
          <w:tcPr>
            <w:tcW w:w="1588" w:type="pct"/>
            <w:tcBorders>
              <w:top w:val="nil"/>
              <w:left w:val="single" w:sz="4" w:space="0" w:color="auto"/>
              <w:bottom w:val="nil"/>
              <w:right w:val="nil"/>
            </w:tcBorders>
            <w:shd w:val="clear" w:color="000000" w:fill="D9D9D9"/>
            <w:noWrap/>
            <w:tcMar>
              <w:left w:w="45" w:type="dxa"/>
              <w:right w:w="45" w:type="dxa"/>
            </w:tcMar>
            <w:vAlign w:val="bottom"/>
            <w:hideMark/>
          </w:tcPr>
          <w:p w14:paraId="334663CE"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Revenue Support Grant</w:t>
            </w:r>
          </w:p>
        </w:tc>
        <w:tc>
          <w:tcPr>
            <w:tcW w:w="401" w:type="pct"/>
            <w:tcBorders>
              <w:top w:val="nil"/>
              <w:left w:val="nil"/>
              <w:bottom w:val="nil"/>
              <w:right w:val="single" w:sz="4" w:space="0" w:color="auto"/>
            </w:tcBorders>
            <w:shd w:val="clear" w:color="000000" w:fill="D9D9D9"/>
            <w:noWrap/>
            <w:tcMar>
              <w:left w:w="45" w:type="dxa"/>
              <w:right w:w="45" w:type="dxa"/>
            </w:tcMar>
            <w:vAlign w:val="bottom"/>
            <w:hideMark/>
          </w:tcPr>
          <w:p w14:paraId="2E6F9E38"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 xml:space="preserve">7,927 </w:t>
            </w:r>
          </w:p>
        </w:tc>
        <w:tc>
          <w:tcPr>
            <w:tcW w:w="399" w:type="pct"/>
            <w:tcBorders>
              <w:top w:val="nil"/>
              <w:left w:val="nil"/>
              <w:bottom w:val="nil"/>
              <w:right w:val="single" w:sz="4" w:space="0" w:color="auto"/>
            </w:tcBorders>
            <w:shd w:val="clear" w:color="000000" w:fill="D9D9D9"/>
            <w:noWrap/>
            <w:tcMar>
              <w:left w:w="45" w:type="dxa"/>
              <w:right w:w="45" w:type="dxa"/>
            </w:tcMar>
            <w:vAlign w:val="bottom"/>
            <w:hideMark/>
          </w:tcPr>
          <w:p w14:paraId="0B158FA8"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04" w:type="pct"/>
            <w:tcBorders>
              <w:top w:val="nil"/>
              <w:left w:val="nil"/>
              <w:bottom w:val="nil"/>
              <w:right w:val="single" w:sz="4" w:space="0" w:color="auto"/>
            </w:tcBorders>
            <w:shd w:val="clear" w:color="000000" w:fill="D9D9D9"/>
            <w:noWrap/>
            <w:tcMar>
              <w:left w:w="45" w:type="dxa"/>
              <w:right w:w="45" w:type="dxa"/>
            </w:tcMar>
            <w:vAlign w:val="bottom"/>
            <w:hideMark/>
          </w:tcPr>
          <w:p w14:paraId="5534D42E"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91" w:type="pct"/>
            <w:tcBorders>
              <w:top w:val="nil"/>
              <w:left w:val="nil"/>
              <w:bottom w:val="nil"/>
              <w:right w:val="single" w:sz="4" w:space="0" w:color="auto"/>
            </w:tcBorders>
            <w:shd w:val="clear" w:color="000000" w:fill="D9D9D9"/>
            <w:noWrap/>
            <w:tcMar>
              <w:left w:w="45" w:type="dxa"/>
              <w:right w:w="45" w:type="dxa"/>
            </w:tcMar>
            <w:vAlign w:val="bottom"/>
            <w:hideMark/>
          </w:tcPr>
          <w:p w14:paraId="66BCD2BC"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399" w:type="pct"/>
            <w:tcBorders>
              <w:top w:val="nil"/>
              <w:left w:val="nil"/>
              <w:bottom w:val="nil"/>
              <w:right w:val="single" w:sz="4" w:space="0" w:color="auto"/>
            </w:tcBorders>
            <w:shd w:val="clear" w:color="000000" w:fill="D9D9D9"/>
            <w:noWrap/>
            <w:tcMar>
              <w:left w:w="45" w:type="dxa"/>
              <w:right w:w="45" w:type="dxa"/>
            </w:tcMar>
            <w:vAlign w:val="bottom"/>
            <w:hideMark/>
          </w:tcPr>
          <w:p w14:paraId="74ED50F5"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520" w:type="pct"/>
            <w:tcBorders>
              <w:top w:val="nil"/>
              <w:left w:val="nil"/>
              <w:bottom w:val="nil"/>
              <w:right w:val="single" w:sz="4" w:space="0" w:color="auto"/>
            </w:tcBorders>
            <w:shd w:val="clear" w:color="000000" w:fill="D9D9D9"/>
            <w:noWrap/>
            <w:tcMar>
              <w:left w:w="45" w:type="dxa"/>
              <w:right w:w="45" w:type="dxa"/>
            </w:tcMar>
            <w:vAlign w:val="bottom"/>
            <w:hideMark/>
          </w:tcPr>
          <w:p w14:paraId="4F47BEF7"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 xml:space="preserve">8,453 </w:t>
            </w:r>
          </w:p>
        </w:tc>
        <w:tc>
          <w:tcPr>
            <w:tcW w:w="400" w:type="pct"/>
            <w:tcBorders>
              <w:top w:val="nil"/>
              <w:left w:val="nil"/>
              <w:bottom w:val="nil"/>
              <w:right w:val="single" w:sz="4" w:space="0" w:color="auto"/>
            </w:tcBorders>
            <w:shd w:val="clear" w:color="000000" w:fill="D9D9D9"/>
            <w:noWrap/>
            <w:tcMar>
              <w:left w:w="45" w:type="dxa"/>
              <w:right w:w="45" w:type="dxa"/>
            </w:tcMar>
            <w:vAlign w:val="bottom"/>
            <w:hideMark/>
          </w:tcPr>
          <w:p w14:paraId="0E75DC3B"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526 </w:t>
            </w:r>
          </w:p>
        </w:tc>
        <w:tc>
          <w:tcPr>
            <w:tcW w:w="398" w:type="pct"/>
            <w:tcBorders>
              <w:top w:val="nil"/>
              <w:left w:val="nil"/>
              <w:bottom w:val="nil"/>
              <w:right w:val="single" w:sz="4" w:space="0" w:color="auto"/>
            </w:tcBorders>
            <w:shd w:val="clear" w:color="000000" w:fill="D9D9D9"/>
            <w:noWrap/>
            <w:tcMar>
              <w:left w:w="45" w:type="dxa"/>
              <w:right w:w="45" w:type="dxa"/>
            </w:tcMar>
            <w:vAlign w:val="bottom"/>
            <w:hideMark/>
          </w:tcPr>
          <w:p w14:paraId="5A8E7662"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6.64 </w:t>
            </w:r>
          </w:p>
        </w:tc>
      </w:tr>
      <w:tr w:rsidR="000729CF" w:rsidRPr="000729CF" w14:paraId="3B6CA4AD" w14:textId="77777777" w:rsidTr="00BC26AB">
        <w:trPr>
          <w:trHeight w:val="20"/>
        </w:trPr>
        <w:tc>
          <w:tcPr>
            <w:tcW w:w="1588" w:type="pct"/>
            <w:tcBorders>
              <w:top w:val="nil"/>
              <w:left w:val="single" w:sz="4" w:space="0" w:color="auto"/>
              <w:bottom w:val="nil"/>
              <w:right w:val="nil"/>
            </w:tcBorders>
            <w:shd w:val="clear" w:color="000000" w:fill="FFFFFF"/>
            <w:noWrap/>
            <w:tcMar>
              <w:left w:w="45" w:type="dxa"/>
              <w:right w:w="45" w:type="dxa"/>
            </w:tcMar>
            <w:vAlign w:val="bottom"/>
            <w:hideMark/>
          </w:tcPr>
          <w:p w14:paraId="5E640994"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Business Rates Local Share</w:t>
            </w:r>
          </w:p>
        </w:tc>
        <w:tc>
          <w:tcPr>
            <w:tcW w:w="401" w:type="pct"/>
            <w:tcBorders>
              <w:top w:val="nil"/>
              <w:left w:val="nil"/>
              <w:bottom w:val="nil"/>
              <w:right w:val="single" w:sz="4" w:space="0" w:color="auto"/>
            </w:tcBorders>
            <w:shd w:val="clear" w:color="000000" w:fill="FFFFFF"/>
            <w:noWrap/>
            <w:tcMar>
              <w:left w:w="45" w:type="dxa"/>
              <w:right w:w="45" w:type="dxa"/>
            </w:tcMar>
            <w:vAlign w:val="bottom"/>
            <w:hideMark/>
          </w:tcPr>
          <w:p w14:paraId="3ED064BB"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 xml:space="preserve">52,579 </w:t>
            </w:r>
          </w:p>
        </w:tc>
        <w:tc>
          <w:tcPr>
            <w:tcW w:w="399" w:type="pct"/>
            <w:tcBorders>
              <w:top w:val="nil"/>
              <w:left w:val="nil"/>
              <w:bottom w:val="nil"/>
              <w:right w:val="single" w:sz="4" w:space="0" w:color="auto"/>
            </w:tcBorders>
            <w:shd w:val="clear" w:color="000000" w:fill="FFFFFF"/>
            <w:noWrap/>
            <w:tcMar>
              <w:left w:w="45" w:type="dxa"/>
              <w:right w:w="45" w:type="dxa"/>
            </w:tcMar>
            <w:vAlign w:val="bottom"/>
            <w:hideMark/>
          </w:tcPr>
          <w:p w14:paraId="5BB53E56"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04" w:type="pct"/>
            <w:tcBorders>
              <w:top w:val="nil"/>
              <w:left w:val="nil"/>
              <w:bottom w:val="nil"/>
              <w:right w:val="single" w:sz="4" w:space="0" w:color="auto"/>
            </w:tcBorders>
            <w:shd w:val="clear" w:color="000000" w:fill="FFFFFF"/>
            <w:noWrap/>
            <w:tcMar>
              <w:left w:w="45" w:type="dxa"/>
              <w:right w:w="45" w:type="dxa"/>
            </w:tcMar>
            <w:vAlign w:val="bottom"/>
            <w:hideMark/>
          </w:tcPr>
          <w:p w14:paraId="5325525E"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91" w:type="pct"/>
            <w:tcBorders>
              <w:top w:val="nil"/>
              <w:left w:val="nil"/>
              <w:bottom w:val="nil"/>
              <w:right w:val="single" w:sz="4" w:space="0" w:color="auto"/>
            </w:tcBorders>
            <w:shd w:val="clear" w:color="000000" w:fill="FFFFFF"/>
            <w:noWrap/>
            <w:tcMar>
              <w:left w:w="45" w:type="dxa"/>
              <w:right w:w="45" w:type="dxa"/>
            </w:tcMar>
            <w:vAlign w:val="bottom"/>
            <w:hideMark/>
          </w:tcPr>
          <w:p w14:paraId="59D5B3EB"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399" w:type="pct"/>
            <w:tcBorders>
              <w:top w:val="nil"/>
              <w:left w:val="nil"/>
              <w:bottom w:val="nil"/>
              <w:right w:val="single" w:sz="4" w:space="0" w:color="auto"/>
            </w:tcBorders>
            <w:shd w:val="clear" w:color="000000" w:fill="FFFFFF"/>
            <w:noWrap/>
            <w:tcMar>
              <w:left w:w="45" w:type="dxa"/>
              <w:right w:w="45" w:type="dxa"/>
            </w:tcMar>
            <w:vAlign w:val="bottom"/>
            <w:hideMark/>
          </w:tcPr>
          <w:p w14:paraId="76641B0E"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520" w:type="pct"/>
            <w:tcBorders>
              <w:top w:val="nil"/>
              <w:left w:val="nil"/>
              <w:bottom w:val="nil"/>
              <w:right w:val="single" w:sz="4" w:space="0" w:color="auto"/>
            </w:tcBorders>
            <w:shd w:val="clear" w:color="000000" w:fill="FFFFFF"/>
            <w:noWrap/>
            <w:tcMar>
              <w:left w:w="45" w:type="dxa"/>
              <w:right w:w="45" w:type="dxa"/>
            </w:tcMar>
            <w:vAlign w:val="bottom"/>
            <w:hideMark/>
          </w:tcPr>
          <w:p w14:paraId="796EDC5F"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 xml:space="preserve">54,152 </w:t>
            </w:r>
          </w:p>
        </w:tc>
        <w:tc>
          <w:tcPr>
            <w:tcW w:w="400" w:type="pct"/>
            <w:tcBorders>
              <w:top w:val="nil"/>
              <w:left w:val="nil"/>
              <w:bottom w:val="nil"/>
              <w:right w:val="single" w:sz="4" w:space="0" w:color="auto"/>
            </w:tcBorders>
            <w:shd w:val="clear" w:color="000000" w:fill="FFFFFF"/>
            <w:noWrap/>
            <w:tcMar>
              <w:left w:w="45" w:type="dxa"/>
              <w:right w:w="45" w:type="dxa"/>
            </w:tcMar>
            <w:vAlign w:val="bottom"/>
            <w:hideMark/>
          </w:tcPr>
          <w:p w14:paraId="2D09251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1,573 </w:t>
            </w:r>
          </w:p>
        </w:tc>
        <w:tc>
          <w:tcPr>
            <w:tcW w:w="398" w:type="pct"/>
            <w:tcBorders>
              <w:top w:val="nil"/>
              <w:left w:val="nil"/>
              <w:bottom w:val="nil"/>
              <w:right w:val="single" w:sz="4" w:space="0" w:color="auto"/>
            </w:tcBorders>
            <w:shd w:val="clear" w:color="000000" w:fill="FFFFFF"/>
            <w:noWrap/>
            <w:tcMar>
              <w:left w:w="45" w:type="dxa"/>
              <w:right w:w="45" w:type="dxa"/>
            </w:tcMar>
            <w:vAlign w:val="bottom"/>
            <w:hideMark/>
          </w:tcPr>
          <w:p w14:paraId="52E1CC6F"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2.99 </w:t>
            </w:r>
          </w:p>
        </w:tc>
      </w:tr>
      <w:tr w:rsidR="000729CF" w:rsidRPr="000729CF" w14:paraId="2EB41C57" w14:textId="77777777" w:rsidTr="00BC26AB">
        <w:trPr>
          <w:trHeight w:val="20"/>
        </w:trPr>
        <w:tc>
          <w:tcPr>
            <w:tcW w:w="1588" w:type="pct"/>
            <w:tcBorders>
              <w:top w:val="nil"/>
              <w:left w:val="single" w:sz="4" w:space="0" w:color="auto"/>
              <w:bottom w:val="nil"/>
              <w:right w:val="nil"/>
            </w:tcBorders>
            <w:shd w:val="clear" w:color="000000" w:fill="D9D9D9"/>
            <w:noWrap/>
            <w:tcMar>
              <w:left w:w="45" w:type="dxa"/>
              <w:right w:w="45" w:type="dxa"/>
            </w:tcMar>
            <w:vAlign w:val="bottom"/>
            <w:hideMark/>
          </w:tcPr>
          <w:p w14:paraId="51F65F55"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BRR Tariff/top up</w:t>
            </w:r>
          </w:p>
        </w:tc>
        <w:tc>
          <w:tcPr>
            <w:tcW w:w="401" w:type="pct"/>
            <w:tcBorders>
              <w:top w:val="nil"/>
              <w:left w:val="nil"/>
              <w:bottom w:val="nil"/>
              <w:right w:val="single" w:sz="4" w:space="0" w:color="auto"/>
            </w:tcBorders>
            <w:shd w:val="clear" w:color="000000" w:fill="D9D9D9"/>
            <w:noWrap/>
            <w:tcMar>
              <w:left w:w="45" w:type="dxa"/>
              <w:right w:w="45" w:type="dxa"/>
            </w:tcMar>
            <w:vAlign w:val="bottom"/>
            <w:hideMark/>
          </w:tcPr>
          <w:p w14:paraId="73B41B97"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 xml:space="preserve">1,212 </w:t>
            </w:r>
          </w:p>
        </w:tc>
        <w:tc>
          <w:tcPr>
            <w:tcW w:w="399" w:type="pct"/>
            <w:tcBorders>
              <w:top w:val="nil"/>
              <w:left w:val="nil"/>
              <w:bottom w:val="nil"/>
              <w:right w:val="single" w:sz="4" w:space="0" w:color="auto"/>
            </w:tcBorders>
            <w:shd w:val="clear" w:color="000000" w:fill="D9D9D9"/>
            <w:noWrap/>
            <w:tcMar>
              <w:left w:w="45" w:type="dxa"/>
              <w:right w:w="45" w:type="dxa"/>
            </w:tcMar>
            <w:vAlign w:val="bottom"/>
            <w:hideMark/>
          </w:tcPr>
          <w:p w14:paraId="5F935648"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04" w:type="pct"/>
            <w:tcBorders>
              <w:top w:val="nil"/>
              <w:left w:val="nil"/>
              <w:bottom w:val="nil"/>
              <w:right w:val="single" w:sz="4" w:space="0" w:color="auto"/>
            </w:tcBorders>
            <w:shd w:val="clear" w:color="000000" w:fill="D9D9D9"/>
            <w:noWrap/>
            <w:tcMar>
              <w:left w:w="45" w:type="dxa"/>
              <w:right w:w="45" w:type="dxa"/>
            </w:tcMar>
            <w:vAlign w:val="bottom"/>
            <w:hideMark/>
          </w:tcPr>
          <w:p w14:paraId="3261EDAF"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91" w:type="pct"/>
            <w:tcBorders>
              <w:top w:val="nil"/>
              <w:left w:val="nil"/>
              <w:bottom w:val="nil"/>
              <w:right w:val="single" w:sz="4" w:space="0" w:color="auto"/>
            </w:tcBorders>
            <w:shd w:val="clear" w:color="000000" w:fill="D9D9D9"/>
            <w:noWrap/>
            <w:tcMar>
              <w:left w:w="45" w:type="dxa"/>
              <w:right w:w="45" w:type="dxa"/>
            </w:tcMar>
            <w:vAlign w:val="bottom"/>
            <w:hideMark/>
          </w:tcPr>
          <w:p w14:paraId="71E83122"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399" w:type="pct"/>
            <w:tcBorders>
              <w:top w:val="nil"/>
              <w:left w:val="nil"/>
              <w:bottom w:val="nil"/>
              <w:right w:val="single" w:sz="4" w:space="0" w:color="auto"/>
            </w:tcBorders>
            <w:shd w:val="clear" w:color="000000" w:fill="D9D9D9"/>
            <w:noWrap/>
            <w:tcMar>
              <w:left w:w="45" w:type="dxa"/>
              <w:right w:w="45" w:type="dxa"/>
            </w:tcMar>
            <w:vAlign w:val="bottom"/>
            <w:hideMark/>
          </w:tcPr>
          <w:p w14:paraId="73B1C808"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520" w:type="pct"/>
            <w:tcBorders>
              <w:top w:val="nil"/>
              <w:left w:val="nil"/>
              <w:bottom w:val="nil"/>
              <w:right w:val="single" w:sz="4" w:space="0" w:color="auto"/>
            </w:tcBorders>
            <w:shd w:val="clear" w:color="000000" w:fill="D9D9D9"/>
            <w:noWrap/>
            <w:tcMar>
              <w:left w:w="45" w:type="dxa"/>
              <w:right w:w="45" w:type="dxa"/>
            </w:tcMar>
            <w:vAlign w:val="bottom"/>
            <w:hideMark/>
          </w:tcPr>
          <w:p w14:paraId="0653BD4A"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 xml:space="preserve">1,648 </w:t>
            </w:r>
          </w:p>
        </w:tc>
        <w:tc>
          <w:tcPr>
            <w:tcW w:w="400" w:type="pct"/>
            <w:tcBorders>
              <w:top w:val="nil"/>
              <w:left w:val="nil"/>
              <w:bottom w:val="nil"/>
              <w:right w:val="single" w:sz="4" w:space="0" w:color="auto"/>
            </w:tcBorders>
            <w:shd w:val="clear" w:color="000000" w:fill="D9D9D9"/>
            <w:noWrap/>
            <w:tcMar>
              <w:left w:w="45" w:type="dxa"/>
              <w:right w:w="45" w:type="dxa"/>
            </w:tcMar>
            <w:vAlign w:val="bottom"/>
            <w:hideMark/>
          </w:tcPr>
          <w:p w14:paraId="5591866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436 </w:t>
            </w:r>
          </w:p>
        </w:tc>
        <w:tc>
          <w:tcPr>
            <w:tcW w:w="398" w:type="pct"/>
            <w:tcBorders>
              <w:top w:val="nil"/>
              <w:left w:val="nil"/>
              <w:bottom w:val="nil"/>
              <w:right w:val="single" w:sz="4" w:space="0" w:color="auto"/>
            </w:tcBorders>
            <w:shd w:val="clear" w:color="000000" w:fill="D9D9D9"/>
            <w:noWrap/>
            <w:tcMar>
              <w:left w:w="45" w:type="dxa"/>
              <w:right w:w="45" w:type="dxa"/>
            </w:tcMar>
            <w:vAlign w:val="bottom"/>
            <w:hideMark/>
          </w:tcPr>
          <w:p w14:paraId="4ADD813F"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35.97 </w:t>
            </w:r>
          </w:p>
        </w:tc>
      </w:tr>
      <w:tr w:rsidR="000729CF" w:rsidRPr="000729CF" w14:paraId="14968E1A" w14:textId="77777777" w:rsidTr="00BC26AB">
        <w:trPr>
          <w:trHeight w:val="20"/>
        </w:trPr>
        <w:tc>
          <w:tcPr>
            <w:tcW w:w="1588" w:type="pct"/>
            <w:tcBorders>
              <w:top w:val="nil"/>
              <w:left w:val="single" w:sz="4" w:space="0" w:color="auto"/>
              <w:bottom w:val="nil"/>
              <w:right w:val="nil"/>
            </w:tcBorders>
            <w:shd w:val="clear" w:color="000000" w:fill="D9D9D9"/>
            <w:noWrap/>
            <w:tcMar>
              <w:left w:w="45" w:type="dxa"/>
              <w:right w:w="45" w:type="dxa"/>
            </w:tcMar>
            <w:vAlign w:val="bottom"/>
            <w:hideMark/>
          </w:tcPr>
          <w:p w14:paraId="4EAFEFE6"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Business Rates Collection Fund surplus/(deficit)</w:t>
            </w:r>
          </w:p>
        </w:tc>
        <w:tc>
          <w:tcPr>
            <w:tcW w:w="401" w:type="pct"/>
            <w:tcBorders>
              <w:top w:val="nil"/>
              <w:left w:val="nil"/>
              <w:bottom w:val="nil"/>
              <w:right w:val="single" w:sz="4" w:space="0" w:color="auto"/>
            </w:tcBorders>
            <w:shd w:val="clear" w:color="000000" w:fill="D9D9D9"/>
            <w:noWrap/>
            <w:tcMar>
              <w:left w:w="45" w:type="dxa"/>
              <w:right w:w="45" w:type="dxa"/>
            </w:tcMar>
            <w:vAlign w:val="bottom"/>
            <w:hideMark/>
          </w:tcPr>
          <w:p w14:paraId="4E933088"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 xml:space="preserve">- </w:t>
            </w:r>
          </w:p>
        </w:tc>
        <w:tc>
          <w:tcPr>
            <w:tcW w:w="399" w:type="pct"/>
            <w:tcBorders>
              <w:top w:val="nil"/>
              <w:left w:val="nil"/>
              <w:bottom w:val="nil"/>
              <w:right w:val="single" w:sz="4" w:space="0" w:color="auto"/>
            </w:tcBorders>
            <w:shd w:val="clear" w:color="000000" w:fill="D9D9D9"/>
            <w:noWrap/>
            <w:tcMar>
              <w:left w:w="45" w:type="dxa"/>
              <w:right w:w="45" w:type="dxa"/>
            </w:tcMar>
            <w:vAlign w:val="bottom"/>
            <w:hideMark/>
          </w:tcPr>
          <w:p w14:paraId="7FB9B369"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04" w:type="pct"/>
            <w:tcBorders>
              <w:top w:val="nil"/>
              <w:left w:val="nil"/>
              <w:bottom w:val="nil"/>
              <w:right w:val="single" w:sz="4" w:space="0" w:color="auto"/>
            </w:tcBorders>
            <w:shd w:val="clear" w:color="000000" w:fill="D9D9D9"/>
            <w:noWrap/>
            <w:tcMar>
              <w:left w:w="45" w:type="dxa"/>
              <w:right w:w="45" w:type="dxa"/>
            </w:tcMar>
            <w:vAlign w:val="bottom"/>
            <w:hideMark/>
          </w:tcPr>
          <w:p w14:paraId="1224B377"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91" w:type="pct"/>
            <w:tcBorders>
              <w:top w:val="nil"/>
              <w:left w:val="nil"/>
              <w:bottom w:val="nil"/>
              <w:right w:val="single" w:sz="4" w:space="0" w:color="auto"/>
            </w:tcBorders>
            <w:shd w:val="clear" w:color="000000" w:fill="D9D9D9"/>
            <w:noWrap/>
            <w:tcMar>
              <w:left w:w="45" w:type="dxa"/>
              <w:right w:w="45" w:type="dxa"/>
            </w:tcMar>
            <w:vAlign w:val="bottom"/>
            <w:hideMark/>
          </w:tcPr>
          <w:p w14:paraId="25059A7F"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399" w:type="pct"/>
            <w:tcBorders>
              <w:top w:val="nil"/>
              <w:left w:val="nil"/>
              <w:bottom w:val="nil"/>
              <w:right w:val="single" w:sz="4" w:space="0" w:color="auto"/>
            </w:tcBorders>
            <w:shd w:val="clear" w:color="000000" w:fill="D9D9D9"/>
            <w:noWrap/>
            <w:tcMar>
              <w:left w:w="45" w:type="dxa"/>
              <w:right w:w="45" w:type="dxa"/>
            </w:tcMar>
            <w:vAlign w:val="bottom"/>
            <w:hideMark/>
          </w:tcPr>
          <w:p w14:paraId="6304D1CD"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520" w:type="pct"/>
            <w:tcBorders>
              <w:top w:val="nil"/>
              <w:left w:val="nil"/>
              <w:bottom w:val="nil"/>
              <w:right w:val="single" w:sz="4" w:space="0" w:color="auto"/>
            </w:tcBorders>
            <w:shd w:val="clear" w:color="000000" w:fill="D9D9D9"/>
            <w:noWrap/>
            <w:tcMar>
              <w:left w:w="45" w:type="dxa"/>
              <w:right w:w="45" w:type="dxa"/>
            </w:tcMar>
            <w:vAlign w:val="bottom"/>
            <w:hideMark/>
          </w:tcPr>
          <w:p w14:paraId="4AF1933E"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(1,816)</w:t>
            </w:r>
          </w:p>
        </w:tc>
        <w:tc>
          <w:tcPr>
            <w:tcW w:w="400" w:type="pct"/>
            <w:tcBorders>
              <w:top w:val="nil"/>
              <w:left w:val="nil"/>
              <w:bottom w:val="nil"/>
              <w:right w:val="single" w:sz="4" w:space="0" w:color="auto"/>
            </w:tcBorders>
            <w:shd w:val="clear" w:color="000000" w:fill="D9D9D9"/>
            <w:noWrap/>
            <w:tcMar>
              <w:left w:w="45" w:type="dxa"/>
              <w:right w:w="45" w:type="dxa"/>
            </w:tcMar>
            <w:vAlign w:val="bottom"/>
            <w:hideMark/>
          </w:tcPr>
          <w:p w14:paraId="30AA8F56"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(1,816)</w:t>
            </w:r>
          </w:p>
        </w:tc>
        <w:tc>
          <w:tcPr>
            <w:tcW w:w="398" w:type="pct"/>
            <w:tcBorders>
              <w:top w:val="nil"/>
              <w:left w:val="nil"/>
              <w:bottom w:val="nil"/>
              <w:right w:val="single" w:sz="4" w:space="0" w:color="auto"/>
            </w:tcBorders>
            <w:shd w:val="clear" w:color="000000" w:fill="D9D9D9"/>
            <w:noWrap/>
            <w:tcMar>
              <w:left w:w="45" w:type="dxa"/>
              <w:right w:w="45" w:type="dxa"/>
            </w:tcMar>
            <w:vAlign w:val="bottom"/>
            <w:hideMark/>
          </w:tcPr>
          <w:p w14:paraId="1A49999B"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0</w:t>
            </w:r>
          </w:p>
        </w:tc>
      </w:tr>
      <w:tr w:rsidR="000729CF" w:rsidRPr="000729CF" w14:paraId="39929764" w14:textId="77777777" w:rsidTr="00BC26AB">
        <w:trPr>
          <w:trHeight w:val="20"/>
        </w:trPr>
        <w:tc>
          <w:tcPr>
            <w:tcW w:w="1588" w:type="pct"/>
            <w:tcBorders>
              <w:top w:val="nil"/>
              <w:left w:val="single" w:sz="4" w:space="0" w:color="auto"/>
              <w:bottom w:val="nil"/>
              <w:right w:val="nil"/>
            </w:tcBorders>
            <w:shd w:val="clear" w:color="000000" w:fill="FFFFFF"/>
            <w:noWrap/>
            <w:tcMar>
              <w:left w:w="45" w:type="dxa"/>
              <w:right w:w="45" w:type="dxa"/>
            </w:tcMar>
            <w:vAlign w:val="bottom"/>
            <w:hideMark/>
          </w:tcPr>
          <w:p w14:paraId="6ED63729"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Council Tax Collection Fund surplus/(deficit)</w:t>
            </w:r>
          </w:p>
        </w:tc>
        <w:tc>
          <w:tcPr>
            <w:tcW w:w="401" w:type="pct"/>
            <w:tcBorders>
              <w:top w:val="nil"/>
              <w:left w:val="nil"/>
              <w:bottom w:val="nil"/>
              <w:right w:val="single" w:sz="4" w:space="0" w:color="auto"/>
            </w:tcBorders>
            <w:shd w:val="clear" w:color="000000" w:fill="FFFFFF"/>
            <w:noWrap/>
            <w:tcMar>
              <w:left w:w="45" w:type="dxa"/>
              <w:right w:w="45" w:type="dxa"/>
            </w:tcMar>
            <w:vAlign w:val="bottom"/>
            <w:hideMark/>
          </w:tcPr>
          <w:p w14:paraId="2B0F172F"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 xml:space="preserve">- </w:t>
            </w:r>
          </w:p>
        </w:tc>
        <w:tc>
          <w:tcPr>
            <w:tcW w:w="399" w:type="pct"/>
            <w:tcBorders>
              <w:top w:val="nil"/>
              <w:left w:val="nil"/>
              <w:bottom w:val="nil"/>
              <w:right w:val="single" w:sz="4" w:space="0" w:color="auto"/>
            </w:tcBorders>
            <w:shd w:val="clear" w:color="000000" w:fill="FFFFFF"/>
            <w:noWrap/>
            <w:tcMar>
              <w:left w:w="45" w:type="dxa"/>
              <w:right w:w="45" w:type="dxa"/>
            </w:tcMar>
            <w:vAlign w:val="bottom"/>
            <w:hideMark/>
          </w:tcPr>
          <w:p w14:paraId="7CF92024"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04" w:type="pct"/>
            <w:tcBorders>
              <w:top w:val="nil"/>
              <w:left w:val="nil"/>
              <w:bottom w:val="nil"/>
              <w:right w:val="single" w:sz="4" w:space="0" w:color="auto"/>
            </w:tcBorders>
            <w:shd w:val="clear" w:color="000000" w:fill="FFFFFF"/>
            <w:noWrap/>
            <w:tcMar>
              <w:left w:w="45" w:type="dxa"/>
              <w:right w:w="45" w:type="dxa"/>
            </w:tcMar>
            <w:vAlign w:val="bottom"/>
            <w:hideMark/>
          </w:tcPr>
          <w:p w14:paraId="7C52FC83"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91" w:type="pct"/>
            <w:tcBorders>
              <w:top w:val="nil"/>
              <w:left w:val="nil"/>
              <w:bottom w:val="nil"/>
              <w:right w:val="single" w:sz="4" w:space="0" w:color="auto"/>
            </w:tcBorders>
            <w:shd w:val="clear" w:color="000000" w:fill="FFFFFF"/>
            <w:noWrap/>
            <w:tcMar>
              <w:left w:w="45" w:type="dxa"/>
              <w:right w:w="45" w:type="dxa"/>
            </w:tcMar>
            <w:vAlign w:val="bottom"/>
            <w:hideMark/>
          </w:tcPr>
          <w:p w14:paraId="16AE1C1D"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399" w:type="pct"/>
            <w:tcBorders>
              <w:top w:val="nil"/>
              <w:left w:val="nil"/>
              <w:bottom w:val="nil"/>
              <w:right w:val="single" w:sz="4" w:space="0" w:color="auto"/>
            </w:tcBorders>
            <w:shd w:val="clear" w:color="000000" w:fill="FFFFFF"/>
            <w:noWrap/>
            <w:tcMar>
              <w:left w:w="45" w:type="dxa"/>
              <w:right w:w="45" w:type="dxa"/>
            </w:tcMar>
            <w:vAlign w:val="bottom"/>
            <w:hideMark/>
          </w:tcPr>
          <w:p w14:paraId="30793504"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520" w:type="pct"/>
            <w:tcBorders>
              <w:top w:val="nil"/>
              <w:left w:val="nil"/>
              <w:bottom w:val="nil"/>
              <w:right w:val="single" w:sz="4" w:space="0" w:color="auto"/>
            </w:tcBorders>
            <w:shd w:val="clear" w:color="000000" w:fill="FFFFFF"/>
            <w:noWrap/>
            <w:tcMar>
              <w:left w:w="45" w:type="dxa"/>
              <w:right w:w="45" w:type="dxa"/>
            </w:tcMar>
            <w:vAlign w:val="bottom"/>
            <w:hideMark/>
          </w:tcPr>
          <w:p w14:paraId="34F3A1F0"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(1,174)</w:t>
            </w:r>
          </w:p>
        </w:tc>
        <w:tc>
          <w:tcPr>
            <w:tcW w:w="400" w:type="pct"/>
            <w:tcBorders>
              <w:top w:val="nil"/>
              <w:left w:val="nil"/>
              <w:bottom w:val="nil"/>
              <w:right w:val="single" w:sz="4" w:space="0" w:color="auto"/>
            </w:tcBorders>
            <w:shd w:val="clear" w:color="000000" w:fill="FFFFFF"/>
            <w:noWrap/>
            <w:tcMar>
              <w:left w:w="45" w:type="dxa"/>
              <w:right w:w="45" w:type="dxa"/>
            </w:tcMar>
            <w:vAlign w:val="bottom"/>
            <w:hideMark/>
          </w:tcPr>
          <w:p w14:paraId="0198329B"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(1,174)</w:t>
            </w:r>
          </w:p>
        </w:tc>
        <w:tc>
          <w:tcPr>
            <w:tcW w:w="398" w:type="pct"/>
            <w:tcBorders>
              <w:top w:val="nil"/>
              <w:left w:val="nil"/>
              <w:bottom w:val="nil"/>
              <w:right w:val="single" w:sz="4" w:space="0" w:color="auto"/>
            </w:tcBorders>
            <w:shd w:val="clear" w:color="000000" w:fill="FFFFFF"/>
            <w:noWrap/>
            <w:tcMar>
              <w:left w:w="45" w:type="dxa"/>
              <w:right w:w="45" w:type="dxa"/>
            </w:tcMar>
            <w:vAlign w:val="bottom"/>
            <w:hideMark/>
          </w:tcPr>
          <w:p w14:paraId="46DA238C"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0</w:t>
            </w:r>
          </w:p>
        </w:tc>
      </w:tr>
      <w:tr w:rsidR="000729CF" w:rsidRPr="000729CF" w14:paraId="4D48F1F3" w14:textId="77777777" w:rsidTr="00BC26AB">
        <w:trPr>
          <w:trHeight w:val="20"/>
        </w:trPr>
        <w:tc>
          <w:tcPr>
            <w:tcW w:w="1588" w:type="pct"/>
            <w:tcBorders>
              <w:top w:val="nil"/>
              <w:left w:val="single" w:sz="4" w:space="0" w:color="auto"/>
              <w:bottom w:val="nil"/>
              <w:right w:val="nil"/>
            </w:tcBorders>
            <w:shd w:val="clear" w:color="000000" w:fill="D9D9D9"/>
            <w:noWrap/>
            <w:tcMar>
              <w:left w:w="45" w:type="dxa"/>
              <w:right w:w="45" w:type="dxa"/>
            </w:tcMar>
            <w:vAlign w:val="bottom"/>
            <w:hideMark/>
          </w:tcPr>
          <w:p w14:paraId="47C69AFD"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Council Tax</w:t>
            </w:r>
          </w:p>
        </w:tc>
        <w:tc>
          <w:tcPr>
            <w:tcW w:w="401" w:type="pct"/>
            <w:tcBorders>
              <w:top w:val="nil"/>
              <w:left w:val="nil"/>
              <w:bottom w:val="nil"/>
              <w:right w:val="single" w:sz="4" w:space="0" w:color="auto"/>
            </w:tcBorders>
            <w:shd w:val="clear" w:color="000000" w:fill="D9D9D9"/>
            <w:noWrap/>
            <w:tcMar>
              <w:left w:w="45" w:type="dxa"/>
              <w:right w:w="45" w:type="dxa"/>
            </w:tcMar>
            <w:vAlign w:val="bottom"/>
            <w:hideMark/>
          </w:tcPr>
          <w:p w14:paraId="2934B693"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 xml:space="preserve">173,298 </w:t>
            </w:r>
          </w:p>
        </w:tc>
        <w:tc>
          <w:tcPr>
            <w:tcW w:w="399" w:type="pct"/>
            <w:tcBorders>
              <w:top w:val="nil"/>
              <w:left w:val="nil"/>
              <w:bottom w:val="nil"/>
              <w:right w:val="single" w:sz="4" w:space="0" w:color="auto"/>
            </w:tcBorders>
            <w:shd w:val="clear" w:color="000000" w:fill="D9D9D9"/>
            <w:noWrap/>
            <w:tcMar>
              <w:left w:w="45" w:type="dxa"/>
              <w:right w:w="45" w:type="dxa"/>
            </w:tcMar>
            <w:vAlign w:val="bottom"/>
            <w:hideMark/>
          </w:tcPr>
          <w:p w14:paraId="664CF6FF"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04" w:type="pct"/>
            <w:tcBorders>
              <w:top w:val="nil"/>
              <w:left w:val="nil"/>
              <w:bottom w:val="nil"/>
              <w:right w:val="single" w:sz="4" w:space="0" w:color="auto"/>
            </w:tcBorders>
            <w:shd w:val="clear" w:color="000000" w:fill="D9D9D9"/>
            <w:noWrap/>
            <w:tcMar>
              <w:left w:w="45" w:type="dxa"/>
              <w:right w:w="45" w:type="dxa"/>
            </w:tcMar>
            <w:vAlign w:val="bottom"/>
            <w:hideMark/>
          </w:tcPr>
          <w:p w14:paraId="31AC8D6C"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91" w:type="pct"/>
            <w:tcBorders>
              <w:top w:val="nil"/>
              <w:left w:val="nil"/>
              <w:bottom w:val="nil"/>
              <w:right w:val="single" w:sz="4" w:space="0" w:color="auto"/>
            </w:tcBorders>
            <w:shd w:val="clear" w:color="000000" w:fill="D9D9D9"/>
            <w:noWrap/>
            <w:tcMar>
              <w:left w:w="45" w:type="dxa"/>
              <w:right w:w="45" w:type="dxa"/>
            </w:tcMar>
            <w:vAlign w:val="bottom"/>
            <w:hideMark/>
          </w:tcPr>
          <w:p w14:paraId="43BA3A95"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399" w:type="pct"/>
            <w:tcBorders>
              <w:top w:val="nil"/>
              <w:left w:val="nil"/>
              <w:bottom w:val="nil"/>
              <w:right w:val="single" w:sz="4" w:space="0" w:color="auto"/>
            </w:tcBorders>
            <w:shd w:val="clear" w:color="000000" w:fill="D9D9D9"/>
            <w:noWrap/>
            <w:tcMar>
              <w:left w:w="45" w:type="dxa"/>
              <w:right w:w="45" w:type="dxa"/>
            </w:tcMar>
            <w:vAlign w:val="bottom"/>
            <w:hideMark/>
          </w:tcPr>
          <w:p w14:paraId="5A663181"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520" w:type="pct"/>
            <w:tcBorders>
              <w:top w:val="nil"/>
              <w:left w:val="nil"/>
              <w:bottom w:val="nil"/>
              <w:right w:val="single" w:sz="4" w:space="0" w:color="auto"/>
            </w:tcBorders>
            <w:shd w:val="clear" w:color="000000" w:fill="D9D9D9"/>
            <w:noWrap/>
            <w:tcMar>
              <w:left w:w="45" w:type="dxa"/>
              <w:right w:w="45" w:type="dxa"/>
            </w:tcMar>
            <w:vAlign w:val="bottom"/>
            <w:hideMark/>
          </w:tcPr>
          <w:p w14:paraId="1D8617BA"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 xml:space="preserve">185,090 </w:t>
            </w:r>
          </w:p>
        </w:tc>
        <w:tc>
          <w:tcPr>
            <w:tcW w:w="400" w:type="pct"/>
            <w:tcBorders>
              <w:top w:val="nil"/>
              <w:left w:val="nil"/>
              <w:bottom w:val="nil"/>
              <w:right w:val="single" w:sz="4" w:space="0" w:color="auto"/>
            </w:tcBorders>
            <w:shd w:val="clear" w:color="000000" w:fill="D9D9D9"/>
            <w:noWrap/>
            <w:tcMar>
              <w:left w:w="45" w:type="dxa"/>
              <w:right w:w="45" w:type="dxa"/>
            </w:tcMar>
            <w:vAlign w:val="bottom"/>
            <w:hideMark/>
          </w:tcPr>
          <w:p w14:paraId="3C4909B2"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11,792 </w:t>
            </w:r>
          </w:p>
        </w:tc>
        <w:tc>
          <w:tcPr>
            <w:tcW w:w="398" w:type="pct"/>
            <w:tcBorders>
              <w:top w:val="nil"/>
              <w:left w:val="nil"/>
              <w:bottom w:val="nil"/>
              <w:right w:val="single" w:sz="4" w:space="0" w:color="auto"/>
            </w:tcBorders>
            <w:shd w:val="clear" w:color="000000" w:fill="D9D9D9"/>
            <w:noWrap/>
            <w:tcMar>
              <w:left w:w="45" w:type="dxa"/>
              <w:right w:w="45" w:type="dxa"/>
            </w:tcMar>
            <w:vAlign w:val="bottom"/>
            <w:hideMark/>
          </w:tcPr>
          <w:p w14:paraId="5905C44F"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6.80 </w:t>
            </w:r>
          </w:p>
        </w:tc>
      </w:tr>
      <w:tr w:rsidR="000729CF" w:rsidRPr="000729CF" w14:paraId="5BCE6532" w14:textId="77777777" w:rsidTr="00BC26AB">
        <w:trPr>
          <w:trHeight w:val="20"/>
        </w:trPr>
        <w:tc>
          <w:tcPr>
            <w:tcW w:w="1588" w:type="pct"/>
            <w:tcBorders>
              <w:top w:val="single" w:sz="4" w:space="0" w:color="auto"/>
              <w:left w:val="single" w:sz="4" w:space="0" w:color="auto"/>
              <w:bottom w:val="single" w:sz="4" w:space="0" w:color="auto"/>
              <w:right w:val="nil"/>
            </w:tcBorders>
            <w:shd w:val="clear" w:color="000000" w:fill="000000"/>
            <w:noWrap/>
            <w:tcMar>
              <w:left w:w="45" w:type="dxa"/>
              <w:right w:w="45" w:type="dxa"/>
            </w:tcMar>
            <w:vAlign w:val="bottom"/>
            <w:hideMark/>
          </w:tcPr>
          <w:p w14:paraId="0276DCA9" w14:textId="77777777" w:rsidR="000729CF" w:rsidRPr="000729CF" w:rsidRDefault="000729CF" w:rsidP="000729CF">
            <w:pPr>
              <w:rPr>
                <w:rFonts w:ascii="Calibri" w:hAnsi="Calibri" w:cs="Calibri"/>
                <w:b/>
                <w:bCs/>
                <w:color w:val="FFFFFF"/>
                <w:sz w:val="22"/>
                <w:szCs w:val="22"/>
                <w:lang w:val="en-GB" w:eastAsia="en-GB"/>
              </w:rPr>
            </w:pPr>
            <w:r w:rsidRPr="000729CF">
              <w:rPr>
                <w:rFonts w:ascii="Calibri" w:hAnsi="Calibri" w:cs="Calibri"/>
                <w:b/>
                <w:bCs/>
                <w:color w:val="FFFFFF"/>
                <w:sz w:val="22"/>
                <w:szCs w:val="22"/>
                <w:lang w:val="en-GB" w:eastAsia="en-GB"/>
              </w:rPr>
              <w:t>Total</w:t>
            </w:r>
          </w:p>
        </w:tc>
        <w:tc>
          <w:tcPr>
            <w:tcW w:w="401" w:type="pct"/>
            <w:tcBorders>
              <w:top w:val="single" w:sz="4" w:space="0" w:color="auto"/>
              <w:left w:val="nil"/>
              <w:bottom w:val="single" w:sz="4" w:space="0" w:color="auto"/>
              <w:right w:val="single" w:sz="4" w:space="0" w:color="auto"/>
            </w:tcBorders>
            <w:shd w:val="clear" w:color="000000" w:fill="000000"/>
            <w:noWrap/>
            <w:tcMar>
              <w:left w:w="45" w:type="dxa"/>
              <w:right w:w="45" w:type="dxa"/>
            </w:tcMar>
            <w:vAlign w:val="bottom"/>
            <w:hideMark/>
          </w:tcPr>
          <w:p w14:paraId="24FBE9A8" w14:textId="77777777" w:rsidR="000729CF" w:rsidRPr="000729CF" w:rsidRDefault="000729CF" w:rsidP="000729CF">
            <w:pPr>
              <w:jc w:val="right"/>
              <w:rPr>
                <w:rFonts w:ascii="Calibri" w:hAnsi="Calibri" w:cs="Calibri"/>
                <w:b/>
                <w:bCs/>
                <w:color w:val="FFFFFF"/>
                <w:sz w:val="22"/>
                <w:szCs w:val="22"/>
                <w:lang w:val="en-GB" w:eastAsia="en-GB"/>
              </w:rPr>
            </w:pPr>
            <w:r w:rsidRPr="000729CF">
              <w:rPr>
                <w:rFonts w:ascii="Calibri" w:hAnsi="Calibri" w:cs="Calibri"/>
                <w:b/>
                <w:bCs/>
                <w:color w:val="FFFFFF"/>
                <w:sz w:val="22"/>
                <w:szCs w:val="22"/>
                <w:lang w:val="en-GB" w:eastAsia="en-GB"/>
              </w:rPr>
              <w:t xml:space="preserve">235,016 </w:t>
            </w:r>
          </w:p>
        </w:tc>
        <w:tc>
          <w:tcPr>
            <w:tcW w:w="399" w:type="pct"/>
            <w:tcBorders>
              <w:top w:val="single" w:sz="4" w:space="0" w:color="auto"/>
              <w:left w:val="nil"/>
              <w:bottom w:val="single" w:sz="4" w:space="0" w:color="auto"/>
              <w:right w:val="single" w:sz="4" w:space="0" w:color="auto"/>
            </w:tcBorders>
            <w:shd w:val="clear" w:color="000000" w:fill="000000"/>
            <w:noWrap/>
            <w:tcMar>
              <w:left w:w="45" w:type="dxa"/>
              <w:right w:w="45" w:type="dxa"/>
            </w:tcMar>
            <w:vAlign w:val="bottom"/>
            <w:hideMark/>
          </w:tcPr>
          <w:p w14:paraId="6F3F9697" w14:textId="77777777" w:rsidR="000729CF" w:rsidRPr="000729CF" w:rsidRDefault="000729CF" w:rsidP="000729CF">
            <w:pPr>
              <w:rPr>
                <w:rFonts w:ascii="Calibri" w:hAnsi="Calibri" w:cs="Calibri"/>
                <w:b/>
                <w:bCs/>
                <w:color w:val="FFFFFF"/>
                <w:sz w:val="22"/>
                <w:szCs w:val="22"/>
                <w:lang w:val="en-GB" w:eastAsia="en-GB"/>
              </w:rPr>
            </w:pPr>
            <w:r w:rsidRPr="000729CF">
              <w:rPr>
                <w:rFonts w:ascii="Calibri" w:hAnsi="Calibri" w:cs="Calibri"/>
                <w:b/>
                <w:bCs/>
                <w:color w:val="FFFFFF"/>
                <w:sz w:val="22"/>
                <w:szCs w:val="22"/>
                <w:lang w:val="en-GB" w:eastAsia="en-GB"/>
              </w:rPr>
              <w:t> </w:t>
            </w:r>
          </w:p>
        </w:tc>
        <w:tc>
          <w:tcPr>
            <w:tcW w:w="404" w:type="pct"/>
            <w:tcBorders>
              <w:top w:val="single" w:sz="4" w:space="0" w:color="auto"/>
              <w:left w:val="nil"/>
              <w:bottom w:val="single" w:sz="4" w:space="0" w:color="auto"/>
              <w:right w:val="single" w:sz="4" w:space="0" w:color="auto"/>
            </w:tcBorders>
            <w:shd w:val="clear" w:color="000000" w:fill="000000"/>
            <w:noWrap/>
            <w:tcMar>
              <w:left w:w="45" w:type="dxa"/>
              <w:right w:w="45" w:type="dxa"/>
            </w:tcMar>
            <w:vAlign w:val="bottom"/>
            <w:hideMark/>
          </w:tcPr>
          <w:p w14:paraId="7581176A" w14:textId="77777777" w:rsidR="000729CF" w:rsidRPr="000729CF" w:rsidRDefault="000729CF" w:rsidP="000729CF">
            <w:pPr>
              <w:rPr>
                <w:rFonts w:ascii="Calibri" w:hAnsi="Calibri" w:cs="Calibri"/>
                <w:b/>
                <w:bCs/>
                <w:color w:val="FFFFFF"/>
                <w:sz w:val="22"/>
                <w:szCs w:val="22"/>
                <w:lang w:val="en-GB" w:eastAsia="en-GB"/>
              </w:rPr>
            </w:pPr>
            <w:r w:rsidRPr="000729CF">
              <w:rPr>
                <w:rFonts w:ascii="Calibri" w:hAnsi="Calibri" w:cs="Calibri"/>
                <w:b/>
                <w:bCs/>
                <w:color w:val="FFFFFF"/>
                <w:sz w:val="22"/>
                <w:szCs w:val="22"/>
                <w:lang w:val="en-GB" w:eastAsia="en-GB"/>
              </w:rPr>
              <w:t> </w:t>
            </w:r>
          </w:p>
        </w:tc>
        <w:tc>
          <w:tcPr>
            <w:tcW w:w="491" w:type="pct"/>
            <w:tcBorders>
              <w:top w:val="single" w:sz="4" w:space="0" w:color="auto"/>
              <w:left w:val="nil"/>
              <w:bottom w:val="single" w:sz="4" w:space="0" w:color="auto"/>
              <w:right w:val="single" w:sz="4" w:space="0" w:color="auto"/>
            </w:tcBorders>
            <w:shd w:val="clear" w:color="000000" w:fill="000000"/>
            <w:noWrap/>
            <w:tcMar>
              <w:left w:w="45" w:type="dxa"/>
              <w:right w:w="45" w:type="dxa"/>
            </w:tcMar>
            <w:vAlign w:val="bottom"/>
            <w:hideMark/>
          </w:tcPr>
          <w:p w14:paraId="746C2162" w14:textId="77777777" w:rsidR="000729CF" w:rsidRPr="000729CF" w:rsidRDefault="000729CF" w:rsidP="000729CF">
            <w:pPr>
              <w:rPr>
                <w:rFonts w:ascii="Calibri" w:hAnsi="Calibri" w:cs="Calibri"/>
                <w:b/>
                <w:bCs/>
                <w:color w:val="FFFFFF"/>
                <w:sz w:val="22"/>
                <w:szCs w:val="22"/>
                <w:lang w:val="en-GB" w:eastAsia="en-GB"/>
              </w:rPr>
            </w:pPr>
            <w:r w:rsidRPr="000729CF">
              <w:rPr>
                <w:rFonts w:ascii="Calibri" w:hAnsi="Calibri" w:cs="Calibri"/>
                <w:b/>
                <w:bCs/>
                <w:color w:val="FFFFFF"/>
                <w:sz w:val="22"/>
                <w:szCs w:val="22"/>
                <w:lang w:val="en-GB" w:eastAsia="en-GB"/>
              </w:rPr>
              <w:t> </w:t>
            </w:r>
          </w:p>
        </w:tc>
        <w:tc>
          <w:tcPr>
            <w:tcW w:w="399" w:type="pct"/>
            <w:tcBorders>
              <w:top w:val="single" w:sz="4" w:space="0" w:color="auto"/>
              <w:left w:val="nil"/>
              <w:bottom w:val="single" w:sz="4" w:space="0" w:color="auto"/>
              <w:right w:val="single" w:sz="4" w:space="0" w:color="auto"/>
            </w:tcBorders>
            <w:shd w:val="clear" w:color="000000" w:fill="000000"/>
            <w:noWrap/>
            <w:tcMar>
              <w:left w:w="45" w:type="dxa"/>
              <w:right w:w="45" w:type="dxa"/>
            </w:tcMar>
            <w:vAlign w:val="bottom"/>
            <w:hideMark/>
          </w:tcPr>
          <w:p w14:paraId="7349B1BF" w14:textId="77777777" w:rsidR="000729CF" w:rsidRPr="000729CF" w:rsidRDefault="000729CF" w:rsidP="000729CF">
            <w:pPr>
              <w:rPr>
                <w:rFonts w:ascii="Calibri" w:hAnsi="Calibri" w:cs="Calibri"/>
                <w:b/>
                <w:bCs/>
                <w:color w:val="FFFFFF"/>
                <w:sz w:val="22"/>
                <w:szCs w:val="22"/>
                <w:lang w:val="en-GB" w:eastAsia="en-GB"/>
              </w:rPr>
            </w:pPr>
            <w:r w:rsidRPr="000729CF">
              <w:rPr>
                <w:rFonts w:ascii="Calibri" w:hAnsi="Calibri" w:cs="Calibri"/>
                <w:b/>
                <w:bCs/>
                <w:color w:val="FFFFFF"/>
                <w:sz w:val="22"/>
                <w:szCs w:val="22"/>
                <w:lang w:val="en-GB" w:eastAsia="en-GB"/>
              </w:rPr>
              <w:t> </w:t>
            </w:r>
          </w:p>
        </w:tc>
        <w:tc>
          <w:tcPr>
            <w:tcW w:w="520" w:type="pct"/>
            <w:tcBorders>
              <w:top w:val="single" w:sz="4" w:space="0" w:color="auto"/>
              <w:left w:val="nil"/>
              <w:bottom w:val="single" w:sz="4" w:space="0" w:color="auto"/>
              <w:right w:val="single" w:sz="4" w:space="0" w:color="auto"/>
            </w:tcBorders>
            <w:shd w:val="clear" w:color="000000" w:fill="000000"/>
            <w:noWrap/>
            <w:tcMar>
              <w:left w:w="45" w:type="dxa"/>
              <w:right w:w="45" w:type="dxa"/>
            </w:tcMar>
            <w:vAlign w:val="bottom"/>
            <w:hideMark/>
          </w:tcPr>
          <w:p w14:paraId="6D34E40B" w14:textId="77777777" w:rsidR="000729CF" w:rsidRPr="000729CF" w:rsidRDefault="000729CF" w:rsidP="000729CF">
            <w:pPr>
              <w:jc w:val="right"/>
              <w:rPr>
                <w:rFonts w:ascii="Calibri" w:hAnsi="Calibri" w:cs="Calibri"/>
                <w:b/>
                <w:bCs/>
                <w:color w:val="FFFFFF"/>
                <w:sz w:val="22"/>
                <w:szCs w:val="22"/>
                <w:lang w:val="en-GB" w:eastAsia="en-GB"/>
              </w:rPr>
            </w:pPr>
            <w:r w:rsidRPr="000729CF">
              <w:rPr>
                <w:rFonts w:ascii="Calibri" w:hAnsi="Calibri" w:cs="Calibri"/>
                <w:b/>
                <w:bCs/>
                <w:color w:val="FFFFFF"/>
                <w:sz w:val="22"/>
                <w:szCs w:val="22"/>
                <w:lang w:val="en-GB" w:eastAsia="en-GB"/>
              </w:rPr>
              <w:t xml:space="preserve">246,353 </w:t>
            </w:r>
          </w:p>
        </w:tc>
        <w:tc>
          <w:tcPr>
            <w:tcW w:w="400" w:type="pct"/>
            <w:tcBorders>
              <w:top w:val="single" w:sz="4" w:space="0" w:color="auto"/>
              <w:left w:val="nil"/>
              <w:bottom w:val="single" w:sz="4" w:space="0" w:color="auto"/>
              <w:right w:val="single" w:sz="4" w:space="0" w:color="auto"/>
            </w:tcBorders>
            <w:shd w:val="clear" w:color="000000" w:fill="000000"/>
            <w:noWrap/>
            <w:tcMar>
              <w:left w:w="45" w:type="dxa"/>
              <w:right w:w="45" w:type="dxa"/>
            </w:tcMar>
            <w:vAlign w:val="bottom"/>
            <w:hideMark/>
          </w:tcPr>
          <w:p w14:paraId="211D7D59" w14:textId="77777777" w:rsidR="000729CF" w:rsidRPr="000729CF" w:rsidRDefault="000729CF" w:rsidP="000729CF">
            <w:pPr>
              <w:jc w:val="right"/>
              <w:rPr>
                <w:rFonts w:ascii="Calibri" w:hAnsi="Calibri" w:cs="Calibri"/>
                <w:b/>
                <w:bCs/>
                <w:color w:val="FFFFFF"/>
                <w:sz w:val="22"/>
                <w:szCs w:val="22"/>
                <w:lang w:val="en-GB" w:eastAsia="en-GB"/>
              </w:rPr>
            </w:pPr>
            <w:r w:rsidRPr="000729CF">
              <w:rPr>
                <w:rFonts w:ascii="Calibri" w:hAnsi="Calibri" w:cs="Calibri"/>
                <w:b/>
                <w:bCs/>
                <w:color w:val="FFFFFF"/>
                <w:sz w:val="22"/>
                <w:szCs w:val="22"/>
                <w:lang w:val="en-GB" w:eastAsia="en-GB"/>
              </w:rPr>
              <w:t xml:space="preserve">11,337 </w:t>
            </w:r>
          </w:p>
        </w:tc>
        <w:tc>
          <w:tcPr>
            <w:tcW w:w="398" w:type="pct"/>
            <w:tcBorders>
              <w:top w:val="single" w:sz="4" w:space="0" w:color="auto"/>
              <w:left w:val="nil"/>
              <w:bottom w:val="single" w:sz="4" w:space="0" w:color="auto"/>
              <w:right w:val="single" w:sz="4" w:space="0" w:color="auto"/>
            </w:tcBorders>
            <w:shd w:val="clear" w:color="000000" w:fill="000000"/>
            <w:noWrap/>
            <w:tcMar>
              <w:left w:w="45" w:type="dxa"/>
              <w:right w:w="45" w:type="dxa"/>
            </w:tcMar>
            <w:vAlign w:val="bottom"/>
            <w:hideMark/>
          </w:tcPr>
          <w:p w14:paraId="035E82D9" w14:textId="77777777" w:rsidR="000729CF" w:rsidRPr="000729CF" w:rsidRDefault="000729CF" w:rsidP="000729CF">
            <w:pPr>
              <w:jc w:val="right"/>
              <w:rPr>
                <w:rFonts w:ascii="Calibri" w:hAnsi="Calibri" w:cs="Calibri"/>
                <w:b/>
                <w:bCs/>
                <w:color w:val="FFFFFF"/>
                <w:sz w:val="22"/>
                <w:szCs w:val="22"/>
                <w:lang w:val="en-GB" w:eastAsia="en-GB"/>
              </w:rPr>
            </w:pPr>
            <w:r w:rsidRPr="000729CF">
              <w:rPr>
                <w:rFonts w:ascii="Calibri" w:hAnsi="Calibri" w:cs="Calibri"/>
                <w:b/>
                <w:bCs/>
                <w:color w:val="FFFFFF"/>
                <w:sz w:val="22"/>
                <w:szCs w:val="22"/>
                <w:lang w:val="en-GB" w:eastAsia="en-GB"/>
              </w:rPr>
              <w:t xml:space="preserve">4.82 </w:t>
            </w:r>
          </w:p>
        </w:tc>
      </w:tr>
    </w:tbl>
    <w:p w14:paraId="180D0901" w14:textId="77777777" w:rsidR="000729CF" w:rsidRPr="000729CF" w:rsidRDefault="000729CF" w:rsidP="000729CF">
      <w:pPr>
        <w:spacing w:after="160" w:line="259" w:lineRule="auto"/>
        <w:rPr>
          <w:rFonts w:ascii="Calibri" w:eastAsia="Calibri" w:hAnsi="Calibri"/>
          <w:sz w:val="22"/>
          <w:szCs w:val="22"/>
          <w:lang w:val="en-GB"/>
        </w:rPr>
      </w:pPr>
      <w:r w:rsidRPr="000729CF">
        <w:rPr>
          <w:rFonts w:ascii="Calibri" w:eastAsia="Calibri" w:hAnsi="Calibri"/>
          <w:sz w:val="22"/>
          <w:szCs w:val="22"/>
          <w:lang w:val="en-GB"/>
        </w:rPr>
        <w:br w:type="page"/>
      </w:r>
    </w:p>
    <w:p w14:paraId="471F3D09" w14:textId="77777777" w:rsidR="000729CF" w:rsidRPr="000729CF" w:rsidRDefault="000729CF" w:rsidP="000729CF">
      <w:pPr>
        <w:spacing w:after="160" w:line="259" w:lineRule="auto"/>
        <w:rPr>
          <w:rFonts w:ascii="Calibri" w:eastAsia="Calibri" w:hAnsi="Calibri"/>
          <w:sz w:val="22"/>
          <w:szCs w:val="22"/>
          <w:lang w:val="en-GB"/>
        </w:rPr>
      </w:pPr>
    </w:p>
    <w:tbl>
      <w:tblPr>
        <w:tblW w:w="5000" w:type="pct"/>
        <w:tblLook w:val="04A0" w:firstRow="1" w:lastRow="0" w:firstColumn="1" w:lastColumn="0" w:noHBand="0" w:noVBand="1"/>
      </w:tblPr>
      <w:tblGrid>
        <w:gridCol w:w="8260"/>
        <w:gridCol w:w="2376"/>
        <w:gridCol w:w="2376"/>
        <w:gridCol w:w="2376"/>
      </w:tblGrid>
      <w:tr w:rsidR="000729CF" w:rsidRPr="000729CF" w14:paraId="15F19937" w14:textId="77777777" w:rsidTr="00BC26AB">
        <w:trPr>
          <w:trHeight w:val="20"/>
          <w:tblHeader/>
        </w:trPr>
        <w:tc>
          <w:tcPr>
            <w:tcW w:w="2684" w:type="pct"/>
            <w:tcBorders>
              <w:top w:val="single" w:sz="4" w:space="0" w:color="auto"/>
              <w:left w:val="single" w:sz="4" w:space="0" w:color="auto"/>
              <w:bottom w:val="single" w:sz="4" w:space="0" w:color="auto"/>
              <w:right w:val="single" w:sz="4" w:space="0" w:color="auto"/>
            </w:tcBorders>
            <w:shd w:val="clear" w:color="000000" w:fill="A6A6A6"/>
            <w:tcMar>
              <w:left w:w="45" w:type="dxa"/>
              <w:right w:w="45" w:type="dxa"/>
            </w:tcMar>
            <w:vAlign w:val="center"/>
            <w:hideMark/>
          </w:tcPr>
          <w:p w14:paraId="14755BA9"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Division</w:t>
            </w:r>
          </w:p>
        </w:tc>
        <w:tc>
          <w:tcPr>
            <w:tcW w:w="772" w:type="pct"/>
            <w:tcBorders>
              <w:top w:val="single" w:sz="4" w:space="0" w:color="auto"/>
              <w:left w:val="nil"/>
              <w:bottom w:val="single" w:sz="4" w:space="0" w:color="auto"/>
              <w:right w:val="single" w:sz="4" w:space="0" w:color="auto"/>
            </w:tcBorders>
            <w:shd w:val="clear" w:color="000000" w:fill="A6A6A6"/>
            <w:tcMar>
              <w:left w:w="45" w:type="dxa"/>
              <w:right w:w="45" w:type="dxa"/>
            </w:tcMar>
            <w:vAlign w:val="bottom"/>
            <w:hideMark/>
          </w:tcPr>
          <w:p w14:paraId="754A309E" w14:textId="77777777" w:rsidR="000729CF" w:rsidRPr="000729CF" w:rsidRDefault="000729CF" w:rsidP="000729CF">
            <w:pPr>
              <w:jc w:val="cente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Total Savings Proposed</w:t>
            </w:r>
            <w:r w:rsidRPr="000729CF">
              <w:rPr>
                <w:rFonts w:ascii="Calibri" w:hAnsi="Calibri" w:cs="Calibri"/>
                <w:b/>
                <w:bCs/>
                <w:color w:val="000000"/>
                <w:sz w:val="22"/>
                <w:szCs w:val="22"/>
                <w:lang w:val="en-GB" w:eastAsia="en-GB"/>
              </w:rPr>
              <w:br/>
              <w:t>£000</w:t>
            </w:r>
          </w:p>
        </w:tc>
        <w:tc>
          <w:tcPr>
            <w:tcW w:w="772" w:type="pct"/>
            <w:tcBorders>
              <w:top w:val="single" w:sz="4" w:space="0" w:color="auto"/>
              <w:left w:val="nil"/>
              <w:bottom w:val="single" w:sz="4" w:space="0" w:color="auto"/>
              <w:right w:val="single" w:sz="4" w:space="0" w:color="auto"/>
            </w:tcBorders>
            <w:shd w:val="clear" w:color="000000" w:fill="A6A6A6"/>
            <w:tcMar>
              <w:left w:w="45" w:type="dxa"/>
              <w:right w:w="45" w:type="dxa"/>
            </w:tcMar>
            <w:vAlign w:val="bottom"/>
            <w:hideMark/>
          </w:tcPr>
          <w:p w14:paraId="3A380F84" w14:textId="77777777" w:rsidR="000729CF" w:rsidRPr="000729CF" w:rsidRDefault="000729CF" w:rsidP="000729CF">
            <w:pPr>
              <w:jc w:val="cente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Total FTE 2023/24</w:t>
            </w:r>
          </w:p>
        </w:tc>
        <w:tc>
          <w:tcPr>
            <w:tcW w:w="772" w:type="pct"/>
            <w:tcBorders>
              <w:top w:val="single" w:sz="4" w:space="0" w:color="auto"/>
              <w:left w:val="nil"/>
              <w:bottom w:val="single" w:sz="4" w:space="0" w:color="auto"/>
              <w:right w:val="single" w:sz="4" w:space="0" w:color="auto"/>
            </w:tcBorders>
            <w:shd w:val="clear" w:color="000000" w:fill="A6A6A6"/>
            <w:tcMar>
              <w:left w:w="45" w:type="dxa"/>
              <w:right w:w="45" w:type="dxa"/>
            </w:tcMar>
            <w:vAlign w:val="bottom"/>
            <w:hideMark/>
          </w:tcPr>
          <w:p w14:paraId="13B80702" w14:textId="77777777" w:rsidR="000729CF" w:rsidRPr="000729CF" w:rsidRDefault="000729CF" w:rsidP="000729CF">
            <w:pPr>
              <w:jc w:val="cente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Total 2024/25 Posts Deleted</w:t>
            </w:r>
            <w:r w:rsidRPr="000729CF">
              <w:rPr>
                <w:rFonts w:ascii="Calibri" w:hAnsi="Calibri" w:cs="Calibri"/>
                <w:b/>
                <w:bCs/>
                <w:color w:val="000000"/>
                <w:sz w:val="22"/>
                <w:szCs w:val="22"/>
                <w:lang w:val="en-GB" w:eastAsia="en-GB"/>
              </w:rPr>
              <w:br/>
              <w:t>FTE</w:t>
            </w:r>
          </w:p>
        </w:tc>
      </w:tr>
      <w:tr w:rsidR="000729CF" w:rsidRPr="000729CF" w14:paraId="443EE3A6" w14:textId="77777777" w:rsidTr="00BC26AB">
        <w:trPr>
          <w:trHeight w:val="20"/>
        </w:trPr>
        <w:tc>
          <w:tcPr>
            <w:tcW w:w="2684" w:type="pct"/>
            <w:tcBorders>
              <w:top w:val="nil"/>
              <w:left w:val="single" w:sz="4" w:space="0" w:color="auto"/>
              <w:bottom w:val="single" w:sz="4" w:space="0" w:color="auto"/>
              <w:right w:val="single" w:sz="4" w:space="0" w:color="auto"/>
            </w:tcBorders>
            <w:shd w:val="clear" w:color="auto" w:fill="auto"/>
            <w:noWrap/>
            <w:tcMar>
              <w:left w:w="45" w:type="dxa"/>
              <w:right w:w="45" w:type="dxa"/>
            </w:tcMar>
            <w:hideMark/>
          </w:tcPr>
          <w:p w14:paraId="708FA360"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Director of Families, Children &amp; Learning</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517B9641"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0 </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0D402989"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4.0</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71863227"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0.0</w:t>
            </w:r>
          </w:p>
        </w:tc>
      </w:tr>
      <w:tr w:rsidR="000729CF" w:rsidRPr="000729CF" w14:paraId="1FDD7AA1" w14:textId="77777777" w:rsidTr="00BC26AB">
        <w:trPr>
          <w:trHeight w:val="20"/>
        </w:trPr>
        <w:tc>
          <w:tcPr>
            <w:tcW w:w="2684" w:type="pct"/>
            <w:tcBorders>
              <w:top w:val="nil"/>
              <w:left w:val="single" w:sz="4" w:space="0" w:color="auto"/>
              <w:bottom w:val="single" w:sz="4" w:space="0" w:color="auto"/>
              <w:right w:val="single" w:sz="4" w:space="0" w:color="auto"/>
            </w:tcBorders>
            <w:shd w:val="clear" w:color="auto" w:fill="auto"/>
            <w:noWrap/>
            <w:tcMar>
              <w:left w:w="45" w:type="dxa"/>
              <w:right w:w="45" w:type="dxa"/>
            </w:tcMar>
            <w:hideMark/>
          </w:tcPr>
          <w:p w14:paraId="3BB03D48"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Health, SEN &amp; Disability Services</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732BD529"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982 </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739D7636"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145.8</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7ACCDA3E"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2.6</w:t>
            </w:r>
          </w:p>
        </w:tc>
      </w:tr>
      <w:tr w:rsidR="000729CF" w:rsidRPr="000729CF" w14:paraId="20DE96B1" w14:textId="77777777" w:rsidTr="00BC26AB">
        <w:trPr>
          <w:trHeight w:val="20"/>
        </w:trPr>
        <w:tc>
          <w:tcPr>
            <w:tcW w:w="2684" w:type="pct"/>
            <w:tcBorders>
              <w:top w:val="nil"/>
              <w:left w:val="single" w:sz="4" w:space="0" w:color="auto"/>
              <w:bottom w:val="single" w:sz="4" w:space="0" w:color="auto"/>
              <w:right w:val="single" w:sz="4" w:space="0" w:color="auto"/>
            </w:tcBorders>
            <w:shd w:val="clear" w:color="auto" w:fill="auto"/>
            <w:noWrap/>
            <w:tcMar>
              <w:left w:w="45" w:type="dxa"/>
              <w:right w:w="45" w:type="dxa"/>
            </w:tcMar>
            <w:hideMark/>
          </w:tcPr>
          <w:p w14:paraId="0EB640F1"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Education &amp; Skills</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00E617D9"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1,768 </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162D9F73"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259.3</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6F4ABA6B"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8.1</w:t>
            </w:r>
          </w:p>
        </w:tc>
      </w:tr>
      <w:tr w:rsidR="000729CF" w:rsidRPr="000729CF" w14:paraId="7DD0729E" w14:textId="77777777" w:rsidTr="00BC26AB">
        <w:trPr>
          <w:trHeight w:val="20"/>
        </w:trPr>
        <w:tc>
          <w:tcPr>
            <w:tcW w:w="2684" w:type="pct"/>
            <w:tcBorders>
              <w:top w:val="nil"/>
              <w:left w:val="single" w:sz="4" w:space="0" w:color="auto"/>
              <w:bottom w:val="single" w:sz="4" w:space="0" w:color="auto"/>
              <w:right w:val="single" w:sz="4" w:space="0" w:color="auto"/>
            </w:tcBorders>
            <w:shd w:val="clear" w:color="auto" w:fill="auto"/>
            <w:noWrap/>
            <w:tcMar>
              <w:left w:w="45" w:type="dxa"/>
              <w:right w:w="45" w:type="dxa"/>
            </w:tcMar>
            <w:hideMark/>
          </w:tcPr>
          <w:p w14:paraId="1647D141"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Children's Safeguarding &amp; Care</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5C3372FE"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2,241 </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3CCF65F2"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363.9</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7B86CF6D"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2.3</w:t>
            </w:r>
          </w:p>
        </w:tc>
      </w:tr>
      <w:tr w:rsidR="000729CF" w:rsidRPr="000729CF" w14:paraId="57E6F20E" w14:textId="77777777" w:rsidTr="00BC26AB">
        <w:trPr>
          <w:trHeight w:val="20"/>
        </w:trPr>
        <w:tc>
          <w:tcPr>
            <w:tcW w:w="2684" w:type="pct"/>
            <w:tcBorders>
              <w:top w:val="nil"/>
              <w:left w:val="single" w:sz="4" w:space="0" w:color="auto"/>
              <w:bottom w:val="single" w:sz="4" w:space="0" w:color="auto"/>
              <w:right w:val="single" w:sz="4" w:space="0" w:color="auto"/>
            </w:tcBorders>
            <w:shd w:val="clear" w:color="auto" w:fill="auto"/>
            <w:noWrap/>
            <w:tcMar>
              <w:left w:w="45" w:type="dxa"/>
              <w:right w:w="45" w:type="dxa"/>
            </w:tcMar>
            <w:hideMark/>
          </w:tcPr>
          <w:p w14:paraId="40CA1880"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Quality Assurance &amp; Performance</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241ABF24"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0 </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31239D59"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27.8</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3E582DEF"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0.0</w:t>
            </w:r>
          </w:p>
        </w:tc>
      </w:tr>
      <w:tr w:rsidR="000729CF" w:rsidRPr="000729CF" w14:paraId="1697C660" w14:textId="77777777" w:rsidTr="00BC26AB">
        <w:trPr>
          <w:trHeight w:val="20"/>
        </w:trPr>
        <w:tc>
          <w:tcPr>
            <w:tcW w:w="2684" w:type="pct"/>
            <w:tcBorders>
              <w:top w:val="nil"/>
              <w:left w:val="single" w:sz="4" w:space="0" w:color="auto"/>
              <w:bottom w:val="single" w:sz="4" w:space="0" w:color="auto"/>
              <w:right w:val="single" w:sz="4" w:space="0" w:color="auto"/>
            </w:tcBorders>
            <w:shd w:val="clear" w:color="000000" w:fill="D9D9D9"/>
            <w:noWrap/>
            <w:tcMar>
              <w:left w:w="45" w:type="dxa"/>
              <w:right w:w="45" w:type="dxa"/>
            </w:tcMar>
            <w:hideMark/>
          </w:tcPr>
          <w:p w14:paraId="51E0E0D2"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Families, Children &amp; Learning Total</w:t>
            </w:r>
          </w:p>
        </w:tc>
        <w:tc>
          <w:tcPr>
            <w:tcW w:w="772" w:type="pct"/>
            <w:tcBorders>
              <w:top w:val="nil"/>
              <w:left w:val="nil"/>
              <w:bottom w:val="single" w:sz="4" w:space="0" w:color="auto"/>
              <w:right w:val="single" w:sz="4" w:space="0" w:color="auto"/>
            </w:tcBorders>
            <w:shd w:val="clear" w:color="000000" w:fill="D9D9D9"/>
            <w:noWrap/>
            <w:tcMar>
              <w:left w:w="45" w:type="dxa"/>
              <w:right w:w="45" w:type="dxa"/>
            </w:tcMar>
            <w:hideMark/>
          </w:tcPr>
          <w:p w14:paraId="3B1DBB0C"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4,991 </w:t>
            </w:r>
          </w:p>
        </w:tc>
        <w:tc>
          <w:tcPr>
            <w:tcW w:w="772" w:type="pct"/>
            <w:tcBorders>
              <w:top w:val="nil"/>
              <w:left w:val="nil"/>
              <w:bottom w:val="single" w:sz="4" w:space="0" w:color="auto"/>
              <w:right w:val="single" w:sz="4" w:space="0" w:color="auto"/>
            </w:tcBorders>
            <w:shd w:val="clear" w:color="000000" w:fill="D9D9D9"/>
            <w:noWrap/>
            <w:tcMar>
              <w:left w:w="45" w:type="dxa"/>
              <w:right w:w="45" w:type="dxa"/>
            </w:tcMar>
            <w:hideMark/>
          </w:tcPr>
          <w:p w14:paraId="7E9D7E44"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800.8</w:t>
            </w:r>
          </w:p>
        </w:tc>
        <w:tc>
          <w:tcPr>
            <w:tcW w:w="772" w:type="pct"/>
            <w:tcBorders>
              <w:top w:val="nil"/>
              <w:left w:val="nil"/>
              <w:bottom w:val="single" w:sz="4" w:space="0" w:color="auto"/>
              <w:right w:val="single" w:sz="4" w:space="0" w:color="auto"/>
            </w:tcBorders>
            <w:shd w:val="clear" w:color="000000" w:fill="D9D9D9"/>
            <w:noWrap/>
            <w:tcMar>
              <w:left w:w="45" w:type="dxa"/>
              <w:right w:w="45" w:type="dxa"/>
            </w:tcMar>
            <w:hideMark/>
          </w:tcPr>
          <w:p w14:paraId="7B01FEC5"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13.0</w:t>
            </w:r>
          </w:p>
        </w:tc>
      </w:tr>
      <w:tr w:rsidR="000729CF" w:rsidRPr="000729CF" w14:paraId="704C57FD" w14:textId="77777777" w:rsidTr="00BC26AB">
        <w:trPr>
          <w:trHeight w:val="20"/>
        </w:trPr>
        <w:tc>
          <w:tcPr>
            <w:tcW w:w="2684" w:type="pct"/>
            <w:tcBorders>
              <w:top w:val="nil"/>
              <w:left w:val="single" w:sz="4" w:space="0" w:color="auto"/>
              <w:bottom w:val="single" w:sz="4" w:space="0" w:color="auto"/>
              <w:right w:val="single" w:sz="4" w:space="0" w:color="auto"/>
            </w:tcBorders>
            <w:shd w:val="clear" w:color="auto" w:fill="auto"/>
            <w:noWrap/>
            <w:tcMar>
              <w:left w:w="45" w:type="dxa"/>
              <w:right w:w="45" w:type="dxa"/>
            </w:tcMar>
            <w:hideMark/>
          </w:tcPr>
          <w:p w14:paraId="57A21FA0"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Adult Social Care</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01A4134C"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3,794 </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0E84F9BE"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603.2</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1E6DAB2B"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21.8</w:t>
            </w:r>
          </w:p>
        </w:tc>
      </w:tr>
      <w:tr w:rsidR="000729CF" w:rsidRPr="000729CF" w14:paraId="4FB1A7A7" w14:textId="77777777" w:rsidTr="00BC26AB">
        <w:trPr>
          <w:trHeight w:val="20"/>
        </w:trPr>
        <w:tc>
          <w:tcPr>
            <w:tcW w:w="2684" w:type="pct"/>
            <w:tcBorders>
              <w:top w:val="nil"/>
              <w:left w:val="single" w:sz="4" w:space="0" w:color="auto"/>
              <w:bottom w:val="single" w:sz="4" w:space="0" w:color="auto"/>
              <w:right w:val="single" w:sz="4" w:space="0" w:color="auto"/>
            </w:tcBorders>
            <w:shd w:val="clear" w:color="auto" w:fill="auto"/>
            <w:noWrap/>
            <w:tcMar>
              <w:left w:w="45" w:type="dxa"/>
              <w:right w:w="45" w:type="dxa"/>
            </w:tcMar>
            <w:hideMark/>
          </w:tcPr>
          <w:p w14:paraId="3BD8726B"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S75 Sussex Partnership Foundation Trust (SPFT)</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79AA4B82"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488 </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151FB5DC"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60.0</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7C9087AB"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0.0</w:t>
            </w:r>
          </w:p>
        </w:tc>
      </w:tr>
      <w:tr w:rsidR="000729CF" w:rsidRPr="000729CF" w14:paraId="324E38F3" w14:textId="77777777" w:rsidTr="00BC26AB">
        <w:trPr>
          <w:trHeight w:val="20"/>
        </w:trPr>
        <w:tc>
          <w:tcPr>
            <w:tcW w:w="2684" w:type="pct"/>
            <w:tcBorders>
              <w:top w:val="nil"/>
              <w:left w:val="single" w:sz="4" w:space="0" w:color="auto"/>
              <w:bottom w:val="single" w:sz="4" w:space="0" w:color="auto"/>
              <w:right w:val="single" w:sz="4" w:space="0" w:color="auto"/>
            </w:tcBorders>
            <w:shd w:val="clear" w:color="auto" w:fill="auto"/>
            <w:noWrap/>
            <w:tcMar>
              <w:left w:w="45" w:type="dxa"/>
              <w:right w:w="45" w:type="dxa"/>
            </w:tcMar>
            <w:hideMark/>
          </w:tcPr>
          <w:p w14:paraId="6D79874F"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Integrated Commissioning</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6A48D323"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259 </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06D8E638"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51.9</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4A04B986"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0.0</w:t>
            </w:r>
          </w:p>
        </w:tc>
      </w:tr>
      <w:tr w:rsidR="000729CF" w:rsidRPr="000729CF" w14:paraId="0BB3AC45" w14:textId="77777777" w:rsidTr="00BC26AB">
        <w:trPr>
          <w:trHeight w:val="20"/>
        </w:trPr>
        <w:tc>
          <w:tcPr>
            <w:tcW w:w="2684" w:type="pct"/>
            <w:tcBorders>
              <w:top w:val="nil"/>
              <w:left w:val="single" w:sz="4" w:space="0" w:color="auto"/>
              <w:bottom w:val="single" w:sz="4" w:space="0" w:color="auto"/>
              <w:right w:val="single" w:sz="4" w:space="0" w:color="auto"/>
            </w:tcBorders>
            <w:shd w:val="clear" w:color="auto" w:fill="auto"/>
            <w:noWrap/>
            <w:tcMar>
              <w:left w:w="45" w:type="dxa"/>
              <w:right w:w="45" w:type="dxa"/>
            </w:tcMar>
            <w:hideMark/>
          </w:tcPr>
          <w:p w14:paraId="7DEB91FF"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Life Events</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514CEE07"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0 </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0F546F44"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40.7</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353D4CAF"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0.0</w:t>
            </w:r>
          </w:p>
        </w:tc>
      </w:tr>
      <w:tr w:rsidR="000729CF" w:rsidRPr="000729CF" w14:paraId="6ACC3824" w14:textId="77777777" w:rsidTr="00BC26AB">
        <w:trPr>
          <w:trHeight w:val="20"/>
        </w:trPr>
        <w:tc>
          <w:tcPr>
            <w:tcW w:w="2684" w:type="pct"/>
            <w:tcBorders>
              <w:top w:val="nil"/>
              <w:left w:val="single" w:sz="4" w:space="0" w:color="auto"/>
              <w:bottom w:val="single" w:sz="4" w:space="0" w:color="auto"/>
              <w:right w:val="single" w:sz="4" w:space="0" w:color="auto"/>
            </w:tcBorders>
            <w:shd w:val="clear" w:color="auto" w:fill="auto"/>
            <w:noWrap/>
            <w:tcMar>
              <w:left w:w="45" w:type="dxa"/>
              <w:right w:w="45" w:type="dxa"/>
            </w:tcMar>
            <w:hideMark/>
          </w:tcPr>
          <w:p w14:paraId="06E48C9D"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Public Health</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08F329B2"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171 </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73935027"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66.2</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7576D4BC"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0.0</w:t>
            </w:r>
          </w:p>
        </w:tc>
      </w:tr>
      <w:tr w:rsidR="000729CF" w:rsidRPr="000729CF" w14:paraId="09AEAB89" w14:textId="77777777" w:rsidTr="00BC26AB">
        <w:trPr>
          <w:trHeight w:val="20"/>
        </w:trPr>
        <w:tc>
          <w:tcPr>
            <w:tcW w:w="2684" w:type="pct"/>
            <w:tcBorders>
              <w:top w:val="nil"/>
              <w:left w:val="single" w:sz="4" w:space="0" w:color="auto"/>
              <w:bottom w:val="single" w:sz="4" w:space="0" w:color="auto"/>
              <w:right w:val="single" w:sz="4" w:space="0" w:color="auto"/>
            </w:tcBorders>
            <w:shd w:val="clear" w:color="000000" w:fill="D9D9D9"/>
            <w:noWrap/>
            <w:tcMar>
              <w:left w:w="45" w:type="dxa"/>
              <w:right w:w="45" w:type="dxa"/>
            </w:tcMar>
            <w:hideMark/>
          </w:tcPr>
          <w:p w14:paraId="3792A30E"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Health &amp; Adult Social Care Total</w:t>
            </w:r>
          </w:p>
        </w:tc>
        <w:tc>
          <w:tcPr>
            <w:tcW w:w="772" w:type="pct"/>
            <w:tcBorders>
              <w:top w:val="nil"/>
              <w:left w:val="nil"/>
              <w:bottom w:val="single" w:sz="4" w:space="0" w:color="auto"/>
              <w:right w:val="single" w:sz="4" w:space="0" w:color="auto"/>
            </w:tcBorders>
            <w:shd w:val="clear" w:color="000000" w:fill="D9D9D9"/>
            <w:noWrap/>
            <w:tcMar>
              <w:left w:w="45" w:type="dxa"/>
              <w:right w:w="45" w:type="dxa"/>
            </w:tcMar>
            <w:hideMark/>
          </w:tcPr>
          <w:p w14:paraId="0F86322C"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4,712 </w:t>
            </w:r>
          </w:p>
        </w:tc>
        <w:tc>
          <w:tcPr>
            <w:tcW w:w="772" w:type="pct"/>
            <w:tcBorders>
              <w:top w:val="nil"/>
              <w:left w:val="nil"/>
              <w:bottom w:val="single" w:sz="4" w:space="0" w:color="auto"/>
              <w:right w:val="single" w:sz="4" w:space="0" w:color="auto"/>
            </w:tcBorders>
            <w:shd w:val="clear" w:color="000000" w:fill="D9D9D9"/>
            <w:noWrap/>
            <w:tcMar>
              <w:left w:w="45" w:type="dxa"/>
              <w:right w:w="45" w:type="dxa"/>
            </w:tcMar>
            <w:hideMark/>
          </w:tcPr>
          <w:p w14:paraId="2A3F6C8C"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822.0</w:t>
            </w:r>
          </w:p>
        </w:tc>
        <w:tc>
          <w:tcPr>
            <w:tcW w:w="772" w:type="pct"/>
            <w:tcBorders>
              <w:top w:val="nil"/>
              <w:left w:val="nil"/>
              <w:bottom w:val="single" w:sz="4" w:space="0" w:color="auto"/>
              <w:right w:val="single" w:sz="4" w:space="0" w:color="auto"/>
            </w:tcBorders>
            <w:shd w:val="clear" w:color="000000" w:fill="D9D9D9"/>
            <w:noWrap/>
            <w:tcMar>
              <w:left w:w="45" w:type="dxa"/>
              <w:right w:w="45" w:type="dxa"/>
            </w:tcMar>
            <w:hideMark/>
          </w:tcPr>
          <w:p w14:paraId="5E33F0ED"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21.8</w:t>
            </w:r>
          </w:p>
        </w:tc>
      </w:tr>
      <w:tr w:rsidR="000729CF" w:rsidRPr="000729CF" w14:paraId="231AD83D" w14:textId="77777777" w:rsidTr="00BC26AB">
        <w:trPr>
          <w:trHeight w:val="20"/>
        </w:trPr>
        <w:tc>
          <w:tcPr>
            <w:tcW w:w="2684" w:type="pct"/>
            <w:tcBorders>
              <w:top w:val="nil"/>
              <w:left w:val="single" w:sz="4" w:space="0" w:color="auto"/>
              <w:bottom w:val="single" w:sz="4" w:space="0" w:color="auto"/>
              <w:right w:val="single" w:sz="4" w:space="0" w:color="auto"/>
            </w:tcBorders>
            <w:shd w:val="clear" w:color="auto" w:fill="auto"/>
            <w:noWrap/>
            <w:tcMar>
              <w:left w:w="45" w:type="dxa"/>
              <w:right w:w="45" w:type="dxa"/>
            </w:tcMar>
            <w:hideMark/>
          </w:tcPr>
          <w:p w14:paraId="0CF76EC7"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Transport</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0B619120"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978 </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39094162"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268.8</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331E0E64"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20.6</w:t>
            </w:r>
          </w:p>
        </w:tc>
      </w:tr>
      <w:tr w:rsidR="000729CF" w:rsidRPr="000729CF" w14:paraId="58B0A7B3" w14:textId="77777777" w:rsidTr="00BC26AB">
        <w:trPr>
          <w:trHeight w:val="20"/>
        </w:trPr>
        <w:tc>
          <w:tcPr>
            <w:tcW w:w="2684" w:type="pct"/>
            <w:tcBorders>
              <w:top w:val="nil"/>
              <w:left w:val="single" w:sz="4" w:space="0" w:color="auto"/>
              <w:bottom w:val="single" w:sz="4" w:space="0" w:color="auto"/>
              <w:right w:val="single" w:sz="4" w:space="0" w:color="auto"/>
            </w:tcBorders>
            <w:shd w:val="clear" w:color="auto" w:fill="auto"/>
            <w:noWrap/>
            <w:tcMar>
              <w:left w:w="45" w:type="dxa"/>
              <w:right w:w="45" w:type="dxa"/>
            </w:tcMar>
            <w:hideMark/>
          </w:tcPr>
          <w:p w14:paraId="57E661B1"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City Environmental Management</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3C3EB2B8"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2,301 </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4C5B1A81"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553.7</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5E14A2A6"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11.6</w:t>
            </w:r>
          </w:p>
        </w:tc>
      </w:tr>
      <w:tr w:rsidR="000729CF" w:rsidRPr="000729CF" w14:paraId="0C087DD8" w14:textId="77777777" w:rsidTr="00BC26AB">
        <w:trPr>
          <w:trHeight w:val="20"/>
        </w:trPr>
        <w:tc>
          <w:tcPr>
            <w:tcW w:w="2684" w:type="pct"/>
            <w:tcBorders>
              <w:top w:val="nil"/>
              <w:left w:val="single" w:sz="4" w:space="0" w:color="auto"/>
              <w:bottom w:val="single" w:sz="4" w:space="0" w:color="auto"/>
              <w:right w:val="single" w:sz="4" w:space="0" w:color="auto"/>
            </w:tcBorders>
            <w:shd w:val="clear" w:color="auto" w:fill="auto"/>
            <w:noWrap/>
            <w:tcMar>
              <w:left w:w="45" w:type="dxa"/>
              <w:right w:w="45" w:type="dxa"/>
            </w:tcMar>
            <w:hideMark/>
          </w:tcPr>
          <w:p w14:paraId="0C1E5F5D"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City Development &amp; Regeneration</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043D2464"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950 </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38A9CD3F"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99.2</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6533B736"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14.9</w:t>
            </w:r>
          </w:p>
        </w:tc>
      </w:tr>
      <w:tr w:rsidR="000729CF" w:rsidRPr="000729CF" w14:paraId="3A00EB9E" w14:textId="77777777" w:rsidTr="00BC26AB">
        <w:trPr>
          <w:trHeight w:val="20"/>
        </w:trPr>
        <w:tc>
          <w:tcPr>
            <w:tcW w:w="2684" w:type="pct"/>
            <w:tcBorders>
              <w:top w:val="nil"/>
              <w:left w:val="single" w:sz="4" w:space="0" w:color="auto"/>
              <w:bottom w:val="single" w:sz="4" w:space="0" w:color="auto"/>
              <w:right w:val="single" w:sz="4" w:space="0" w:color="auto"/>
            </w:tcBorders>
            <w:shd w:val="clear" w:color="auto" w:fill="auto"/>
            <w:noWrap/>
            <w:tcMar>
              <w:left w:w="45" w:type="dxa"/>
              <w:right w:w="45" w:type="dxa"/>
            </w:tcMar>
            <w:hideMark/>
          </w:tcPr>
          <w:p w14:paraId="3CD0782C"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Culture, Tourism &amp; Sport</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249F0C5F"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653 </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04AA70EE"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86.3</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19BB1AD4"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0.0</w:t>
            </w:r>
          </w:p>
        </w:tc>
      </w:tr>
      <w:tr w:rsidR="000729CF" w:rsidRPr="000729CF" w14:paraId="5A0E5F1E" w14:textId="77777777" w:rsidTr="00BC26AB">
        <w:trPr>
          <w:trHeight w:val="20"/>
        </w:trPr>
        <w:tc>
          <w:tcPr>
            <w:tcW w:w="2684" w:type="pct"/>
            <w:tcBorders>
              <w:top w:val="nil"/>
              <w:left w:val="single" w:sz="4" w:space="0" w:color="auto"/>
              <w:bottom w:val="single" w:sz="4" w:space="0" w:color="auto"/>
              <w:right w:val="single" w:sz="4" w:space="0" w:color="auto"/>
            </w:tcBorders>
            <w:shd w:val="clear" w:color="auto" w:fill="auto"/>
            <w:noWrap/>
            <w:tcMar>
              <w:left w:w="45" w:type="dxa"/>
              <w:right w:w="45" w:type="dxa"/>
            </w:tcMar>
            <w:hideMark/>
          </w:tcPr>
          <w:p w14:paraId="505BD381"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Property</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6DCDE429"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1,919 </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0EB6F31B"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94.5</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1B99102D"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9.7</w:t>
            </w:r>
          </w:p>
        </w:tc>
      </w:tr>
      <w:tr w:rsidR="000729CF" w:rsidRPr="000729CF" w14:paraId="198009C4" w14:textId="77777777" w:rsidTr="00BC26AB">
        <w:trPr>
          <w:trHeight w:val="20"/>
        </w:trPr>
        <w:tc>
          <w:tcPr>
            <w:tcW w:w="2684" w:type="pct"/>
            <w:tcBorders>
              <w:top w:val="nil"/>
              <w:left w:val="single" w:sz="4" w:space="0" w:color="auto"/>
              <w:bottom w:val="single" w:sz="4" w:space="0" w:color="auto"/>
              <w:right w:val="single" w:sz="4" w:space="0" w:color="auto"/>
            </w:tcBorders>
            <w:shd w:val="clear" w:color="000000" w:fill="D9D9D9"/>
            <w:noWrap/>
            <w:tcMar>
              <w:left w:w="45" w:type="dxa"/>
              <w:right w:w="45" w:type="dxa"/>
            </w:tcMar>
            <w:hideMark/>
          </w:tcPr>
          <w:p w14:paraId="7463FAC1"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Economy, Environment &amp; Culture Total</w:t>
            </w:r>
          </w:p>
        </w:tc>
        <w:tc>
          <w:tcPr>
            <w:tcW w:w="772" w:type="pct"/>
            <w:tcBorders>
              <w:top w:val="nil"/>
              <w:left w:val="nil"/>
              <w:bottom w:val="single" w:sz="4" w:space="0" w:color="auto"/>
              <w:right w:val="single" w:sz="4" w:space="0" w:color="auto"/>
            </w:tcBorders>
            <w:shd w:val="clear" w:color="000000" w:fill="D9D9D9"/>
            <w:noWrap/>
            <w:tcMar>
              <w:left w:w="45" w:type="dxa"/>
              <w:right w:w="45" w:type="dxa"/>
            </w:tcMar>
            <w:hideMark/>
          </w:tcPr>
          <w:p w14:paraId="3A97BDCB"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6,801 </w:t>
            </w:r>
          </w:p>
        </w:tc>
        <w:tc>
          <w:tcPr>
            <w:tcW w:w="772" w:type="pct"/>
            <w:tcBorders>
              <w:top w:val="nil"/>
              <w:left w:val="nil"/>
              <w:bottom w:val="single" w:sz="4" w:space="0" w:color="auto"/>
              <w:right w:val="single" w:sz="4" w:space="0" w:color="auto"/>
            </w:tcBorders>
            <w:shd w:val="clear" w:color="000000" w:fill="D9D9D9"/>
            <w:noWrap/>
            <w:tcMar>
              <w:left w:w="45" w:type="dxa"/>
              <w:right w:w="45" w:type="dxa"/>
            </w:tcMar>
            <w:hideMark/>
          </w:tcPr>
          <w:p w14:paraId="6A58DC00"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1,102.4</w:t>
            </w:r>
          </w:p>
        </w:tc>
        <w:tc>
          <w:tcPr>
            <w:tcW w:w="772" w:type="pct"/>
            <w:tcBorders>
              <w:top w:val="nil"/>
              <w:left w:val="nil"/>
              <w:bottom w:val="single" w:sz="4" w:space="0" w:color="auto"/>
              <w:right w:val="single" w:sz="4" w:space="0" w:color="auto"/>
            </w:tcBorders>
            <w:shd w:val="clear" w:color="000000" w:fill="D9D9D9"/>
            <w:noWrap/>
            <w:tcMar>
              <w:left w:w="45" w:type="dxa"/>
              <w:right w:w="45" w:type="dxa"/>
            </w:tcMar>
            <w:hideMark/>
          </w:tcPr>
          <w:p w14:paraId="6DFCE23C"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56.8</w:t>
            </w:r>
          </w:p>
        </w:tc>
      </w:tr>
      <w:tr w:rsidR="000729CF" w:rsidRPr="000729CF" w14:paraId="25503C06" w14:textId="77777777" w:rsidTr="00BC26AB">
        <w:trPr>
          <w:trHeight w:val="20"/>
        </w:trPr>
        <w:tc>
          <w:tcPr>
            <w:tcW w:w="2684" w:type="pct"/>
            <w:tcBorders>
              <w:top w:val="nil"/>
              <w:left w:val="single" w:sz="4" w:space="0" w:color="auto"/>
              <w:bottom w:val="single" w:sz="4" w:space="0" w:color="auto"/>
              <w:right w:val="single" w:sz="4" w:space="0" w:color="auto"/>
            </w:tcBorders>
            <w:shd w:val="clear" w:color="auto" w:fill="auto"/>
            <w:noWrap/>
            <w:tcMar>
              <w:left w:w="45" w:type="dxa"/>
              <w:right w:w="45" w:type="dxa"/>
            </w:tcMar>
            <w:hideMark/>
          </w:tcPr>
          <w:p w14:paraId="60036251"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Housing General Fund</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7CDFAD84"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2,042 </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2C1096F7"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152.0</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137C5EDF"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18.0</w:t>
            </w:r>
          </w:p>
        </w:tc>
      </w:tr>
      <w:tr w:rsidR="000729CF" w:rsidRPr="000729CF" w14:paraId="2FC9A04D" w14:textId="77777777" w:rsidTr="00BC26AB">
        <w:trPr>
          <w:trHeight w:val="20"/>
        </w:trPr>
        <w:tc>
          <w:tcPr>
            <w:tcW w:w="2684" w:type="pct"/>
            <w:tcBorders>
              <w:top w:val="nil"/>
              <w:left w:val="single" w:sz="4" w:space="0" w:color="auto"/>
              <w:bottom w:val="single" w:sz="4" w:space="0" w:color="auto"/>
              <w:right w:val="single" w:sz="4" w:space="0" w:color="auto"/>
            </w:tcBorders>
            <w:shd w:val="clear" w:color="auto" w:fill="auto"/>
            <w:noWrap/>
            <w:tcMar>
              <w:left w:w="45" w:type="dxa"/>
              <w:right w:w="45" w:type="dxa"/>
            </w:tcMar>
            <w:hideMark/>
          </w:tcPr>
          <w:p w14:paraId="121B6FB3"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Libraries</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4198DE60"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132 </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2097D322"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59.2</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7B8B730C"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3.4</w:t>
            </w:r>
          </w:p>
        </w:tc>
      </w:tr>
      <w:tr w:rsidR="000729CF" w:rsidRPr="000729CF" w14:paraId="19C096C9" w14:textId="77777777" w:rsidTr="00BC26AB">
        <w:trPr>
          <w:trHeight w:val="20"/>
        </w:trPr>
        <w:tc>
          <w:tcPr>
            <w:tcW w:w="2684" w:type="pct"/>
            <w:tcBorders>
              <w:top w:val="nil"/>
              <w:left w:val="single" w:sz="4" w:space="0" w:color="auto"/>
              <w:bottom w:val="single" w:sz="4" w:space="0" w:color="auto"/>
              <w:right w:val="single" w:sz="4" w:space="0" w:color="auto"/>
            </w:tcBorders>
            <w:shd w:val="clear" w:color="auto" w:fill="auto"/>
            <w:noWrap/>
            <w:tcMar>
              <w:left w:w="45" w:type="dxa"/>
              <w:right w:w="45" w:type="dxa"/>
            </w:tcMar>
            <w:hideMark/>
          </w:tcPr>
          <w:p w14:paraId="65177712"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Communities, Equalities &amp; Third Sector</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503FEA38"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581 </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3F0949C6"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13.2</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62600C31"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0.6</w:t>
            </w:r>
          </w:p>
        </w:tc>
      </w:tr>
      <w:tr w:rsidR="000729CF" w:rsidRPr="000729CF" w14:paraId="06D7686C" w14:textId="77777777" w:rsidTr="00BC26AB">
        <w:trPr>
          <w:trHeight w:val="20"/>
        </w:trPr>
        <w:tc>
          <w:tcPr>
            <w:tcW w:w="2684" w:type="pct"/>
            <w:tcBorders>
              <w:top w:val="nil"/>
              <w:left w:val="single" w:sz="4" w:space="0" w:color="auto"/>
              <w:bottom w:val="single" w:sz="4" w:space="0" w:color="auto"/>
              <w:right w:val="single" w:sz="4" w:space="0" w:color="auto"/>
            </w:tcBorders>
            <w:shd w:val="clear" w:color="auto" w:fill="auto"/>
            <w:noWrap/>
            <w:tcMar>
              <w:left w:w="45" w:type="dxa"/>
              <w:right w:w="45" w:type="dxa"/>
            </w:tcMar>
            <w:hideMark/>
          </w:tcPr>
          <w:p w14:paraId="0C654E7A"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Safer Communities</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25804D4D"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238 </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4622588A"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68.8</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2EAB909B"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3.0</w:t>
            </w:r>
          </w:p>
        </w:tc>
      </w:tr>
      <w:tr w:rsidR="000729CF" w:rsidRPr="000729CF" w14:paraId="36E879DA" w14:textId="77777777" w:rsidTr="00BC26AB">
        <w:trPr>
          <w:trHeight w:val="20"/>
        </w:trPr>
        <w:tc>
          <w:tcPr>
            <w:tcW w:w="2684" w:type="pct"/>
            <w:tcBorders>
              <w:top w:val="nil"/>
              <w:left w:val="single" w:sz="4" w:space="0" w:color="auto"/>
              <w:bottom w:val="single" w:sz="4" w:space="0" w:color="auto"/>
              <w:right w:val="single" w:sz="4" w:space="0" w:color="auto"/>
            </w:tcBorders>
            <w:shd w:val="clear" w:color="000000" w:fill="D9D9D9"/>
            <w:noWrap/>
            <w:tcMar>
              <w:left w:w="45" w:type="dxa"/>
              <w:right w:w="45" w:type="dxa"/>
            </w:tcMar>
            <w:hideMark/>
          </w:tcPr>
          <w:p w14:paraId="10CDB01C"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Housing, Neighbourhoods &amp; Communities Total</w:t>
            </w:r>
          </w:p>
        </w:tc>
        <w:tc>
          <w:tcPr>
            <w:tcW w:w="772" w:type="pct"/>
            <w:tcBorders>
              <w:top w:val="nil"/>
              <w:left w:val="nil"/>
              <w:bottom w:val="single" w:sz="4" w:space="0" w:color="auto"/>
              <w:right w:val="single" w:sz="4" w:space="0" w:color="auto"/>
            </w:tcBorders>
            <w:shd w:val="clear" w:color="000000" w:fill="D9D9D9"/>
            <w:noWrap/>
            <w:tcMar>
              <w:left w:w="45" w:type="dxa"/>
              <w:right w:w="45" w:type="dxa"/>
            </w:tcMar>
            <w:hideMark/>
          </w:tcPr>
          <w:p w14:paraId="3DE9D07A"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2,993 </w:t>
            </w:r>
          </w:p>
        </w:tc>
        <w:tc>
          <w:tcPr>
            <w:tcW w:w="772" w:type="pct"/>
            <w:tcBorders>
              <w:top w:val="nil"/>
              <w:left w:val="nil"/>
              <w:bottom w:val="single" w:sz="4" w:space="0" w:color="auto"/>
              <w:right w:val="single" w:sz="4" w:space="0" w:color="auto"/>
            </w:tcBorders>
            <w:shd w:val="clear" w:color="000000" w:fill="D9D9D9"/>
            <w:noWrap/>
            <w:tcMar>
              <w:left w:w="45" w:type="dxa"/>
              <w:right w:w="45" w:type="dxa"/>
            </w:tcMar>
            <w:hideMark/>
          </w:tcPr>
          <w:p w14:paraId="4DEFBBE6"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293.2</w:t>
            </w:r>
          </w:p>
        </w:tc>
        <w:tc>
          <w:tcPr>
            <w:tcW w:w="772" w:type="pct"/>
            <w:tcBorders>
              <w:top w:val="nil"/>
              <w:left w:val="nil"/>
              <w:bottom w:val="single" w:sz="4" w:space="0" w:color="auto"/>
              <w:right w:val="single" w:sz="4" w:space="0" w:color="auto"/>
            </w:tcBorders>
            <w:shd w:val="clear" w:color="000000" w:fill="D9D9D9"/>
            <w:noWrap/>
            <w:tcMar>
              <w:left w:w="45" w:type="dxa"/>
              <w:right w:w="45" w:type="dxa"/>
            </w:tcMar>
            <w:hideMark/>
          </w:tcPr>
          <w:p w14:paraId="01084FC2"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25.0</w:t>
            </w:r>
          </w:p>
        </w:tc>
      </w:tr>
      <w:tr w:rsidR="000729CF" w:rsidRPr="000729CF" w14:paraId="72A630CB" w14:textId="77777777" w:rsidTr="00BC26AB">
        <w:trPr>
          <w:trHeight w:val="20"/>
        </w:trPr>
        <w:tc>
          <w:tcPr>
            <w:tcW w:w="2684" w:type="pct"/>
            <w:tcBorders>
              <w:top w:val="nil"/>
              <w:left w:val="single" w:sz="4" w:space="0" w:color="auto"/>
              <w:bottom w:val="single" w:sz="4" w:space="0" w:color="auto"/>
              <w:right w:val="single" w:sz="4" w:space="0" w:color="auto"/>
            </w:tcBorders>
            <w:shd w:val="clear" w:color="auto" w:fill="auto"/>
            <w:noWrap/>
            <w:tcMar>
              <w:left w:w="45" w:type="dxa"/>
              <w:right w:w="45" w:type="dxa"/>
            </w:tcMar>
            <w:hideMark/>
          </w:tcPr>
          <w:p w14:paraId="0F9778C4"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Chief Executive Monitoring Office</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4100AA9B"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0 </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519DC703"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4.0</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2CE89B9A"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0.0</w:t>
            </w:r>
          </w:p>
        </w:tc>
      </w:tr>
      <w:tr w:rsidR="000729CF" w:rsidRPr="000729CF" w14:paraId="247BF03A" w14:textId="77777777" w:rsidTr="00BC26AB">
        <w:trPr>
          <w:trHeight w:val="20"/>
        </w:trPr>
        <w:tc>
          <w:tcPr>
            <w:tcW w:w="2684" w:type="pct"/>
            <w:tcBorders>
              <w:top w:val="nil"/>
              <w:left w:val="single" w:sz="4" w:space="0" w:color="auto"/>
              <w:bottom w:val="single" w:sz="4" w:space="0" w:color="auto"/>
              <w:right w:val="single" w:sz="4" w:space="0" w:color="auto"/>
            </w:tcBorders>
            <w:shd w:val="clear" w:color="auto" w:fill="auto"/>
            <w:noWrap/>
            <w:tcMar>
              <w:left w:w="45" w:type="dxa"/>
              <w:right w:w="45" w:type="dxa"/>
            </w:tcMar>
            <w:hideMark/>
          </w:tcPr>
          <w:p w14:paraId="6CAAD162"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Policy &amp; Communications</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702F7D55"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24 </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68E812E6"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21.5</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2A29E67C"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0.4</w:t>
            </w:r>
          </w:p>
        </w:tc>
      </w:tr>
      <w:tr w:rsidR="000729CF" w:rsidRPr="000729CF" w14:paraId="6BA39BF7" w14:textId="77777777" w:rsidTr="00BC26AB">
        <w:trPr>
          <w:trHeight w:val="20"/>
        </w:trPr>
        <w:tc>
          <w:tcPr>
            <w:tcW w:w="2684" w:type="pct"/>
            <w:tcBorders>
              <w:top w:val="nil"/>
              <w:left w:val="single" w:sz="4" w:space="0" w:color="auto"/>
              <w:bottom w:val="single" w:sz="4" w:space="0" w:color="auto"/>
              <w:right w:val="single" w:sz="4" w:space="0" w:color="auto"/>
            </w:tcBorders>
            <w:shd w:val="clear" w:color="auto" w:fill="auto"/>
            <w:noWrap/>
            <w:tcMar>
              <w:left w:w="45" w:type="dxa"/>
              <w:right w:w="45" w:type="dxa"/>
            </w:tcMar>
            <w:hideMark/>
          </w:tcPr>
          <w:p w14:paraId="41BB97FE"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Legal &amp; Democratic Services</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54C2CA95"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335 </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4FE291C4"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64.5</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41FEEBA9"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5.0</w:t>
            </w:r>
          </w:p>
        </w:tc>
      </w:tr>
      <w:tr w:rsidR="000729CF" w:rsidRPr="000729CF" w14:paraId="7DB224CB" w14:textId="77777777" w:rsidTr="00BC26AB">
        <w:trPr>
          <w:trHeight w:val="20"/>
        </w:trPr>
        <w:tc>
          <w:tcPr>
            <w:tcW w:w="2684" w:type="pct"/>
            <w:tcBorders>
              <w:top w:val="nil"/>
              <w:left w:val="single" w:sz="4" w:space="0" w:color="auto"/>
              <w:bottom w:val="single" w:sz="4" w:space="0" w:color="auto"/>
              <w:right w:val="single" w:sz="4" w:space="0" w:color="auto"/>
            </w:tcBorders>
            <w:shd w:val="clear" w:color="auto" w:fill="auto"/>
            <w:noWrap/>
            <w:tcMar>
              <w:left w:w="45" w:type="dxa"/>
              <w:right w:w="45" w:type="dxa"/>
            </w:tcMar>
            <w:hideMark/>
          </w:tcPr>
          <w:p w14:paraId="7EA3504F"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Elections &amp; Land Charges</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5A4CD105"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20 </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4FFBA36D"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5.0</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03B97B0C"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0.0</w:t>
            </w:r>
          </w:p>
        </w:tc>
      </w:tr>
      <w:tr w:rsidR="000729CF" w:rsidRPr="000729CF" w14:paraId="5BA93366" w14:textId="77777777" w:rsidTr="00BC26AB">
        <w:trPr>
          <w:trHeight w:val="20"/>
        </w:trPr>
        <w:tc>
          <w:tcPr>
            <w:tcW w:w="2684" w:type="pct"/>
            <w:tcBorders>
              <w:top w:val="nil"/>
              <w:left w:val="single" w:sz="4" w:space="0" w:color="auto"/>
              <w:bottom w:val="single" w:sz="4" w:space="0" w:color="auto"/>
              <w:right w:val="single" w:sz="4" w:space="0" w:color="auto"/>
            </w:tcBorders>
            <w:shd w:val="clear" w:color="auto" w:fill="auto"/>
            <w:noWrap/>
            <w:tcMar>
              <w:left w:w="45" w:type="dxa"/>
              <w:right w:w="45" w:type="dxa"/>
            </w:tcMar>
            <w:hideMark/>
          </w:tcPr>
          <w:p w14:paraId="363A6ABF"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Customer Modernisation &amp; Performance insight</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7A1DE38C"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35 </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67AF5A9B"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32.4</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4D33EA1D"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1.0</w:t>
            </w:r>
          </w:p>
        </w:tc>
      </w:tr>
      <w:tr w:rsidR="000729CF" w:rsidRPr="000729CF" w14:paraId="47868C19" w14:textId="77777777" w:rsidTr="00BC26AB">
        <w:trPr>
          <w:trHeight w:val="20"/>
        </w:trPr>
        <w:tc>
          <w:tcPr>
            <w:tcW w:w="2684" w:type="pct"/>
            <w:tcBorders>
              <w:top w:val="nil"/>
              <w:left w:val="single" w:sz="4" w:space="0" w:color="auto"/>
              <w:bottom w:val="single" w:sz="4" w:space="0" w:color="auto"/>
              <w:right w:val="single" w:sz="4" w:space="0" w:color="auto"/>
            </w:tcBorders>
            <w:shd w:val="clear" w:color="auto" w:fill="auto"/>
            <w:noWrap/>
            <w:tcMar>
              <w:left w:w="45" w:type="dxa"/>
              <w:right w:w="45" w:type="dxa"/>
            </w:tcMar>
            <w:hideMark/>
          </w:tcPr>
          <w:p w14:paraId="0525BA3B"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Finance</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13662BAC"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144 </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51A62ED7"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42.3</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6F5FC146"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0.6</w:t>
            </w:r>
          </w:p>
        </w:tc>
      </w:tr>
      <w:tr w:rsidR="000729CF" w:rsidRPr="000729CF" w14:paraId="53C63880" w14:textId="77777777" w:rsidTr="00BC26AB">
        <w:trPr>
          <w:trHeight w:val="20"/>
        </w:trPr>
        <w:tc>
          <w:tcPr>
            <w:tcW w:w="2684" w:type="pct"/>
            <w:tcBorders>
              <w:top w:val="nil"/>
              <w:left w:val="single" w:sz="4" w:space="0" w:color="auto"/>
              <w:bottom w:val="single" w:sz="4" w:space="0" w:color="auto"/>
              <w:right w:val="single" w:sz="4" w:space="0" w:color="auto"/>
            </w:tcBorders>
            <w:shd w:val="clear" w:color="auto" w:fill="auto"/>
            <w:noWrap/>
            <w:tcMar>
              <w:left w:w="45" w:type="dxa"/>
              <w:right w:w="45" w:type="dxa"/>
            </w:tcMar>
            <w:hideMark/>
          </w:tcPr>
          <w:p w14:paraId="0FB963B1"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Procurement (Mobo)</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56323126"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2 </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5E947351"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0.0</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0018D594"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0.0</w:t>
            </w:r>
          </w:p>
        </w:tc>
      </w:tr>
      <w:tr w:rsidR="000729CF" w:rsidRPr="000729CF" w14:paraId="4B4A455C" w14:textId="77777777" w:rsidTr="00BC26AB">
        <w:trPr>
          <w:trHeight w:val="20"/>
        </w:trPr>
        <w:tc>
          <w:tcPr>
            <w:tcW w:w="2684" w:type="pct"/>
            <w:tcBorders>
              <w:top w:val="nil"/>
              <w:left w:val="single" w:sz="4" w:space="0" w:color="auto"/>
              <w:bottom w:val="single" w:sz="4" w:space="0" w:color="auto"/>
              <w:right w:val="single" w:sz="4" w:space="0" w:color="auto"/>
            </w:tcBorders>
            <w:shd w:val="clear" w:color="auto" w:fill="auto"/>
            <w:noWrap/>
            <w:tcMar>
              <w:left w:w="45" w:type="dxa"/>
              <w:right w:w="45" w:type="dxa"/>
            </w:tcMar>
            <w:hideMark/>
          </w:tcPr>
          <w:p w14:paraId="76726702"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HR &amp; Organisational Development</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1DE69D68"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222 </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333164FD"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58.1</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08FC1F52"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3.2</w:t>
            </w:r>
          </w:p>
        </w:tc>
      </w:tr>
      <w:tr w:rsidR="000729CF" w:rsidRPr="000729CF" w14:paraId="33F3937D" w14:textId="77777777" w:rsidTr="00BC26AB">
        <w:trPr>
          <w:trHeight w:val="20"/>
        </w:trPr>
        <w:tc>
          <w:tcPr>
            <w:tcW w:w="2684" w:type="pct"/>
            <w:tcBorders>
              <w:top w:val="nil"/>
              <w:left w:val="single" w:sz="4" w:space="0" w:color="auto"/>
              <w:bottom w:val="single" w:sz="4" w:space="0" w:color="auto"/>
              <w:right w:val="single" w:sz="4" w:space="0" w:color="auto"/>
            </w:tcBorders>
            <w:shd w:val="clear" w:color="auto" w:fill="auto"/>
            <w:noWrap/>
            <w:tcMar>
              <w:left w:w="45" w:type="dxa"/>
              <w:right w:w="45" w:type="dxa"/>
            </w:tcMar>
            <w:hideMark/>
          </w:tcPr>
          <w:p w14:paraId="7B53B994"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IT&amp;D (Mobo)</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560356D4"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649 </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5926EACA"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85.8</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450A372D"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11.0</w:t>
            </w:r>
          </w:p>
        </w:tc>
      </w:tr>
      <w:tr w:rsidR="000729CF" w:rsidRPr="000729CF" w14:paraId="322B8412" w14:textId="77777777" w:rsidTr="00BC26AB">
        <w:trPr>
          <w:trHeight w:val="20"/>
        </w:trPr>
        <w:tc>
          <w:tcPr>
            <w:tcW w:w="2684" w:type="pct"/>
            <w:tcBorders>
              <w:top w:val="nil"/>
              <w:left w:val="single" w:sz="4" w:space="0" w:color="auto"/>
              <w:bottom w:val="single" w:sz="4" w:space="0" w:color="auto"/>
              <w:right w:val="single" w:sz="4" w:space="0" w:color="auto"/>
            </w:tcBorders>
            <w:shd w:val="clear" w:color="auto" w:fill="auto"/>
            <w:noWrap/>
            <w:tcMar>
              <w:left w:w="45" w:type="dxa"/>
              <w:right w:w="45" w:type="dxa"/>
            </w:tcMar>
            <w:hideMark/>
          </w:tcPr>
          <w:p w14:paraId="226DE998"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Welfare Revenue &amp; Business Support</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6DA7351F"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327 </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42ADDC59"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229.4</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22EB265D"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7.5</w:t>
            </w:r>
          </w:p>
        </w:tc>
      </w:tr>
      <w:tr w:rsidR="000729CF" w:rsidRPr="000729CF" w14:paraId="318E9DB3" w14:textId="77777777" w:rsidTr="00BC26AB">
        <w:trPr>
          <w:trHeight w:val="20"/>
        </w:trPr>
        <w:tc>
          <w:tcPr>
            <w:tcW w:w="2684" w:type="pct"/>
            <w:tcBorders>
              <w:top w:val="nil"/>
              <w:left w:val="single" w:sz="4" w:space="0" w:color="auto"/>
              <w:bottom w:val="single" w:sz="4" w:space="0" w:color="auto"/>
              <w:right w:val="single" w:sz="4" w:space="0" w:color="auto"/>
            </w:tcBorders>
            <w:shd w:val="clear" w:color="auto" w:fill="auto"/>
            <w:noWrap/>
            <w:tcMar>
              <w:left w:w="45" w:type="dxa"/>
              <w:right w:w="45" w:type="dxa"/>
            </w:tcMar>
            <w:hideMark/>
          </w:tcPr>
          <w:p w14:paraId="4A76688D"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Contribution to Orbis</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3B95C409"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0 </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7B8E6CCD"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47.2</w:t>
            </w:r>
          </w:p>
        </w:tc>
        <w:tc>
          <w:tcPr>
            <w:tcW w:w="772" w:type="pct"/>
            <w:tcBorders>
              <w:top w:val="nil"/>
              <w:left w:val="nil"/>
              <w:bottom w:val="single" w:sz="4" w:space="0" w:color="auto"/>
              <w:right w:val="single" w:sz="4" w:space="0" w:color="auto"/>
            </w:tcBorders>
            <w:shd w:val="clear" w:color="auto" w:fill="auto"/>
            <w:noWrap/>
            <w:tcMar>
              <w:left w:w="45" w:type="dxa"/>
              <w:right w:w="45" w:type="dxa"/>
            </w:tcMar>
            <w:hideMark/>
          </w:tcPr>
          <w:p w14:paraId="21F0E504"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0.0</w:t>
            </w:r>
          </w:p>
        </w:tc>
      </w:tr>
      <w:tr w:rsidR="000729CF" w:rsidRPr="000729CF" w14:paraId="51E422AC" w14:textId="77777777" w:rsidTr="00BC26AB">
        <w:trPr>
          <w:trHeight w:val="20"/>
        </w:trPr>
        <w:tc>
          <w:tcPr>
            <w:tcW w:w="2684" w:type="pct"/>
            <w:tcBorders>
              <w:top w:val="nil"/>
              <w:left w:val="single" w:sz="4" w:space="0" w:color="auto"/>
              <w:bottom w:val="single" w:sz="4" w:space="0" w:color="auto"/>
              <w:right w:val="single" w:sz="4" w:space="0" w:color="auto"/>
            </w:tcBorders>
            <w:shd w:val="clear" w:color="000000" w:fill="D9D9D9"/>
            <w:noWrap/>
            <w:tcMar>
              <w:left w:w="45" w:type="dxa"/>
              <w:right w:w="45" w:type="dxa"/>
            </w:tcMar>
            <w:hideMark/>
          </w:tcPr>
          <w:p w14:paraId="4744AE4C"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Governance, People &amp; Resources Total</w:t>
            </w:r>
          </w:p>
        </w:tc>
        <w:tc>
          <w:tcPr>
            <w:tcW w:w="772" w:type="pct"/>
            <w:tcBorders>
              <w:top w:val="nil"/>
              <w:left w:val="nil"/>
              <w:bottom w:val="single" w:sz="4" w:space="0" w:color="auto"/>
              <w:right w:val="single" w:sz="4" w:space="0" w:color="auto"/>
            </w:tcBorders>
            <w:shd w:val="clear" w:color="000000" w:fill="D9D9D9"/>
            <w:noWrap/>
            <w:tcMar>
              <w:left w:w="45" w:type="dxa"/>
              <w:right w:w="45" w:type="dxa"/>
            </w:tcMar>
            <w:hideMark/>
          </w:tcPr>
          <w:p w14:paraId="30DF8462"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1,758 </w:t>
            </w:r>
          </w:p>
        </w:tc>
        <w:tc>
          <w:tcPr>
            <w:tcW w:w="772" w:type="pct"/>
            <w:tcBorders>
              <w:top w:val="nil"/>
              <w:left w:val="nil"/>
              <w:bottom w:val="single" w:sz="4" w:space="0" w:color="auto"/>
              <w:right w:val="single" w:sz="4" w:space="0" w:color="auto"/>
            </w:tcBorders>
            <w:shd w:val="clear" w:color="000000" w:fill="D9D9D9"/>
            <w:noWrap/>
            <w:tcMar>
              <w:left w:w="45" w:type="dxa"/>
              <w:right w:w="45" w:type="dxa"/>
            </w:tcMar>
            <w:hideMark/>
          </w:tcPr>
          <w:p w14:paraId="09E6773A"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590.2</w:t>
            </w:r>
          </w:p>
        </w:tc>
        <w:tc>
          <w:tcPr>
            <w:tcW w:w="772" w:type="pct"/>
            <w:tcBorders>
              <w:top w:val="nil"/>
              <w:left w:val="nil"/>
              <w:bottom w:val="single" w:sz="4" w:space="0" w:color="auto"/>
              <w:right w:val="single" w:sz="4" w:space="0" w:color="auto"/>
            </w:tcBorders>
            <w:shd w:val="clear" w:color="000000" w:fill="D9D9D9"/>
            <w:noWrap/>
            <w:tcMar>
              <w:left w:w="45" w:type="dxa"/>
              <w:right w:w="45" w:type="dxa"/>
            </w:tcMar>
            <w:hideMark/>
          </w:tcPr>
          <w:p w14:paraId="69789474"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28.7</w:t>
            </w:r>
          </w:p>
        </w:tc>
      </w:tr>
      <w:tr w:rsidR="000729CF" w:rsidRPr="000729CF" w14:paraId="45F9460F" w14:textId="77777777" w:rsidTr="00BC26AB">
        <w:trPr>
          <w:trHeight w:val="20"/>
        </w:trPr>
        <w:tc>
          <w:tcPr>
            <w:tcW w:w="2684" w:type="pct"/>
            <w:tcBorders>
              <w:top w:val="nil"/>
              <w:left w:val="single" w:sz="4" w:space="0" w:color="auto"/>
              <w:bottom w:val="single" w:sz="4" w:space="0" w:color="auto"/>
              <w:right w:val="single" w:sz="4" w:space="0" w:color="auto"/>
            </w:tcBorders>
            <w:shd w:val="clear" w:color="000000" w:fill="D9D9D9"/>
            <w:noWrap/>
            <w:tcMar>
              <w:left w:w="45" w:type="dxa"/>
              <w:right w:w="45" w:type="dxa"/>
            </w:tcMar>
            <w:hideMark/>
          </w:tcPr>
          <w:p w14:paraId="3812F5FA"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Corporately-held Budgets Total</w:t>
            </w:r>
          </w:p>
        </w:tc>
        <w:tc>
          <w:tcPr>
            <w:tcW w:w="772" w:type="pct"/>
            <w:tcBorders>
              <w:top w:val="nil"/>
              <w:left w:val="nil"/>
              <w:bottom w:val="single" w:sz="4" w:space="0" w:color="auto"/>
              <w:right w:val="single" w:sz="4" w:space="0" w:color="auto"/>
            </w:tcBorders>
            <w:shd w:val="clear" w:color="000000" w:fill="D9D9D9"/>
            <w:noWrap/>
            <w:tcMar>
              <w:left w:w="45" w:type="dxa"/>
              <w:right w:w="45" w:type="dxa"/>
            </w:tcMar>
            <w:hideMark/>
          </w:tcPr>
          <w:p w14:paraId="4A735B53"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2,475 </w:t>
            </w:r>
          </w:p>
        </w:tc>
        <w:tc>
          <w:tcPr>
            <w:tcW w:w="772" w:type="pct"/>
            <w:tcBorders>
              <w:top w:val="nil"/>
              <w:left w:val="nil"/>
              <w:bottom w:val="single" w:sz="4" w:space="0" w:color="auto"/>
              <w:right w:val="single" w:sz="4" w:space="0" w:color="auto"/>
            </w:tcBorders>
            <w:shd w:val="clear" w:color="000000" w:fill="D9D9D9"/>
            <w:noWrap/>
            <w:tcMar>
              <w:left w:w="45" w:type="dxa"/>
              <w:right w:w="45" w:type="dxa"/>
            </w:tcMar>
            <w:hideMark/>
          </w:tcPr>
          <w:p w14:paraId="46836162"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0.0</w:t>
            </w:r>
          </w:p>
        </w:tc>
        <w:tc>
          <w:tcPr>
            <w:tcW w:w="772" w:type="pct"/>
            <w:tcBorders>
              <w:top w:val="nil"/>
              <w:left w:val="nil"/>
              <w:bottom w:val="single" w:sz="4" w:space="0" w:color="auto"/>
              <w:right w:val="single" w:sz="4" w:space="0" w:color="auto"/>
            </w:tcBorders>
            <w:shd w:val="clear" w:color="000000" w:fill="D9D9D9"/>
            <w:noWrap/>
            <w:tcMar>
              <w:left w:w="45" w:type="dxa"/>
              <w:right w:w="45" w:type="dxa"/>
            </w:tcMar>
            <w:hideMark/>
          </w:tcPr>
          <w:p w14:paraId="393BCB76"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41.0</w:t>
            </w:r>
          </w:p>
        </w:tc>
      </w:tr>
      <w:tr w:rsidR="000729CF" w:rsidRPr="000729CF" w14:paraId="2F0883A1" w14:textId="77777777" w:rsidTr="00BC26AB">
        <w:trPr>
          <w:trHeight w:val="20"/>
        </w:trPr>
        <w:tc>
          <w:tcPr>
            <w:tcW w:w="2684" w:type="pct"/>
            <w:tcBorders>
              <w:top w:val="nil"/>
              <w:left w:val="single" w:sz="4" w:space="0" w:color="auto"/>
              <w:bottom w:val="single" w:sz="4" w:space="0" w:color="auto"/>
              <w:right w:val="single" w:sz="4" w:space="0" w:color="auto"/>
            </w:tcBorders>
            <w:shd w:val="clear" w:color="000000" w:fill="D9D9D9"/>
            <w:noWrap/>
            <w:tcMar>
              <w:left w:w="45" w:type="dxa"/>
              <w:right w:w="45" w:type="dxa"/>
            </w:tcMar>
            <w:hideMark/>
          </w:tcPr>
          <w:p w14:paraId="07017F46"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Grand Total</w:t>
            </w:r>
          </w:p>
        </w:tc>
        <w:tc>
          <w:tcPr>
            <w:tcW w:w="772" w:type="pct"/>
            <w:tcBorders>
              <w:top w:val="nil"/>
              <w:left w:val="nil"/>
              <w:bottom w:val="single" w:sz="4" w:space="0" w:color="auto"/>
              <w:right w:val="single" w:sz="4" w:space="0" w:color="auto"/>
            </w:tcBorders>
            <w:shd w:val="clear" w:color="000000" w:fill="D9D9D9"/>
            <w:noWrap/>
            <w:tcMar>
              <w:left w:w="45" w:type="dxa"/>
              <w:right w:w="45" w:type="dxa"/>
            </w:tcMar>
            <w:hideMark/>
          </w:tcPr>
          <w:p w14:paraId="5F7C6164"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23,730 </w:t>
            </w:r>
          </w:p>
        </w:tc>
        <w:tc>
          <w:tcPr>
            <w:tcW w:w="772" w:type="pct"/>
            <w:tcBorders>
              <w:top w:val="nil"/>
              <w:left w:val="nil"/>
              <w:bottom w:val="single" w:sz="4" w:space="0" w:color="auto"/>
              <w:right w:val="single" w:sz="4" w:space="0" w:color="auto"/>
            </w:tcBorders>
            <w:shd w:val="clear" w:color="000000" w:fill="D9D9D9"/>
            <w:noWrap/>
            <w:tcMar>
              <w:left w:w="45" w:type="dxa"/>
              <w:right w:w="45" w:type="dxa"/>
            </w:tcMar>
            <w:hideMark/>
          </w:tcPr>
          <w:p w14:paraId="41B125AD"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3,608.6</w:t>
            </w:r>
          </w:p>
        </w:tc>
        <w:tc>
          <w:tcPr>
            <w:tcW w:w="772" w:type="pct"/>
            <w:tcBorders>
              <w:top w:val="nil"/>
              <w:left w:val="nil"/>
              <w:bottom w:val="single" w:sz="4" w:space="0" w:color="auto"/>
              <w:right w:val="single" w:sz="4" w:space="0" w:color="auto"/>
            </w:tcBorders>
            <w:shd w:val="clear" w:color="000000" w:fill="D9D9D9"/>
            <w:noWrap/>
            <w:tcMar>
              <w:left w:w="45" w:type="dxa"/>
              <w:right w:w="45" w:type="dxa"/>
            </w:tcMar>
            <w:hideMark/>
          </w:tcPr>
          <w:p w14:paraId="43FF2A59"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186.2</w:t>
            </w:r>
          </w:p>
        </w:tc>
      </w:tr>
    </w:tbl>
    <w:p w14:paraId="74AE9585" w14:textId="77777777" w:rsidR="000729CF" w:rsidRPr="000729CF" w:rsidRDefault="000729CF" w:rsidP="000729CF">
      <w:pPr>
        <w:spacing w:after="160" w:line="259" w:lineRule="auto"/>
        <w:rPr>
          <w:rFonts w:ascii="Calibri" w:eastAsia="Calibri" w:hAnsi="Calibri"/>
          <w:sz w:val="22"/>
          <w:szCs w:val="22"/>
          <w:lang w:val="en-GB"/>
        </w:rPr>
        <w:sectPr w:rsidR="000729CF" w:rsidRPr="000729CF" w:rsidSect="00E1554A">
          <w:pgSz w:w="16838" w:h="11906" w:orient="landscape"/>
          <w:pgMar w:top="720" w:right="720" w:bottom="720" w:left="720" w:header="709" w:footer="709" w:gutter="0"/>
          <w:cols w:space="708"/>
          <w:docGrid w:linePitch="360"/>
        </w:sectPr>
      </w:pPr>
    </w:p>
    <w:p w14:paraId="68AB0DF1" w14:textId="77777777" w:rsidR="000729CF" w:rsidRPr="000729CF" w:rsidRDefault="000729CF" w:rsidP="000729CF">
      <w:pPr>
        <w:spacing w:after="120"/>
        <w:rPr>
          <w:rFonts w:ascii="Calibri" w:eastAsia="Calibri" w:hAnsi="Calibri"/>
          <w:b/>
          <w:bCs/>
          <w:color w:val="7030A0"/>
          <w:sz w:val="44"/>
          <w:szCs w:val="44"/>
          <w:lang w:val="en-GB"/>
        </w:rPr>
      </w:pPr>
      <w:r w:rsidRPr="000729CF">
        <w:rPr>
          <w:rFonts w:ascii="Calibri" w:eastAsia="Calibri" w:hAnsi="Calibri"/>
          <w:b/>
          <w:bCs/>
          <w:color w:val="7030A0"/>
          <w:sz w:val="44"/>
          <w:szCs w:val="44"/>
          <w:lang w:val="en-GB"/>
        </w:rPr>
        <w:t>Families, Children and Learning</w:t>
      </w:r>
    </w:p>
    <w:p w14:paraId="0542D5DC" w14:textId="77777777" w:rsidR="000729CF" w:rsidRPr="000729CF" w:rsidRDefault="000729CF" w:rsidP="000729CF">
      <w:pPr>
        <w:spacing w:after="160"/>
        <w:rPr>
          <w:rFonts w:ascii="Calibri" w:eastAsia="Calibri" w:hAnsi="Calibri"/>
          <w:b/>
          <w:bCs/>
          <w:color w:val="7030A0"/>
          <w:sz w:val="28"/>
          <w:szCs w:val="28"/>
          <w:lang w:val="en-GB"/>
        </w:rPr>
      </w:pPr>
      <w:r w:rsidRPr="000729CF">
        <w:rPr>
          <w:rFonts w:ascii="Calibri" w:eastAsia="Calibri" w:hAnsi="Calibri"/>
          <w:b/>
          <w:bCs/>
          <w:color w:val="7030A0"/>
          <w:sz w:val="28"/>
          <w:szCs w:val="28"/>
          <w:lang w:val="en-GB"/>
        </w:rPr>
        <w:t>Budget Strategy and Savings Proposals 2024/25</w:t>
      </w:r>
    </w:p>
    <w:p w14:paraId="7012FD56" w14:textId="77777777" w:rsidR="000729CF" w:rsidRPr="000729CF" w:rsidRDefault="000729CF" w:rsidP="000729CF">
      <w:pPr>
        <w:spacing w:after="160"/>
        <w:rPr>
          <w:rFonts w:ascii="Calibri" w:eastAsia="Calibri" w:hAnsi="Calibri" w:cs="Calibri"/>
          <w:b/>
          <w:bCs/>
          <w:sz w:val="22"/>
          <w:szCs w:val="22"/>
          <w:u w:val="single"/>
          <w:lang w:val="en-GB"/>
        </w:rPr>
      </w:pPr>
      <w:r w:rsidRPr="000729CF">
        <w:rPr>
          <w:rFonts w:ascii="Calibri" w:eastAsia="Calibri" w:hAnsi="Calibri" w:cs="Calibri"/>
          <w:b/>
          <w:bCs/>
          <w:sz w:val="22"/>
          <w:szCs w:val="22"/>
          <w:u w:val="single"/>
          <w:lang w:val="en-GB"/>
        </w:rPr>
        <w:t>Service Context</w:t>
      </w:r>
    </w:p>
    <w:p w14:paraId="238DB0B9" w14:textId="77777777" w:rsidR="000729CF" w:rsidRPr="000729CF" w:rsidRDefault="000729CF" w:rsidP="000729CF">
      <w:pPr>
        <w:spacing w:before="120" w:after="120"/>
        <w:rPr>
          <w:rFonts w:ascii="Calibri" w:eastAsia="Calibri" w:hAnsi="Calibri" w:cs="Calibri"/>
          <w:sz w:val="22"/>
          <w:szCs w:val="22"/>
          <w:lang w:val="en-GB"/>
        </w:rPr>
      </w:pPr>
      <w:r w:rsidRPr="000729CF">
        <w:rPr>
          <w:rFonts w:ascii="Calibri" w:eastAsia="Calibri" w:hAnsi="Calibri" w:cs="Calibri"/>
          <w:sz w:val="22"/>
          <w:szCs w:val="22"/>
          <w:lang w:val="en-GB"/>
        </w:rPr>
        <w:t>The Families, Children and Learning Directorate brings together different services for children and young people as well as support for skills and employment. Much of the education and special educational needs provision is funded through the ring-fenced Dedicated Schools Grant (DSG). This budget strategy is focused on General Fund spend.</w:t>
      </w:r>
    </w:p>
    <w:p w14:paraId="0DC17304" w14:textId="77777777" w:rsidR="000729CF" w:rsidRPr="000729CF" w:rsidRDefault="000729CF" w:rsidP="000729CF">
      <w:pPr>
        <w:spacing w:before="120" w:after="120"/>
        <w:rPr>
          <w:rFonts w:ascii="Calibri" w:eastAsia="Calibri" w:hAnsi="Calibri" w:cs="Calibri"/>
          <w:sz w:val="22"/>
          <w:szCs w:val="22"/>
          <w:lang w:val="en-GB"/>
        </w:rPr>
      </w:pPr>
      <w:r w:rsidRPr="000729CF">
        <w:rPr>
          <w:rFonts w:ascii="Calibri" w:eastAsia="Calibri" w:hAnsi="Calibri" w:cs="Calibri"/>
          <w:sz w:val="22"/>
          <w:szCs w:val="22"/>
          <w:lang w:val="en-GB"/>
        </w:rPr>
        <w:t xml:space="preserve">The main area of General Fund spend relates to the placement costs for children and young people in care. Spend on children’s placements is under pressure given the national placement sufficiency issues, which have been exacerbated by the pandemic.  There is a national shortage of foster care placements, and this has resulted in children being placed in provision based on availability rather than need. Such placements tend to be more expensive residential provision.  </w:t>
      </w:r>
    </w:p>
    <w:p w14:paraId="516610B5" w14:textId="77777777" w:rsidR="000729CF" w:rsidRPr="000729CF" w:rsidRDefault="000729CF" w:rsidP="000729CF">
      <w:pPr>
        <w:spacing w:before="120" w:after="120"/>
        <w:rPr>
          <w:rFonts w:ascii="Calibri" w:eastAsia="Calibri" w:hAnsi="Calibri" w:cs="Calibri"/>
          <w:sz w:val="22"/>
          <w:szCs w:val="22"/>
          <w:lang w:val="en-GB"/>
        </w:rPr>
      </w:pPr>
      <w:r w:rsidRPr="000729CF">
        <w:rPr>
          <w:rFonts w:ascii="Calibri" w:eastAsia="Calibri" w:hAnsi="Calibri" w:cs="Calibri"/>
          <w:sz w:val="22"/>
          <w:szCs w:val="22"/>
          <w:lang w:val="en-GB"/>
        </w:rPr>
        <w:t xml:space="preserve">Nationally the number of children with child protection plans and children being brought into care has reduced slightly over the past 12 months. Over recent years the numbers in Brighton &amp; Hove have been reducing in the context of national rises. During 2023 there has been a slight decrease in the number of children subject to a child protection plan locally.  The number of children in care, excluding unaccompanied asylum-seeking children, has decreased although the complexity of need has increased. </w:t>
      </w:r>
    </w:p>
    <w:p w14:paraId="539BC8B1" w14:textId="77777777" w:rsidR="000729CF" w:rsidRPr="000729CF" w:rsidRDefault="000729CF" w:rsidP="000729CF">
      <w:pPr>
        <w:spacing w:before="120" w:after="120"/>
        <w:rPr>
          <w:rFonts w:ascii="Calibri" w:eastAsia="Calibri" w:hAnsi="Calibri" w:cs="Calibri"/>
          <w:sz w:val="22"/>
          <w:szCs w:val="22"/>
          <w:lang w:val="en-GB"/>
        </w:rPr>
      </w:pPr>
      <w:r w:rsidRPr="000729CF">
        <w:rPr>
          <w:rFonts w:ascii="Calibri" w:eastAsia="Calibri" w:hAnsi="Calibri" w:cs="Calibri"/>
          <w:sz w:val="22"/>
          <w:szCs w:val="22"/>
          <w:lang w:val="en-GB"/>
        </w:rPr>
        <w:t xml:space="preserve">The impact of the pandemic and national lockdowns on family relationships, particularly in those families with adolescents has been significant and there has been a concerning decline in the emotional health and wellbeing of children   There has also been an increase in the number of children with disabilities and complex needs requiring special residential provision.  Further pressure on these budgets is anticipated as the impact of the pandemic continues to manifest itself over the coming years. The cost-of-living crisis is also likely to cause an increase in demand for statutory social work services given the causal link </w:t>
      </w:r>
      <w:r w:rsidRPr="000729CF">
        <w:rPr>
          <w:rFonts w:ascii="Calibri" w:eastAsia="Calibri" w:hAnsi="Calibri" w:cs="Calibri"/>
          <w:b/>
          <w:bCs/>
          <w:sz w:val="22"/>
          <w:szCs w:val="22"/>
          <w:lang w:val="en-GB"/>
        </w:rPr>
        <w:t>between</w:t>
      </w:r>
      <w:r w:rsidRPr="000729CF">
        <w:rPr>
          <w:rFonts w:ascii="Calibri" w:eastAsia="Calibri" w:hAnsi="Calibri" w:cs="Calibri"/>
          <w:sz w:val="22"/>
          <w:szCs w:val="22"/>
          <w:lang w:val="en-GB"/>
        </w:rPr>
        <w:t xml:space="preserve"> poverty and child abuse and neglect.</w:t>
      </w:r>
    </w:p>
    <w:p w14:paraId="1A6F1F72" w14:textId="77777777" w:rsidR="000729CF" w:rsidRPr="000729CF" w:rsidRDefault="000729CF" w:rsidP="000729CF">
      <w:pPr>
        <w:spacing w:before="120" w:after="120"/>
        <w:rPr>
          <w:rFonts w:ascii="Calibri" w:eastAsia="Calibri" w:hAnsi="Calibri" w:cs="Calibri"/>
          <w:sz w:val="22"/>
          <w:szCs w:val="22"/>
          <w:lang w:val="en-GB"/>
        </w:rPr>
      </w:pPr>
      <w:r w:rsidRPr="000729CF">
        <w:rPr>
          <w:rFonts w:ascii="Calibri" w:eastAsia="Calibri" w:hAnsi="Calibri" w:cs="Calibri"/>
          <w:sz w:val="22"/>
          <w:szCs w:val="22"/>
          <w:lang w:val="en-GB"/>
        </w:rPr>
        <w:t xml:space="preserve">In addition, both locally and nationally there has been an increase in the number of adolescents requiring intensive support, including high-cost residential placements. In part, this is related to the greater focus on meeting the needs of young people who are vulnerable to exploitation.  </w:t>
      </w:r>
    </w:p>
    <w:p w14:paraId="34161688" w14:textId="77777777" w:rsidR="000729CF" w:rsidRPr="000729CF" w:rsidRDefault="000729CF" w:rsidP="000729CF">
      <w:pPr>
        <w:spacing w:before="120" w:after="120"/>
        <w:rPr>
          <w:rFonts w:ascii="Calibri" w:eastAsia="Calibri" w:hAnsi="Calibri" w:cs="Calibri"/>
          <w:sz w:val="22"/>
          <w:szCs w:val="22"/>
          <w:lang w:val="en-GB"/>
        </w:rPr>
      </w:pPr>
      <w:r w:rsidRPr="000729CF">
        <w:rPr>
          <w:rFonts w:ascii="Calibri" w:eastAsia="Calibri" w:hAnsi="Calibri" w:cs="Calibri"/>
          <w:sz w:val="22"/>
          <w:szCs w:val="22"/>
          <w:lang w:val="en-GB"/>
        </w:rPr>
        <w:t xml:space="preserve">Our vision is for a Directorate that is ambitious in providing the very best services and support to children and their families, working closely with partners. We want </w:t>
      </w:r>
      <w:r w:rsidRPr="000729CF">
        <w:rPr>
          <w:rFonts w:ascii="Calibri" w:eastAsia="Calibri" w:hAnsi="Calibri" w:cs="Calibri"/>
          <w:sz w:val="22"/>
          <w:szCs w:val="22"/>
          <w:u w:val="single"/>
          <w:lang w:val="en-GB"/>
        </w:rPr>
        <w:t>all</w:t>
      </w:r>
      <w:r w:rsidRPr="000729CF">
        <w:rPr>
          <w:rFonts w:ascii="Calibri" w:eastAsia="Calibri" w:hAnsi="Calibri" w:cs="Calibri"/>
          <w:sz w:val="22"/>
          <w:szCs w:val="22"/>
          <w:lang w:val="en-GB"/>
        </w:rPr>
        <w:t xml:space="preserve"> the city’s children and their families to be happy, healthy and safe, and to be able to fulfil their potential. Services have been redesigned to improve efficiency and reduce costs and this will continue to be a focus going forward. Inevitably, this will require difficult decisions in balancing untargeted, non-statutory support with preventative, statutory and safeguarding provision.</w:t>
      </w:r>
    </w:p>
    <w:p w14:paraId="4E6B2923" w14:textId="77777777" w:rsidR="000729CF" w:rsidRPr="000729CF" w:rsidRDefault="000729CF" w:rsidP="000729CF">
      <w:pPr>
        <w:spacing w:before="120" w:after="120"/>
        <w:rPr>
          <w:rFonts w:ascii="Calibri" w:eastAsia="Calibri" w:hAnsi="Calibri" w:cs="Calibri"/>
          <w:sz w:val="22"/>
          <w:szCs w:val="22"/>
          <w:lang w:val="en-GB"/>
        </w:rPr>
      </w:pPr>
      <w:r w:rsidRPr="000729CF">
        <w:rPr>
          <w:rFonts w:ascii="Calibri" w:eastAsia="Calibri" w:hAnsi="Calibri" w:cs="Calibri"/>
          <w:sz w:val="22"/>
          <w:szCs w:val="22"/>
          <w:lang w:val="en-GB"/>
        </w:rPr>
        <w:t>There are three key branches in the directorate together with a performance and safeguarding service that ensures that we meet our statutory duties and provides quality assurance and performance management information. The key branches are as follows:</w:t>
      </w:r>
    </w:p>
    <w:p w14:paraId="0015F35E" w14:textId="77777777" w:rsidR="000729CF" w:rsidRPr="000729CF" w:rsidRDefault="000729CF" w:rsidP="000729CF">
      <w:pPr>
        <w:spacing w:before="120" w:after="120"/>
        <w:rPr>
          <w:rFonts w:ascii="Calibri" w:eastAsia="Calibri" w:hAnsi="Calibri" w:cs="Calibri"/>
          <w:b/>
          <w:bCs/>
          <w:sz w:val="22"/>
          <w:szCs w:val="22"/>
          <w:lang w:val="en-GB"/>
        </w:rPr>
      </w:pPr>
      <w:r w:rsidRPr="000729CF">
        <w:rPr>
          <w:rFonts w:ascii="Calibri" w:eastAsia="Calibri" w:hAnsi="Calibri" w:cs="Calibri"/>
          <w:b/>
          <w:bCs/>
          <w:sz w:val="22"/>
          <w:szCs w:val="22"/>
          <w:lang w:val="en-GB"/>
        </w:rPr>
        <w:t>Education and Skills £12.526m</w:t>
      </w:r>
    </w:p>
    <w:p w14:paraId="652613D8" w14:textId="77777777" w:rsidR="000729CF" w:rsidRPr="000729CF" w:rsidRDefault="000729CF" w:rsidP="000729CF">
      <w:pPr>
        <w:spacing w:before="120" w:after="120"/>
        <w:rPr>
          <w:rFonts w:ascii="Calibri" w:eastAsia="Calibri" w:hAnsi="Calibri" w:cs="Calibri"/>
          <w:sz w:val="22"/>
          <w:szCs w:val="22"/>
          <w:lang w:val="en-GB"/>
        </w:rPr>
      </w:pPr>
      <w:r w:rsidRPr="000729CF">
        <w:rPr>
          <w:rFonts w:ascii="Calibri" w:eastAsia="Calibri" w:hAnsi="Calibri" w:cs="Calibri"/>
          <w:sz w:val="22"/>
          <w:szCs w:val="22"/>
          <w:lang w:val="en-GB"/>
        </w:rPr>
        <w:t>This service area includes:</w:t>
      </w:r>
    </w:p>
    <w:p w14:paraId="00D4363E" w14:textId="77777777" w:rsidR="000729CF" w:rsidRPr="000729CF" w:rsidRDefault="000729CF" w:rsidP="00CE70A3">
      <w:pPr>
        <w:numPr>
          <w:ilvl w:val="0"/>
          <w:numId w:val="19"/>
        </w:numPr>
        <w:spacing w:after="160" w:line="259" w:lineRule="auto"/>
        <w:ind w:left="709" w:hanging="425"/>
        <w:contextualSpacing/>
        <w:rPr>
          <w:rFonts w:ascii="Calibri" w:eastAsia="Calibri" w:hAnsi="Calibri" w:cs="Calibri"/>
          <w:sz w:val="22"/>
          <w:szCs w:val="22"/>
          <w:lang w:val="en-GB"/>
        </w:rPr>
      </w:pPr>
      <w:r w:rsidRPr="000729CF">
        <w:rPr>
          <w:rFonts w:ascii="Calibri" w:eastAsia="Calibri" w:hAnsi="Calibri" w:cs="Calibri"/>
          <w:sz w:val="22"/>
          <w:szCs w:val="22"/>
          <w:lang w:val="en-GB"/>
        </w:rPr>
        <w:t>Family Hubs, Early Years and Youth support;</w:t>
      </w:r>
    </w:p>
    <w:p w14:paraId="6831916F" w14:textId="77777777" w:rsidR="000729CF" w:rsidRPr="000729CF" w:rsidRDefault="000729CF" w:rsidP="00CE70A3">
      <w:pPr>
        <w:numPr>
          <w:ilvl w:val="0"/>
          <w:numId w:val="19"/>
        </w:numPr>
        <w:spacing w:after="160" w:line="259" w:lineRule="auto"/>
        <w:ind w:left="709" w:hanging="425"/>
        <w:contextualSpacing/>
        <w:rPr>
          <w:rFonts w:ascii="Calibri" w:eastAsia="Calibri" w:hAnsi="Calibri" w:cs="Calibri"/>
          <w:sz w:val="22"/>
          <w:szCs w:val="22"/>
          <w:lang w:val="en-GB"/>
        </w:rPr>
      </w:pPr>
      <w:r w:rsidRPr="000729CF">
        <w:rPr>
          <w:rFonts w:ascii="Calibri" w:eastAsia="Calibri" w:hAnsi="Calibri" w:cs="Calibri"/>
          <w:sz w:val="22"/>
          <w:szCs w:val="22"/>
          <w:lang w:val="en-GB"/>
        </w:rPr>
        <w:t>Stronger Families (Troubled Families programme);</w:t>
      </w:r>
    </w:p>
    <w:p w14:paraId="50A52FE8" w14:textId="77777777" w:rsidR="000729CF" w:rsidRPr="000729CF" w:rsidRDefault="000729CF" w:rsidP="00CE70A3">
      <w:pPr>
        <w:numPr>
          <w:ilvl w:val="0"/>
          <w:numId w:val="19"/>
        </w:numPr>
        <w:spacing w:after="160" w:line="259" w:lineRule="auto"/>
        <w:ind w:left="709" w:hanging="425"/>
        <w:contextualSpacing/>
        <w:rPr>
          <w:rFonts w:ascii="Calibri" w:eastAsia="Calibri" w:hAnsi="Calibri" w:cs="Calibri"/>
          <w:sz w:val="22"/>
          <w:szCs w:val="22"/>
          <w:lang w:val="en-GB"/>
        </w:rPr>
      </w:pPr>
      <w:r w:rsidRPr="000729CF">
        <w:rPr>
          <w:rFonts w:ascii="Calibri" w:eastAsia="Calibri" w:hAnsi="Calibri" w:cs="Calibri"/>
          <w:sz w:val="22"/>
          <w:szCs w:val="22"/>
          <w:lang w:val="en-GB"/>
        </w:rPr>
        <w:t>School Organisation and Access to Education and Hidden Children;</w:t>
      </w:r>
    </w:p>
    <w:p w14:paraId="6C2BC1C1" w14:textId="77777777" w:rsidR="000729CF" w:rsidRPr="000729CF" w:rsidRDefault="000729CF" w:rsidP="00CE70A3">
      <w:pPr>
        <w:numPr>
          <w:ilvl w:val="0"/>
          <w:numId w:val="19"/>
        </w:numPr>
        <w:spacing w:after="160" w:line="259" w:lineRule="auto"/>
        <w:ind w:left="709" w:hanging="425"/>
        <w:contextualSpacing/>
        <w:rPr>
          <w:rFonts w:ascii="Calibri" w:eastAsia="Calibri" w:hAnsi="Calibri" w:cs="Calibri"/>
          <w:sz w:val="22"/>
          <w:szCs w:val="22"/>
          <w:lang w:val="en-GB"/>
        </w:rPr>
      </w:pPr>
      <w:r w:rsidRPr="000729CF">
        <w:rPr>
          <w:rFonts w:ascii="Calibri" w:eastAsia="Calibri" w:hAnsi="Calibri" w:cs="Calibri"/>
          <w:sz w:val="22"/>
          <w:szCs w:val="22"/>
          <w:lang w:val="en-GB"/>
        </w:rPr>
        <w:t xml:space="preserve">Education Standards and Achievement; </w:t>
      </w:r>
    </w:p>
    <w:p w14:paraId="65B4E739" w14:textId="77777777" w:rsidR="000729CF" w:rsidRPr="000729CF" w:rsidRDefault="000729CF" w:rsidP="00CE70A3">
      <w:pPr>
        <w:numPr>
          <w:ilvl w:val="0"/>
          <w:numId w:val="19"/>
        </w:numPr>
        <w:spacing w:after="160" w:line="259" w:lineRule="auto"/>
        <w:ind w:left="709" w:hanging="425"/>
        <w:contextualSpacing/>
        <w:rPr>
          <w:rFonts w:ascii="Calibri" w:eastAsia="Calibri" w:hAnsi="Calibri" w:cs="Calibri"/>
          <w:sz w:val="22"/>
          <w:szCs w:val="22"/>
          <w:lang w:val="en-GB"/>
        </w:rPr>
      </w:pPr>
      <w:r w:rsidRPr="000729CF">
        <w:rPr>
          <w:rFonts w:ascii="Calibri" w:eastAsia="Calibri" w:hAnsi="Calibri" w:cs="Calibri"/>
          <w:sz w:val="22"/>
          <w:szCs w:val="22"/>
          <w:lang w:val="en-GB"/>
        </w:rPr>
        <w:t>Skills and Employment;</w:t>
      </w:r>
    </w:p>
    <w:p w14:paraId="681754F0" w14:textId="77777777" w:rsidR="000729CF" w:rsidRPr="000729CF" w:rsidRDefault="000729CF" w:rsidP="00CE70A3">
      <w:pPr>
        <w:numPr>
          <w:ilvl w:val="0"/>
          <w:numId w:val="19"/>
        </w:numPr>
        <w:spacing w:after="160" w:line="259" w:lineRule="auto"/>
        <w:ind w:left="709" w:hanging="425"/>
        <w:contextualSpacing/>
        <w:rPr>
          <w:rFonts w:ascii="Calibri" w:eastAsia="Calibri" w:hAnsi="Calibri" w:cs="Calibri"/>
          <w:sz w:val="22"/>
          <w:szCs w:val="22"/>
          <w:lang w:val="en-GB"/>
        </w:rPr>
      </w:pPr>
      <w:r w:rsidRPr="000729CF">
        <w:rPr>
          <w:rFonts w:ascii="Calibri" w:eastAsia="Calibri" w:hAnsi="Calibri" w:cs="Calibri"/>
          <w:sz w:val="22"/>
          <w:szCs w:val="22"/>
          <w:lang w:val="en-GB"/>
        </w:rPr>
        <w:t>Virtual School for children in care and those previously in care;</w:t>
      </w:r>
    </w:p>
    <w:p w14:paraId="62227638" w14:textId="77777777" w:rsidR="000729CF" w:rsidRPr="000729CF" w:rsidRDefault="000729CF" w:rsidP="00CE70A3">
      <w:pPr>
        <w:numPr>
          <w:ilvl w:val="0"/>
          <w:numId w:val="19"/>
        </w:numPr>
        <w:spacing w:after="160" w:line="259" w:lineRule="auto"/>
        <w:ind w:left="709" w:hanging="425"/>
        <w:contextualSpacing/>
        <w:rPr>
          <w:rFonts w:ascii="Calibri" w:eastAsia="Calibri" w:hAnsi="Calibri" w:cs="Calibri"/>
          <w:sz w:val="22"/>
          <w:szCs w:val="22"/>
          <w:lang w:val="en-GB"/>
        </w:rPr>
      </w:pPr>
      <w:r w:rsidRPr="000729CF">
        <w:rPr>
          <w:rFonts w:ascii="Calibri" w:eastAsia="Calibri" w:hAnsi="Calibri" w:cs="Calibri"/>
          <w:sz w:val="22"/>
          <w:szCs w:val="22"/>
          <w:lang w:val="en-GB"/>
        </w:rPr>
        <w:t>Ethnic Minority Achievement Service and Traveller Education Service.</w:t>
      </w:r>
    </w:p>
    <w:p w14:paraId="5F1E25EC" w14:textId="77777777" w:rsidR="000729CF" w:rsidRPr="000729CF" w:rsidRDefault="000729CF" w:rsidP="000729CF">
      <w:pPr>
        <w:spacing w:before="120" w:after="120"/>
        <w:rPr>
          <w:rFonts w:ascii="Calibri" w:eastAsia="Calibri" w:hAnsi="Calibri" w:cs="Calibri"/>
          <w:b/>
          <w:bCs/>
          <w:sz w:val="22"/>
          <w:szCs w:val="22"/>
          <w:lang w:val="en-GB"/>
        </w:rPr>
      </w:pPr>
      <w:r w:rsidRPr="000729CF">
        <w:rPr>
          <w:rFonts w:ascii="Calibri" w:eastAsia="Calibri" w:hAnsi="Calibri" w:cs="Calibri"/>
          <w:b/>
          <w:bCs/>
          <w:sz w:val="22"/>
          <w:szCs w:val="22"/>
          <w:lang w:val="en-GB"/>
        </w:rPr>
        <w:t>Health SEN and Disability Services £8.812m</w:t>
      </w:r>
    </w:p>
    <w:p w14:paraId="22A1B7F0" w14:textId="77777777" w:rsidR="000729CF" w:rsidRPr="000729CF" w:rsidRDefault="000729CF" w:rsidP="000729CF">
      <w:pPr>
        <w:spacing w:before="120" w:after="120"/>
        <w:rPr>
          <w:rFonts w:ascii="Calibri" w:eastAsia="Calibri" w:hAnsi="Calibri" w:cs="Calibri"/>
          <w:sz w:val="22"/>
          <w:szCs w:val="22"/>
          <w:lang w:val="en-GB"/>
        </w:rPr>
      </w:pPr>
      <w:r w:rsidRPr="000729CF">
        <w:rPr>
          <w:rFonts w:ascii="Calibri" w:eastAsia="Calibri" w:hAnsi="Calibri" w:cs="Calibri"/>
          <w:sz w:val="22"/>
          <w:szCs w:val="22"/>
          <w:lang w:val="en-GB"/>
        </w:rPr>
        <w:t>This service area includes:</w:t>
      </w:r>
    </w:p>
    <w:p w14:paraId="311A2690" w14:textId="77777777" w:rsidR="000729CF" w:rsidRPr="000729CF" w:rsidRDefault="000729CF" w:rsidP="00CE70A3">
      <w:pPr>
        <w:numPr>
          <w:ilvl w:val="0"/>
          <w:numId w:val="19"/>
        </w:numPr>
        <w:spacing w:after="160" w:line="259" w:lineRule="auto"/>
        <w:ind w:left="709" w:hanging="425"/>
        <w:contextualSpacing/>
        <w:rPr>
          <w:rFonts w:ascii="Calibri" w:eastAsia="Calibri" w:hAnsi="Calibri" w:cs="Calibri"/>
          <w:sz w:val="22"/>
          <w:szCs w:val="22"/>
          <w:lang w:val="en-GB"/>
        </w:rPr>
      </w:pPr>
      <w:r w:rsidRPr="000729CF">
        <w:rPr>
          <w:rFonts w:ascii="Calibri" w:eastAsia="Calibri" w:hAnsi="Calibri" w:cs="Calibri"/>
          <w:sz w:val="22"/>
          <w:szCs w:val="22"/>
          <w:lang w:val="en-GB"/>
        </w:rPr>
        <w:t>Inclusion Support Services for Schools including Education Psychology services and Schools Wellbeing services;</w:t>
      </w:r>
    </w:p>
    <w:p w14:paraId="53463AE0" w14:textId="77777777" w:rsidR="000729CF" w:rsidRPr="000729CF" w:rsidRDefault="000729CF" w:rsidP="00CE70A3">
      <w:pPr>
        <w:numPr>
          <w:ilvl w:val="0"/>
          <w:numId w:val="19"/>
        </w:numPr>
        <w:spacing w:after="160" w:line="259" w:lineRule="auto"/>
        <w:ind w:left="709" w:hanging="425"/>
        <w:contextualSpacing/>
        <w:rPr>
          <w:rFonts w:ascii="Calibri" w:eastAsia="Calibri" w:hAnsi="Calibri" w:cs="Calibri"/>
          <w:sz w:val="22"/>
          <w:szCs w:val="22"/>
          <w:lang w:val="en-GB"/>
        </w:rPr>
      </w:pPr>
      <w:r w:rsidRPr="000729CF">
        <w:rPr>
          <w:rFonts w:ascii="Calibri" w:eastAsia="Calibri" w:hAnsi="Calibri" w:cs="Calibri"/>
          <w:sz w:val="22"/>
          <w:szCs w:val="22"/>
          <w:lang w:val="en-GB"/>
        </w:rPr>
        <w:t>Special Educational Needs services;</w:t>
      </w:r>
    </w:p>
    <w:p w14:paraId="484D980A" w14:textId="77777777" w:rsidR="000729CF" w:rsidRPr="000729CF" w:rsidRDefault="000729CF" w:rsidP="00CE70A3">
      <w:pPr>
        <w:numPr>
          <w:ilvl w:val="0"/>
          <w:numId w:val="19"/>
        </w:numPr>
        <w:spacing w:after="160" w:line="259" w:lineRule="auto"/>
        <w:ind w:left="709" w:hanging="425"/>
        <w:contextualSpacing/>
        <w:rPr>
          <w:rFonts w:ascii="Calibri" w:eastAsia="Calibri" w:hAnsi="Calibri" w:cs="Calibri"/>
          <w:sz w:val="22"/>
          <w:szCs w:val="22"/>
          <w:lang w:val="en-GB"/>
        </w:rPr>
      </w:pPr>
      <w:r w:rsidRPr="000729CF">
        <w:rPr>
          <w:rFonts w:ascii="Calibri" w:eastAsia="Calibri" w:hAnsi="Calibri" w:cs="Calibri"/>
          <w:sz w:val="22"/>
          <w:szCs w:val="22"/>
          <w:lang w:val="en-GB"/>
        </w:rPr>
        <w:t xml:space="preserve">Social work and early help support for children with a disability; </w:t>
      </w:r>
    </w:p>
    <w:p w14:paraId="63CE8A5A" w14:textId="77777777" w:rsidR="000729CF" w:rsidRPr="000729CF" w:rsidRDefault="000729CF" w:rsidP="00CE70A3">
      <w:pPr>
        <w:numPr>
          <w:ilvl w:val="0"/>
          <w:numId w:val="19"/>
        </w:numPr>
        <w:spacing w:after="160" w:line="259" w:lineRule="auto"/>
        <w:ind w:left="709" w:hanging="425"/>
        <w:contextualSpacing/>
        <w:rPr>
          <w:rFonts w:ascii="Calibri" w:eastAsia="Calibri" w:hAnsi="Calibri" w:cs="Calibri"/>
          <w:sz w:val="22"/>
          <w:szCs w:val="22"/>
          <w:lang w:val="en-GB"/>
        </w:rPr>
      </w:pPr>
      <w:r w:rsidRPr="000729CF">
        <w:rPr>
          <w:rFonts w:ascii="Calibri" w:eastAsia="Calibri" w:hAnsi="Calibri" w:cs="Calibri"/>
          <w:sz w:val="22"/>
          <w:szCs w:val="22"/>
          <w:lang w:val="en-GB"/>
        </w:rPr>
        <w:t>Residential, short break and respite provision for children with a disability.</w:t>
      </w:r>
    </w:p>
    <w:p w14:paraId="059E8CEB" w14:textId="77777777" w:rsidR="000729CF" w:rsidRPr="000729CF" w:rsidRDefault="000729CF" w:rsidP="000729CF">
      <w:pPr>
        <w:spacing w:before="120" w:after="120"/>
        <w:rPr>
          <w:rFonts w:ascii="Calibri" w:eastAsia="Calibri" w:hAnsi="Calibri" w:cs="Calibri"/>
          <w:b/>
          <w:bCs/>
          <w:sz w:val="22"/>
          <w:szCs w:val="22"/>
          <w:lang w:val="en-GB"/>
        </w:rPr>
      </w:pPr>
      <w:r w:rsidRPr="000729CF">
        <w:rPr>
          <w:rFonts w:ascii="Calibri" w:eastAsia="Calibri" w:hAnsi="Calibri" w:cs="Calibri"/>
          <w:b/>
          <w:bCs/>
          <w:sz w:val="22"/>
          <w:szCs w:val="22"/>
          <w:lang w:val="en-GB"/>
        </w:rPr>
        <w:t>Children’s Safeguarding and Care £41.836m</w:t>
      </w:r>
    </w:p>
    <w:p w14:paraId="2E90CE44" w14:textId="77777777" w:rsidR="000729CF" w:rsidRPr="000729CF" w:rsidRDefault="000729CF" w:rsidP="000729CF">
      <w:pPr>
        <w:spacing w:before="120" w:after="120"/>
        <w:rPr>
          <w:rFonts w:ascii="Calibri" w:eastAsia="Calibri" w:hAnsi="Calibri" w:cs="Calibri"/>
          <w:sz w:val="22"/>
          <w:szCs w:val="22"/>
          <w:lang w:val="en-GB"/>
        </w:rPr>
      </w:pPr>
      <w:r w:rsidRPr="000729CF">
        <w:rPr>
          <w:rFonts w:ascii="Calibri" w:eastAsia="Calibri" w:hAnsi="Calibri" w:cs="Calibri"/>
          <w:sz w:val="22"/>
          <w:szCs w:val="22"/>
          <w:lang w:val="en-GB"/>
        </w:rPr>
        <w:t>This service area includes:</w:t>
      </w:r>
    </w:p>
    <w:p w14:paraId="0445D7B4" w14:textId="77777777" w:rsidR="000729CF" w:rsidRPr="000729CF" w:rsidRDefault="000729CF" w:rsidP="00CE70A3">
      <w:pPr>
        <w:numPr>
          <w:ilvl w:val="0"/>
          <w:numId w:val="19"/>
        </w:numPr>
        <w:spacing w:after="160" w:line="259" w:lineRule="auto"/>
        <w:ind w:left="709" w:hanging="425"/>
        <w:contextualSpacing/>
        <w:rPr>
          <w:rFonts w:ascii="Calibri" w:eastAsia="Calibri" w:hAnsi="Calibri" w:cs="Calibri"/>
          <w:sz w:val="22"/>
          <w:szCs w:val="22"/>
          <w:lang w:val="en-GB"/>
        </w:rPr>
      </w:pPr>
      <w:r w:rsidRPr="000729CF">
        <w:rPr>
          <w:rFonts w:ascii="Calibri" w:eastAsia="Calibri" w:hAnsi="Calibri" w:cs="Calibri"/>
          <w:sz w:val="22"/>
          <w:szCs w:val="22"/>
          <w:lang w:val="en-GB"/>
        </w:rPr>
        <w:t xml:space="preserve">Fostering, family placement and permanence services; </w:t>
      </w:r>
    </w:p>
    <w:p w14:paraId="0670D56F" w14:textId="77777777" w:rsidR="000729CF" w:rsidRPr="000729CF" w:rsidRDefault="000729CF" w:rsidP="00CE70A3">
      <w:pPr>
        <w:numPr>
          <w:ilvl w:val="0"/>
          <w:numId w:val="19"/>
        </w:numPr>
        <w:spacing w:after="160" w:line="259" w:lineRule="auto"/>
        <w:ind w:left="709" w:hanging="425"/>
        <w:contextualSpacing/>
        <w:rPr>
          <w:rFonts w:ascii="Calibri" w:eastAsia="Calibri" w:hAnsi="Calibri" w:cs="Calibri"/>
          <w:sz w:val="22"/>
          <w:szCs w:val="22"/>
          <w:lang w:val="en-GB"/>
        </w:rPr>
      </w:pPr>
      <w:r w:rsidRPr="000729CF">
        <w:rPr>
          <w:rFonts w:ascii="Calibri" w:eastAsia="Calibri" w:hAnsi="Calibri" w:cs="Calibri"/>
          <w:sz w:val="22"/>
          <w:szCs w:val="22"/>
          <w:lang w:val="en-GB"/>
        </w:rPr>
        <w:t xml:space="preserve">Children in need and child protection social work services; </w:t>
      </w:r>
    </w:p>
    <w:p w14:paraId="31B8A9EA" w14:textId="77777777" w:rsidR="000729CF" w:rsidRPr="000729CF" w:rsidRDefault="000729CF" w:rsidP="00CE70A3">
      <w:pPr>
        <w:numPr>
          <w:ilvl w:val="0"/>
          <w:numId w:val="19"/>
        </w:numPr>
        <w:spacing w:after="160" w:line="259" w:lineRule="auto"/>
        <w:ind w:left="709" w:hanging="425"/>
        <w:contextualSpacing/>
        <w:rPr>
          <w:rFonts w:ascii="Calibri" w:eastAsia="Calibri" w:hAnsi="Calibri" w:cs="Calibri"/>
          <w:sz w:val="22"/>
          <w:szCs w:val="22"/>
          <w:lang w:val="en-GB"/>
        </w:rPr>
      </w:pPr>
      <w:r w:rsidRPr="000729CF">
        <w:rPr>
          <w:rFonts w:ascii="Calibri" w:eastAsia="Calibri" w:hAnsi="Calibri" w:cs="Calibri"/>
          <w:sz w:val="22"/>
          <w:szCs w:val="22"/>
          <w:lang w:val="en-GB"/>
        </w:rPr>
        <w:t>Children in care and leaving care services;</w:t>
      </w:r>
    </w:p>
    <w:p w14:paraId="145B3E64" w14:textId="77777777" w:rsidR="000729CF" w:rsidRPr="000729CF" w:rsidRDefault="000729CF" w:rsidP="00CE70A3">
      <w:pPr>
        <w:numPr>
          <w:ilvl w:val="0"/>
          <w:numId w:val="19"/>
        </w:numPr>
        <w:spacing w:after="160" w:line="259" w:lineRule="auto"/>
        <w:ind w:left="709" w:hanging="425"/>
        <w:contextualSpacing/>
        <w:rPr>
          <w:rFonts w:ascii="Calibri" w:eastAsia="Calibri" w:hAnsi="Calibri" w:cs="Calibri"/>
          <w:sz w:val="22"/>
          <w:szCs w:val="22"/>
          <w:lang w:val="en-GB"/>
        </w:rPr>
      </w:pPr>
      <w:r w:rsidRPr="000729CF">
        <w:rPr>
          <w:rFonts w:ascii="Calibri" w:eastAsia="Calibri" w:hAnsi="Calibri" w:cs="Calibri"/>
          <w:sz w:val="22"/>
          <w:szCs w:val="22"/>
          <w:lang w:val="en-GB"/>
        </w:rPr>
        <w:t>Unaccompanied asylum-seeking children services;</w:t>
      </w:r>
    </w:p>
    <w:p w14:paraId="0B7547A4" w14:textId="77777777" w:rsidR="000729CF" w:rsidRPr="000729CF" w:rsidRDefault="000729CF" w:rsidP="00CE70A3">
      <w:pPr>
        <w:numPr>
          <w:ilvl w:val="0"/>
          <w:numId w:val="19"/>
        </w:numPr>
        <w:spacing w:after="160" w:line="259" w:lineRule="auto"/>
        <w:ind w:left="709" w:hanging="425"/>
        <w:contextualSpacing/>
        <w:rPr>
          <w:rFonts w:ascii="Calibri" w:eastAsia="Calibri" w:hAnsi="Calibri" w:cs="Calibri"/>
          <w:sz w:val="22"/>
          <w:szCs w:val="22"/>
          <w:lang w:val="en-GB"/>
        </w:rPr>
      </w:pPr>
      <w:r w:rsidRPr="000729CF">
        <w:rPr>
          <w:rFonts w:ascii="Calibri" w:eastAsia="Calibri" w:hAnsi="Calibri" w:cs="Calibri"/>
          <w:sz w:val="22"/>
          <w:szCs w:val="22"/>
          <w:lang w:val="en-GB"/>
        </w:rPr>
        <w:t xml:space="preserve">Adolescence and youth offending services; </w:t>
      </w:r>
    </w:p>
    <w:p w14:paraId="2D4A12BB" w14:textId="77777777" w:rsidR="000729CF" w:rsidRPr="000729CF" w:rsidRDefault="000729CF" w:rsidP="00CE70A3">
      <w:pPr>
        <w:numPr>
          <w:ilvl w:val="0"/>
          <w:numId w:val="19"/>
        </w:numPr>
        <w:spacing w:after="160" w:line="259" w:lineRule="auto"/>
        <w:ind w:left="709" w:hanging="425"/>
        <w:contextualSpacing/>
        <w:rPr>
          <w:rFonts w:ascii="Calibri" w:eastAsia="Calibri" w:hAnsi="Calibri" w:cs="Calibri"/>
          <w:sz w:val="22"/>
          <w:szCs w:val="22"/>
          <w:lang w:val="en-GB"/>
        </w:rPr>
      </w:pPr>
      <w:r w:rsidRPr="000729CF">
        <w:rPr>
          <w:rFonts w:ascii="Calibri" w:eastAsia="Calibri" w:hAnsi="Calibri" w:cs="Calibri"/>
          <w:sz w:val="22"/>
          <w:szCs w:val="22"/>
          <w:lang w:val="en-GB"/>
        </w:rPr>
        <w:t>Front Door for Families which includes the MASH (Multi Agency Safeguarding Hub);</w:t>
      </w:r>
    </w:p>
    <w:p w14:paraId="0DBD5399" w14:textId="77777777" w:rsidR="000729CF" w:rsidRPr="000729CF" w:rsidRDefault="000729CF" w:rsidP="00CE70A3">
      <w:pPr>
        <w:numPr>
          <w:ilvl w:val="0"/>
          <w:numId w:val="19"/>
        </w:numPr>
        <w:spacing w:after="160" w:line="259" w:lineRule="auto"/>
        <w:ind w:left="709" w:hanging="425"/>
        <w:contextualSpacing/>
        <w:rPr>
          <w:rFonts w:ascii="Calibri" w:eastAsia="Calibri" w:hAnsi="Calibri" w:cs="Calibri"/>
          <w:sz w:val="22"/>
          <w:szCs w:val="22"/>
          <w:lang w:val="en-GB"/>
        </w:rPr>
      </w:pPr>
      <w:r w:rsidRPr="000729CF">
        <w:rPr>
          <w:rFonts w:ascii="Calibri" w:eastAsia="Calibri" w:hAnsi="Calibri" w:cs="Calibri"/>
          <w:sz w:val="22"/>
          <w:szCs w:val="22"/>
          <w:lang w:val="en-GB"/>
        </w:rPr>
        <w:t xml:space="preserve">Multi-disciplinary Partners in Change Hub including the Early Parenting Assessment Programme; </w:t>
      </w:r>
    </w:p>
    <w:p w14:paraId="333CC8E2" w14:textId="77777777" w:rsidR="000729CF" w:rsidRPr="000729CF" w:rsidRDefault="000729CF" w:rsidP="00CE70A3">
      <w:pPr>
        <w:numPr>
          <w:ilvl w:val="0"/>
          <w:numId w:val="19"/>
        </w:numPr>
        <w:spacing w:after="160" w:line="259" w:lineRule="auto"/>
        <w:ind w:left="709" w:hanging="425"/>
        <w:contextualSpacing/>
        <w:rPr>
          <w:rFonts w:ascii="Calibri" w:eastAsia="Calibri" w:hAnsi="Calibri" w:cs="Calibri"/>
          <w:sz w:val="22"/>
          <w:szCs w:val="22"/>
          <w:lang w:val="en-GB"/>
        </w:rPr>
      </w:pPr>
      <w:r w:rsidRPr="000729CF">
        <w:rPr>
          <w:rFonts w:ascii="Calibri" w:eastAsia="Calibri" w:hAnsi="Calibri" w:cs="Calibri"/>
          <w:sz w:val="22"/>
          <w:szCs w:val="22"/>
          <w:lang w:val="en-GB"/>
        </w:rPr>
        <w:t>Contact and Family Group Conference Services.</w:t>
      </w:r>
    </w:p>
    <w:p w14:paraId="3DF357B3" w14:textId="77777777" w:rsidR="000729CF" w:rsidRPr="000729CF" w:rsidRDefault="000729CF" w:rsidP="000729CF">
      <w:pPr>
        <w:spacing w:before="120" w:after="120"/>
        <w:rPr>
          <w:rFonts w:ascii="Calibri" w:eastAsia="Calibri" w:hAnsi="Calibri" w:cs="Calibri"/>
          <w:sz w:val="22"/>
          <w:szCs w:val="22"/>
          <w:lang w:val="en-GB"/>
        </w:rPr>
      </w:pPr>
      <w:bookmarkStart w:id="28" w:name="_Hlk111709338"/>
      <w:bookmarkStart w:id="29" w:name="_Hlk147238970"/>
      <w:r w:rsidRPr="000729CF">
        <w:rPr>
          <w:rFonts w:ascii="Calibri" w:eastAsia="Calibri" w:hAnsi="Calibri" w:cs="Calibri"/>
          <w:b/>
          <w:bCs/>
          <w:sz w:val="22"/>
          <w:szCs w:val="22"/>
          <w:lang w:val="en-GB"/>
        </w:rPr>
        <w:t>Users of Families, Children and Learning Services -</w:t>
      </w:r>
    </w:p>
    <w:p w14:paraId="3B784073" w14:textId="77777777" w:rsidR="000729CF" w:rsidRPr="000729CF" w:rsidRDefault="000729CF" w:rsidP="000729CF">
      <w:pPr>
        <w:spacing w:before="120" w:after="120"/>
        <w:rPr>
          <w:rFonts w:ascii="Calibri" w:eastAsia="Calibri" w:hAnsi="Calibri" w:cs="Calibri"/>
          <w:sz w:val="22"/>
          <w:szCs w:val="22"/>
          <w:lang w:val="en-GB"/>
        </w:rPr>
      </w:pPr>
      <w:r w:rsidRPr="000729CF">
        <w:rPr>
          <w:rFonts w:ascii="Calibri" w:eastAsia="Calibri" w:hAnsi="Calibri" w:cs="Calibri"/>
          <w:sz w:val="22"/>
          <w:szCs w:val="22"/>
          <w:lang w:val="en-GB"/>
        </w:rPr>
        <w:t>The Directorate provides a range of different services from universal to those targeted at small groups of people with very high levels of need and/or where we are required to fulfil a statutory duty. Some of the key groups of users we interact with are as follows*:</w:t>
      </w:r>
    </w:p>
    <w:p w14:paraId="0F4D4E20" w14:textId="77777777" w:rsidR="000729CF" w:rsidRPr="000729CF" w:rsidRDefault="000729CF" w:rsidP="00CE70A3">
      <w:pPr>
        <w:numPr>
          <w:ilvl w:val="0"/>
          <w:numId w:val="46"/>
        </w:numPr>
        <w:spacing w:after="160" w:line="259"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 xml:space="preserve">30,853 children attend city’s school (October 2023) </w:t>
      </w:r>
    </w:p>
    <w:p w14:paraId="23BAED01" w14:textId="77777777" w:rsidR="000729CF" w:rsidRPr="000729CF" w:rsidRDefault="000729CF" w:rsidP="00CE70A3">
      <w:pPr>
        <w:numPr>
          <w:ilvl w:val="0"/>
          <w:numId w:val="46"/>
        </w:numPr>
        <w:spacing w:after="160" w:line="259"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 xml:space="preserve">18,921 contacts were received by the Multi Agency Safeguarding Hub/Front Door for Families during the year ending September 2023, of these 3,203 were safeguarding concerns that required follow up work;  </w:t>
      </w:r>
    </w:p>
    <w:p w14:paraId="55230EDC" w14:textId="77777777" w:rsidR="000729CF" w:rsidRPr="000729CF" w:rsidRDefault="000729CF" w:rsidP="00CE70A3">
      <w:pPr>
        <w:numPr>
          <w:ilvl w:val="0"/>
          <w:numId w:val="46"/>
        </w:numPr>
        <w:spacing w:after="160" w:line="259"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 xml:space="preserve">7,496 Parents/Carers applied for school places (2022-23 academic year); </w:t>
      </w:r>
    </w:p>
    <w:p w14:paraId="3CFE0369" w14:textId="77777777" w:rsidR="000729CF" w:rsidRPr="000729CF" w:rsidRDefault="000729CF" w:rsidP="00CE70A3">
      <w:pPr>
        <w:numPr>
          <w:ilvl w:val="0"/>
          <w:numId w:val="46"/>
        </w:numPr>
        <w:spacing w:after="160" w:line="259"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 xml:space="preserve">6,462 children receive SEND support in maintained schools (including 1,537 children who have an Education Health &amp; Care plan) (October 2023); </w:t>
      </w:r>
    </w:p>
    <w:p w14:paraId="77D5A5CA" w14:textId="77777777" w:rsidR="000729CF" w:rsidRPr="000729CF" w:rsidRDefault="000729CF" w:rsidP="00CE70A3">
      <w:pPr>
        <w:numPr>
          <w:ilvl w:val="0"/>
          <w:numId w:val="46"/>
        </w:numPr>
        <w:spacing w:after="160" w:line="259"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 xml:space="preserve">7,341 children are eligible for free school meals (October 2023); </w:t>
      </w:r>
    </w:p>
    <w:p w14:paraId="5A461DA2" w14:textId="77777777" w:rsidR="000729CF" w:rsidRPr="000729CF" w:rsidRDefault="000729CF" w:rsidP="00CE70A3">
      <w:pPr>
        <w:numPr>
          <w:ilvl w:val="0"/>
          <w:numId w:val="45"/>
        </w:numPr>
        <w:spacing w:after="160" w:line="259"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 xml:space="preserve">663 individual unique children attending children’s centre nurseries between April 2021 and March 2022.  </w:t>
      </w:r>
    </w:p>
    <w:p w14:paraId="4EEBB561" w14:textId="77777777" w:rsidR="000729CF" w:rsidRPr="000729CF" w:rsidRDefault="000729CF" w:rsidP="00CE70A3">
      <w:pPr>
        <w:numPr>
          <w:ilvl w:val="0"/>
          <w:numId w:val="45"/>
        </w:numPr>
        <w:spacing w:after="160" w:line="259"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1,151 individuals (children and young people only) open to Family Hubs from 01/04/2023 to 30/09/2023.</w:t>
      </w:r>
    </w:p>
    <w:p w14:paraId="439A28CC" w14:textId="77777777" w:rsidR="000729CF" w:rsidRPr="000729CF" w:rsidRDefault="000729CF" w:rsidP="00CE70A3">
      <w:pPr>
        <w:numPr>
          <w:ilvl w:val="0"/>
          <w:numId w:val="45"/>
        </w:numPr>
        <w:spacing w:after="160" w:line="259"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1,543 children aged under 18 supported by social work to be safe (as at 30 September 2023) 262 children are on a child protection plan (as at 30</w:t>
      </w:r>
      <w:r w:rsidRPr="000729CF">
        <w:rPr>
          <w:rFonts w:ascii="Calibri" w:eastAsia="Calibri" w:hAnsi="Calibri" w:cs="Calibri"/>
          <w:sz w:val="22"/>
          <w:szCs w:val="22"/>
          <w:vertAlign w:val="superscript"/>
          <w:lang w:val="en-GB"/>
        </w:rPr>
        <w:t>th</w:t>
      </w:r>
      <w:r w:rsidRPr="000729CF">
        <w:rPr>
          <w:rFonts w:ascii="Calibri" w:eastAsia="Calibri" w:hAnsi="Calibri" w:cs="Calibri"/>
          <w:sz w:val="22"/>
          <w:szCs w:val="22"/>
          <w:lang w:val="en-GB"/>
        </w:rPr>
        <w:t xml:space="preserve"> September 2023); </w:t>
      </w:r>
    </w:p>
    <w:p w14:paraId="0C1BFCCB" w14:textId="77777777" w:rsidR="000729CF" w:rsidRPr="000729CF" w:rsidRDefault="000729CF" w:rsidP="00CE70A3">
      <w:pPr>
        <w:numPr>
          <w:ilvl w:val="0"/>
          <w:numId w:val="45"/>
        </w:numPr>
        <w:spacing w:after="160" w:line="259"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 xml:space="preserve">We act as Corporate Parent to 344 children in care and 373 care leavers aged between the ages of 18 and 25 (September 2023) </w:t>
      </w:r>
    </w:p>
    <w:p w14:paraId="28BDB3B1" w14:textId="77777777" w:rsidR="000729CF" w:rsidRPr="000729CF" w:rsidRDefault="000729CF" w:rsidP="00CE70A3">
      <w:pPr>
        <w:numPr>
          <w:ilvl w:val="0"/>
          <w:numId w:val="45"/>
        </w:numPr>
        <w:spacing w:after="160" w:line="259"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 xml:space="preserve">We provide care for 51 unaccompanied asylum-seeking children (September 2023); </w:t>
      </w:r>
    </w:p>
    <w:p w14:paraId="10A34CC5" w14:textId="77777777" w:rsidR="000729CF" w:rsidRPr="000729CF" w:rsidRDefault="000729CF" w:rsidP="00CE70A3">
      <w:pPr>
        <w:numPr>
          <w:ilvl w:val="0"/>
          <w:numId w:val="45"/>
        </w:numPr>
        <w:spacing w:after="160" w:line="259"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434 pupils in Brighton and Hove are educated at home (30</w:t>
      </w:r>
      <w:r w:rsidRPr="000729CF">
        <w:rPr>
          <w:rFonts w:ascii="Calibri" w:eastAsia="Calibri" w:hAnsi="Calibri" w:cs="Calibri"/>
          <w:sz w:val="22"/>
          <w:szCs w:val="22"/>
          <w:vertAlign w:val="superscript"/>
          <w:lang w:val="en-GB"/>
        </w:rPr>
        <w:t>th</w:t>
      </w:r>
      <w:r w:rsidRPr="000729CF">
        <w:rPr>
          <w:rFonts w:ascii="Calibri" w:eastAsia="Calibri" w:hAnsi="Calibri" w:cs="Calibri"/>
          <w:sz w:val="22"/>
          <w:szCs w:val="22"/>
          <w:lang w:val="en-GB"/>
        </w:rPr>
        <w:t xml:space="preserve"> September 2023); </w:t>
      </w:r>
    </w:p>
    <w:p w14:paraId="63C4CF45" w14:textId="77777777" w:rsidR="000729CF" w:rsidRPr="000729CF" w:rsidRDefault="000729CF" w:rsidP="00CE70A3">
      <w:pPr>
        <w:numPr>
          <w:ilvl w:val="0"/>
          <w:numId w:val="45"/>
        </w:numPr>
        <w:spacing w:after="160" w:line="259"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There are 148 in-house foster carer households, and 23 Supported Lodgings only households as at 30-Sep-2023; </w:t>
      </w:r>
    </w:p>
    <w:p w14:paraId="105082A1" w14:textId="77777777" w:rsidR="000729CF" w:rsidRPr="000729CF" w:rsidRDefault="000729CF" w:rsidP="00CE70A3">
      <w:pPr>
        <w:numPr>
          <w:ilvl w:val="0"/>
          <w:numId w:val="45"/>
        </w:numPr>
        <w:spacing w:after="160" w:line="259"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 xml:space="preserve">19 children have been adopted in the last 12 months;  </w:t>
      </w:r>
    </w:p>
    <w:p w14:paraId="7BB017ED" w14:textId="77777777" w:rsidR="000729CF" w:rsidRPr="000729CF" w:rsidRDefault="000729CF" w:rsidP="000729CF">
      <w:pPr>
        <w:ind w:left="709"/>
        <w:contextualSpacing/>
        <w:rPr>
          <w:rFonts w:ascii="Calibri" w:eastAsia="Calibri" w:hAnsi="Calibri" w:cs="Calibri"/>
          <w:sz w:val="22"/>
          <w:szCs w:val="22"/>
          <w:lang w:val="en-GB"/>
        </w:rPr>
      </w:pPr>
    </w:p>
    <w:bookmarkEnd w:id="28"/>
    <w:p w14:paraId="2D92DD34" w14:textId="77777777" w:rsidR="000729CF" w:rsidRPr="000729CF" w:rsidRDefault="000729CF" w:rsidP="000729CF">
      <w:pPr>
        <w:spacing w:after="160"/>
        <w:ind w:left="426" w:hanging="426"/>
        <w:rPr>
          <w:rFonts w:ascii="Calibri" w:eastAsia="Calibri" w:hAnsi="Calibri" w:cs="Calibri"/>
          <w:sz w:val="22"/>
          <w:szCs w:val="22"/>
          <w:lang w:val="en-GB"/>
        </w:rPr>
      </w:pPr>
      <w:r w:rsidRPr="000729CF">
        <w:rPr>
          <w:rFonts w:ascii="Calibri" w:eastAsia="Calibri" w:hAnsi="Calibri" w:cs="Calibri"/>
          <w:sz w:val="22"/>
          <w:szCs w:val="22"/>
          <w:lang w:val="en-GB"/>
        </w:rPr>
        <w:t>*</w:t>
      </w:r>
      <w:r w:rsidRPr="000729CF">
        <w:rPr>
          <w:rFonts w:ascii="Calibri" w:eastAsia="Calibri" w:hAnsi="Calibri" w:cs="Calibri"/>
          <w:sz w:val="22"/>
          <w:szCs w:val="22"/>
          <w:lang w:val="en-GB"/>
        </w:rPr>
        <w:tab/>
        <w:t>Please note these figures are a mixture of snapshots in time or usage over a set period and are shared with the intention of being illustrative.</w:t>
      </w:r>
    </w:p>
    <w:bookmarkEnd w:id="29"/>
    <w:p w14:paraId="763CE256" w14:textId="77777777" w:rsidR="000729CF" w:rsidRPr="000729CF" w:rsidRDefault="000729CF" w:rsidP="000729CF">
      <w:pPr>
        <w:spacing w:after="160"/>
        <w:rPr>
          <w:rFonts w:ascii="Calibri" w:eastAsia="Calibri" w:hAnsi="Calibri" w:cs="Calibri"/>
          <w:b/>
          <w:bCs/>
          <w:sz w:val="22"/>
          <w:szCs w:val="22"/>
          <w:u w:val="single"/>
          <w:lang w:val="en-GB"/>
        </w:rPr>
      </w:pPr>
      <w:r w:rsidRPr="000729CF">
        <w:rPr>
          <w:rFonts w:ascii="Calibri" w:eastAsia="Calibri" w:hAnsi="Calibri" w:cs="Calibri"/>
          <w:b/>
          <w:bCs/>
          <w:sz w:val="22"/>
          <w:szCs w:val="22"/>
          <w:u w:val="single"/>
          <w:lang w:val="en-GB"/>
        </w:rPr>
        <w:t>Budget Strategy</w:t>
      </w:r>
    </w:p>
    <w:p w14:paraId="18C40444" w14:textId="77777777" w:rsidR="000729CF" w:rsidRPr="000729CF" w:rsidRDefault="000729CF" w:rsidP="000729CF">
      <w:pPr>
        <w:spacing w:after="160"/>
        <w:rPr>
          <w:rFonts w:ascii="Calibri" w:eastAsia="Calibri" w:hAnsi="Calibri" w:cs="Calibri"/>
          <w:b/>
          <w:bCs/>
          <w:sz w:val="22"/>
          <w:szCs w:val="22"/>
          <w:lang w:val="en-GB"/>
        </w:rPr>
      </w:pPr>
      <w:r w:rsidRPr="000729CF">
        <w:rPr>
          <w:rFonts w:ascii="Calibri" w:eastAsia="Calibri" w:hAnsi="Calibri" w:cs="Calibri"/>
          <w:b/>
          <w:bCs/>
          <w:sz w:val="22"/>
          <w:szCs w:val="22"/>
          <w:lang w:val="en-GB"/>
        </w:rPr>
        <w:t>Direction of Travel</w:t>
      </w:r>
    </w:p>
    <w:p w14:paraId="32E46478" w14:textId="77777777" w:rsidR="000729CF" w:rsidRPr="000729CF" w:rsidRDefault="000729CF" w:rsidP="000729CF">
      <w:pPr>
        <w:spacing w:after="160" w:line="259" w:lineRule="auto"/>
        <w:rPr>
          <w:rFonts w:ascii="Calibri" w:eastAsia="Calibri" w:hAnsi="Calibri" w:cs="Calibri"/>
          <w:sz w:val="22"/>
          <w:szCs w:val="22"/>
          <w:lang w:val="en-GB"/>
        </w:rPr>
      </w:pPr>
      <w:r w:rsidRPr="000729CF">
        <w:rPr>
          <w:rFonts w:ascii="Calibri" w:eastAsia="Calibri" w:hAnsi="Calibri" w:cs="Calibri"/>
          <w:sz w:val="22"/>
          <w:szCs w:val="22"/>
          <w:lang w:val="en-GB"/>
        </w:rPr>
        <w:t xml:space="preserve">We will continue to work as one Families, Children and Learning directorate and together with others in the city, deliver safe and whole family services, improve outcomes, and develop inclusive and accessible provision. </w:t>
      </w:r>
    </w:p>
    <w:p w14:paraId="7EEF192B" w14:textId="77777777" w:rsidR="000729CF" w:rsidRPr="000729CF" w:rsidRDefault="000729CF" w:rsidP="000729CF">
      <w:pPr>
        <w:spacing w:after="160" w:line="259" w:lineRule="auto"/>
        <w:rPr>
          <w:rFonts w:ascii="Calibri" w:eastAsia="Calibri" w:hAnsi="Calibri" w:cs="Calibri"/>
          <w:sz w:val="22"/>
          <w:szCs w:val="22"/>
          <w:lang w:val="en-GB"/>
        </w:rPr>
      </w:pPr>
      <w:r w:rsidRPr="000729CF">
        <w:rPr>
          <w:rFonts w:ascii="Calibri" w:eastAsia="Calibri" w:hAnsi="Calibri" w:cs="Calibri"/>
          <w:sz w:val="22"/>
          <w:szCs w:val="22"/>
          <w:lang w:val="en-GB"/>
        </w:rPr>
        <w:t>To achieve this, we will:</w:t>
      </w:r>
    </w:p>
    <w:p w14:paraId="35A59510" w14:textId="77777777" w:rsidR="000729CF" w:rsidRPr="000729CF" w:rsidRDefault="000729CF" w:rsidP="00CE70A3">
      <w:pPr>
        <w:numPr>
          <w:ilvl w:val="0"/>
          <w:numId w:val="44"/>
        </w:numPr>
        <w:spacing w:before="80" w:after="80" w:line="276"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Recognise and address the ongoing impact of post pandemic living and the cost-of-living crisis and work with partners to continue to deliver high quality and inclusive services.</w:t>
      </w:r>
    </w:p>
    <w:p w14:paraId="2C5445D4" w14:textId="77777777" w:rsidR="000729CF" w:rsidRPr="000729CF" w:rsidRDefault="000729CF" w:rsidP="00CE70A3">
      <w:pPr>
        <w:numPr>
          <w:ilvl w:val="0"/>
          <w:numId w:val="44"/>
        </w:numPr>
        <w:spacing w:before="80" w:after="80" w:line="276"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Work with partners to tackle disadvantage, to improve outcomes for children and their families.</w:t>
      </w:r>
    </w:p>
    <w:p w14:paraId="3807A6A4" w14:textId="77777777" w:rsidR="000729CF" w:rsidRPr="000729CF" w:rsidRDefault="000729CF" w:rsidP="00CE70A3">
      <w:pPr>
        <w:numPr>
          <w:ilvl w:val="0"/>
          <w:numId w:val="44"/>
        </w:numPr>
        <w:spacing w:before="80" w:after="80" w:line="276"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Work with our schools, colleges and adult education providers to promote, support, and deliver high quality educational and skills provision.</w:t>
      </w:r>
    </w:p>
    <w:p w14:paraId="1890A624" w14:textId="77777777" w:rsidR="000729CF" w:rsidRPr="000729CF" w:rsidRDefault="000729CF" w:rsidP="00CE70A3">
      <w:pPr>
        <w:numPr>
          <w:ilvl w:val="0"/>
          <w:numId w:val="44"/>
        </w:numPr>
        <w:spacing w:before="80" w:after="80" w:line="276"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Continue the redevelopment of early help provision and promote whole family working through the Family Hubs.</w:t>
      </w:r>
    </w:p>
    <w:p w14:paraId="00426E47" w14:textId="77777777" w:rsidR="000729CF" w:rsidRPr="000729CF" w:rsidRDefault="000729CF" w:rsidP="00CE70A3">
      <w:pPr>
        <w:numPr>
          <w:ilvl w:val="0"/>
          <w:numId w:val="44"/>
        </w:numPr>
        <w:spacing w:before="80" w:after="80" w:line="276"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Deliver a robust and improving, safe and effective social work service which responds to the changing needs of children and their families.</w:t>
      </w:r>
    </w:p>
    <w:p w14:paraId="0F8D39F1" w14:textId="77777777" w:rsidR="000729CF" w:rsidRPr="000729CF" w:rsidRDefault="000729CF" w:rsidP="00CE70A3">
      <w:pPr>
        <w:numPr>
          <w:ilvl w:val="0"/>
          <w:numId w:val="44"/>
        </w:numPr>
        <w:spacing w:before="80" w:after="80" w:line="276"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Work with young people and other partners to deliver high quality youth services across the city.</w:t>
      </w:r>
    </w:p>
    <w:p w14:paraId="37F4831B" w14:textId="77777777" w:rsidR="000729CF" w:rsidRPr="000729CF" w:rsidRDefault="000729CF" w:rsidP="00CE70A3">
      <w:pPr>
        <w:numPr>
          <w:ilvl w:val="0"/>
          <w:numId w:val="44"/>
        </w:numPr>
        <w:spacing w:before="80" w:after="80" w:line="276"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Co-produce and continue to improve SEND provision and services in the city.</w:t>
      </w:r>
    </w:p>
    <w:p w14:paraId="3A567FA0" w14:textId="77777777" w:rsidR="000729CF" w:rsidRPr="000729CF" w:rsidRDefault="000729CF" w:rsidP="00CE70A3">
      <w:pPr>
        <w:widowControl w:val="0"/>
        <w:numPr>
          <w:ilvl w:val="0"/>
          <w:numId w:val="44"/>
        </w:numPr>
        <w:autoSpaceDE w:val="0"/>
        <w:autoSpaceDN w:val="0"/>
        <w:spacing w:before="20" w:after="20" w:line="259"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Improve the diversity of our workforce.</w:t>
      </w:r>
    </w:p>
    <w:p w14:paraId="236B00DB" w14:textId="77777777" w:rsidR="000729CF" w:rsidRPr="000729CF" w:rsidRDefault="000729CF" w:rsidP="000729CF">
      <w:pPr>
        <w:spacing w:before="120" w:after="120"/>
        <w:rPr>
          <w:rFonts w:ascii="Calibri" w:eastAsia="Calibri" w:hAnsi="Calibri" w:cs="Calibri"/>
          <w:sz w:val="22"/>
          <w:szCs w:val="22"/>
          <w:lang w:val="en-GB"/>
        </w:rPr>
      </w:pPr>
      <w:r w:rsidRPr="000729CF">
        <w:rPr>
          <w:rFonts w:ascii="Calibri" w:eastAsia="Calibri" w:hAnsi="Calibri" w:cs="Calibri"/>
          <w:sz w:val="22"/>
          <w:szCs w:val="22"/>
          <w:lang w:val="en-GB"/>
        </w:rPr>
        <w:t>We commission and deliver services with partners to ensure children and young people live happy, safe and positive lives, achieving their potential. This is achieved within the context of high demand and reducing resources.</w:t>
      </w:r>
    </w:p>
    <w:p w14:paraId="5B0CA254" w14:textId="77777777" w:rsidR="000729CF" w:rsidRPr="000729CF" w:rsidRDefault="000729CF" w:rsidP="000729CF">
      <w:pPr>
        <w:spacing w:before="120" w:after="120"/>
        <w:rPr>
          <w:rFonts w:ascii="Calibri" w:eastAsia="Calibri" w:hAnsi="Calibri" w:cs="Calibri"/>
          <w:sz w:val="22"/>
          <w:szCs w:val="22"/>
          <w:lang w:val="en-GB"/>
        </w:rPr>
      </w:pPr>
      <w:r w:rsidRPr="000729CF">
        <w:rPr>
          <w:rFonts w:ascii="Calibri" w:eastAsia="Calibri" w:hAnsi="Calibri" w:cs="Calibri"/>
          <w:sz w:val="22"/>
          <w:szCs w:val="22"/>
          <w:lang w:val="en-GB"/>
        </w:rPr>
        <w:t>Our directorate objectives are to:</w:t>
      </w:r>
    </w:p>
    <w:p w14:paraId="0EBC6961" w14:textId="77777777" w:rsidR="000729CF" w:rsidRPr="000729CF" w:rsidRDefault="000729CF" w:rsidP="000729CF">
      <w:pPr>
        <w:spacing w:before="80" w:after="80" w:line="276" w:lineRule="auto"/>
        <w:ind w:left="720"/>
        <w:contextualSpacing/>
        <w:rPr>
          <w:rFonts w:ascii="Calibri" w:eastAsia="Calibri" w:hAnsi="Calibri" w:cs="Calibri"/>
          <w:sz w:val="22"/>
          <w:szCs w:val="22"/>
          <w:lang w:val="en-GB"/>
        </w:rPr>
      </w:pPr>
      <w:r w:rsidRPr="000729CF">
        <w:rPr>
          <w:rFonts w:ascii="Calibri" w:eastAsia="Calibri" w:hAnsi="Calibri" w:cs="Calibri"/>
          <w:sz w:val="22"/>
          <w:szCs w:val="22"/>
          <w:lang w:val="en-GB"/>
        </w:rPr>
        <w:t>1. Take a whole family approach to support safe and stable lives.</w:t>
      </w:r>
    </w:p>
    <w:p w14:paraId="6D236130" w14:textId="77777777" w:rsidR="000729CF" w:rsidRPr="000729CF" w:rsidRDefault="000729CF" w:rsidP="000729CF">
      <w:pPr>
        <w:spacing w:before="80" w:after="80" w:line="276" w:lineRule="auto"/>
        <w:ind w:left="720"/>
        <w:contextualSpacing/>
        <w:rPr>
          <w:rFonts w:ascii="Calibri" w:eastAsia="Calibri" w:hAnsi="Calibri" w:cs="Calibri"/>
          <w:sz w:val="22"/>
          <w:szCs w:val="22"/>
          <w:lang w:val="en-GB"/>
        </w:rPr>
      </w:pPr>
      <w:r w:rsidRPr="000729CF">
        <w:rPr>
          <w:rFonts w:ascii="Calibri" w:eastAsia="Calibri" w:hAnsi="Calibri" w:cs="Calibri"/>
          <w:sz w:val="22"/>
          <w:szCs w:val="22"/>
          <w:lang w:val="en-GB"/>
        </w:rPr>
        <w:t>2. Improve outcomes for disadvantaged children, young people and families and adults.</w:t>
      </w:r>
    </w:p>
    <w:p w14:paraId="01545C10" w14:textId="77777777" w:rsidR="000729CF" w:rsidRPr="000729CF" w:rsidRDefault="000729CF" w:rsidP="000729CF">
      <w:pPr>
        <w:spacing w:before="80" w:after="80" w:line="276" w:lineRule="auto"/>
        <w:ind w:left="720"/>
        <w:contextualSpacing/>
        <w:rPr>
          <w:rFonts w:ascii="Calibri" w:eastAsia="Calibri" w:hAnsi="Calibri" w:cs="Calibri"/>
          <w:sz w:val="22"/>
          <w:szCs w:val="22"/>
          <w:lang w:val="en-GB"/>
        </w:rPr>
      </w:pPr>
      <w:r w:rsidRPr="000729CF">
        <w:rPr>
          <w:rFonts w:ascii="Calibri" w:eastAsia="Calibri" w:hAnsi="Calibri" w:cs="Calibri"/>
          <w:sz w:val="22"/>
          <w:szCs w:val="22"/>
          <w:lang w:val="en-GB"/>
        </w:rPr>
        <w:t>3. Provide high quality and inclusive education; Special Educational Needs &amp; Disability (SEND), and employment support; and early years, social care, youth and skills provision.</w:t>
      </w:r>
    </w:p>
    <w:p w14:paraId="1C5C7B66" w14:textId="77777777" w:rsidR="000729CF" w:rsidRPr="000729CF" w:rsidRDefault="000729CF" w:rsidP="000729CF">
      <w:pPr>
        <w:spacing w:before="80" w:after="80" w:line="276" w:lineRule="auto"/>
        <w:ind w:left="720"/>
        <w:contextualSpacing/>
        <w:rPr>
          <w:rFonts w:ascii="Calibri" w:eastAsia="Calibri" w:hAnsi="Calibri" w:cs="Calibri"/>
          <w:sz w:val="22"/>
          <w:szCs w:val="22"/>
          <w:lang w:val="en-GB"/>
        </w:rPr>
      </w:pPr>
      <w:r w:rsidRPr="000729CF">
        <w:rPr>
          <w:rFonts w:ascii="Calibri" w:eastAsia="Calibri" w:hAnsi="Calibri" w:cs="Calibri"/>
          <w:sz w:val="22"/>
          <w:szCs w:val="22"/>
          <w:lang w:val="en-GB"/>
        </w:rPr>
        <w:t>4. Develop and engage with staff and stakeholders to deliver high quality services within the directorate and across council services</w:t>
      </w:r>
    </w:p>
    <w:p w14:paraId="22F6CAA1" w14:textId="77777777" w:rsidR="000729CF" w:rsidRPr="000729CF" w:rsidRDefault="000729CF" w:rsidP="000729CF">
      <w:pPr>
        <w:spacing w:before="120" w:after="120"/>
        <w:rPr>
          <w:rFonts w:ascii="Calibri" w:eastAsia="Calibri" w:hAnsi="Calibri" w:cs="Calibri"/>
          <w:b/>
          <w:bCs/>
          <w:sz w:val="22"/>
          <w:szCs w:val="22"/>
          <w:lang w:val="en-GB"/>
        </w:rPr>
      </w:pPr>
      <w:r w:rsidRPr="000729CF">
        <w:rPr>
          <w:rFonts w:ascii="Calibri" w:eastAsia="Calibri" w:hAnsi="Calibri" w:cs="Calibri"/>
          <w:b/>
          <w:bCs/>
          <w:sz w:val="22"/>
          <w:szCs w:val="22"/>
          <w:lang w:val="en-GB"/>
        </w:rPr>
        <w:t>Areas of Focus for Savings</w:t>
      </w:r>
    </w:p>
    <w:p w14:paraId="70C847E8" w14:textId="77777777" w:rsidR="000729CF" w:rsidRPr="000729CF" w:rsidRDefault="000729CF" w:rsidP="000729CF">
      <w:pPr>
        <w:spacing w:before="120" w:after="120"/>
        <w:rPr>
          <w:rFonts w:ascii="Calibri" w:eastAsia="Calibri" w:hAnsi="Calibri" w:cs="Calibri"/>
          <w:sz w:val="22"/>
          <w:szCs w:val="22"/>
          <w:lang w:val="en-GB"/>
        </w:rPr>
      </w:pPr>
      <w:r w:rsidRPr="000729CF">
        <w:rPr>
          <w:rFonts w:ascii="Calibri" w:eastAsia="Calibri" w:hAnsi="Calibri" w:cs="Calibri"/>
          <w:sz w:val="22"/>
          <w:szCs w:val="22"/>
          <w:lang w:val="en-GB"/>
        </w:rPr>
        <w:t>The Directorate has looked at all the services it delivers, identifying those that are essential. Essential services include those that are statutory, those where a business case demonstrates the service is the best use of resources and those that generate income for the Council.  This has led to proposals to make savings in SEND respite, youth participation, employment and skills and children’s placements.</w:t>
      </w:r>
    </w:p>
    <w:p w14:paraId="4E7B876E" w14:textId="77777777" w:rsidR="000729CF" w:rsidRPr="000729CF" w:rsidRDefault="000729CF" w:rsidP="000729CF">
      <w:pPr>
        <w:spacing w:before="120" w:after="120"/>
        <w:rPr>
          <w:rFonts w:ascii="Calibri" w:hAnsi="Calibri" w:cs="Calibri"/>
          <w:sz w:val="22"/>
          <w:szCs w:val="22"/>
          <w:lang w:val="en-GB" w:eastAsia="en-GB"/>
        </w:rPr>
      </w:pPr>
      <w:r w:rsidRPr="000729CF">
        <w:rPr>
          <w:rFonts w:ascii="Calibri" w:hAnsi="Calibri" w:cs="Calibri"/>
          <w:sz w:val="22"/>
          <w:szCs w:val="22"/>
          <w:lang w:val="en-GB" w:eastAsia="en-GB"/>
        </w:rPr>
        <w:t xml:space="preserve">The project to increase the number of foster placements and reduce reliance on more expensive residential provider provision is ongoing. This will enable further savings in Children’s Agency Placements: </w:t>
      </w:r>
    </w:p>
    <w:p w14:paraId="740757A8" w14:textId="77777777" w:rsidR="000729CF" w:rsidRPr="000729CF" w:rsidRDefault="000729CF" w:rsidP="00CE70A3">
      <w:pPr>
        <w:widowControl w:val="0"/>
        <w:numPr>
          <w:ilvl w:val="0"/>
          <w:numId w:val="18"/>
        </w:numPr>
        <w:autoSpaceDE w:val="0"/>
        <w:autoSpaceDN w:val="0"/>
        <w:spacing w:before="20" w:after="20" w:line="259" w:lineRule="auto"/>
        <w:ind w:left="709" w:hanging="425"/>
        <w:rPr>
          <w:rFonts w:ascii="Calibri" w:eastAsia="Calibri" w:hAnsi="Calibri" w:cs="Calibri"/>
          <w:sz w:val="22"/>
          <w:szCs w:val="22"/>
          <w:lang w:val="en-GB"/>
        </w:rPr>
      </w:pPr>
      <w:r w:rsidRPr="000729CF">
        <w:rPr>
          <w:rFonts w:ascii="Calibri" w:eastAsia="Calibri" w:hAnsi="Calibri" w:cs="Calibri"/>
          <w:sz w:val="22"/>
          <w:szCs w:val="22"/>
          <w:lang w:val="en-GB"/>
        </w:rPr>
        <w:t>Ensuring value for money is obtained when using external providers; this is supported by the children's services framework contract arrangements and preferred provider guidelines.</w:t>
      </w:r>
    </w:p>
    <w:p w14:paraId="58BAB9EC" w14:textId="77777777" w:rsidR="000729CF" w:rsidRPr="000729CF" w:rsidRDefault="000729CF" w:rsidP="00CE70A3">
      <w:pPr>
        <w:widowControl w:val="0"/>
        <w:numPr>
          <w:ilvl w:val="0"/>
          <w:numId w:val="18"/>
        </w:numPr>
        <w:autoSpaceDE w:val="0"/>
        <w:autoSpaceDN w:val="0"/>
        <w:spacing w:before="20" w:after="20" w:line="259" w:lineRule="auto"/>
        <w:ind w:left="709" w:hanging="425"/>
        <w:rPr>
          <w:rFonts w:ascii="Calibri" w:eastAsia="Calibri" w:hAnsi="Calibri" w:cs="Calibri"/>
          <w:sz w:val="22"/>
          <w:szCs w:val="22"/>
          <w:lang w:val="en-GB"/>
        </w:rPr>
      </w:pPr>
      <w:r w:rsidRPr="000729CF">
        <w:rPr>
          <w:rFonts w:ascii="Calibri" w:eastAsia="Calibri" w:hAnsi="Calibri" w:cs="Calibri"/>
          <w:sz w:val="22"/>
          <w:szCs w:val="22"/>
          <w:lang w:val="en-GB"/>
        </w:rPr>
        <w:t xml:space="preserve">Relationship based social work practice and the specialist adolescence service continues to contribute to diverting children from the care system by meeting need and managing risk within the home.  </w:t>
      </w:r>
    </w:p>
    <w:p w14:paraId="0E7B702C" w14:textId="77777777" w:rsidR="000729CF" w:rsidRPr="000729CF" w:rsidRDefault="000729CF" w:rsidP="00CE70A3">
      <w:pPr>
        <w:widowControl w:val="0"/>
        <w:numPr>
          <w:ilvl w:val="0"/>
          <w:numId w:val="18"/>
        </w:numPr>
        <w:autoSpaceDE w:val="0"/>
        <w:autoSpaceDN w:val="0"/>
        <w:spacing w:before="20" w:after="20" w:line="259" w:lineRule="auto"/>
        <w:ind w:left="709" w:hanging="425"/>
        <w:rPr>
          <w:rFonts w:ascii="Calibri" w:eastAsia="Calibri" w:hAnsi="Calibri" w:cs="Calibri"/>
          <w:sz w:val="22"/>
          <w:szCs w:val="22"/>
          <w:lang w:val="en-GB"/>
        </w:rPr>
      </w:pPr>
      <w:r w:rsidRPr="000729CF">
        <w:rPr>
          <w:rFonts w:ascii="Calibri" w:eastAsia="Calibri" w:hAnsi="Calibri" w:cs="Calibri"/>
          <w:sz w:val="22"/>
          <w:szCs w:val="22"/>
          <w:lang w:val="en-GB"/>
        </w:rPr>
        <w:t xml:space="preserve">For those already in care, there is a focus on stepping down to in house and/or less expensive placements, in line with assessed need, and on returning children to their families where this is safe to do so. </w:t>
      </w:r>
    </w:p>
    <w:p w14:paraId="308B0EDE" w14:textId="77777777" w:rsidR="000729CF" w:rsidRPr="000729CF" w:rsidRDefault="000729CF" w:rsidP="000729CF">
      <w:pPr>
        <w:widowControl w:val="0"/>
        <w:spacing w:before="20" w:after="20"/>
        <w:rPr>
          <w:rFonts w:ascii="Calibri" w:eastAsia="Calibri" w:hAnsi="Calibri" w:cs="Calibri"/>
          <w:sz w:val="22"/>
          <w:szCs w:val="22"/>
          <w:lang w:val="en-GB"/>
        </w:rPr>
      </w:pPr>
    </w:p>
    <w:p w14:paraId="61C62E0B" w14:textId="77777777" w:rsidR="000729CF" w:rsidRPr="000729CF" w:rsidRDefault="000729CF" w:rsidP="000729CF">
      <w:pPr>
        <w:widowControl w:val="0"/>
        <w:autoSpaceDE w:val="0"/>
        <w:autoSpaceDN w:val="0"/>
        <w:spacing w:before="20" w:after="20"/>
        <w:rPr>
          <w:rFonts w:ascii="Calibri" w:eastAsia="Calibri" w:hAnsi="Calibri" w:cs="Calibri"/>
          <w:sz w:val="22"/>
          <w:szCs w:val="22"/>
          <w:lang w:val="en-GB"/>
        </w:rPr>
      </w:pPr>
      <w:r w:rsidRPr="000729CF">
        <w:rPr>
          <w:rFonts w:ascii="Calibri" w:eastAsia="Calibri" w:hAnsi="Calibri" w:cs="Calibri"/>
          <w:sz w:val="22"/>
          <w:szCs w:val="22"/>
          <w:lang w:val="en-GB"/>
        </w:rPr>
        <w:t xml:space="preserve">Other areas identified for savings include: </w:t>
      </w:r>
    </w:p>
    <w:p w14:paraId="0AE13C35" w14:textId="77777777" w:rsidR="000729CF" w:rsidRPr="000729CF" w:rsidRDefault="000729CF" w:rsidP="00CE70A3">
      <w:pPr>
        <w:widowControl w:val="0"/>
        <w:numPr>
          <w:ilvl w:val="0"/>
          <w:numId w:val="22"/>
        </w:numPr>
        <w:autoSpaceDE w:val="0"/>
        <w:autoSpaceDN w:val="0"/>
        <w:spacing w:before="20" w:after="20" w:line="259"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Projected increase in free entitlement income from Nurseries.</w:t>
      </w:r>
    </w:p>
    <w:p w14:paraId="7DCF796B" w14:textId="77777777" w:rsidR="000729CF" w:rsidRPr="000729CF" w:rsidRDefault="000729CF" w:rsidP="00CE70A3">
      <w:pPr>
        <w:widowControl w:val="0"/>
        <w:numPr>
          <w:ilvl w:val="0"/>
          <w:numId w:val="22"/>
        </w:numPr>
        <w:autoSpaceDE w:val="0"/>
        <w:autoSpaceDN w:val="0"/>
        <w:spacing w:before="20" w:after="20" w:line="259"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Reprovision of services provided by Tudor House.</w:t>
      </w:r>
    </w:p>
    <w:p w14:paraId="1B71F89B" w14:textId="77777777" w:rsidR="000729CF" w:rsidRPr="000729CF" w:rsidRDefault="000729CF" w:rsidP="00CE70A3">
      <w:pPr>
        <w:widowControl w:val="0"/>
        <w:numPr>
          <w:ilvl w:val="0"/>
          <w:numId w:val="22"/>
        </w:numPr>
        <w:autoSpaceDE w:val="0"/>
        <w:autoSpaceDN w:val="0"/>
        <w:spacing w:before="20" w:after="20" w:line="259"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Reduction in the employability service.</w:t>
      </w:r>
    </w:p>
    <w:p w14:paraId="7E5B1A29" w14:textId="77777777" w:rsidR="000729CF" w:rsidRPr="000729CF" w:rsidRDefault="000729CF" w:rsidP="00CE70A3">
      <w:pPr>
        <w:widowControl w:val="0"/>
        <w:numPr>
          <w:ilvl w:val="0"/>
          <w:numId w:val="22"/>
        </w:numPr>
        <w:autoSpaceDE w:val="0"/>
        <w:autoSpaceDN w:val="0"/>
        <w:spacing w:before="20" w:after="20" w:line="259"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Ceasing the Outreach service for children with disabilities.</w:t>
      </w:r>
    </w:p>
    <w:p w14:paraId="08079E85" w14:textId="77777777" w:rsidR="000729CF" w:rsidRPr="000729CF" w:rsidRDefault="000729CF" w:rsidP="00CE70A3">
      <w:pPr>
        <w:widowControl w:val="0"/>
        <w:numPr>
          <w:ilvl w:val="0"/>
          <w:numId w:val="22"/>
        </w:numPr>
        <w:autoSpaceDE w:val="0"/>
        <w:autoSpaceDN w:val="0"/>
        <w:spacing w:before="20" w:after="20" w:line="259"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Reduction in the Youth Led Grants Programme.</w:t>
      </w:r>
    </w:p>
    <w:p w14:paraId="2758FF1A" w14:textId="77777777" w:rsidR="000729CF" w:rsidRPr="000729CF" w:rsidRDefault="000729CF" w:rsidP="00CE70A3">
      <w:pPr>
        <w:widowControl w:val="0"/>
        <w:numPr>
          <w:ilvl w:val="0"/>
          <w:numId w:val="22"/>
        </w:numPr>
        <w:spacing w:before="20" w:after="20" w:line="259"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Reduction in the Youth participation service.</w:t>
      </w:r>
    </w:p>
    <w:p w14:paraId="1C3F576C" w14:textId="77777777" w:rsidR="000729CF" w:rsidRPr="000729CF" w:rsidRDefault="000729CF" w:rsidP="00CE70A3">
      <w:pPr>
        <w:widowControl w:val="0"/>
        <w:numPr>
          <w:ilvl w:val="0"/>
          <w:numId w:val="22"/>
        </w:numPr>
        <w:spacing w:before="20" w:after="20" w:line="259"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Reduction in the Partners in Change hub.</w:t>
      </w:r>
    </w:p>
    <w:p w14:paraId="45098EF2" w14:textId="77777777" w:rsidR="000729CF" w:rsidRPr="000729CF" w:rsidRDefault="000729CF" w:rsidP="00CE70A3">
      <w:pPr>
        <w:widowControl w:val="0"/>
        <w:numPr>
          <w:ilvl w:val="0"/>
          <w:numId w:val="22"/>
        </w:numPr>
        <w:autoSpaceDE w:val="0"/>
        <w:autoSpaceDN w:val="0"/>
        <w:spacing w:before="20" w:after="20" w:line="259"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Introduction of modest Home to School Transport charging for 16–19-year-old.</w:t>
      </w:r>
    </w:p>
    <w:p w14:paraId="1ABDA30C" w14:textId="77777777" w:rsidR="000729CF" w:rsidRPr="000729CF" w:rsidRDefault="000729CF" w:rsidP="000729CF">
      <w:pPr>
        <w:widowControl w:val="0"/>
        <w:autoSpaceDE w:val="0"/>
        <w:autoSpaceDN w:val="0"/>
        <w:spacing w:before="20" w:after="20"/>
        <w:rPr>
          <w:rFonts w:ascii="Calibri" w:eastAsia="Calibri" w:hAnsi="Calibri" w:cs="Calibri"/>
          <w:sz w:val="22"/>
          <w:szCs w:val="22"/>
          <w:lang w:val="en-GB"/>
        </w:rPr>
      </w:pPr>
    </w:p>
    <w:p w14:paraId="7824C19F" w14:textId="77777777" w:rsidR="000729CF" w:rsidRPr="000729CF" w:rsidRDefault="000729CF" w:rsidP="000729CF">
      <w:pPr>
        <w:spacing w:before="120" w:after="120"/>
        <w:rPr>
          <w:rFonts w:ascii="Calibri" w:eastAsia="Calibri" w:hAnsi="Calibri" w:cs="Calibri"/>
          <w:b/>
          <w:bCs/>
          <w:sz w:val="22"/>
          <w:szCs w:val="22"/>
          <w:lang w:val="en-GB"/>
        </w:rPr>
      </w:pPr>
      <w:bookmarkStart w:id="30" w:name="_Hlk118118830"/>
      <w:r w:rsidRPr="000729CF">
        <w:rPr>
          <w:rFonts w:ascii="Calibri" w:eastAsia="Calibri" w:hAnsi="Calibri" w:cs="Calibri"/>
          <w:b/>
          <w:bCs/>
          <w:sz w:val="22"/>
          <w:szCs w:val="22"/>
          <w:lang w:val="en-GB"/>
        </w:rPr>
        <w:t>Investment in Services</w:t>
      </w:r>
    </w:p>
    <w:p w14:paraId="3524EECB" w14:textId="77777777" w:rsidR="000729CF" w:rsidRPr="000729CF" w:rsidRDefault="000729CF" w:rsidP="000729CF">
      <w:pPr>
        <w:spacing w:before="120" w:after="120"/>
        <w:rPr>
          <w:rFonts w:ascii="Calibri" w:eastAsia="Calibri" w:hAnsi="Calibri" w:cs="Calibri"/>
          <w:sz w:val="22"/>
          <w:szCs w:val="22"/>
          <w:lang w:val="en-GB"/>
        </w:rPr>
      </w:pPr>
      <w:r w:rsidRPr="000729CF">
        <w:rPr>
          <w:rFonts w:ascii="Calibri" w:eastAsia="Calibri" w:hAnsi="Calibri" w:cs="Calibri"/>
          <w:sz w:val="22"/>
          <w:szCs w:val="22"/>
          <w:lang w:val="en-GB"/>
        </w:rPr>
        <w:t>The following investment in services is planned to meet demographic and other cost increase to maintain investment in priority services and meet statutory requirements:</w:t>
      </w:r>
    </w:p>
    <w:p w14:paraId="64E9A94D" w14:textId="77777777" w:rsidR="000729CF" w:rsidRPr="000729CF" w:rsidRDefault="000729CF" w:rsidP="00CE70A3">
      <w:pPr>
        <w:numPr>
          <w:ilvl w:val="0"/>
          <w:numId w:val="20"/>
        </w:numPr>
        <w:spacing w:after="160" w:line="259"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Support for Children in Care £1.618m;</w:t>
      </w:r>
    </w:p>
    <w:p w14:paraId="7310DAB7" w14:textId="77777777" w:rsidR="000729CF" w:rsidRPr="000729CF" w:rsidRDefault="000729CF" w:rsidP="00CE70A3">
      <w:pPr>
        <w:numPr>
          <w:ilvl w:val="0"/>
          <w:numId w:val="20"/>
        </w:numPr>
        <w:spacing w:after="160" w:line="259"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Home to School Transport £1.069m;</w:t>
      </w:r>
    </w:p>
    <w:p w14:paraId="68A3A653" w14:textId="77777777" w:rsidR="000729CF" w:rsidRPr="000729CF" w:rsidRDefault="000729CF" w:rsidP="00CE70A3">
      <w:pPr>
        <w:numPr>
          <w:ilvl w:val="0"/>
          <w:numId w:val="20"/>
        </w:numPr>
        <w:spacing w:after="160" w:line="259"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Support for Children with Disabilities £0.796m;</w:t>
      </w:r>
    </w:p>
    <w:p w14:paraId="6930A421" w14:textId="77777777" w:rsidR="000729CF" w:rsidRPr="000729CF" w:rsidRDefault="000729CF" w:rsidP="00CE70A3">
      <w:pPr>
        <w:numPr>
          <w:ilvl w:val="0"/>
          <w:numId w:val="20"/>
        </w:numPr>
        <w:spacing w:after="160" w:line="259"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Schools PFI Contract £0.643m;</w:t>
      </w:r>
    </w:p>
    <w:p w14:paraId="0A156800" w14:textId="77777777" w:rsidR="000729CF" w:rsidRDefault="000729CF" w:rsidP="00CE70A3">
      <w:pPr>
        <w:numPr>
          <w:ilvl w:val="0"/>
          <w:numId w:val="20"/>
        </w:numPr>
        <w:spacing w:after="160" w:line="259"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 xml:space="preserve">Legal Fees 0.150m. </w:t>
      </w:r>
    </w:p>
    <w:p w14:paraId="2339E56C" w14:textId="77777777" w:rsidR="000729CF" w:rsidRPr="000729CF" w:rsidRDefault="000729CF" w:rsidP="000729CF">
      <w:pPr>
        <w:spacing w:after="160" w:line="259" w:lineRule="auto"/>
        <w:ind w:left="720"/>
        <w:contextualSpacing/>
        <w:rPr>
          <w:rFonts w:ascii="Calibri" w:eastAsia="Calibri" w:hAnsi="Calibri" w:cs="Calibri"/>
          <w:sz w:val="22"/>
          <w:szCs w:val="22"/>
          <w:lang w:val="en-GB"/>
        </w:rPr>
      </w:pPr>
    </w:p>
    <w:bookmarkEnd w:id="30"/>
    <w:p w14:paraId="72436B97" w14:textId="77777777" w:rsidR="000729CF" w:rsidRPr="000729CF" w:rsidRDefault="000729CF" w:rsidP="000729CF">
      <w:pPr>
        <w:spacing w:before="120" w:after="120"/>
        <w:rPr>
          <w:rFonts w:ascii="Calibri" w:eastAsia="Calibri" w:hAnsi="Calibri" w:cs="Calibri"/>
          <w:b/>
          <w:bCs/>
          <w:sz w:val="22"/>
          <w:szCs w:val="22"/>
          <w:u w:val="single"/>
          <w:lang w:val="en-GB"/>
        </w:rPr>
      </w:pPr>
      <w:r w:rsidRPr="000729CF">
        <w:rPr>
          <w:rFonts w:ascii="Calibri" w:eastAsia="Calibri" w:hAnsi="Calibri" w:cs="Calibri"/>
          <w:b/>
          <w:bCs/>
          <w:sz w:val="22"/>
          <w:szCs w:val="22"/>
          <w:u w:val="single"/>
          <w:lang w:val="en-GB"/>
        </w:rPr>
        <w:t>Supporting the Council’s Priorities</w:t>
      </w:r>
    </w:p>
    <w:p w14:paraId="1F836469" w14:textId="77777777" w:rsidR="000729CF" w:rsidRPr="000729CF" w:rsidRDefault="000729CF" w:rsidP="000729CF">
      <w:pPr>
        <w:spacing w:before="120" w:after="120"/>
        <w:rPr>
          <w:rFonts w:ascii="Calibri" w:eastAsia="Calibri" w:hAnsi="Calibri" w:cs="Calibri"/>
          <w:sz w:val="22"/>
          <w:szCs w:val="22"/>
          <w:lang w:val="en-GB"/>
        </w:rPr>
      </w:pPr>
      <w:r w:rsidRPr="000729CF">
        <w:rPr>
          <w:rFonts w:ascii="Calibri" w:eastAsia="Calibri" w:hAnsi="Calibri" w:cs="Calibri"/>
          <w:sz w:val="22"/>
          <w:szCs w:val="22"/>
          <w:lang w:val="en-GB"/>
        </w:rPr>
        <w:t>The budget position is challenging. In undertaking the review of budgets to identify savings, those services supporting the most vulnerable in the city have been protected and it has been ensured that all statutory obligations can be met. Systems for managing demand led services within FCL are well established and robust. The development of Family Hubs continues to ensure that preventive work is effective at reducing the need for high-cost interventions at a later stage.</w:t>
      </w:r>
    </w:p>
    <w:p w14:paraId="0EAFE0FF" w14:textId="77777777" w:rsidR="000729CF" w:rsidRPr="000729CF" w:rsidRDefault="000729CF" w:rsidP="000729CF">
      <w:pPr>
        <w:spacing w:before="120" w:after="120"/>
        <w:rPr>
          <w:rFonts w:ascii="Calibri" w:eastAsia="Calibri" w:hAnsi="Calibri" w:cs="Calibri"/>
          <w:sz w:val="22"/>
          <w:szCs w:val="22"/>
          <w:lang w:val="en-GB"/>
        </w:rPr>
      </w:pPr>
      <w:r w:rsidRPr="000729CF">
        <w:rPr>
          <w:rFonts w:ascii="Calibri" w:eastAsia="Calibri" w:hAnsi="Calibri" w:cs="Calibri"/>
          <w:sz w:val="22"/>
          <w:szCs w:val="22"/>
          <w:lang w:val="en-GB"/>
        </w:rPr>
        <w:t xml:space="preserve">Horizon scanning, modernisation and planning for future needs is a priority. Work is underway to explore in-house options for children with a disability; this is an area where we currently experience high unit costs. </w:t>
      </w:r>
    </w:p>
    <w:p w14:paraId="0C5749BE" w14:textId="77777777" w:rsidR="000729CF" w:rsidRPr="000729CF" w:rsidRDefault="000729CF" w:rsidP="000729CF">
      <w:pPr>
        <w:spacing w:before="120" w:after="120"/>
        <w:rPr>
          <w:rFonts w:ascii="Calibri" w:eastAsia="Calibri" w:hAnsi="Calibri" w:cs="Calibri"/>
          <w:sz w:val="22"/>
          <w:szCs w:val="22"/>
          <w:lang w:val="en-GB"/>
        </w:rPr>
      </w:pPr>
      <w:r w:rsidRPr="000729CF">
        <w:rPr>
          <w:rFonts w:ascii="Calibri" w:eastAsia="Calibri" w:hAnsi="Calibri" w:cs="Calibri"/>
          <w:sz w:val="22"/>
          <w:szCs w:val="22"/>
          <w:lang w:val="en-GB"/>
        </w:rPr>
        <w:t xml:space="preserve">Below is a summary of work we have planned over the next three years that supports council’s priorities as set out in the City’s Council Plan and the administration’s priorities. </w:t>
      </w:r>
    </w:p>
    <w:p w14:paraId="0BB4ACDB" w14:textId="77777777" w:rsidR="000729CF" w:rsidRPr="000729CF" w:rsidRDefault="000729CF" w:rsidP="000729CF">
      <w:pPr>
        <w:spacing w:before="120" w:after="120"/>
        <w:rPr>
          <w:rFonts w:ascii="Calibri" w:eastAsia="Calibri" w:hAnsi="Calibri" w:cs="Calibri"/>
          <w:sz w:val="22"/>
          <w:szCs w:val="22"/>
          <w:lang w:val="en-GB"/>
        </w:rPr>
      </w:pPr>
    </w:p>
    <w:p w14:paraId="2D581531" w14:textId="77777777" w:rsidR="000729CF" w:rsidRPr="000729CF" w:rsidRDefault="000729CF" w:rsidP="000729CF">
      <w:pPr>
        <w:spacing w:before="120" w:after="120"/>
        <w:rPr>
          <w:rFonts w:ascii="Calibri" w:eastAsia="Calibri" w:hAnsi="Calibri" w:cs="Calibri"/>
          <w:sz w:val="22"/>
          <w:szCs w:val="22"/>
          <w:lang w:val="en-GB"/>
        </w:rPr>
      </w:pPr>
    </w:p>
    <w:p w14:paraId="2731C528" w14:textId="77777777" w:rsidR="000729CF" w:rsidRPr="000729CF" w:rsidRDefault="000729CF" w:rsidP="000729CF">
      <w:pPr>
        <w:shd w:val="clear" w:color="auto" w:fill="C5E0B3"/>
        <w:spacing w:before="120" w:after="120"/>
        <w:rPr>
          <w:rFonts w:ascii="Calibri" w:eastAsia="Calibri" w:hAnsi="Calibri" w:cs="Calibri"/>
          <w:b/>
          <w:bCs/>
          <w:sz w:val="22"/>
          <w:szCs w:val="22"/>
          <w:lang w:val="en-GB"/>
        </w:rPr>
      </w:pPr>
      <w:r w:rsidRPr="000729CF">
        <w:rPr>
          <w:rFonts w:ascii="Calibri" w:eastAsia="Calibri" w:hAnsi="Calibri" w:cs="Calibri"/>
          <w:b/>
          <w:bCs/>
          <w:sz w:val="22"/>
          <w:szCs w:val="22"/>
          <w:lang w:val="en-GB"/>
        </w:rPr>
        <w:t>A city to be proud of.</w:t>
      </w:r>
    </w:p>
    <w:p w14:paraId="3B654687" w14:textId="77777777" w:rsidR="000729CF" w:rsidRPr="000729CF" w:rsidRDefault="000729CF" w:rsidP="00CE70A3">
      <w:pPr>
        <w:numPr>
          <w:ilvl w:val="0"/>
          <w:numId w:val="21"/>
        </w:numPr>
        <w:spacing w:before="120" w:after="120" w:line="259" w:lineRule="auto"/>
        <w:ind w:left="284" w:hanging="284"/>
        <w:rPr>
          <w:rFonts w:ascii="Calibri" w:eastAsia="Calibri" w:hAnsi="Calibri" w:cs="Calibri"/>
          <w:sz w:val="22"/>
          <w:szCs w:val="22"/>
          <w:lang w:val="en-GB"/>
        </w:rPr>
      </w:pPr>
      <w:r w:rsidRPr="000729CF">
        <w:rPr>
          <w:rFonts w:ascii="Calibri" w:eastAsia="Calibri" w:hAnsi="Calibri" w:cs="Calibri"/>
          <w:sz w:val="22"/>
          <w:szCs w:val="22"/>
          <w:lang w:val="en-GB"/>
        </w:rPr>
        <w:t xml:space="preserve">Work to ensure care leavers have suitable accommodation. </w:t>
      </w:r>
    </w:p>
    <w:p w14:paraId="374F8F52" w14:textId="77777777" w:rsidR="000729CF" w:rsidRPr="000729CF" w:rsidRDefault="000729CF" w:rsidP="000729CF">
      <w:pPr>
        <w:shd w:val="clear" w:color="auto" w:fill="C5E0B3"/>
        <w:spacing w:before="120" w:after="120"/>
        <w:rPr>
          <w:rFonts w:ascii="Calibri" w:eastAsia="Calibri" w:hAnsi="Calibri" w:cs="Calibri"/>
          <w:b/>
          <w:bCs/>
          <w:sz w:val="22"/>
          <w:szCs w:val="22"/>
          <w:lang w:val="en-GB"/>
        </w:rPr>
      </w:pPr>
      <w:r w:rsidRPr="000729CF">
        <w:rPr>
          <w:rFonts w:ascii="Calibri" w:eastAsia="Calibri" w:hAnsi="Calibri" w:cs="Calibri"/>
          <w:b/>
          <w:bCs/>
          <w:sz w:val="22"/>
          <w:szCs w:val="22"/>
          <w:lang w:val="en-GB"/>
        </w:rPr>
        <w:t>A Fair and Inclusive City.</w:t>
      </w:r>
    </w:p>
    <w:p w14:paraId="023A144F" w14:textId="77777777" w:rsidR="000729CF" w:rsidRPr="000729CF" w:rsidRDefault="000729CF" w:rsidP="00CE70A3">
      <w:pPr>
        <w:numPr>
          <w:ilvl w:val="0"/>
          <w:numId w:val="21"/>
        </w:numPr>
        <w:spacing w:before="20" w:after="20" w:line="259" w:lineRule="auto"/>
        <w:ind w:left="284" w:hanging="284"/>
        <w:rPr>
          <w:rFonts w:ascii="Calibri" w:eastAsia="Calibri" w:hAnsi="Calibri" w:cs="Calibri"/>
          <w:sz w:val="22"/>
          <w:szCs w:val="22"/>
          <w:lang w:val="en-GB"/>
        </w:rPr>
      </w:pPr>
      <w:r w:rsidRPr="000729CF">
        <w:rPr>
          <w:rFonts w:ascii="Calibri" w:eastAsia="Calibri" w:hAnsi="Calibri" w:cs="Calibri"/>
          <w:sz w:val="22"/>
          <w:szCs w:val="22"/>
          <w:lang w:val="en-GB"/>
        </w:rPr>
        <w:t xml:space="preserve">Lead on apprenticeship work. </w:t>
      </w:r>
    </w:p>
    <w:p w14:paraId="0929D42C" w14:textId="77777777" w:rsidR="000729CF" w:rsidRPr="000729CF" w:rsidRDefault="000729CF" w:rsidP="00CE70A3">
      <w:pPr>
        <w:numPr>
          <w:ilvl w:val="0"/>
          <w:numId w:val="21"/>
        </w:numPr>
        <w:spacing w:before="20" w:after="20" w:line="259" w:lineRule="auto"/>
        <w:ind w:left="284" w:hanging="284"/>
        <w:rPr>
          <w:rFonts w:ascii="Calibri" w:eastAsia="Calibri" w:hAnsi="Calibri" w:cs="Calibri"/>
          <w:sz w:val="22"/>
          <w:szCs w:val="22"/>
          <w:lang w:val="en-GB"/>
        </w:rPr>
      </w:pPr>
      <w:r w:rsidRPr="000729CF">
        <w:rPr>
          <w:rFonts w:ascii="Calibri" w:eastAsia="Calibri" w:hAnsi="Calibri" w:cs="Calibri"/>
          <w:sz w:val="22"/>
          <w:szCs w:val="22"/>
          <w:lang w:val="en-GB"/>
        </w:rPr>
        <w:t xml:space="preserve">Support the employment and skills city plan. </w:t>
      </w:r>
    </w:p>
    <w:p w14:paraId="24BD5BAE" w14:textId="77777777" w:rsidR="000729CF" w:rsidRPr="000729CF" w:rsidRDefault="000729CF" w:rsidP="00CE70A3">
      <w:pPr>
        <w:numPr>
          <w:ilvl w:val="0"/>
          <w:numId w:val="21"/>
        </w:numPr>
        <w:spacing w:before="20" w:after="20" w:line="259" w:lineRule="auto"/>
        <w:ind w:left="284" w:hanging="284"/>
        <w:contextualSpacing/>
        <w:rPr>
          <w:rFonts w:ascii="Calibri" w:eastAsia="Calibri" w:hAnsi="Calibri" w:cs="Calibri"/>
          <w:sz w:val="22"/>
          <w:szCs w:val="22"/>
          <w:lang w:val="en-GB"/>
        </w:rPr>
      </w:pPr>
      <w:r w:rsidRPr="000729CF">
        <w:rPr>
          <w:rFonts w:ascii="Calibri" w:eastAsia="Calibri" w:hAnsi="Calibri" w:cs="Calibri"/>
          <w:sz w:val="22"/>
          <w:szCs w:val="22"/>
          <w:lang w:val="en-GB"/>
        </w:rPr>
        <w:t xml:space="preserve">Support to schools in delivering equalities curriculums, including anti-racist education. </w:t>
      </w:r>
    </w:p>
    <w:p w14:paraId="0F72D575" w14:textId="77777777" w:rsidR="000729CF" w:rsidRPr="000729CF" w:rsidRDefault="000729CF" w:rsidP="00CE70A3">
      <w:pPr>
        <w:numPr>
          <w:ilvl w:val="0"/>
          <w:numId w:val="21"/>
        </w:numPr>
        <w:spacing w:before="20" w:after="20" w:line="259" w:lineRule="auto"/>
        <w:ind w:left="284" w:hanging="284"/>
        <w:rPr>
          <w:rFonts w:ascii="Calibri" w:eastAsia="Calibri" w:hAnsi="Calibri" w:cs="Calibri"/>
          <w:sz w:val="22"/>
          <w:szCs w:val="22"/>
          <w:lang w:val="en-GB"/>
        </w:rPr>
      </w:pPr>
      <w:r w:rsidRPr="000729CF">
        <w:rPr>
          <w:rFonts w:ascii="Calibri" w:eastAsia="Calibri" w:hAnsi="Calibri" w:cs="Calibri"/>
          <w:sz w:val="22"/>
          <w:szCs w:val="22"/>
          <w:lang w:val="en-GB"/>
        </w:rPr>
        <w:t>Implementing a coproduced all ages SEND Strategy, including improving access for disabled people.</w:t>
      </w:r>
    </w:p>
    <w:p w14:paraId="43739706" w14:textId="77777777" w:rsidR="000729CF" w:rsidRPr="000729CF" w:rsidRDefault="000729CF" w:rsidP="000729CF">
      <w:pPr>
        <w:shd w:val="clear" w:color="auto" w:fill="C5E0B3"/>
        <w:spacing w:before="120" w:after="120"/>
        <w:rPr>
          <w:rFonts w:ascii="Calibri" w:eastAsia="Calibri" w:hAnsi="Calibri" w:cs="Calibri"/>
          <w:b/>
          <w:bCs/>
          <w:sz w:val="22"/>
          <w:szCs w:val="22"/>
          <w:lang w:val="en-GB"/>
        </w:rPr>
      </w:pPr>
      <w:r w:rsidRPr="000729CF">
        <w:rPr>
          <w:rFonts w:ascii="Calibri" w:eastAsia="Calibri" w:hAnsi="Calibri" w:cs="Calibri"/>
          <w:b/>
          <w:bCs/>
          <w:sz w:val="22"/>
          <w:szCs w:val="22"/>
          <w:lang w:val="en-GB"/>
        </w:rPr>
        <w:t>A Healthy City where People Thrive.</w:t>
      </w:r>
    </w:p>
    <w:p w14:paraId="44759523" w14:textId="77777777" w:rsidR="000729CF" w:rsidRPr="000729CF" w:rsidRDefault="000729CF" w:rsidP="00CE70A3">
      <w:pPr>
        <w:numPr>
          <w:ilvl w:val="0"/>
          <w:numId w:val="21"/>
        </w:numPr>
        <w:spacing w:before="20" w:after="20" w:line="259" w:lineRule="auto"/>
        <w:ind w:left="284" w:hanging="284"/>
        <w:rPr>
          <w:rFonts w:ascii="Calibri" w:eastAsia="Calibri" w:hAnsi="Calibri" w:cs="Calibri"/>
          <w:sz w:val="22"/>
          <w:szCs w:val="22"/>
          <w:lang w:val="en-GB"/>
        </w:rPr>
      </w:pPr>
      <w:r w:rsidRPr="000729CF">
        <w:rPr>
          <w:rFonts w:ascii="Calibri" w:eastAsia="Calibri" w:hAnsi="Calibri" w:cs="Calibri"/>
          <w:sz w:val="22"/>
          <w:szCs w:val="22"/>
          <w:lang w:val="en-GB"/>
        </w:rPr>
        <w:t>Keep children and young children safe and ensure no child or family is left behind including recruiting more foster carers and delivering our Corporate Parenting Strategy</w:t>
      </w:r>
    </w:p>
    <w:p w14:paraId="6DE73AAD" w14:textId="77777777" w:rsidR="000729CF" w:rsidRPr="000729CF" w:rsidRDefault="000729CF" w:rsidP="00CE70A3">
      <w:pPr>
        <w:numPr>
          <w:ilvl w:val="0"/>
          <w:numId w:val="21"/>
        </w:numPr>
        <w:spacing w:before="20" w:after="20" w:line="259" w:lineRule="auto"/>
        <w:ind w:left="284" w:hanging="284"/>
        <w:rPr>
          <w:rFonts w:ascii="Calibri" w:eastAsia="Calibri" w:hAnsi="Calibri" w:cs="Calibri"/>
          <w:sz w:val="22"/>
          <w:szCs w:val="22"/>
          <w:lang w:val="en-GB"/>
        </w:rPr>
      </w:pPr>
      <w:r w:rsidRPr="000729CF">
        <w:rPr>
          <w:rFonts w:ascii="Calibri" w:eastAsia="Calibri" w:hAnsi="Calibri" w:cs="Calibri"/>
          <w:sz w:val="22"/>
          <w:szCs w:val="22"/>
          <w:lang w:val="en-GB"/>
        </w:rPr>
        <w:t>Develop our prevention and family support work including delivering new Family Hubs in the city.</w:t>
      </w:r>
    </w:p>
    <w:p w14:paraId="5AC2EC51" w14:textId="77777777" w:rsidR="000729CF" w:rsidRPr="000729CF" w:rsidRDefault="000729CF" w:rsidP="00CE70A3">
      <w:pPr>
        <w:numPr>
          <w:ilvl w:val="0"/>
          <w:numId w:val="21"/>
        </w:numPr>
        <w:spacing w:before="20" w:after="20" w:line="259" w:lineRule="auto"/>
        <w:ind w:left="284" w:hanging="284"/>
        <w:rPr>
          <w:rFonts w:ascii="Calibri" w:eastAsia="Calibri" w:hAnsi="Calibri" w:cs="Calibri"/>
          <w:sz w:val="22"/>
          <w:szCs w:val="22"/>
          <w:lang w:val="en-GB"/>
        </w:rPr>
      </w:pPr>
      <w:r w:rsidRPr="000729CF">
        <w:rPr>
          <w:rFonts w:ascii="Calibri" w:eastAsia="Calibri" w:hAnsi="Calibri" w:cs="Calibri"/>
          <w:sz w:val="22"/>
          <w:szCs w:val="22"/>
          <w:lang w:val="en-GB"/>
        </w:rPr>
        <w:t>Support the provision of high quality and inclusive education from early years through to adult learning.</w:t>
      </w:r>
    </w:p>
    <w:p w14:paraId="02F0C7CE" w14:textId="77777777" w:rsidR="000729CF" w:rsidRPr="000729CF" w:rsidRDefault="000729CF" w:rsidP="00CE70A3">
      <w:pPr>
        <w:numPr>
          <w:ilvl w:val="0"/>
          <w:numId w:val="21"/>
        </w:numPr>
        <w:spacing w:before="20" w:after="20" w:line="259" w:lineRule="auto"/>
        <w:ind w:left="284" w:hanging="284"/>
        <w:rPr>
          <w:rFonts w:ascii="Calibri" w:eastAsia="Calibri" w:hAnsi="Calibri" w:cs="Calibri"/>
          <w:sz w:val="22"/>
          <w:szCs w:val="22"/>
          <w:lang w:val="en-GB"/>
        </w:rPr>
      </w:pPr>
      <w:r w:rsidRPr="000729CF">
        <w:rPr>
          <w:rFonts w:ascii="Calibri" w:eastAsia="Calibri" w:hAnsi="Calibri" w:cs="Calibri"/>
          <w:sz w:val="22"/>
          <w:szCs w:val="22"/>
          <w:lang w:val="en-GB"/>
        </w:rPr>
        <w:t>Work with partners to deliver ambitious employment, training and apprenticeship opportunities.</w:t>
      </w:r>
    </w:p>
    <w:p w14:paraId="6A2DDE49" w14:textId="77777777" w:rsidR="000729CF" w:rsidRPr="000729CF" w:rsidRDefault="000729CF" w:rsidP="000729CF">
      <w:pPr>
        <w:shd w:val="clear" w:color="auto" w:fill="C5E0B3"/>
        <w:spacing w:before="120" w:after="120"/>
        <w:rPr>
          <w:rFonts w:ascii="Calibri" w:eastAsia="Calibri" w:hAnsi="Calibri" w:cs="Calibri"/>
          <w:b/>
          <w:bCs/>
          <w:sz w:val="22"/>
          <w:szCs w:val="22"/>
          <w:lang w:val="en-GB"/>
        </w:rPr>
      </w:pPr>
      <w:r w:rsidRPr="000729CF">
        <w:rPr>
          <w:rFonts w:ascii="Calibri" w:eastAsia="Calibri" w:hAnsi="Calibri" w:cs="Calibri"/>
          <w:b/>
          <w:bCs/>
          <w:sz w:val="22"/>
          <w:szCs w:val="22"/>
          <w:lang w:val="en-GB"/>
        </w:rPr>
        <w:t>A Responsive Council with well-run services.</w:t>
      </w:r>
    </w:p>
    <w:p w14:paraId="7CB5760D" w14:textId="77777777" w:rsidR="000729CF" w:rsidRPr="000729CF" w:rsidRDefault="000729CF" w:rsidP="00CE70A3">
      <w:pPr>
        <w:numPr>
          <w:ilvl w:val="0"/>
          <w:numId w:val="21"/>
        </w:numPr>
        <w:spacing w:before="20" w:after="20" w:line="259" w:lineRule="auto"/>
        <w:ind w:left="284" w:hanging="284"/>
        <w:rPr>
          <w:rFonts w:ascii="Calibri" w:eastAsia="Calibri" w:hAnsi="Calibri" w:cs="Calibri"/>
          <w:sz w:val="22"/>
          <w:szCs w:val="22"/>
          <w:lang w:val="en-GB"/>
        </w:rPr>
        <w:sectPr w:rsidR="000729CF" w:rsidRPr="000729CF" w:rsidSect="001604BB">
          <w:pgSz w:w="16838" w:h="11906" w:orient="landscape"/>
          <w:pgMar w:top="720" w:right="720" w:bottom="720" w:left="720" w:header="708" w:footer="708" w:gutter="0"/>
          <w:cols w:space="708"/>
          <w:docGrid w:linePitch="360"/>
        </w:sectPr>
      </w:pPr>
      <w:r w:rsidRPr="000729CF">
        <w:rPr>
          <w:rFonts w:ascii="Calibri" w:eastAsia="Calibri" w:hAnsi="Calibri" w:cs="Calibri"/>
          <w:sz w:val="22"/>
          <w:szCs w:val="22"/>
          <w:lang w:val="en-GB"/>
        </w:rPr>
        <w:t>Meeting the needs of our residents and other customers through an improved customer offer.</w:t>
      </w:r>
    </w:p>
    <w:p w14:paraId="587ED844" w14:textId="77777777" w:rsidR="000729CF" w:rsidRPr="000729CF" w:rsidRDefault="000729CF" w:rsidP="000729CF">
      <w:pPr>
        <w:spacing w:after="160" w:line="259" w:lineRule="auto"/>
        <w:rPr>
          <w:rFonts w:ascii="Calibri" w:eastAsia="Calibri" w:hAnsi="Calibri"/>
          <w:sz w:val="22"/>
          <w:szCs w:val="22"/>
          <w:lang w:val="en-GB"/>
        </w:rPr>
      </w:pPr>
    </w:p>
    <w:tbl>
      <w:tblPr>
        <w:tblW w:w="5000" w:type="pct"/>
        <w:tblLook w:val="04A0" w:firstRow="1" w:lastRow="0" w:firstColumn="1" w:lastColumn="0" w:noHBand="0" w:noVBand="1"/>
      </w:tblPr>
      <w:tblGrid>
        <w:gridCol w:w="2121"/>
        <w:gridCol w:w="5672"/>
        <w:gridCol w:w="6232"/>
        <w:gridCol w:w="1363"/>
      </w:tblGrid>
      <w:tr w:rsidR="000729CF" w:rsidRPr="000729CF" w14:paraId="580DE09D" w14:textId="77777777" w:rsidTr="00BC26AB">
        <w:trPr>
          <w:trHeight w:val="20"/>
          <w:tblHeader/>
        </w:trPr>
        <w:tc>
          <w:tcPr>
            <w:tcW w:w="689" w:type="pct"/>
            <w:vMerge w:val="restart"/>
            <w:tcBorders>
              <w:top w:val="single" w:sz="4" w:space="0" w:color="auto"/>
              <w:left w:val="single" w:sz="4" w:space="0" w:color="auto"/>
              <w:bottom w:val="single" w:sz="4" w:space="0" w:color="auto"/>
              <w:right w:val="single" w:sz="4" w:space="0" w:color="auto"/>
            </w:tcBorders>
            <w:shd w:val="clear" w:color="000000" w:fill="A6A6A6"/>
            <w:tcMar>
              <w:left w:w="45" w:type="dxa"/>
              <w:right w:w="45" w:type="dxa"/>
            </w:tcMar>
            <w:vAlign w:val="bottom"/>
            <w:hideMark/>
          </w:tcPr>
          <w:p w14:paraId="153B992C" w14:textId="77777777" w:rsidR="000729CF" w:rsidRPr="000729CF" w:rsidRDefault="000729CF" w:rsidP="000729CF">
            <w:pPr>
              <w:jc w:val="cente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Section</w:t>
            </w:r>
          </w:p>
        </w:tc>
        <w:tc>
          <w:tcPr>
            <w:tcW w:w="1843" w:type="pct"/>
            <w:vMerge w:val="restart"/>
            <w:tcBorders>
              <w:top w:val="single" w:sz="4" w:space="0" w:color="auto"/>
              <w:left w:val="single" w:sz="4" w:space="0" w:color="auto"/>
              <w:bottom w:val="single" w:sz="4" w:space="0" w:color="auto"/>
              <w:right w:val="single" w:sz="4" w:space="0" w:color="auto"/>
            </w:tcBorders>
            <w:shd w:val="clear" w:color="000000" w:fill="A6A6A6"/>
            <w:tcMar>
              <w:left w:w="45" w:type="dxa"/>
              <w:right w:w="45" w:type="dxa"/>
            </w:tcMar>
            <w:vAlign w:val="bottom"/>
            <w:hideMark/>
          </w:tcPr>
          <w:p w14:paraId="2A6FF91D" w14:textId="77777777" w:rsidR="000729CF" w:rsidRPr="000729CF" w:rsidRDefault="000729CF" w:rsidP="000729CF">
            <w:pPr>
              <w:jc w:val="cente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Service Area</w:t>
            </w:r>
          </w:p>
        </w:tc>
        <w:tc>
          <w:tcPr>
            <w:tcW w:w="2025" w:type="pct"/>
            <w:vMerge w:val="restart"/>
            <w:tcBorders>
              <w:top w:val="single" w:sz="4" w:space="0" w:color="auto"/>
              <w:left w:val="single" w:sz="4" w:space="0" w:color="auto"/>
              <w:bottom w:val="single" w:sz="4" w:space="0" w:color="auto"/>
              <w:right w:val="single" w:sz="4" w:space="0" w:color="auto"/>
            </w:tcBorders>
            <w:shd w:val="clear" w:color="000000" w:fill="A6A6A6"/>
            <w:tcMar>
              <w:left w:w="45" w:type="dxa"/>
              <w:right w:w="45" w:type="dxa"/>
            </w:tcMar>
            <w:vAlign w:val="bottom"/>
            <w:hideMark/>
          </w:tcPr>
          <w:p w14:paraId="24B495FE" w14:textId="77777777" w:rsidR="000729CF" w:rsidRPr="000729CF" w:rsidRDefault="000729CF" w:rsidP="000729CF">
            <w:pPr>
              <w:jc w:val="cente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Brief Summary of Budget Proposal/Strategy and Risks</w:t>
            </w:r>
          </w:p>
        </w:tc>
        <w:tc>
          <w:tcPr>
            <w:tcW w:w="443" w:type="pct"/>
            <w:tcBorders>
              <w:top w:val="single" w:sz="4" w:space="0" w:color="auto"/>
              <w:left w:val="nil"/>
              <w:bottom w:val="single" w:sz="4" w:space="0" w:color="auto"/>
              <w:right w:val="single" w:sz="4" w:space="0" w:color="auto"/>
            </w:tcBorders>
            <w:shd w:val="clear" w:color="000000" w:fill="A6A6A6"/>
            <w:tcMar>
              <w:left w:w="45" w:type="dxa"/>
              <w:right w:w="45" w:type="dxa"/>
            </w:tcMar>
            <w:vAlign w:val="bottom"/>
            <w:hideMark/>
          </w:tcPr>
          <w:p w14:paraId="3EEAFD8D" w14:textId="77777777" w:rsidR="000729CF" w:rsidRPr="000729CF" w:rsidRDefault="000729CF" w:rsidP="000729CF">
            <w:pPr>
              <w:jc w:val="cente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Total Savings Proposed 2024/25</w:t>
            </w:r>
          </w:p>
        </w:tc>
      </w:tr>
      <w:tr w:rsidR="000729CF" w:rsidRPr="000729CF" w14:paraId="2633D21F" w14:textId="77777777" w:rsidTr="00BC26AB">
        <w:trPr>
          <w:trHeight w:val="20"/>
          <w:tblHeader/>
        </w:trPr>
        <w:tc>
          <w:tcPr>
            <w:tcW w:w="689" w:type="pct"/>
            <w:vMerge/>
            <w:tcBorders>
              <w:top w:val="single" w:sz="4" w:space="0" w:color="auto"/>
              <w:left w:val="single" w:sz="4" w:space="0" w:color="auto"/>
              <w:bottom w:val="single" w:sz="4" w:space="0" w:color="auto"/>
              <w:right w:val="single" w:sz="4" w:space="0" w:color="auto"/>
            </w:tcBorders>
            <w:tcMar>
              <w:left w:w="45" w:type="dxa"/>
              <w:right w:w="45" w:type="dxa"/>
            </w:tcMar>
            <w:vAlign w:val="center"/>
            <w:hideMark/>
          </w:tcPr>
          <w:p w14:paraId="276ED16F" w14:textId="77777777" w:rsidR="000729CF" w:rsidRPr="000729CF" w:rsidRDefault="000729CF" w:rsidP="000729CF">
            <w:pPr>
              <w:rPr>
                <w:rFonts w:ascii="Calibri" w:hAnsi="Calibri" w:cs="Calibri"/>
                <w:b/>
                <w:bCs/>
                <w:color w:val="000000"/>
                <w:sz w:val="22"/>
                <w:szCs w:val="22"/>
                <w:lang w:val="en-GB" w:eastAsia="en-GB"/>
              </w:rPr>
            </w:pPr>
          </w:p>
        </w:tc>
        <w:tc>
          <w:tcPr>
            <w:tcW w:w="1843" w:type="pct"/>
            <w:vMerge/>
            <w:tcBorders>
              <w:top w:val="single" w:sz="4" w:space="0" w:color="auto"/>
              <w:left w:val="single" w:sz="4" w:space="0" w:color="auto"/>
              <w:bottom w:val="single" w:sz="4" w:space="0" w:color="auto"/>
              <w:right w:val="single" w:sz="4" w:space="0" w:color="auto"/>
            </w:tcBorders>
            <w:tcMar>
              <w:left w:w="45" w:type="dxa"/>
              <w:right w:w="45" w:type="dxa"/>
            </w:tcMar>
            <w:vAlign w:val="center"/>
            <w:hideMark/>
          </w:tcPr>
          <w:p w14:paraId="61656677" w14:textId="77777777" w:rsidR="000729CF" w:rsidRPr="000729CF" w:rsidRDefault="000729CF" w:rsidP="000729CF">
            <w:pPr>
              <w:rPr>
                <w:rFonts w:ascii="Calibri" w:hAnsi="Calibri" w:cs="Calibri"/>
                <w:b/>
                <w:bCs/>
                <w:color w:val="000000"/>
                <w:sz w:val="22"/>
                <w:szCs w:val="22"/>
                <w:lang w:val="en-GB" w:eastAsia="en-GB"/>
              </w:rPr>
            </w:pPr>
          </w:p>
        </w:tc>
        <w:tc>
          <w:tcPr>
            <w:tcW w:w="2025" w:type="pct"/>
            <w:vMerge/>
            <w:tcBorders>
              <w:top w:val="single" w:sz="4" w:space="0" w:color="auto"/>
              <w:left w:val="single" w:sz="4" w:space="0" w:color="auto"/>
              <w:bottom w:val="single" w:sz="4" w:space="0" w:color="auto"/>
              <w:right w:val="single" w:sz="4" w:space="0" w:color="auto"/>
            </w:tcBorders>
            <w:tcMar>
              <w:left w:w="45" w:type="dxa"/>
              <w:right w:w="45" w:type="dxa"/>
            </w:tcMar>
            <w:vAlign w:val="center"/>
            <w:hideMark/>
          </w:tcPr>
          <w:p w14:paraId="0A18C697" w14:textId="77777777" w:rsidR="000729CF" w:rsidRPr="000729CF" w:rsidRDefault="000729CF" w:rsidP="000729CF">
            <w:pPr>
              <w:rPr>
                <w:rFonts w:ascii="Calibri" w:hAnsi="Calibri" w:cs="Calibri"/>
                <w:b/>
                <w:bCs/>
                <w:color w:val="000000"/>
                <w:sz w:val="22"/>
                <w:szCs w:val="22"/>
                <w:lang w:val="en-GB" w:eastAsia="en-GB"/>
              </w:rPr>
            </w:pPr>
          </w:p>
        </w:tc>
        <w:tc>
          <w:tcPr>
            <w:tcW w:w="443" w:type="pct"/>
            <w:tcBorders>
              <w:top w:val="single" w:sz="4" w:space="0" w:color="auto"/>
              <w:left w:val="nil"/>
              <w:bottom w:val="single" w:sz="4" w:space="0" w:color="auto"/>
              <w:right w:val="single" w:sz="4" w:space="0" w:color="auto"/>
            </w:tcBorders>
            <w:shd w:val="clear" w:color="000000" w:fill="A6A6A6"/>
            <w:tcMar>
              <w:left w:w="45" w:type="dxa"/>
              <w:right w:w="45" w:type="dxa"/>
            </w:tcMar>
            <w:vAlign w:val="bottom"/>
            <w:hideMark/>
          </w:tcPr>
          <w:p w14:paraId="73873CC9" w14:textId="77777777" w:rsidR="000729CF" w:rsidRPr="000729CF" w:rsidRDefault="000729CF" w:rsidP="000729CF">
            <w:pPr>
              <w:jc w:val="cente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£'000</w:t>
            </w:r>
          </w:p>
        </w:tc>
      </w:tr>
      <w:tr w:rsidR="000729CF" w:rsidRPr="000729CF" w14:paraId="601367C9" w14:textId="77777777" w:rsidTr="00BC26AB">
        <w:trPr>
          <w:trHeight w:val="20"/>
        </w:trPr>
        <w:tc>
          <w:tcPr>
            <w:tcW w:w="4557" w:type="pct"/>
            <w:gridSpan w:val="3"/>
            <w:tcBorders>
              <w:top w:val="single" w:sz="4" w:space="0" w:color="auto"/>
              <w:left w:val="single" w:sz="4" w:space="0" w:color="auto"/>
              <w:bottom w:val="single" w:sz="4" w:space="0" w:color="auto"/>
              <w:right w:val="nil"/>
            </w:tcBorders>
            <w:shd w:val="clear" w:color="000000" w:fill="000000"/>
            <w:noWrap/>
            <w:tcMar>
              <w:left w:w="45" w:type="dxa"/>
              <w:right w:w="45" w:type="dxa"/>
            </w:tcMar>
            <w:hideMark/>
          </w:tcPr>
          <w:p w14:paraId="2D10C6B4"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Families, Children &amp; Learning</w:t>
            </w:r>
          </w:p>
        </w:tc>
        <w:tc>
          <w:tcPr>
            <w:tcW w:w="443" w:type="pct"/>
            <w:tcBorders>
              <w:top w:val="single" w:sz="4" w:space="0" w:color="auto"/>
              <w:left w:val="nil"/>
              <w:bottom w:val="single" w:sz="4" w:space="0" w:color="auto"/>
              <w:right w:val="single" w:sz="4" w:space="0" w:color="auto"/>
            </w:tcBorders>
            <w:shd w:val="clear" w:color="000000" w:fill="000000"/>
            <w:noWrap/>
            <w:tcMar>
              <w:left w:w="45" w:type="dxa"/>
              <w:right w:w="45" w:type="dxa"/>
            </w:tcMar>
            <w:hideMark/>
          </w:tcPr>
          <w:p w14:paraId="77A3C041"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 </w:t>
            </w:r>
          </w:p>
        </w:tc>
      </w:tr>
      <w:tr w:rsidR="000729CF" w:rsidRPr="000729CF" w14:paraId="14BF46F6" w14:textId="77777777" w:rsidTr="00BC26AB">
        <w:trPr>
          <w:trHeight w:val="20"/>
        </w:trPr>
        <w:tc>
          <w:tcPr>
            <w:tcW w:w="4557" w:type="pct"/>
            <w:gridSpan w:val="3"/>
            <w:tcBorders>
              <w:top w:val="single" w:sz="4" w:space="0" w:color="auto"/>
              <w:left w:val="single" w:sz="4" w:space="0" w:color="auto"/>
              <w:bottom w:val="single" w:sz="4" w:space="0" w:color="auto"/>
              <w:right w:val="nil"/>
            </w:tcBorders>
            <w:shd w:val="clear" w:color="000000" w:fill="000000"/>
            <w:noWrap/>
            <w:tcMar>
              <w:left w:w="45" w:type="dxa"/>
              <w:right w:w="45" w:type="dxa"/>
            </w:tcMar>
            <w:hideMark/>
          </w:tcPr>
          <w:p w14:paraId="638172B1"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Director of Families, Children &amp; Learning</w:t>
            </w:r>
          </w:p>
        </w:tc>
        <w:tc>
          <w:tcPr>
            <w:tcW w:w="443" w:type="pct"/>
            <w:tcBorders>
              <w:top w:val="single" w:sz="4" w:space="0" w:color="auto"/>
              <w:left w:val="nil"/>
              <w:bottom w:val="single" w:sz="4" w:space="0" w:color="auto"/>
              <w:right w:val="single" w:sz="4" w:space="0" w:color="auto"/>
            </w:tcBorders>
            <w:shd w:val="clear" w:color="000000" w:fill="000000"/>
            <w:noWrap/>
            <w:tcMar>
              <w:left w:w="45" w:type="dxa"/>
              <w:right w:w="45" w:type="dxa"/>
            </w:tcMar>
            <w:hideMark/>
          </w:tcPr>
          <w:p w14:paraId="7819E6FC"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 </w:t>
            </w:r>
          </w:p>
        </w:tc>
      </w:tr>
      <w:tr w:rsidR="000729CF" w:rsidRPr="000729CF" w14:paraId="301ED899" w14:textId="77777777" w:rsidTr="00BC26AB">
        <w:trPr>
          <w:trHeight w:val="20"/>
        </w:trPr>
        <w:tc>
          <w:tcPr>
            <w:tcW w:w="689"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09121720"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Director of Families, Children and Learning</w:t>
            </w:r>
          </w:p>
        </w:tc>
        <w:tc>
          <w:tcPr>
            <w:tcW w:w="1843" w:type="pct"/>
            <w:tcBorders>
              <w:top w:val="nil"/>
              <w:left w:val="nil"/>
              <w:bottom w:val="single" w:sz="4" w:space="0" w:color="auto"/>
              <w:right w:val="single" w:sz="4" w:space="0" w:color="auto"/>
            </w:tcBorders>
            <w:shd w:val="clear" w:color="auto" w:fill="auto"/>
            <w:tcMar>
              <w:left w:w="45" w:type="dxa"/>
              <w:right w:w="45" w:type="dxa"/>
            </w:tcMar>
            <w:hideMark/>
          </w:tcPr>
          <w:p w14:paraId="160DCC3E"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Salary and directorate support costs for the Director and support staff</w:t>
            </w:r>
          </w:p>
        </w:tc>
        <w:tc>
          <w:tcPr>
            <w:tcW w:w="2025" w:type="pct"/>
            <w:tcBorders>
              <w:top w:val="nil"/>
              <w:left w:val="nil"/>
              <w:bottom w:val="single" w:sz="4" w:space="0" w:color="auto"/>
              <w:right w:val="single" w:sz="4" w:space="0" w:color="auto"/>
            </w:tcBorders>
            <w:shd w:val="clear" w:color="auto" w:fill="auto"/>
            <w:tcMar>
              <w:left w:w="45" w:type="dxa"/>
              <w:right w:w="45" w:type="dxa"/>
            </w:tcMar>
            <w:hideMark/>
          </w:tcPr>
          <w:p w14:paraId="2A61210B"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No proposed saving - Director of Children's Services (DCS) role is a statutory requirement.</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6B3D7783"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6B59710A" w14:textId="77777777" w:rsidTr="00BC26AB">
        <w:trPr>
          <w:trHeight w:val="20"/>
        </w:trPr>
        <w:tc>
          <w:tcPr>
            <w:tcW w:w="2532" w:type="pct"/>
            <w:gridSpan w:val="2"/>
            <w:tcBorders>
              <w:top w:val="single" w:sz="4" w:space="0" w:color="auto"/>
              <w:left w:val="single" w:sz="4" w:space="0" w:color="auto"/>
              <w:bottom w:val="single" w:sz="4" w:space="0" w:color="auto"/>
              <w:right w:val="single" w:sz="4" w:space="0" w:color="auto"/>
            </w:tcBorders>
            <w:shd w:val="clear" w:color="000000" w:fill="A6A6A6"/>
            <w:noWrap/>
            <w:tcMar>
              <w:left w:w="45" w:type="dxa"/>
              <w:right w:w="45" w:type="dxa"/>
            </w:tcMar>
            <w:hideMark/>
          </w:tcPr>
          <w:p w14:paraId="2A6830BD"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Director of Families, Children &amp; Learning Total</w:t>
            </w:r>
          </w:p>
        </w:tc>
        <w:tc>
          <w:tcPr>
            <w:tcW w:w="2025" w:type="pct"/>
            <w:tcBorders>
              <w:top w:val="nil"/>
              <w:left w:val="nil"/>
              <w:bottom w:val="single" w:sz="4" w:space="0" w:color="auto"/>
              <w:right w:val="single" w:sz="4" w:space="0" w:color="auto"/>
            </w:tcBorders>
            <w:shd w:val="clear" w:color="000000" w:fill="A6A6A6"/>
            <w:noWrap/>
            <w:tcMar>
              <w:left w:w="45" w:type="dxa"/>
              <w:right w:w="45" w:type="dxa"/>
            </w:tcMar>
            <w:hideMark/>
          </w:tcPr>
          <w:p w14:paraId="7A227D40"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w:t>
            </w:r>
          </w:p>
        </w:tc>
        <w:tc>
          <w:tcPr>
            <w:tcW w:w="443" w:type="pct"/>
            <w:tcBorders>
              <w:top w:val="nil"/>
              <w:left w:val="nil"/>
              <w:bottom w:val="single" w:sz="4" w:space="0" w:color="auto"/>
              <w:right w:val="single" w:sz="4" w:space="0" w:color="auto"/>
            </w:tcBorders>
            <w:shd w:val="clear" w:color="000000" w:fill="A6A6A6"/>
            <w:noWrap/>
            <w:tcMar>
              <w:left w:w="45" w:type="dxa"/>
              <w:right w:w="45" w:type="dxa"/>
            </w:tcMar>
            <w:hideMark/>
          </w:tcPr>
          <w:p w14:paraId="182C021A"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4E0E2BB9" w14:textId="77777777" w:rsidTr="00BC26AB">
        <w:trPr>
          <w:trHeight w:val="20"/>
        </w:trPr>
        <w:tc>
          <w:tcPr>
            <w:tcW w:w="4557" w:type="pct"/>
            <w:gridSpan w:val="3"/>
            <w:tcBorders>
              <w:top w:val="single" w:sz="4" w:space="0" w:color="auto"/>
              <w:left w:val="single" w:sz="4" w:space="0" w:color="auto"/>
              <w:bottom w:val="single" w:sz="4" w:space="0" w:color="auto"/>
              <w:right w:val="nil"/>
            </w:tcBorders>
            <w:shd w:val="clear" w:color="000000" w:fill="000000"/>
            <w:noWrap/>
            <w:tcMar>
              <w:left w:w="45" w:type="dxa"/>
              <w:right w:w="45" w:type="dxa"/>
            </w:tcMar>
            <w:hideMark/>
          </w:tcPr>
          <w:p w14:paraId="6152856A"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Health, SEN &amp; Disability Services</w:t>
            </w:r>
          </w:p>
        </w:tc>
        <w:tc>
          <w:tcPr>
            <w:tcW w:w="443" w:type="pct"/>
            <w:tcBorders>
              <w:top w:val="nil"/>
              <w:left w:val="nil"/>
              <w:bottom w:val="single" w:sz="4" w:space="0" w:color="auto"/>
              <w:right w:val="single" w:sz="4" w:space="0" w:color="auto"/>
            </w:tcBorders>
            <w:shd w:val="clear" w:color="000000" w:fill="000000"/>
            <w:noWrap/>
            <w:tcMar>
              <w:left w:w="45" w:type="dxa"/>
              <w:right w:w="45" w:type="dxa"/>
            </w:tcMar>
            <w:hideMark/>
          </w:tcPr>
          <w:p w14:paraId="35D52C38"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 </w:t>
            </w:r>
          </w:p>
        </w:tc>
      </w:tr>
      <w:tr w:rsidR="000729CF" w:rsidRPr="000729CF" w14:paraId="791BE592" w14:textId="77777777" w:rsidTr="00BC26AB">
        <w:trPr>
          <w:trHeight w:val="20"/>
        </w:trPr>
        <w:tc>
          <w:tcPr>
            <w:tcW w:w="689"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10B027B6"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Services for children with disabilities</w:t>
            </w:r>
          </w:p>
        </w:tc>
        <w:tc>
          <w:tcPr>
            <w:tcW w:w="1843" w:type="pct"/>
            <w:tcBorders>
              <w:top w:val="nil"/>
              <w:left w:val="nil"/>
              <w:bottom w:val="single" w:sz="4" w:space="0" w:color="auto"/>
              <w:right w:val="single" w:sz="4" w:space="0" w:color="auto"/>
            </w:tcBorders>
            <w:shd w:val="clear" w:color="auto" w:fill="auto"/>
            <w:tcMar>
              <w:left w:w="45" w:type="dxa"/>
              <w:right w:w="45" w:type="dxa"/>
            </w:tcMar>
            <w:hideMark/>
          </w:tcPr>
          <w:p w14:paraId="50F019E1"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Residential, respite and short breaks.</w:t>
            </w:r>
          </w:p>
        </w:tc>
        <w:tc>
          <w:tcPr>
            <w:tcW w:w="2025" w:type="pct"/>
            <w:tcBorders>
              <w:top w:val="nil"/>
              <w:left w:val="nil"/>
              <w:bottom w:val="single" w:sz="4" w:space="0" w:color="auto"/>
              <w:right w:val="single" w:sz="4" w:space="0" w:color="auto"/>
            </w:tcBorders>
            <w:shd w:val="clear" w:color="auto" w:fill="auto"/>
            <w:tcMar>
              <w:left w:w="45" w:type="dxa"/>
              <w:right w:w="45" w:type="dxa"/>
            </w:tcMar>
            <w:hideMark/>
          </w:tcPr>
          <w:p w14:paraId="261D9F63"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Re-designate Tudor House as a full-time residential care placement facility for 4 children and young people with complex needs. This would enable the service to bring 4 children currently receiving their care and education outside of the city back into local provision. The full short-breaks capacity of Drove Road is not being utilised and the aim would be to transfer those children currently receiving short breaks at Tudor House to Drove Road. See EIA 1.</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597859DA"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504 </w:t>
            </w:r>
          </w:p>
        </w:tc>
      </w:tr>
      <w:tr w:rsidR="000729CF" w:rsidRPr="000729CF" w14:paraId="78E5AAED" w14:textId="77777777" w:rsidTr="00BC26AB">
        <w:trPr>
          <w:trHeight w:val="20"/>
        </w:trPr>
        <w:tc>
          <w:tcPr>
            <w:tcW w:w="689"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3E430907"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Services for children with disabilities and Adults with learning disabilities</w:t>
            </w:r>
          </w:p>
        </w:tc>
        <w:tc>
          <w:tcPr>
            <w:tcW w:w="1843" w:type="pct"/>
            <w:tcBorders>
              <w:top w:val="nil"/>
              <w:left w:val="nil"/>
              <w:bottom w:val="single" w:sz="4" w:space="0" w:color="auto"/>
              <w:right w:val="single" w:sz="4" w:space="0" w:color="auto"/>
            </w:tcBorders>
            <w:shd w:val="clear" w:color="auto" w:fill="auto"/>
            <w:tcMar>
              <w:left w:w="45" w:type="dxa"/>
              <w:right w:w="45" w:type="dxa"/>
            </w:tcMar>
            <w:hideMark/>
          </w:tcPr>
          <w:p w14:paraId="2CBE161B"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Management, assessment, operations and admin</w:t>
            </w:r>
          </w:p>
        </w:tc>
        <w:tc>
          <w:tcPr>
            <w:tcW w:w="2025" w:type="pct"/>
            <w:tcBorders>
              <w:top w:val="nil"/>
              <w:left w:val="nil"/>
              <w:bottom w:val="single" w:sz="4" w:space="0" w:color="auto"/>
              <w:right w:val="single" w:sz="4" w:space="0" w:color="auto"/>
            </w:tcBorders>
            <w:shd w:val="clear" w:color="auto" w:fill="auto"/>
            <w:tcMar>
              <w:left w:w="45" w:type="dxa"/>
              <w:right w:w="45" w:type="dxa"/>
            </w:tcMar>
            <w:hideMark/>
          </w:tcPr>
          <w:p w14:paraId="1362C501"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No saving opportunity identified in this statutory service with a budget under pressure due to demand.</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4F2C7DDF"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7593DE6A" w14:textId="77777777" w:rsidTr="00BC26AB">
        <w:trPr>
          <w:trHeight w:val="20"/>
        </w:trPr>
        <w:tc>
          <w:tcPr>
            <w:tcW w:w="689"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1DDB3AEA"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Services for children with disabilities</w:t>
            </w:r>
          </w:p>
        </w:tc>
        <w:tc>
          <w:tcPr>
            <w:tcW w:w="1843" w:type="pct"/>
            <w:tcBorders>
              <w:top w:val="nil"/>
              <w:left w:val="nil"/>
              <w:bottom w:val="single" w:sz="4" w:space="0" w:color="auto"/>
              <w:right w:val="single" w:sz="4" w:space="0" w:color="auto"/>
            </w:tcBorders>
            <w:shd w:val="clear" w:color="auto" w:fill="auto"/>
            <w:tcMar>
              <w:left w:w="45" w:type="dxa"/>
              <w:right w:w="45" w:type="dxa"/>
            </w:tcMar>
            <w:hideMark/>
          </w:tcPr>
          <w:p w14:paraId="7E6FDD60"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Direct payments</w:t>
            </w:r>
          </w:p>
        </w:tc>
        <w:tc>
          <w:tcPr>
            <w:tcW w:w="2025" w:type="pct"/>
            <w:tcBorders>
              <w:top w:val="nil"/>
              <w:left w:val="nil"/>
              <w:bottom w:val="single" w:sz="4" w:space="0" w:color="auto"/>
              <w:right w:val="single" w:sz="4" w:space="0" w:color="auto"/>
            </w:tcBorders>
            <w:shd w:val="clear" w:color="auto" w:fill="auto"/>
            <w:tcMar>
              <w:left w:w="45" w:type="dxa"/>
              <w:right w:w="45" w:type="dxa"/>
            </w:tcMar>
            <w:hideMark/>
          </w:tcPr>
          <w:p w14:paraId="248C98D3"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Efficiency saving linked to a wider review of direct payment arrangements and pending completion of a revised policy.</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40CF8E53"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50 </w:t>
            </w:r>
          </w:p>
        </w:tc>
      </w:tr>
      <w:tr w:rsidR="000729CF" w:rsidRPr="000729CF" w14:paraId="1F4DAE53" w14:textId="77777777" w:rsidTr="00BC26AB">
        <w:trPr>
          <w:trHeight w:val="20"/>
        </w:trPr>
        <w:tc>
          <w:tcPr>
            <w:tcW w:w="689"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44C887A9"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Services for children with disabilities</w:t>
            </w:r>
          </w:p>
        </w:tc>
        <w:tc>
          <w:tcPr>
            <w:tcW w:w="1843" w:type="pct"/>
            <w:tcBorders>
              <w:top w:val="nil"/>
              <w:left w:val="nil"/>
              <w:bottom w:val="single" w:sz="4" w:space="0" w:color="auto"/>
              <w:right w:val="single" w:sz="4" w:space="0" w:color="auto"/>
            </w:tcBorders>
            <w:shd w:val="clear" w:color="auto" w:fill="auto"/>
            <w:tcMar>
              <w:left w:w="45" w:type="dxa"/>
              <w:right w:w="45" w:type="dxa"/>
            </w:tcMar>
            <w:hideMark/>
          </w:tcPr>
          <w:p w14:paraId="5C0941AC"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Family support services </w:t>
            </w:r>
          </w:p>
        </w:tc>
        <w:tc>
          <w:tcPr>
            <w:tcW w:w="2025" w:type="pct"/>
            <w:tcBorders>
              <w:top w:val="nil"/>
              <w:left w:val="nil"/>
              <w:bottom w:val="single" w:sz="4" w:space="0" w:color="auto"/>
              <w:right w:val="single" w:sz="4" w:space="0" w:color="auto"/>
            </w:tcBorders>
            <w:shd w:val="clear" w:color="auto" w:fill="auto"/>
            <w:tcMar>
              <w:left w:w="45" w:type="dxa"/>
              <w:right w:w="45" w:type="dxa"/>
            </w:tcMar>
            <w:hideMark/>
          </w:tcPr>
          <w:p w14:paraId="6A29572C"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Reduction of Outreach Service - supports SEND children and families and is linked to provision of extended day services. Impact would be mitigated by development of support to families around Personal Assistant use and direct payments. See EIA 2.</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4F021E35"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115 </w:t>
            </w:r>
          </w:p>
        </w:tc>
      </w:tr>
      <w:tr w:rsidR="000729CF" w:rsidRPr="000729CF" w14:paraId="695154FB" w14:textId="77777777" w:rsidTr="00BC26AB">
        <w:trPr>
          <w:trHeight w:val="20"/>
        </w:trPr>
        <w:tc>
          <w:tcPr>
            <w:tcW w:w="689"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02255C2E"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Services for children with disabilities</w:t>
            </w:r>
          </w:p>
        </w:tc>
        <w:tc>
          <w:tcPr>
            <w:tcW w:w="1843" w:type="pct"/>
            <w:tcBorders>
              <w:top w:val="nil"/>
              <w:left w:val="nil"/>
              <w:bottom w:val="single" w:sz="4" w:space="0" w:color="auto"/>
              <w:right w:val="single" w:sz="4" w:space="0" w:color="auto"/>
            </w:tcBorders>
            <w:shd w:val="clear" w:color="auto" w:fill="auto"/>
            <w:tcMar>
              <w:left w:w="45" w:type="dxa"/>
              <w:right w:w="45" w:type="dxa"/>
            </w:tcMar>
            <w:hideMark/>
          </w:tcPr>
          <w:p w14:paraId="6E4E02C3"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Contracted services, adaptations, management</w:t>
            </w:r>
          </w:p>
        </w:tc>
        <w:tc>
          <w:tcPr>
            <w:tcW w:w="2025" w:type="pct"/>
            <w:tcBorders>
              <w:top w:val="nil"/>
              <w:left w:val="nil"/>
              <w:bottom w:val="single" w:sz="4" w:space="0" w:color="auto"/>
              <w:right w:val="single" w:sz="4" w:space="0" w:color="auto"/>
            </w:tcBorders>
            <w:shd w:val="clear" w:color="auto" w:fill="auto"/>
            <w:tcMar>
              <w:left w:w="45" w:type="dxa"/>
              <w:right w:w="45" w:type="dxa"/>
            </w:tcMar>
            <w:hideMark/>
          </w:tcPr>
          <w:p w14:paraId="41CCD992"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Efficiencies in the reprocuring of after school provision linked to contracts formerly delivered by third parties</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6AC381A4"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32 </w:t>
            </w:r>
          </w:p>
        </w:tc>
      </w:tr>
      <w:tr w:rsidR="000729CF" w:rsidRPr="000729CF" w14:paraId="0CDE1BA8" w14:textId="77777777" w:rsidTr="00BC26AB">
        <w:trPr>
          <w:trHeight w:val="20"/>
        </w:trPr>
        <w:tc>
          <w:tcPr>
            <w:tcW w:w="689"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70360A4E"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Agency placements - disabled children</w:t>
            </w:r>
          </w:p>
        </w:tc>
        <w:tc>
          <w:tcPr>
            <w:tcW w:w="1843" w:type="pct"/>
            <w:tcBorders>
              <w:top w:val="nil"/>
              <w:left w:val="nil"/>
              <w:bottom w:val="single" w:sz="4" w:space="0" w:color="auto"/>
              <w:right w:val="single" w:sz="4" w:space="0" w:color="auto"/>
            </w:tcBorders>
            <w:shd w:val="clear" w:color="auto" w:fill="auto"/>
            <w:tcMar>
              <w:left w:w="45" w:type="dxa"/>
              <w:right w:w="45" w:type="dxa"/>
            </w:tcMar>
            <w:hideMark/>
          </w:tcPr>
          <w:p w14:paraId="64364C78"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xml:space="preserve">Independent and non maintained children's homes, special schools and boarding school placements </w:t>
            </w:r>
          </w:p>
        </w:tc>
        <w:tc>
          <w:tcPr>
            <w:tcW w:w="2025" w:type="pct"/>
            <w:tcBorders>
              <w:top w:val="nil"/>
              <w:left w:val="nil"/>
              <w:bottom w:val="single" w:sz="4" w:space="0" w:color="auto"/>
              <w:right w:val="single" w:sz="4" w:space="0" w:color="auto"/>
            </w:tcBorders>
            <w:shd w:val="clear" w:color="auto" w:fill="auto"/>
            <w:tcMar>
              <w:left w:w="45" w:type="dxa"/>
              <w:right w:w="45" w:type="dxa"/>
            </w:tcMar>
            <w:hideMark/>
          </w:tcPr>
          <w:p w14:paraId="1220746F"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Limit the number of expensive external residential placements through commissioning and brokerage work (£0.250m).  Risk: this is a demand-led budget that has to respond to presenting needs, including high cost placements. See EIA 3.</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021F7BD4"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250 </w:t>
            </w:r>
          </w:p>
        </w:tc>
      </w:tr>
      <w:tr w:rsidR="000729CF" w:rsidRPr="000729CF" w14:paraId="0D4DFDF4" w14:textId="77777777" w:rsidTr="00BC26AB">
        <w:trPr>
          <w:trHeight w:val="20"/>
        </w:trPr>
        <w:tc>
          <w:tcPr>
            <w:tcW w:w="689"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3FD7B2E2"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Special educational needs</w:t>
            </w:r>
          </w:p>
        </w:tc>
        <w:tc>
          <w:tcPr>
            <w:tcW w:w="1843" w:type="pct"/>
            <w:tcBorders>
              <w:top w:val="nil"/>
              <w:left w:val="nil"/>
              <w:bottom w:val="single" w:sz="4" w:space="0" w:color="auto"/>
              <w:right w:val="single" w:sz="4" w:space="0" w:color="auto"/>
            </w:tcBorders>
            <w:shd w:val="clear" w:color="auto" w:fill="auto"/>
            <w:tcMar>
              <w:left w:w="45" w:type="dxa"/>
              <w:right w:w="45" w:type="dxa"/>
            </w:tcMar>
            <w:hideMark/>
          </w:tcPr>
          <w:p w14:paraId="50F65112"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Special Educational Needs</w:t>
            </w:r>
          </w:p>
        </w:tc>
        <w:tc>
          <w:tcPr>
            <w:tcW w:w="2025" w:type="pct"/>
            <w:tcBorders>
              <w:top w:val="nil"/>
              <w:left w:val="nil"/>
              <w:bottom w:val="single" w:sz="4" w:space="0" w:color="auto"/>
              <w:right w:val="single" w:sz="4" w:space="0" w:color="auto"/>
            </w:tcBorders>
            <w:shd w:val="clear" w:color="auto" w:fill="auto"/>
            <w:tcMar>
              <w:left w:w="45" w:type="dxa"/>
              <w:right w:w="45" w:type="dxa"/>
            </w:tcMar>
            <w:hideMark/>
          </w:tcPr>
          <w:p w14:paraId="14910D50"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No saving opportunity identified in this statutory service with a budget under pressure due to demand.</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1BB86D83"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7E933EE8" w14:textId="77777777" w:rsidTr="00BC26AB">
        <w:trPr>
          <w:trHeight w:val="20"/>
        </w:trPr>
        <w:tc>
          <w:tcPr>
            <w:tcW w:w="689"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0414386F"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Inclusion Support Service</w:t>
            </w:r>
          </w:p>
        </w:tc>
        <w:tc>
          <w:tcPr>
            <w:tcW w:w="1843" w:type="pct"/>
            <w:tcBorders>
              <w:top w:val="nil"/>
              <w:left w:val="nil"/>
              <w:bottom w:val="single" w:sz="4" w:space="0" w:color="auto"/>
              <w:right w:val="single" w:sz="4" w:space="0" w:color="auto"/>
            </w:tcBorders>
            <w:shd w:val="clear" w:color="auto" w:fill="auto"/>
            <w:tcMar>
              <w:left w:w="45" w:type="dxa"/>
              <w:right w:w="45" w:type="dxa"/>
            </w:tcMar>
            <w:hideMark/>
          </w:tcPr>
          <w:p w14:paraId="16C5B60B"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Inclusion Support Service. Including Educational Psychology Service and Child &amp; Adolescent Mental Health Services (CAMHS)</w:t>
            </w:r>
          </w:p>
        </w:tc>
        <w:tc>
          <w:tcPr>
            <w:tcW w:w="2025" w:type="pct"/>
            <w:tcBorders>
              <w:top w:val="nil"/>
              <w:left w:val="nil"/>
              <w:bottom w:val="single" w:sz="4" w:space="0" w:color="auto"/>
              <w:right w:val="single" w:sz="4" w:space="0" w:color="auto"/>
            </w:tcBorders>
            <w:shd w:val="clear" w:color="auto" w:fill="auto"/>
            <w:tcMar>
              <w:left w:w="45" w:type="dxa"/>
              <w:right w:w="45" w:type="dxa"/>
            </w:tcMar>
            <w:hideMark/>
          </w:tcPr>
          <w:p w14:paraId="39E594EB"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No proposed savings - includes some statutory services (Ed Psychologists) and support for C&amp;YP around Early Help and Well-being</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378EDBCE"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33C48235" w14:textId="77777777" w:rsidTr="00BC26AB">
        <w:trPr>
          <w:trHeight w:val="20"/>
        </w:trPr>
        <w:tc>
          <w:tcPr>
            <w:tcW w:w="689"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71E138A6"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Inclusion Support Service</w:t>
            </w:r>
          </w:p>
        </w:tc>
        <w:tc>
          <w:tcPr>
            <w:tcW w:w="1843" w:type="pct"/>
            <w:tcBorders>
              <w:top w:val="nil"/>
              <w:left w:val="nil"/>
              <w:bottom w:val="single" w:sz="4" w:space="0" w:color="auto"/>
              <w:right w:val="single" w:sz="4" w:space="0" w:color="auto"/>
            </w:tcBorders>
            <w:shd w:val="clear" w:color="auto" w:fill="auto"/>
            <w:tcMar>
              <w:left w:w="45" w:type="dxa"/>
              <w:right w:w="45" w:type="dxa"/>
            </w:tcMar>
            <w:hideMark/>
          </w:tcPr>
          <w:p w14:paraId="68472792"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Inclusion Support Service. Including Educational Psychology Service and Child &amp; Adolescent Mental Health Services (CAMHS)</w:t>
            </w:r>
          </w:p>
        </w:tc>
        <w:tc>
          <w:tcPr>
            <w:tcW w:w="2025" w:type="pct"/>
            <w:tcBorders>
              <w:top w:val="nil"/>
              <w:left w:val="nil"/>
              <w:bottom w:val="single" w:sz="4" w:space="0" w:color="auto"/>
              <w:right w:val="single" w:sz="4" w:space="0" w:color="auto"/>
            </w:tcBorders>
            <w:shd w:val="clear" w:color="auto" w:fill="auto"/>
            <w:tcMar>
              <w:left w:w="45" w:type="dxa"/>
              <w:right w:w="45" w:type="dxa"/>
            </w:tcMar>
            <w:hideMark/>
          </w:tcPr>
          <w:p w14:paraId="0CC60234"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Funding provided through a Public Health contribution to services delivered in the Inclusion Support Service.</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234F4987"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31 </w:t>
            </w:r>
          </w:p>
        </w:tc>
      </w:tr>
      <w:tr w:rsidR="000729CF" w:rsidRPr="000729CF" w14:paraId="2C76059B" w14:textId="77777777" w:rsidTr="00BC26AB">
        <w:trPr>
          <w:trHeight w:val="20"/>
        </w:trPr>
        <w:tc>
          <w:tcPr>
            <w:tcW w:w="2532" w:type="pct"/>
            <w:gridSpan w:val="2"/>
            <w:tcBorders>
              <w:top w:val="single" w:sz="4" w:space="0" w:color="auto"/>
              <w:left w:val="single" w:sz="4" w:space="0" w:color="auto"/>
              <w:bottom w:val="single" w:sz="4" w:space="0" w:color="auto"/>
              <w:right w:val="single" w:sz="4" w:space="0" w:color="auto"/>
            </w:tcBorders>
            <w:shd w:val="clear" w:color="000000" w:fill="A6A6A6"/>
            <w:noWrap/>
            <w:tcMar>
              <w:left w:w="45" w:type="dxa"/>
              <w:right w:w="45" w:type="dxa"/>
            </w:tcMar>
            <w:hideMark/>
          </w:tcPr>
          <w:p w14:paraId="14C3EDA5"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Health, SEN &amp; Disability Services Total</w:t>
            </w:r>
          </w:p>
        </w:tc>
        <w:tc>
          <w:tcPr>
            <w:tcW w:w="2025" w:type="pct"/>
            <w:tcBorders>
              <w:top w:val="nil"/>
              <w:left w:val="nil"/>
              <w:bottom w:val="single" w:sz="4" w:space="0" w:color="auto"/>
              <w:right w:val="single" w:sz="4" w:space="0" w:color="auto"/>
            </w:tcBorders>
            <w:shd w:val="clear" w:color="000000" w:fill="A6A6A6"/>
            <w:noWrap/>
            <w:tcMar>
              <w:left w:w="45" w:type="dxa"/>
              <w:right w:w="45" w:type="dxa"/>
            </w:tcMar>
            <w:hideMark/>
          </w:tcPr>
          <w:p w14:paraId="3B8083DF"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w:t>
            </w:r>
          </w:p>
        </w:tc>
        <w:tc>
          <w:tcPr>
            <w:tcW w:w="443" w:type="pct"/>
            <w:tcBorders>
              <w:top w:val="nil"/>
              <w:left w:val="nil"/>
              <w:bottom w:val="single" w:sz="4" w:space="0" w:color="auto"/>
              <w:right w:val="single" w:sz="4" w:space="0" w:color="auto"/>
            </w:tcBorders>
            <w:shd w:val="clear" w:color="000000" w:fill="A6A6A6"/>
            <w:noWrap/>
            <w:tcMar>
              <w:left w:w="45" w:type="dxa"/>
              <w:right w:w="45" w:type="dxa"/>
            </w:tcMar>
            <w:hideMark/>
          </w:tcPr>
          <w:p w14:paraId="4C4FCCF1"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982 </w:t>
            </w:r>
          </w:p>
        </w:tc>
      </w:tr>
      <w:tr w:rsidR="000729CF" w:rsidRPr="000729CF" w14:paraId="4034173F" w14:textId="77777777" w:rsidTr="00BC26AB">
        <w:trPr>
          <w:trHeight w:val="20"/>
        </w:trPr>
        <w:tc>
          <w:tcPr>
            <w:tcW w:w="4557" w:type="pct"/>
            <w:gridSpan w:val="3"/>
            <w:tcBorders>
              <w:top w:val="single" w:sz="4" w:space="0" w:color="auto"/>
              <w:left w:val="single" w:sz="4" w:space="0" w:color="auto"/>
              <w:bottom w:val="single" w:sz="4" w:space="0" w:color="auto"/>
              <w:right w:val="nil"/>
            </w:tcBorders>
            <w:shd w:val="clear" w:color="000000" w:fill="000000"/>
            <w:noWrap/>
            <w:tcMar>
              <w:left w:w="45" w:type="dxa"/>
              <w:right w:w="45" w:type="dxa"/>
            </w:tcMar>
            <w:hideMark/>
          </w:tcPr>
          <w:p w14:paraId="46C1CCCC"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Education &amp; Skills</w:t>
            </w:r>
          </w:p>
        </w:tc>
        <w:tc>
          <w:tcPr>
            <w:tcW w:w="443" w:type="pct"/>
            <w:tcBorders>
              <w:top w:val="nil"/>
              <w:left w:val="nil"/>
              <w:bottom w:val="single" w:sz="4" w:space="0" w:color="auto"/>
              <w:right w:val="single" w:sz="4" w:space="0" w:color="auto"/>
            </w:tcBorders>
            <w:shd w:val="clear" w:color="000000" w:fill="000000"/>
            <w:noWrap/>
            <w:tcMar>
              <w:left w:w="45" w:type="dxa"/>
              <w:right w:w="45" w:type="dxa"/>
            </w:tcMar>
            <w:hideMark/>
          </w:tcPr>
          <w:p w14:paraId="13DA7E83"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 </w:t>
            </w:r>
          </w:p>
        </w:tc>
      </w:tr>
      <w:tr w:rsidR="000729CF" w:rsidRPr="000729CF" w14:paraId="5BA82B83" w14:textId="77777777" w:rsidTr="00BC26AB">
        <w:trPr>
          <w:trHeight w:val="20"/>
        </w:trPr>
        <w:tc>
          <w:tcPr>
            <w:tcW w:w="689"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296C9372"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Schools PFI</w:t>
            </w:r>
          </w:p>
        </w:tc>
        <w:tc>
          <w:tcPr>
            <w:tcW w:w="1843" w:type="pct"/>
            <w:tcBorders>
              <w:top w:val="nil"/>
              <w:left w:val="nil"/>
              <w:bottom w:val="single" w:sz="4" w:space="0" w:color="auto"/>
              <w:right w:val="single" w:sz="4" w:space="0" w:color="auto"/>
            </w:tcBorders>
            <w:shd w:val="clear" w:color="auto" w:fill="auto"/>
            <w:tcMar>
              <w:left w:w="45" w:type="dxa"/>
              <w:right w:w="45" w:type="dxa"/>
            </w:tcMar>
            <w:hideMark/>
          </w:tcPr>
          <w:p w14:paraId="456141CC"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This budget accounts for credit payments from the DfE to cover the 25 year PFI program for 3 secondary schools.  </w:t>
            </w:r>
          </w:p>
        </w:tc>
        <w:tc>
          <w:tcPr>
            <w:tcW w:w="2025" w:type="pct"/>
            <w:tcBorders>
              <w:top w:val="nil"/>
              <w:left w:val="nil"/>
              <w:bottom w:val="single" w:sz="4" w:space="0" w:color="auto"/>
              <w:right w:val="single" w:sz="4" w:space="0" w:color="auto"/>
            </w:tcBorders>
            <w:shd w:val="clear" w:color="auto" w:fill="auto"/>
            <w:tcMar>
              <w:left w:w="45" w:type="dxa"/>
              <w:right w:w="45" w:type="dxa"/>
            </w:tcMar>
            <w:hideMark/>
          </w:tcPr>
          <w:p w14:paraId="3F261097"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xml:space="preserve">No saving possible. The DfE credits are required to meet the final costs of the PFI programme at the end of the 25-year programme and there is already a forecast cost pressure upon its realisation.  </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325756C2"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1190CC80" w14:textId="77777777" w:rsidTr="00BC26AB">
        <w:trPr>
          <w:trHeight w:val="20"/>
        </w:trPr>
        <w:tc>
          <w:tcPr>
            <w:tcW w:w="689"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5D9A3507"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Standards &amp; Achievement</w:t>
            </w:r>
          </w:p>
        </w:tc>
        <w:tc>
          <w:tcPr>
            <w:tcW w:w="1843" w:type="pct"/>
            <w:tcBorders>
              <w:top w:val="nil"/>
              <w:left w:val="nil"/>
              <w:bottom w:val="single" w:sz="4" w:space="0" w:color="auto"/>
              <w:right w:val="single" w:sz="4" w:space="0" w:color="auto"/>
            </w:tcBorders>
            <w:shd w:val="clear" w:color="auto" w:fill="auto"/>
            <w:tcMar>
              <w:left w:w="45" w:type="dxa"/>
              <w:right w:w="45" w:type="dxa"/>
            </w:tcMar>
            <w:hideMark/>
          </w:tcPr>
          <w:p w14:paraId="7FF131B8"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Funds core LA school improvement team who support and challenge schools in line with statutory duties outlined in the Education Act 2005,2006 and Schools Causing Concern guidance 2021.  It also leads disadvantaged education strategy and educational partnership. This also includes support for the delivery of the Brighton &amp; Hove Environmental Education service</w:t>
            </w:r>
          </w:p>
        </w:tc>
        <w:tc>
          <w:tcPr>
            <w:tcW w:w="2025" w:type="pct"/>
            <w:tcBorders>
              <w:top w:val="nil"/>
              <w:left w:val="nil"/>
              <w:bottom w:val="single" w:sz="4" w:space="0" w:color="auto"/>
              <w:right w:val="single" w:sz="4" w:space="0" w:color="auto"/>
            </w:tcBorders>
            <w:shd w:val="clear" w:color="auto" w:fill="auto"/>
            <w:tcMar>
              <w:left w:w="45" w:type="dxa"/>
              <w:right w:w="45" w:type="dxa"/>
            </w:tcMar>
            <w:hideMark/>
          </w:tcPr>
          <w:p w14:paraId="630D5A6D"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School improvement, monitoring and intervention. Modest efficiency saving of £20k from the General Fund budget but no reduction to the de-delegation monitoring grant from Dedicated Schools Grant.</w:t>
            </w:r>
            <w:r w:rsidRPr="000729CF">
              <w:rPr>
                <w:rFonts w:ascii="Calibri" w:hAnsi="Calibri" w:cs="Calibri"/>
                <w:sz w:val="22"/>
                <w:szCs w:val="22"/>
                <w:lang w:val="en-GB" w:eastAsia="en-GB"/>
              </w:rPr>
              <w:br/>
            </w:r>
            <w:r w:rsidRPr="000729CF">
              <w:rPr>
                <w:rFonts w:ascii="Calibri" w:hAnsi="Calibri" w:cs="Calibri"/>
                <w:sz w:val="22"/>
                <w:szCs w:val="22"/>
                <w:lang w:val="en-GB" w:eastAsia="en-GB"/>
              </w:rPr>
              <w:br/>
              <w:t>Second, a proposal to cease the Environmental Education Service which has staffing implications.  Risk: Reduction in support to schools around environmental issues and closure of ‘Our City, Our World’ website which is reasonably well utilised by schools. See EIA 4.</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1252E7BC"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61 </w:t>
            </w:r>
          </w:p>
        </w:tc>
      </w:tr>
      <w:tr w:rsidR="000729CF" w:rsidRPr="000729CF" w14:paraId="0F151929" w14:textId="77777777" w:rsidTr="00BC26AB">
        <w:trPr>
          <w:trHeight w:val="20"/>
        </w:trPr>
        <w:tc>
          <w:tcPr>
            <w:tcW w:w="689"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7B01FCA0"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School Organisation and Admissions.</w:t>
            </w:r>
          </w:p>
        </w:tc>
        <w:tc>
          <w:tcPr>
            <w:tcW w:w="1843" w:type="pct"/>
            <w:tcBorders>
              <w:top w:val="nil"/>
              <w:left w:val="nil"/>
              <w:bottom w:val="single" w:sz="4" w:space="0" w:color="auto"/>
              <w:right w:val="single" w:sz="4" w:space="0" w:color="auto"/>
            </w:tcBorders>
            <w:shd w:val="clear" w:color="auto" w:fill="auto"/>
            <w:tcMar>
              <w:left w:w="45" w:type="dxa"/>
              <w:right w:w="45" w:type="dxa"/>
            </w:tcMar>
            <w:hideMark/>
          </w:tcPr>
          <w:p w14:paraId="164573D3"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This includes our staffing costs to support the delivery of our statutory school organisation responsibilities in relation to pupil place planning, school admissions, free school meal eligibility checking and duties placed upon the council in relation to school attendance, exclusions, alternative provision and the responsibility to ensure pupils not in school receive a suitable education. </w:t>
            </w:r>
          </w:p>
        </w:tc>
        <w:tc>
          <w:tcPr>
            <w:tcW w:w="2025" w:type="pct"/>
            <w:tcBorders>
              <w:top w:val="nil"/>
              <w:left w:val="nil"/>
              <w:bottom w:val="single" w:sz="4" w:space="0" w:color="auto"/>
              <w:right w:val="single" w:sz="4" w:space="0" w:color="auto"/>
            </w:tcBorders>
            <w:shd w:val="clear" w:color="auto" w:fill="auto"/>
            <w:tcMar>
              <w:left w:w="45" w:type="dxa"/>
              <w:right w:w="45" w:type="dxa"/>
            </w:tcMar>
            <w:hideMark/>
          </w:tcPr>
          <w:p w14:paraId="01791623"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xml:space="preserve">No proposal for saving given need to ensure effective support to schools and fulfil statutory responsibilities. Funding supports efficient co-ordination and liaison between central council functions and schools (e.g. Emergency Planning, Health &amp; Safety, Finance, Property &amp; Design, HR) Reduction would put additional pressures on those corporate services and could result in schools considering alternative options such as academisation. </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1D52DDD6"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2741BF5A" w14:textId="77777777" w:rsidTr="00BC26AB">
        <w:trPr>
          <w:trHeight w:val="20"/>
        </w:trPr>
        <w:tc>
          <w:tcPr>
            <w:tcW w:w="689"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377304A3"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Anti racist strategy</w:t>
            </w:r>
          </w:p>
        </w:tc>
        <w:tc>
          <w:tcPr>
            <w:tcW w:w="1843" w:type="pct"/>
            <w:tcBorders>
              <w:top w:val="nil"/>
              <w:left w:val="nil"/>
              <w:bottom w:val="single" w:sz="4" w:space="0" w:color="auto"/>
              <w:right w:val="single" w:sz="4" w:space="0" w:color="auto"/>
            </w:tcBorders>
            <w:shd w:val="clear" w:color="auto" w:fill="auto"/>
            <w:tcMar>
              <w:left w:w="45" w:type="dxa"/>
              <w:right w:w="45" w:type="dxa"/>
            </w:tcMar>
            <w:hideMark/>
          </w:tcPr>
          <w:p w14:paraId="5285AF07"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xml:space="preserve">Council core funding for  LA Adviser and seconded staff from schools to implement an agreed schools anti racism strategy for the City.  Work includes direct work with the city's school providing training, challenge and support on </w:t>
            </w:r>
            <w:proofErr w:type="spellStart"/>
            <w:r w:rsidRPr="000729CF">
              <w:rPr>
                <w:rFonts w:ascii="Calibri" w:hAnsi="Calibri" w:cs="Calibri"/>
                <w:sz w:val="22"/>
                <w:szCs w:val="22"/>
                <w:lang w:val="en-GB" w:eastAsia="en-GB"/>
              </w:rPr>
              <w:t>anti racism</w:t>
            </w:r>
            <w:proofErr w:type="spellEnd"/>
            <w:r w:rsidRPr="000729CF">
              <w:rPr>
                <w:rFonts w:ascii="Calibri" w:hAnsi="Calibri" w:cs="Calibri"/>
                <w:sz w:val="22"/>
                <w:szCs w:val="22"/>
                <w:lang w:val="en-GB" w:eastAsia="en-GB"/>
              </w:rPr>
              <w:t>.</w:t>
            </w:r>
          </w:p>
        </w:tc>
        <w:tc>
          <w:tcPr>
            <w:tcW w:w="2025" w:type="pct"/>
            <w:tcBorders>
              <w:top w:val="nil"/>
              <w:left w:val="nil"/>
              <w:bottom w:val="single" w:sz="4" w:space="0" w:color="auto"/>
              <w:right w:val="single" w:sz="4" w:space="0" w:color="auto"/>
            </w:tcBorders>
            <w:shd w:val="clear" w:color="auto" w:fill="auto"/>
            <w:tcMar>
              <w:left w:w="45" w:type="dxa"/>
              <w:right w:w="45" w:type="dxa"/>
            </w:tcMar>
            <w:hideMark/>
          </w:tcPr>
          <w:p w14:paraId="6D987E8D"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This is non-statutory work.  However, it supports the council's commitment to becoming anti-racist. Children &amp; Young People Committee agreed 5-year funding to enable anti-racist school strategy to become embedded.</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0E3BCD5A"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4B873F0C" w14:textId="77777777" w:rsidTr="00BC26AB">
        <w:trPr>
          <w:trHeight w:val="20"/>
        </w:trPr>
        <w:tc>
          <w:tcPr>
            <w:tcW w:w="689"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2056A861"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Home to School Transport</w:t>
            </w:r>
          </w:p>
        </w:tc>
        <w:tc>
          <w:tcPr>
            <w:tcW w:w="1843" w:type="pct"/>
            <w:tcBorders>
              <w:top w:val="nil"/>
              <w:left w:val="nil"/>
              <w:bottom w:val="single" w:sz="4" w:space="0" w:color="auto"/>
              <w:right w:val="single" w:sz="4" w:space="0" w:color="auto"/>
            </w:tcBorders>
            <w:shd w:val="clear" w:color="auto" w:fill="auto"/>
            <w:tcMar>
              <w:left w:w="45" w:type="dxa"/>
              <w:right w:w="45" w:type="dxa"/>
            </w:tcMar>
            <w:hideMark/>
          </w:tcPr>
          <w:p w14:paraId="37864C0F"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Transport arrangements for eligible children aged between 5 and 16 as per LA’s statutory duties.</w:t>
            </w:r>
            <w:r w:rsidRPr="000729CF">
              <w:rPr>
                <w:rFonts w:ascii="Calibri" w:hAnsi="Calibri" w:cs="Calibri"/>
                <w:color w:val="000000"/>
                <w:sz w:val="22"/>
                <w:szCs w:val="22"/>
                <w:lang w:val="en-GB" w:eastAsia="en-GB"/>
              </w:rPr>
              <w:br/>
            </w:r>
            <w:r w:rsidRPr="000729CF">
              <w:rPr>
                <w:rFonts w:ascii="Calibri" w:hAnsi="Calibri" w:cs="Calibri"/>
                <w:color w:val="000000"/>
                <w:sz w:val="22"/>
                <w:szCs w:val="22"/>
                <w:lang w:val="en-GB" w:eastAsia="en-GB"/>
              </w:rPr>
              <w:br/>
              <w:t>Discretionary transport arrangements for young people aged between 16-18 from families experiencing low income and for young people with SEND.</w:t>
            </w:r>
          </w:p>
        </w:tc>
        <w:tc>
          <w:tcPr>
            <w:tcW w:w="2025" w:type="pct"/>
            <w:tcBorders>
              <w:top w:val="nil"/>
              <w:left w:val="nil"/>
              <w:bottom w:val="single" w:sz="4" w:space="0" w:color="auto"/>
              <w:right w:val="single" w:sz="4" w:space="0" w:color="auto"/>
            </w:tcBorders>
            <w:shd w:val="clear" w:color="auto" w:fill="auto"/>
            <w:tcMar>
              <w:left w:w="45" w:type="dxa"/>
              <w:right w:w="45" w:type="dxa"/>
            </w:tcMar>
            <w:hideMark/>
          </w:tcPr>
          <w:p w14:paraId="3620A57B"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xml:space="preserve">Statutory service under considerable cost and demand pressures. Proposed saving in line with the income generated from the ability to charge for elements of the home to school transport service. </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1D7924D8"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23 </w:t>
            </w:r>
          </w:p>
        </w:tc>
      </w:tr>
      <w:tr w:rsidR="000729CF" w:rsidRPr="000729CF" w14:paraId="03A55BB5" w14:textId="77777777" w:rsidTr="00BC26AB">
        <w:trPr>
          <w:trHeight w:val="20"/>
        </w:trPr>
        <w:tc>
          <w:tcPr>
            <w:tcW w:w="689"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1E8A7B44"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The Virtual School.</w:t>
            </w:r>
          </w:p>
        </w:tc>
        <w:tc>
          <w:tcPr>
            <w:tcW w:w="1843" w:type="pct"/>
            <w:tcBorders>
              <w:top w:val="nil"/>
              <w:left w:val="nil"/>
              <w:bottom w:val="single" w:sz="4" w:space="0" w:color="auto"/>
              <w:right w:val="single" w:sz="4" w:space="0" w:color="auto"/>
            </w:tcBorders>
            <w:shd w:val="clear" w:color="auto" w:fill="auto"/>
            <w:tcMar>
              <w:left w:w="45" w:type="dxa"/>
              <w:right w:w="45" w:type="dxa"/>
            </w:tcMar>
            <w:hideMark/>
          </w:tcPr>
          <w:p w14:paraId="41A79341"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This is core councils funding that contributes to the statutory position of Head of Virtual School.  All remaining funding for the position and Virtual School comes from designated schools grant. The Virtual School deliver statutory service to Children in Care and Previously Looked After.</w:t>
            </w:r>
          </w:p>
        </w:tc>
        <w:tc>
          <w:tcPr>
            <w:tcW w:w="2025" w:type="pct"/>
            <w:tcBorders>
              <w:top w:val="nil"/>
              <w:left w:val="nil"/>
              <w:bottom w:val="single" w:sz="4" w:space="0" w:color="auto"/>
              <w:right w:val="single" w:sz="4" w:space="0" w:color="auto"/>
            </w:tcBorders>
            <w:shd w:val="clear" w:color="auto" w:fill="auto"/>
            <w:tcMar>
              <w:left w:w="45" w:type="dxa"/>
              <w:right w:w="45" w:type="dxa"/>
            </w:tcMar>
            <w:hideMark/>
          </w:tcPr>
          <w:p w14:paraId="54C8FD41"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This is a statutory duty. No saving opportunity identified.</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3DA87BE2"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603E740A" w14:textId="77777777" w:rsidTr="00BC26AB">
        <w:trPr>
          <w:trHeight w:val="20"/>
        </w:trPr>
        <w:tc>
          <w:tcPr>
            <w:tcW w:w="689"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79BBD09E"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Other Educational support</w:t>
            </w:r>
          </w:p>
        </w:tc>
        <w:tc>
          <w:tcPr>
            <w:tcW w:w="1843" w:type="pct"/>
            <w:tcBorders>
              <w:top w:val="nil"/>
              <w:left w:val="nil"/>
              <w:bottom w:val="single" w:sz="4" w:space="0" w:color="auto"/>
              <w:right w:val="single" w:sz="4" w:space="0" w:color="auto"/>
            </w:tcBorders>
            <w:shd w:val="clear" w:color="auto" w:fill="auto"/>
            <w:tcMar>
              <w:left w:w="45" w:type="dxa"/>
              <w:right w:w="45" w:type="dxa"/>
            </w:tcMar>
            <w:hideMark/>
          </w:tcPr>
          <w:p w14:paraId="353F417F"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This includes Governor support, Redundancy and Asset management and Education &amp; Traded services support</w:t>
            </w:r>
          </w:p>
        </w:tc>
        <w:tc>
          <w:tcPr>
            <w:tcW w:w="2025" w:type="pct"/>
            <w:tcBorders>
              <w:top w:val="nil"/>
              <w:left w:val="nil"/>
              <w:bottom w:val="nil"/>
              <w:right w:val="single" w:sz="4" w:space="0" w:color="auto"/>
            </w:tcBorders>
            <w:shd w:val="clear" w:color="auto" w:fill="auto"/>
            <w:tcMar>
              <w:left w:w="45" w:type="dxa"/>
              <w:right w:w="45" w:type="dxa"/>
            </w:tcMar>
            <w:hideMark/>
          </w:tcPr>
          <w:p w14:paraId="56C087F7"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No savings can be made as this is a traded service with schools that recovers costs (including overheads).</w:t>
            </w:r>
          </w:p>
        </w:tc>
        <w:tc>
          <w:tcPr>
            <w:tcW w:w="443" w:type="pct"/>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hideMark/>
          </w:tcPr>
          <w:p w14:paraId="332CFEF9"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1542CCB0" w14:textId="77777777" w:rsidTr="00BC26AB">
        <w:trPr>
          <w:trHeight w:val="20"/>
        </w:trPr>
        <w:tc>
          <w:tcPr>
            <w:tcW w:w="689"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56F69ED0"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Youth Services</w:t>
            </w:r>
          </w:p>
        </w:tc>
        <w:tc>
          <w:tcPr>
            <w:tcW w:w="1843" w:type="pct"/>
            <w:tcBorders>
              <w:top w:val="nil"/>
              <w:left w:val="nil"/>
              <w:bottom w:val="single" w:sz="4" w:space="0" w:color="auto"/>
              <w:right w:val="single" w:sz="4" w:space="0" w:color="auto"/>
            </w:tcBorders>
            <w:shd w:val="clear" w:color="auto" w:fill="auto"/>
            <w:tcMar>
              <w:left w:w="45" w:type="dxa"/>
              <w:right w:w="45" w:type="dxa"/>
            </w:tcMar>
            <w:hideMark/>
          </w:tcPr>
          <w:p w14:paraId="4E378314"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Commissioned community and voluntary sector youth services provides a range of traditional youth services across the city, and include equality groups</w:t>
            </w:r>
          </w:p>
        </w:tc>
        <w:tc>
          <w:tcPr>
            <w:tcW w:w="2025" w:type="pct"/>
            <w:tcBorders>
              <w:top w:val="single" w:sz="4" w:space="0" w:color="auto"/>
              <w:left w:val="nil"/>
              <w:bottom w:val="single" w:sz="4" w:space="0" w:color="auto"/>
              <w:right w:val="single" w:sz="4" w:space="0" w:color="auto"/>
            </w:tcBorders>
            <w:shd w:val="clear" w:color="auto" w:fill="auto"/>
            <w:tcMar>
              <w:left w:w="45" w:type="dxa"/>
              <w:right w:w="45" w:type="dxa"/>
            </w:tcMar>
            <w:hideMark/>
          </w:tcPr>
          <w:p w14:paraId="42AC7739"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xml:space="preserve">Youth Service Grants Programme - this is linked to housing HRA funding. The contracts end in March 2025.  </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6D66A131"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4401C030" w14:textId="77777777" w:rsidTr="00BC26AB">
        <w:trPr>
          <w:trHeight w:val="20"/>
        </w:trPr>
        <w:tc>
          <w:tcPr>
            <w:tcW w:w="689"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3EB34764"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Youth Services</w:t>
            </w:r>
          </w:p>
        </w:tc>
        <w:tc>
          <w:tcPr>
            <w:tcW w:w="1843" w:type="pct"/>
            <w:tcBorders>
              <w:top w:val="nil"/>
              <w:left w:val="nil"/>
              <w:bottom w:val="single" w:sz="4" w:space="0" w:color="auto"/>
              <w:right w:val="single" w:sz="4" w:space="0" w:color="auto"/>
            </w:tcBorders>
            <w:shd w:val="clear" w:color="auto" w:fill="auto"/>
            <w:tcMar>
              <w:left w:w="45" w:type="dxa"/>
              <w:right w:w="45" w:type="dxa"/>
            </w:tcMar>
            <w:hideMark/>
          </w:tcPr>
          <w:p w14:paraId="7EC69DCB"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The Youth Led Grants Programme provides additionally funded youth activities/projects delivered by the community and voluntary sector across the city.</w:t>
            </w:r>
          </w:p>
        </w:tc>
        <w:tc>
          <w:tcPr>
            <w:tcW w:w="2025" w:type="pct"/>
            <w:tcBorders>
              <w:top w:val="nil"/>
              <w:left w:val="nil"/>
              <w:bottom w:val="single" w:sz="4" w:space="0" w:color="auto"/>
              <w:right w:val="single" w:sz="4" w:space="0" w:color="auto"/>
            </w:tcBorders>
            <w:shd w:val="clear" w:color="auto" w:fill="auto"/>
            <w:tcMar>
              <w:left w:w="45" w:type="dxa"/>
              <w:right w:w="45" w:type="dxa"/>
            </w:tcMar>
            <w:hideMark/>
          </w:tcPr>
          <w:p w14:paraId="24A0661D"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Cease Youth Led Grants Programme. Risks: No additional projects funded but reduction could potentially be offset through use of the Holiday Activity and Food (HAF) programme funding subject to its continuation. HAF monies could be ringfenced for youth groups to focus on providing holiday activities with a healthy meal for young people taking up free school meals. See EIA 5.</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387A39A2"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80 </w:t>
            </w:r>
          </w:p>
        </w:tc>
      </w:tr>
      <w:tr w:rsidR="000729CF" w:rsidRPr="000729CF" w14:paraId="30A5C3B8" w14:textId="77777777" w:rsidTr="00BC26AB">
        <w:trPr>
          <w:trHeight w:val="20"/>
        </w:trPr>
        <w:tc>
          <w:tcPr>
            <w:tcW w:w="689"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1236BE18"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Youth Services</w:t>
            </w:r>
          </w:p>
        </w:tc>
        <w:tc>
          <w:tcPr>
            <w:tcW w:w="1843" w:type="pct"/>
            <w:tcBorders>
              <w:top w:val="nil"/>
              <w:left w:val="nil"/>
              <w:bottom w:val="single" w:sz="4" w:space="0" w:color="auto"/>
              <w:right w:val="single" w:sz="4" w:space="0" w:color="auto"/>
            </w:tcBorders>
            <w:shd w:val="clear" w:color="auto" w:fill="auto"/>
            <w:tcMar>
              <w:left w:w="45" w:type="dxa"/>
              <w:right w:w="45" w:type="dxa"/>
            </w:tcMar>
            <w:hideMark/>
          </w:tcPr>
          <w:p w14:paraId="59274B3A"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xml:space="preserve">Internal council services – Youth Participation Team provide a range of services for children and young people who are/have been in care or receiving social work support; this includes youth advocacy, Children in Care Council. The service also provides wider participation activities, e.g. Youth Council, Youth Wise. The service also provides an accredited Youth Arts Programme </w:t>
            </w:r>
          </w:p>
        </w:tc>
        <w:tc>
          <w:tcPr>
            <w:tcW w:w="2025" w:type="pct"/>
            <w:tcBorders>
              <w:top w:val="nil"/>
              <w:left w:val="nil"/>
              <w:bottom w:val="single" w:sz="4" w:space="0" w:color="auto"/>
              <w:right w:val="single" w:sz="4" w:space="0" w:color="auto"/>
            </w:tcBorders>
            <w:shd w:val="clear" w:color="auto" w:fill="auto"/>
            <w:tcMar>
              <w:left w:w="45" w:type="dxa"/>
              <w:right w:w="45" w:type="dxa"/>
            </w:tcMar>
            <w:hideMark/>
          </w:tcPr>
          <w:p w14:paraId="537DC5DD"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Review of youth structure to be completed, linked to Family Hubs development including youth arts support being provided as part of Family Hubs intervention offer. Saving to be achieved by funding through Family Hubs budget utilising the uplift of external funding through Supporting Families grant and restructuring the youth management resource and deleting a vacant youthwork co-ordinator post.</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1B1C884D"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145 </w:t>
            </w:r>
          </w:p>
        </w:tc>
      </w:tr>
      <w:tr w:rsidR="000729CF" w:rsidRPr="000729CF" w14:paraId="74C22AAB" w14:textId="77777777" w:rsidTr="00BC26AB">
        <w:trPr>
          <w:trHeight w:val="20"/>
        </w:trPr>
        <w:tc>
          <w:tcPr>
            <w:tcW w:w="689"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62524A33"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Independent Visitors</w:t>
            </w:r>
          </w:p>
        </w:tc>
        <w:tc>
          <w:tcPr>
            <w:tcW w:w="1843" w:type="pct"/>
            <w:tcBorders>
              <w:top w:val="nil"/>
              <w:left w:val="nil"/>
              <w:bottom w:val="single" w:sz="4" w:space="0" w:color="auto"/>
              <w:right w:val="single" w:sz="4" w:space="0" w:color="auto"/>
            </w:tcBorders>
            <w:shd w:val="clear" w:color="auto" w:fill="auto"/>
            <w:tcMar>
              <w:left w:w="45" w:type="dxa"/>
              <w:right w:w="45" w:type="dxa"/>
            </w:tcMar>
            <w:hideMark/>
          </w:tcPr>
          <w:p w14:paraId="09F57700"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xml:space="preserve">The Youth Participation Team provide an Independent Visitors (IV) scheme. Two IV coordinators (1.4 </w:t>
            </w:r>
            <w:proofErr w:type="spellStart"/>
            <w:r w:rsidRPr="000729CF">
              <w:rPr>
                <w:rFonts w:ascii="Calibri" w:hAnsi="Calibri" w:cs="Calibri"/>
                <w:sz w:val="22"/>
                <w:szCs w:val="22"/>
                <w:lang w:val="en-GB" w:eastAsia="en-GB"/>
              </w:rPr>
              <w:t>fte</w:t>
            </w:r>
            <w:proofErr w:type="spellEnd"/>
            <w:r w:rsidRPr="000729CF">
              <w:rPr>
                <w:rFonts w:ascii="Calibri" w:hAnsi="Calibri" w:cs="Calibri"/>
                <w:sz w:val="22"/>
                <w:szCs w:val="22"/>
                <w:lang w:val="en-GB" w:eastAsia="en-GB"/>
              </w:rPr>
              <w:t xml:space="preserve">) recruit, assess, train, match and support IV's, who befriend and support children and young people who are in the care of the local authority. </w:t>
            </w:r>
          </w:p>
        </w:tc>
        <w:tc>
          <w:tcPr>
            <w:tcW w:w="2025" w:type="pct"/>
            <w:tcBorders>
              <w:top w:val="nil"/>
              <w:left w:val="nil"/>
              <w:bottom w:val="single" w:sz="4" w:space="0" w:color="auto"/>
              <w:right w:val="single" w:sz="4" w:space="0" w:color="auto"/>
            </w:tcBorders>
            <w:shd w:val="clear" w:color="auto" w:fill="auto"/>
            <w:tcMar>
              <w:left w:w="45" w:type="dxa"/>
              <w:right w:w="45" w:type="dxa"/>
            </w:tcMar>
            <w:hideMark/>
          </w:tcPr>
          <w:p w14:paraId="28E2E0C4"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xml:space="preserve">Statutory service - no saving opportunity identified. </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22D587A9"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5E3D16B0" w14:textId="77777777" w:rsidTr="00BC26AB">
        <w:trPr>
          <w:trHeight w:val="20"/>
        </w:trPr>
        <w:tc>
          <w:tcPr>
            <w:tcW w:w="689"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57EBDEE0"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Early Years</w:t>
            </w:r>
          </w:p>
        </w:tc>
        <w:tc>
          <w:tcPr>
            <w:tcW w:w="1843" w:type="pct"/>
            <w:tcBorders>
              <w:top w:val="nil"/>
              <w:left w:val="nil"/>
              <w:bottom w:val="single" w:sz="4" w:space="0" w:color="auto"/>
              <w:right w:val="single" w:sz="4" w:space="0" w:color="auto"/>
            </w:tcBorders>
            <w:shd w:val="clear" w:color="auto" w:fill="auto"/>
            <w:tcMar>
              <w:left w:w="45" w:type="dxa"/>
              <w:right w:w="45" w:type="dxa"/>
            </w:tcMar>
            <w:hideMark/>
          </w:tcPr>
          <w:p w14:paraId="0ED221DA"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Management of the early </w:t>
            </w:r>
            <w:proofErr w:type="spellStart"/>
            <w:r w:rsidRPr="000729CF">
              <w:rPr>
                <w:rFonts w:ascii="Calibri" w:hAnsi="Calibri" w:cs="Calibri"/>
                <w:color w:val="000000"/>
                <w:sz w:val="22"/>
                <w:szCs w:val="22"/>
                <w:lang w:val="en-GB" w:eastAsia="en-GB"/>
              </w:rPr>
              <w:t>years service</w:t>
            </w:r>
            <w:proofErr w:type="spellEnd"/>
            <w:r w:rsidRPr="000729CF">
              <w:rPr>
                <w:rFonts w:ascii="Calibri" w:hAnsi="Calibri" w:cs="Calibri"/>
                <w:color w:val="000000"/>
                <w:sz w:val="22"/>
                <w:szCs w:val="22"/>
                <w:lang w:val="en-GB" w:eastAsia="en-GB"/>
              </w:rPr>
              <w:t xml:space="preserve"> including council nurseries.  Support for private and voluntary nurseries, childminders, out of school childcare, childcare workforce training, and management and administration of free early years entitlement for 2/3/4 year olds. Oversight of the Holiday Food and Activity Programme.  Statutory duty to secure sufficient childcare places and  information, advice and training to childcare providers and to complete an annual childcare sufficiency assessment.  Early years providers pay for most training courses.</w:t>
            </w:r>
          </w:p>
        </w:tc>
        <w:tc>
          <w:tcPr>
            <w:tcW w:w="2025" w:type="pct"/>
            <w:tcBorders>
              <w:top w:val="nil"/>
              <w:left w:val="nil"/>
              <w:bottom w:val="single" w:sz="4" w:space="0" w:color="auto"/>
              <w:right w:val="single" w:sz="4" w:space="0" w:color="auto"/>
            </w:tcBorders>
            <w:shd w:val="clear" w:color="auto" w:fill="auto"/>
            <w:tcMar>
              <w:left w:w="45" w:type="dxa"/>
              <w:right w:w="45" w:type="dxa"/>
            </w:tcMar>
            <w:hideMark/>
          </w:tcPr>
          <w:p w14:paraId="2E695FF2"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Switch a General Fund workforce development post to DSG funding as part of the early years funding extension.</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1B927FCA"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35 </w:t>
            </w:r>
          </w:p>
        </w:tc>
      </w:tr>
      <w:tr w:rsidR="000729CF" w:rsidRPr="000729CF" w14:paraId="445C4722" w14:textId="77777777" w:rsidTr="00BC26AB">
        <w:trPr>
          <w:trHeight w:val="20"/>
        </w:trPr>
        <w:tc>
          <w:tcPr>
            <w:tcW w:w="689"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689C4184" w14:textId="77777777" w:rsidR="000729CF" w:rsidRPr="000729CF" w:rsidRDefault="000729CF" w:rsidP="000729CF">
            <w:pPr>
              <w:rPr>
                <w:rFonts w:ascii="Calibri" w:hAnsi="Calibri" w:cs="Calibri"/>
                <w:color w:val="000000"/>
                <w:sz w:val="22"/>
                <w:szCs w:val="22"/>
                <w:lang w:val="en-GB" w:eastAsia="en-GB"/>
              </w:rPr>
            </w:pPr>
            <w:proofErr w:type="spellStart"/>
            <w:r w:rsidRPr="000729CF">
              <w:rPr>
                <w:rFonts w:ascii="Calibri" w:hAnsi="Calibri" w:cs="Calibri"/>
                <w:color w:val="000000"/>
                <w:sz w:val="22"/>
                <w:szCs w:val="22"/>
                <w:lang w:val="en-GB" w:eastAsia="en-GB"/>
              </w:rPr>
              <w:t>Brightstart</w:t>
            </w:r>
            <w:proofErr w:type="spellEnd"/>
            <w:r w:rsidRPr="000729CF">
              <w:rPr>
                <w:rFonts w:ascii="Calibri" w:hAnsi="Calibri" w:cs="Calibri"/>
                <w:color w:val="000000"/>
                <w:sz w:val="22"/>
                <w:szCs w:val="22"/>
                <w:lang w:val="en-GB" w:eastAsia="en-GB"/>
              </w:rPr>
              <w:t xml:space="preserve"> Nursery</w:t>
            </w:r>
          </w:p>
        </w:tc>
        <w:tc>
          <w:tcPr>
            <w:tcW w:w="1843" w:type="pct"/>
            <w:tcBorders>
              <w:top w:val="nil"/>
              <w:left w:val="nil"/>
              <w:bottom w:val="single" w:sz="4" w:space="0" w:color="auto"/>
              <w:right w:val="single" w:sz="4" w:space="0" w:color="auto"/>
            </w:tcBorders>
            <w:shd w:val="clear" w:color="auto" w:fill="auto"/>
            <w:tcMar>
              <w:left w:w="45" w:type="dxa"/>
              <w:right w:w="45" w:type="dxa"/>
            </w:tcMar>
            <w:hideMark/>
          </w:tcPr>
          <w:p w14:paraId="4D8A4E27"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Bright Start, 50 places full day/year.  Total budget including Dedicated Schools Grant (DSG) is £446k.  Council subsidy 23%. Total number of children excluding babies Summer 22 - 47 including  12 funded 2 year olds, 9 Early Years Pupil Premium and 5 ASF  Autumn term numbers 62 (10 under 2's, 19 2's and 33 3-4's). Located in the 40% most disadvantaged areas of the city. Average percentage of children in receipt of EYPP</w:t>
            </w:r>
            <w:r w:rsidRPr="000729CF">
              <w:rPr>
                <w:rFonts w:ascii="Calibri" w:hAnsi="Calibri" w:cs="Calibri"/>
                <w:sz w:val="22"/>
                <w:szCs w:val="22"/>
                <w:lang w:val="en-GB" w:eastAsia="en-GB"/>
              </w:rPr>
              <w:br/>
              <w:t>27.4%. Average percentage of children living in the 0 to 20% most disadvantaged areas of the city 47.3%. Average number of disadvantaged two year olds attending who are in receipt of EYFE 10.</w:t>
            </w:r>
          </w:p>
        </w:tc>
        <w:tc>
          <w:tcPr>
            <w:tcW w:w="2025" w:type="pct"/>
            <w:tcBorders>
              <w:top w:val="nil"/>
              <w:left w:val="nil"/>
              <w:bottom w:val="single" w:sz="4" w:space="0" w:color="auto"/>
              <w:right w:val="single" w:sz="4" w:space="0" w:color="auto"/>
            </w:tcBorders>
            <w:shd w:val="clear" w:color="auto" w:fill="auto"/>
            <w:tcMar>
              <w:left w:w="45" w:type="dxa"/>
              <w:right w:w="45" w:type="dxa"/>
            </w:tcMar>
            <w:hideMark/>
          </w:tcPr>
          <w:p w14:paraId="4DE508E8"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The proposal is to move Bright Start nursery to the Tarner Family Hub to exit an unsuitable building and reduce the overall subsidy across nursery provision.</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669384D8"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150 </w:t>
            </w:r>
          </w:p>
        </w:tc>
      </w:tr>
      <w:tr w:rsidR="000729CF" w:rsidRPr="000729CF" w14:paraId="42EE8EA6" w14:textId="77777777" w:rsidTr="00BC26AB">
        <w:trPr>
          <w:trHeight w:val="20"/>
        </w:trPr>
        <w:tc>
          <w:tcPr>
            <w:tcW w:w="689"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2321B613"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Jump Start Nursery</w:t>
            </w:r>
          </w:p>
        </w:tc>
        <w:tc>
          <w:tcPr>
            <w:tcW w:w="1843" w:type="pct"/>
            <w:tcBorders>
              <w:top w:val="nil"/>
              <w:left w:val="nil"/>
              <w:bottom w:val="single" w:sz="4" w:space="0" w:color="auto"/>
              <w:right w:val="single" w:sz="4" w:space="0" w:color="auto"/>
            </w:tcBorders>
            <w:shd w:val="clear" w:color="auto" w:fill="auto"/>
            <w:tcMar>
              <w:left w:w="45" w:type="dxa"/>
              <w:right w:w="45" w:type="dxa"/>
            </w:tcMar>
            <w:hideMark/>
          </w:tcPr>
          <w:p w14:paraId="5F52BEC2"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Jump Start, Moulsecoomb, 34 places, full day/year.  Total budget including DSG is £385k.  Provides free meals for DSG funded children.   Council subsidy is 54%.  Total number of children summer 22 - 37.   including  12 funded 2 year olds, 20 Early Years Pupil Premium and 5 ASF. Some children could not be offered places because unable to recruit staff.</w:t>
            </w:r>
            <w:r w:rsidRPr="000729CF">
              <w:rPr>
                <w:rFonts w:ascii="Calibri" w:hAnsi="Calibri" w:cs="Calibri"/>
                <w:sz w:val="22"/>
                <w:szCs w:val="22"/>
                <w:lang w:val="en-GB" w:eastAsia="en-GB"/>
              </w:rPr>
              <w:br/>
              <w:t>Autumn term total 27 (13 2's and 14 3-4's) Located in the 30% most disadvantaged areas of the city. Average percentage of children in receipt of EYPP</w:t>
            </w:r>
            <w:r w:rsidRPr="000729CF">
              <w:rPr>
                <w:rFonts w:ascii="Calibri" w:hAnsi="Calibri" w:cs="Calibri"/>
                <w:sz w:val="22"/>
                <w:szCs w:val="22"/>
                <w:lang w:val="en-GB" w:eastAsia="en-GB"/>
              </w:rPr>
              <w:br/>
              <w:t>66.8%. Average percentage of children living in the 0 to 20% most disadvantaged areas of the city 80.8%. Average number of disadvantaged two year olds attending who are in receipt of EYFE 14.</w:t>
            </w:r>
          </w:p>
        </w:tc>
        <w:tc>
          <w:tcPr>
            <w:tcW w:w="2025" w:type="pct"/>
            <w:tcBorders>
              <w:top w:val="nil"/>
              <w:left w:val="nil"/>
              <w:bottom w:val="single" w:sz="4" w:space="0" w:color="auto"/>
              <w:right w:val="single" w:sz="4" w:space="0" w:color="auto"/>
            </w:tcBorders>
            <w:shd w:val="clear" w:color="auto" w:fill="auto"/>
            <w:tcMar>
              <w:left w:w="45" w:type="dxa"/>
              <w:right w:w="45" w:type="dxa"/>
            </w:tcMar>
            <w:hideMark/>
          </w:tcPr>
          <w:p w14:paraId="046CF9BD"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Saving achievable through the announced increase in early years funding rates for this council.</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63B5724B"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24 </w:t>
            </w:r>
          </w:p>
        </w:tc>
      </w:tr>
      <w:tr w:rsidR="000729CF" w:rsidRPr="000729CF" w14:paraId="7E36EC6F" w14:textId="77777777" w:rsidTr="00BC26AB">
        <w:trPr>
          <w:trHeight w:val="20"/>
        </w:trPr>
        <w:tc>
          <w:tcPr>
            <w:tcW w:w="689"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54E34341"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Acorn Nursery</w:t>
            </w:r>
          </w:p>
        </w:tc>
        <w:tc>
          <w:tcPr>
            <w:tcW w:w="1843" w:type="pct"/>
            <w:tcBorders>
              <w:top w:val="nil"/>
              <w:left w:val="nil"/>
              <w:bottom w:val="single" w:sz="4" w:space="0" w:color="auto"/>
              <w:right w:val="single" w:sz="4" w:space="0" w:color="auto"/>
            </w:tcBorders>
            <w:shd w:val="clear" w:color="auto" w:fill="auto"/>
            <w:tcMar>
              <w:left w:w="45" w:type="dxa"/>
              <w:right w:w="45" w:type="dxa"/>
            </w:tcMar>
            <w:hideMark/>
          </w:tcPr>
          <w:p w14:paraId="2D98035C"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Acorn Nursery, North Portslade.  60 places full day/year.   Total budget is £543k including DSG.  Council subsidy is 23%.  Total number of children summer 22 -49 including.  10 funded 2 year olds, 4 Early Years Pupil Premium and 5 ASF   children Autumn term to be confirmed. Located in the 30% most disadvantaged areas of the city. Average percentage of children in receipt of early years pupil premium (EYPP)</w:t>
            </w:r>
            <w:r w:rsidRPr="000729CF">
              <w:rPr>
                <w:rFonts w:ascii="Calibri" w:hAnsi="Calibri" w:cs="Calibri"/>
                <w:sz w:val="22"/>
                <w:szCs w:val="22"/>
                <w:lang w:val="en-GB" w:eastAsia="en-GB"/>
              </w:rPr>
              <w:br/>
              <w:t>18.5%. Average percentage of children living in the 0 to 20% most disadvantaged areas of the city 34.9%. Average number of disadvantaged two year olds attending who are in receipt of EYFE 10.</w:t>
            </w:r>
          </w:p>
        </w:tc>
        <w:tc>
          <w:tcPr>
            <w:tcW w:w="2025" w:type="pct"/>
            <w:tcBorders>
              <w:top w:val="nil"/>
              <w:left w:val="nil"/>
              <w:bottom w:val="single" w:sz="4" w:space="0" w:color="auto"/>
              <w:right w:val="single" w:sz="4" w:space="0" w:color="auto"/>
            </w:tcBorders>
            <w:shd w:val="clear" w:color="auto" w:fill="auto"/>
            <w:tcMar>
              <w:left w:w="45" w:type="dxa"/>
              <w:right w:w="45" w:type="dxa"/>
            </w:tcMar>
            <w:hideMark/>
          </w:tcPr>
          <w:p w14:paraId="3BC5A5BB"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Saving achievable through the announced increase in early years funding rates for this council.</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2873D173"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36 </w:t>
            </w:r>
          </w:p>
        </w:tc>
      </w:tr>
      <w:tr w:rsidR="000729CF" w:rsidRPr="000729CF" w14:paraId="51F4AD60" w14:textId="77777777" w:rsidTr="00BC26AB">
        <w:trPr>
          <w:trHeight w:val="20"/>
        </w:trPr>
        <w:tc>
          <w:tcPr>
            <w:tcW w:w="689"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1C195F5A"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Cherry Tree Nursery</w:t>
            </w:r>
          </w:p>
        </w:tc>
        <w:tc>
          <w:tcPr>
            <w:tcW w:w="1843" w:type="pct"/>
            <w:tcBorders>
              <w:top w:val="nil"/>
              <w:left w:val="nil"/>
              <w:bottom w:val="single" w:sz="4" w:space="0" w:color="auto"/>
              <w:right w:val="single" w:sz="4" w:space="0" w:color="auto"/>
            </w:tcBorders>
            <w:shd w:val="clear" w:color="auto" w:fill="auto"/>
            <w:tcMar>
              <w:left w:w="45" w:type="dxa"/>
              <w:right w:w="45" w:type="dxa"/>
            </w:tcMar>
            <w:hideMark/>
          </w:tcPr>
          <w:p w14:paraId="146BD172"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Cherry Tree Nursery, Hollingdean, 50 places full day/year.  Total budget is £522k including DSG.  Council subsidy is 26%. Total number of children summer 22 - 48 including 8 funded 2 year olds, 21 Early Years Pupil Premium and 5 ASF children. Some children could not be offered places because unable to recruit staff. Autumn term total 63 (22 under 2's, 13 2's and 28 3-4's). Located in the 40% most disadvantaged areas of the city. Average percentage of children in receipt of EYPP 49.1%. Average percentage of children living in the 0 to 20% most disadvantaged areas of the city 44.2%. Average number of disadvantaged two year olds attending who are in receipt of EYFE 16.</w:t>
            </w:r>
          </w:p>
        </w:tc>
        <w:tc>
          <w:tcPr>
            <w:tcW w:w="2025" w:type="pct"/>
            <w:tcBorders>
              <w:top w:val="nil"/>
              <w:left w:val="nil"/>
              <w:bottom w:val="single" w:sz="4" w:space="0" w:color="auto"/>
              <w:right w:val="single" w:sz="4" w:space="0" w:color="auto"/>
            </w:tcBorders>
            <w:shd w:val="clear" w:color="auto" w:fill="auto"/>
            <w:tcMar>
              <w:left w:w="45" w:type="dxa"/>
              <w:right w:w="45" w:type="dxa"/>
            </w:tcMar>
            <w:hideMark/>
          </w:tcPr>
          <w:p w14:paraId="074EBC6A"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Saving achievable through the announced increase in early years funding rates for this council.</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729ED23F"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27 </w:t>
            </w:r>
          </w:p>
        </w:tc>
      </w:tr>
      <w:tr w:rsidR="000729CF" w:rsidRPr="000729CF" w14:paraId="35DA396B" w14:textId="77777777" w:rsidTr="00BC26AB">
        <w:trPr>
          <w:trHeight w:val="20"/>
        </w:trPr>
        <w:tc>
          <w:tcPr>
            <w:tcW w:w="689"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32AC2AB2"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Roundabout Nursery</w:t>
            </w:r>
          </w:p>
        </w:tc>
        <w:tc>
          <w:tcPr>
            <w:tcW w:w="1843" w:type="pct"/>
            <w:tcBorders>
              <w:top w:val="nil"/>
              <w:left w:val="nil"/>
              <w:bottom w:val="single" w:sz="4" w:space="0" w:color="auto"/>
              <w:right w:val="single" w:sz="4" w:space="0" w:color="auto"/>
            </w:tcBorders>
            <w:shd w:val="clear" w:color="auto" w:fill="auto"/>
            <w:tcMar>
              <w:left w:w="45" w:type="dxa"/>
              <w:right w:w="45" w:type="dxa"/>
            </w:tcMar>
            <w:hideMark/>
          </w:tcPr>
          <w:p w14:paraId="11EEBAF2"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Roundabout Nursery, Whitehawk. 86 places full day/year.  Total budget is £862k including DSG.  Council subsidy is 21%.  Total number of children 115 summer 22 including 32 funded 2 year olds and 40 Early Years Pupil Premium and 10. Autumn term total 110 (12 under 2's, 45 2's and 53 3-4's). Located in the 10% most disadvantaged areas of the city. Average percentage of children in receipt of EYPP</w:t>
            </w:r>
            <w:r w:rsidRPr="000729CF">
              <w:rPr>
                <w:rFonts w:ascii="Calibri" w:hAnsi="Calibri" w:cs="Calibri"/>
                <w:sz w:val="22"/>
                <w:szCs w:val="22"/>
                <w:lang w:val="en-GB" w:eastAsia="en-GB"/>
              </w:rPr>
              <w:br/>
              <w:t>50.2%. Average percentage of children living in the 0 to 20% most disadvantaged areas of the city 74.2%. Average number of disadvantaged two year olds attending who are in receipt of EYFE 34.</w:t>
            </w:r>
          </w:p>
        </w:tc>
        <w:tc>
          <w:tcPr>
            <w:tcW w:w="2025" w:type="pct"/>
            <w:tcBorders>
              <w:top w:val="nil"/>
              <w:left w:val="nil"/>
              <w:bottom w:val="single" w:sz="4" w:space="0" w:color="auto"/>
              <w:right w:val="single" w:sz="4" w:space="0" w:color="auto"/>
            </w:tcBorders>
            <w:shd w:val="clear" w:color="auto" w:fill="auto"/>
            <w:tcMar>
              <w:left w:w="45" w:type="dxa"/>
              <w:right w:w="45" w:type="dxa"/>
            </w:tcMar>
            <w:hideMark/>
          </w:tcPr>
          <w:p w14:paraId="0E8685F2"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Saving achievable through the announced increase in early years funding rates for this council.</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59CD58F3"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103 </w:t>
            </w:r>
          </w:p>
        </w:tc>
      </w:tr>
      <w:tr w:rsidR="000729CF" w:rsidRPr="000729CF" w14:paraId="488E3C25" w14:textId="77777777" w:rsidTr="00BC26AB">
        <w:trPr>
          <w:trHeight w:val="20"/>
        </w:trPr>
        <w:tc>
          <w:tcPr>
            <w:tcW w:w="689"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0FD9A13B"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Family Hubs including Supporting Families Grant</w:t>
            </w:r>
          </w:p>
        </w:tc>
        <w:tc>
          <w:tcPr>
            <w:tcW w:w="1843" w:type="pct"/>
            <w:tcBorders>
              <w:top w:val="nil"/>
              <w:left w:val="nil"/>
              <w:bottom w:val="single" w:sz="4" w:space="0" w:color="auto"/>
              <w:right w:val="single" w:sz="4" w:space="0" w:color="auto"/>
            </w:tcBorders>
            <w:shd w:val="clear" w:color="auto" w:fill="auto"/>
            <w:tcMar>
              <w:left w:w="45" w:type="dxa"/>
              <w:right w:w="45" w:type="dxa"/>
            </w:tcMar>
            <w:hideMark/>
          </w:tcPr>
          <w:p w14:paraId="2B0B025E"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The Family hubs transformation completes in September 2024 with the new model in place to deliver support for children, young people and families.</w:t>
            </w:r>
          </w:p>
        </w:tc>
        <w:tc>
          <w:tcPr>
            <w:tcW w:w="2025" w:type="pct"/>
            <w:tcBorders>
              <w:top w:val="nil"/>
              <w:left w:val="nil"/>
              <w:bottom w:val="single" w:sz="4" w:space="0" w:color="auto"/>
              <w:right w:val="single" w:sz="4" w:space="0" w:color="auto"/>
            </w:tcBorders>
            <w:shd w:val="clear" w:color="auto" w:fill="auto"/>
            <w:tcMar>
              <w:left w:w="45" w:type="dxa"/>
              <w:right w:w="45" w:type="dxa"/>
            </w:tcMar>
            <w:hideMark/>
          </w:tcPr>
          <w:p w14:paraId="606690E3"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It is proposed to utilise £100k funding from DSG to support EYFE extension work for the management post and service support.</w:t>
            </w:r>
            <w:r w:rsidRPr="000729CF">
              <w:rPr>
                <w:rFonts w:ascii="Calibri" w:hAnsi="Calibri" w:cs="Calibri"/>
                <w:sz w:val="22"/>
                <w:szCs w:val="22"/>
                <w:lang w:val="en-GB" w:eastAsia="en-GB"/>
              </w:rPr>
              <w:br/>
              <w:t>Also, £10k efficiencies savings from non-staffing budgets and cessation of funding for external services through SLA's including:</w:t>
            </w:r>
            <w:r w:rsidRPr="000729CF">
              <w:rPr>
                <w:rFonts w:ascii="Calibri" w:hAnsi="Calibri" w:cs="Calibri"/>
                <w:sz w:val="22"/>
                <w:szCs w:val="22"/>
                <w:lang w:val="en-GB" w:eastAsia="en-GB"/>
              </w:rPr>
              <w:br/>
              <w:t>• Brighton unemployed centre – early years childcare for disadvantaged families (£11k);</w:t>
            </w:r>
            <w:r w:rsidRPr="000729CF">
              <w:rPr>
                <w:rFonts w:ascii="Calibri" w:hAnsi="Calibri" w:cs="Calibri"/>
                <w:sz w:val="22"/>
                <w:szCs w:val="22"/>
                <w:lang w:val="en-GB" w:eastAsia="en-GB"/>
              </w:rPr>
              <w:br/>
              <w:t>• Amaze – SEND groups (£1k);</w:t>
            </w:r>
            <w:r w:rsidRPr="000729CF">
              <w:rPr>
                <w:rFonts w:ascii="Calibri" w:hAnsi="Calibri" w:cs="Calibri"/>
                <w:sz w:val="22"/>
                <w:szCs w:val="22"/>
                <w:lang w:val="en-GB" w:eastAsia="en-GB"/>
              </w:rPr>
              <w:br/>
              <w:t>• Oasis – Creche provision for families accessing the service (£2k).</w:t>
            </w:r>
            <w:r w:rsidRPr="000729CF">
              <w:rPr>
                <w:rFonts w:ascii="Calibri" w:hAnsi="Calibri" w:cs="Calibri"/>
                <w:sz w:val="22"/>
                <w:szCs w:val="22"/>
                <w:lang w:val="en-GB" w:eastAsia="en-GB"/>
              </w:rPr>
              <w:br/>
              <w:t>Risks: Removing this funding will have an impact on the delivery of these by services by VCS partners as part of the Family Hub offer and will impact on disadvantaged groups accessing services. See EIA 6.</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59D12BE8"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123 </w:t>
            </w:r>
          </w:p>
        </w:tc>
      </w:tr>
      <w:tr w:rsidR="000729CF" w:rsidRPr="000729CF" w14:paraId="3AD0C8CB" w14:textId="77777777" w:rsidTr="00BC26AB">
        <w:trPr>
          <w:trHeight w:val="20"/>
        </w:trPr>
        <w:tc>
          <w:tcPr>
            <w:tcW w:w="689"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13A6419E"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Family Hubs including Supporting Families Grant</w:t>
            </w:r>
          </w:p>
        </w:tc>
        <w:tc>
          <w:tcPr>
            <w:tcW w:w="1843" w:type="pct"/>
            <w:tcBorders>
              <w:top w:val="nil"/>
              <w:left w:val="nil"/>
              <w:bottom w:val="single" w:sz="4" w:space="0" w:color="auto"/>
              <w:right w:val="single" w:sz="4" w:space="0" w:color="auto"/>
            </w:tcBorders>
            <w:shd w:val="clear" w:color="auto" w:fill="auto"/>
            <w:tcMar>
              <w:left w:w="45" w:type="dxa"/>
              <w:right w:w="45" w:type="dxa"/>
            </w:tcMar>
            <w:hideMark/>
          </w:tcPr>
          <w:p w14:paraId="6C300CA2"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The Family hubs transformation completes in September 2024 with the new model in place to deliver support for children, young people and families.</w:t>
            </w:r>
          </w:p>
        </w:tc>
        <w:tc>
          <w:tcPr>
            <w:tcW w:w="2025" w:type="pct"/>
            <w:tcBorders>
              <w:top w:val="nil"/>
              <w:left w:val="nil"/>
              <w:bottom w:val="single" w:sz="4" w:space="0" w:color="auto"/>
              <w:right w:val="single" w:sz="4" w:space="0" w:color="auto"/>
            </w:tcBorders>
            <w:shd w:val="clear" w:color="auto" w:fill="auto"/>
            <w:tcMar>
              <w:left w:w="45" w:type="dxa"/>
              <w:right w:w="45" w:type="dxa"/>
            </w:tcMar>
            <w:hideMark/>
          </w:tcPr>
          <w:p w14:paraId="0A619293"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Contribution from Public Health Grant to services provided by the Family Help Hubs</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5C40BE48"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754 </w:t>
            </w:r>
          </w:p>
        </w:tc>
      </w:tr>
      <w:tr w:rsidR="000729CF" w:rsidRPr="000729CF" w14:paraId="13E2E480" w14:textId="77777777" w:rsidTr="00BC26AB">
        <w:trPr>
          <w:trHeight w:val="20"/>
        </w:trPr>
        <w:tc>
          <w:tcPr>
            <w:tcW w:w="689"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76B3D827"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Skills &amp; Employment</w:t>
            </w:r>
          </w:p>
        </w:tc>
        <w:tc>
          <w:tcPr>
            <w:tcW w:w="1843" w:type="pct"/>
            <w:tcBorders>
              <w:top w:val="nil"/>
              <w:left w:val="nil"/>
              <w:bottom w:val="single" w:sz="4" w:space="0" w:color="auto"/>
              <w:right w:val="single" w:sz="4" w:space="0" w:color="auto"/>
            </w:tcBorders>
            <w:shd w:val="clear" w:color="auto" w:fill="auto"/>
            <w:tcMar>
              <w:left w:w="45" w:type="dxa"/>
              <w:right w:w="45" w:type="dxa"/>
            </w:tcMar>
            <w:hideMark/>
          </w:tcPr>
          <w:p w14:paraId="6C784A26" w14:textId="77777777" w:rsidR="000729CF" w:rsidRPr="000729CF" w:rsidRDefault="000729CF" w:rsidP="000729CF">
            <w:pPr>
              <w:spacing w:after="240"/>
              <w:rPr>
                <w:rFonts w:ascii="Calibri" w:hAnsi="Calibri" w:cs="Calibri"/>
                <w:sz w:val="22"/>
                <w:szCs w:val="22"/>
                <w:lang w:val="en-GB" w:eastAsia="en-GB"/>
              </w:rPr>
            </w:pPr>
            <w:r w:rsidRPr="000729CF">
              <w:rPr>
                <w:rFonts w:ascii="Calibri" w:hAnsi="Calibri" w:cs="Calibri"/>
                <w:sz w:val="22"/>
                <w:szCs w:val="22"/>
                <w:lang w:val="en-GB" w:eastAsia="en-GB"/>
              </w:rPr>
              <w:t xml:space="preserve">Adult Education Budget &amp; Community Learning </w:t>
            </w:r>
          </w:p>
        </w:tc>
        <w:tc>
          <w:tcPr>
            <w:tcW w:w="2025" w:type="pct"/>
            <w:tcBorders>
              <w:top w:val="nil"/>
              <w:left w:val="nil"/>
              <w:bottom w:val="single" w:sz="4" w:space="0" w:color="auto"/>
              <w:right w:val="single" w:sz="4" w:space="0" w:color="auto"/>
            </w:tcBorders>
            <w:shd w:val="clear" w:color="auto" w:fill="auto"/>
            <w:tcMar>
              <w:left w:w="45" w:type="dxa"/>
              <w:right w:w="45" w:type="dxa"/>
            </w:tcMar>
            <w:hideMark/>
          </w:tcPr>
          <w:p w14:paraId="5DC188EB"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No saving opportunity identified. This is funded directly by the Education Skills Funding Agency on an annual non-procured grant. </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64AE759D"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33F52F67" w14:textId="77777777" w:rsidTr="00BC26AB">
        <w:trPr>
          <w:trHeight w:val="20"/>
        </w:trPr>
        <w:tc>
          <w:tcPr>
            <w:tcW w:w="689"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0264BB86"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Skills &amp; Employment</w:t>
            </w:r>
          </w:p>
        </w:tc>
        <w:tc>
          <w:tcPr>
            <w:tcW w:w="1843" w:type="pct"/>
            <w:tcBorders>
              <w:top w:val="nil"/>
              <w:left w:val="nil"/>
              <w:bottom w:val="single" w:sz="4" w:space="0" w:color="auto"/>
              <w:right w:val="single" w:sz="4" w:space="0" w:color="auto"/>
            </w:tcBorders>
            <w:shd w:val="clear" w:color="auto" w:fill="auto"/>
            <w:tcMar>
              <w:left w:w="45" w:type="dxa"/>
              <w:right w:w="45" w:type="dxa"/>
            </w:tcMar>
            <w:hideMark/>
          </w:tcPr>
          <w:p w14:paraId="6D7ABFEB"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Skills and Employment Core Team</w:t>
            </w:r>
          </w:p>
        </w:tc>
        <w:tc>
          <w:tcPr>
            <w:tcW w:w="2025" w:type="pct"/>
            <w:tcBorders>
              <w:top w:val="nil"/>
              <w:left w:val="nil"/>
              <w:bottom w:val="single" w:sz="4" w:space="0" w:color="auto"/>
              <w:right w:val="single" w:sz="4" w:space="0" w:color="auto"/>
            </w:tcBorders>
            <w:shd w:val="clear" w:color="auto" w:fill="auto"/>
            <w:tcMar>
              <w:left w:w="45" w:type="dxa"/>
              <w:right w:w="45" w:type="dxa"/>
            </w:tcMar>
            <w:hideMark/>
          </w:tcPr>
          <w:p w14:paraId="19219C14"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No savings are proposed.  This team provides leadership on the employment and skills agenda. The council has a statutory duty to secure sufficient suitable education and training provision.</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396D5F7E"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14012A59" w14:textId="77777777" w:rsidTr="00BC26AB">
        <w:trPr>
          <w:trHeight w:val="20"/>
        </w:trPr>
        <w:tc>
          <w:tcPr>
            <w:tcW w:w="689"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602858F5"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Skills &amp; Employment</w:t>
            </w:r>
          </w:p>
        </w:tc>
        <w:tc>
          <w:tcPr>
            <w:tcW w:w="1843" w:type="pct"/>
            <w:tcBorders>
              <w:top w:val="nil"/>
              <w:left w:val="nil"/>
              <w:bottom w:val="single" w:sz="4" w:space="0" w:color="auto"/>
              <w:right w:val="single" w:sz="4" w:space="0" w:color="auto"/>
            </w:tcBorders>
            <w:shd w:val="clear" w:color="auto" w:fill="auto"/>
            <w:tcMar>
              <w:left w:w="45" w:type="dxa"/>
              <w:right w:w="45" w:type="dxa"/>
            </w:tcMar>
            <w:hideMark/>
          </w:tcPr>
          <w:p w14:paraId="06E9A758"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Apprenticeship and Pre-employment Team</w:t>
            </w:r>
            <w:r w:rsidRPr="000729CF">
              <w:rPr>
                <w:rFonts w:ascii="Calibri" w:hAnsi="Calibri" w:cs="Calibri"/>
                <w:sz w:val="22"/>
                <w:szCs w:val="22"/>
                <w:lang w:val="en-GB" w:eastAsia="en-GB"/>
              </w:rPr>
              <w:br/>
              <w:t xml:space="preserve">(Unspent levy is returned to the government on a 'use it or lose it </w:t>
            </w:r>
            <w:proofErr w:type="spellStart"/>
            <w:r w:rsidRPr="000729CF">
              <w:rPr>
                <w:rFonts w:ascii="Calibri" w:hAnsi="Calibri" w:cs="Calibri"/>
                <w:sz w:val="22"/>
                <w:szCs w:val="22"/>
                <w:lang w:val="en-GB" w:eastAsia="en-GB"/>
              </w:rPr>
              <w:t>basis’</w:t>
            </w:r>
            <w:proofErr w:type="spellEnd"/>
            <w:r w:rsidRPr="000729CF">
              <w:rPr>
                <w:rFonts w:ascii="Calibri" w:hAnsi="Calibri" w:cs="Calibri"/>
                <w:sz w:val="22"/>
                <w:szCs w:val="22"/>
                <w:lang w:val="en-GB" w:eastAsia="en-GB"/>
              </w:rPr>
              <w:t xml:space="preserve"> so without this budget further levy would return. The staff support £2m of Levy - over 140 apprentices engaged for 13 months up to 5 years)</w:t>
            </w:r>
          </w:p>
        </w:tc>
        <w:tc>
          <w:tcPr>
            <w:tcW w:w="2025" w:type="pct"/>
            <w:tcBorders>
              <w:top w:val="nil"/>
              <w:left w:val="nil"/>
              <w:bottom w:val="single" w:sz="4" w:space="0" w:color="auto"/>
              <w:right w:val="single" w:sz="4" w:space="0" w:color="auto"/>
            </w:tcBorders>
            <w:shd w:val="clear" w:color="auto" w:fill="auto"/>
            <w:tcMar>
              <w:left w:w="45" w:type="dxa"/>
              <w:right w:w="45" w:type="dxa"/>
            </w:tcMar>
            <w:hideMark/>
          </w:tcPr>
          <w:p w14:paraId="4CC58381"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Within this budget, £0.063m funds the pre-employment scheme and paid placement opportunities for disabled people of all ages.  One-off alternative funding has been identified for 24/25 to enable service to continue. For this to continue into 2025/26 alternative permanent funding will need to be identified. Risk: Service creates work experience, </w:t>
            </w:r>
            <w:proofErr w:type="spellStart"/>
            <w:r w:rsidRPr="000729CF">
              <w:rPr>
                <w:rFonts w:ascii="Calibri" w:hAnsi="Calibri" w:cs="Calibri"/>
                <w:color w:val="000000"/>
                <w:sz w:val="22"/>
                <w:szCs w:val="22"/>
                <w:lang w:val="en-GB" w:eastAsia="en-GB"/>
              </w:rPr>
              <w:t>TLevel</w:t>
            </w:r>
            <w:proofErr w:type="spellEnd"/>
            <w:r w:rsidRPr="000729CF">
              <w:rPr>
                <w:rFonts w:ascii="Calibri" w:hAnsi="Calibri" w:cs="Calibri"/>
                <w:color w:val="000000"/>
                <w:sz w:val="22"/>
                <w:szCs w:val="22"/>
                <w:lang w:val="en-GB" w:eastAsia="en-GB"/>
              </w:rPr>
              <w:t xml:space="preserve"> Placements, Supported Internships, Sector Work Based Academy programmes within the council and supports the workforce diversity agenda and the wider Fair and Inclusive strategy.</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5052CFF8"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63 </w:t>
            </w:r>
          </w:p>
        </w:tc>
      </w:tr>
      <w:tr w:rsidR="000729CF" w:rsidRPr="000729CF" w14:paraId="49296C0F" w14:textId="77777777" w:rsidTr="00BC26AB">
        <w:trPr>
          <w:trHeight w:val="20"/>
        </w:trPr>
        <w:tc>
          <w:tcPr>
            <w:tcW w:w="689"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0BC2563A"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Skills &amp; Employment</w:t>
            </w:r>
          </w:p>
        </w:tc>
        <w:tc>
          <w:tcPr>
            <w:tcW w:w="1843" w:type="pct"/>
            <w:tcBorders>
              <w:top w:val="nil"/>
              <w:left w:val="nil"/>
              <w:bottom w:val="single" w:sz="4" w:space="0" w:color="auto"/>
              <w:right w:val="single" w:sz="4" w:space="0" w:color="auto"/>
            </w:tcBorders>
            <w:shd w:val="clear" w:color="auto" w:fill="auto"/>
            <w:tcMar>
              <w:left w:w="45" w:type="dxa"/>
              <w:right w:w="45" w:type="dxa"/>
            </w:tcMar>
            <w:hideMark/>
          </w:tcPr>
          <w:p w14:paraId="3972A3E5"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Employability Service-Supported Employment Team  (Youth Employment, Youth Employment Hub and Supported Employment)</w:t>
            </w:r>
          </w:p>
        </w:tc>
        <w:tc>
          <w:tcPr>
            <w:tcW w:w="2025" w:type="pct"/>
            <w:tcBorders>
              <w:top w:val="nil"/>
              <w:left w:val="nil"/>
              <w:bottom w:val="single" w:sz="4" w:space="0" w:color="auto"/>
              <w:right w:val="single" w:sz="4" w:space="0" w:color="auto"/>
            </w:tcBorders>
            <w:shd w:val="clear" w:color="auto" w:fill="auto"/>
            <w:tcMar>
              <w:left w:w="45" w:type="dxa"/>
              <w:right w:w="45" w:type="dxa"/>
            </w:tcMar>
            <w:hideMark/>
          </w:tcPr>
          <w:p w14:paraId="7E066433"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xml:space="preserve">£0.144m savings are proposed for reduction of Supported Employment and Youth Employability provision. However, one-off alternative funding from the Shared Prosperity Fund has been identified 2024/25. Permanent alternative funding will need to be identified to meet £144k reduction in budget from 2025/26 which retains statutory functions of the Youth Employment service. </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563EFAD4"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144 </w:t>
            </w:r>
          </w:p>
        </w:tc>
      </w:tr>
      <w:tr w:rsidR="000729CF" w:rsidRPr="000729CF" w14:paraId="3DE389BD" w14:textId="77777777" w:rsidTr="00BC26AB">
        <w:trPr>
          <w:trHeight w:val="20"/>
        </w:trPr>
        <w:tc>
          <w:tcPr>
            <w:tcW w:w="689"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55235B82"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Print &amp; Sign</w:t>
            </w:r>
          </w:p>
        </w:tc>
        <w:tc>
          <w:tcPr>
            <w:tcW w:w="1843" w:type="pct"/>
            <w:tcBorders>
              <w:top w:val="nil"/>
              <w:left w:val="nil"/>
              <w:bottom w:val="single" w:sz="4" w:space="0" w:color="auto"/>
              <w:right w:val="single" w:sz="4" w:space="0" w:color="auto"/>
            </w:tcBorders>
            <w:shd w:val="clear" w:color="auto" w:fill="auto"/>
            <w:tcMar>
              <w:left w:w="45" w:type="dxa"/>
              <w:right w:w="45" w:type="dxa"/>
            </w:tcMar>
            <w:hideMark/>
          </w:tcPr>
          <w:p w14:paraId="487A5ED2"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Print &amp; Sign Unit</w:t>
            </w:r>
          </w:p>
        </w:tc>
        <w:tc>
          <w:tcPr>
            <w:tcW w:w="2025" w:type="pct"/>
            <w:tcBorders>
              <w:top w:val="nil"/>
              <w:left w:val="nil"/>
              <w:bottom w:val="single" w:sz="4" w:space="0" w:color="auto"/>
              <w:right w:val="single" w:sz="4" w:space="0" w:color="auto"/>
            </w:tcBorders>
            <w:shd w:val="clear" w:color="auto" w:fill="auto"/>
            <w:tcMar>
              <w:left w:w="45" w:type="dxa"/>
              <w:right w:w="45" w:type="dxa"/>
            </w:tcMar>
            <w:hideMark/>
          </w:tcPr>
          <w:p w14:paraId="19947AE7"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Net income generator - no saving proposed.</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703BB6DF"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52AAF996" w14:textId="77777777" w:rsidTr="00BC26AB">
        <w:trPr>
          <w:trHeight w:val="20"/>
        </w:trPr>
        <w:tc>
          <w:tcPr>
            <w:tcW w:w="2532" w:type="pct"/>
            <w:gridSpan w:val="2"/>
            <w:tcBorders>
              <w:top w:val="single" w:sz="4" w:space="0" w:color="auto"/>
              <w:left w:val="single" w:sz="4" w:space="0" w:color="auto"/>
              <w:bottom w:val="single" w:sz="4" w:space="0" w:color="auto"/>
              <w:right w:val="single" w:sz="4" w:space="0" w:color="auto"/>
            </w:tcBorders>
            <w:shd w:val="clear" w:color="000000" w:fill="A6A6A6"/>
            <w:noWrap/>
            <w:tcMar>
              <w:left w:w="45" w:type="dxa"/>
              <w:right w:w="45" w:type="dxa"/>
            </w:tcMar>
            <w:hideMark/>
          </w:tcPr>
          <w:p w14:paraId="5D27F3E5"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Education &amp; Skills Total</w:t>
            </w:r>
          </w:p>
        </w:tc>
        <w:tc>
          <w:tcPr>
            <w:tcW w:w="2025" w:type="pct"/>
            <w:tcBorders>
              <w:top w:val="nil"/>
              <w:left w:val="nil"/>
              <w:bottom w:val="single" w:sz="4" w:space="0" w:color="auto"/>
              <w:right w:val="single" w:sz="4" w:space="0" w:color="auto"/>
            </w:tcBorders>
            <w:shd w:val="clear" w:color="000000" w:fill="A6A6A6"/>
            <w:noWrap/>
            <w:tcMar>
              <w:left w:w="45" w:type="dxa"/>
              <w:right w:w="45" w:type="dxa"/>
            </w:tcMar>
            <w:hideMark/>
          </w:tcPr>
          <w:p w14:paraId="60C48908"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w:t>
            </w:r>
          </w:p>
        </w:tc>
        <w:tc>
          <w:tcPr>
            <w:tcW w:w="443" w:type="pct"/>
            <w:tcBorders>
              <w:top w:val="nil"/>
              <w:left w:val="nil"/>
              <w:bottom w:val="single" w:sz="4" w:space="0" w:color="auto"/>
              <w:right w:val="single" w:sz="4" w:space="0" w:color="auto"/>
            </w:tcBorders>
            <w:shd w:val="clear" w:color="000000" w:fill="A6A6A6"/>
            <w:noWrap/>
            <w:tcMar>
              <w:left w:w="45" w:type="dxa"/>
              <w:right w:w="45" w:type="dxa"/>
            </w:tcMar>
            <w:hideMark/>
          </w:tcPr>
          <w:p w14:paraId="6EC9E6DF"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1,768 </w:t>
            </w:r>
          </w:p>
        </w:tc>
      </w:tr>
      <w:tr w:rsidR="000729CF" w:rsidRPr="000729CF" w14:paraId="1309A2B1" w14:textId="77777777" w:rsidTr="00BC26AB">
        <w:trPr>
          <w:trHeight w:val="20"/>
        </w:trPr>
        <w:tc>
          <w:tcPr>
            <w:tcW w:w="4557" w:type="pct"/>
            <w:gridSpan w:val="3"/>
            <w:tcBorders>
              <w:top w:val="single" w:sz="4" w:space="0" w:color="auto"/>
              <w:left w:val="single" w:sz="4" w:space="0" w:color="auto"/>
              <w:bottom w:val="single" w:sz="4" w:space="0" w:color="auto"/>
              <w:right w:val="nil"/>
            </w:tcBorders>
            <w:shd w:val="clear" w:color="000000" w:fill="000000"/>
            <w:noWrap/>
            <w:tcMar>
              <w:left w:w="45" w:type="dxa"/>
              <w:right w:w="45" w:type="dxa"/>
            </w:tcMar>
            <w:hideMark/>
          </w:tcPr>
          <w:p w14:paraId="0435E402"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Children's Safeguarding &amp; Care</w:t>
            </w:r>
          </w:p>
        </w:tc>
        <w:tc>
          <w:tcPr>
            <w:tcW w:w="443" w:type="pct"/>
            <w:tcBorders>
              <w:top w:val="nil"/>
              <w:left w:val="nil"/>
              <w:bottom w:val="single" w:sz="4" w:space="0" w:color="auto"/>
              <w:right w:val="single" w:sz="4" w:space="0" w:color="auto"/>
            </w:tcBorders>
            <w:shd w:val="clear" w:color="000000" w:fill="000000"/>
            <w:noWrap/>
            <w:tcMar>
              <w:left w:w="45" w:type="dxa"/>
              <w:right w:w="45" w:type="dxa"/>
            </w:tcMar>
            <w:hideMark/>
          </w:tcPr>
          <w:p w14:paraId="2278E583"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 </w:t>
            </w:r>
          </w:p>
        </w:tc>
      </w:tr>
      <w:tr w:rsidR="000729CF" w:rsidRPr="000729CF" w14:paraId="630DCEE4" w14:textId="77777777" w:rsidTr="00BC26AB">
        <w:trPr>
          <w:trHeight w:val="20"/>
        </w:trPr>
        <w:tc>
          <w:tcPr>
            <w:tcW w:w="689"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73B31A71"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Fostering &amp; Adoption</w:t>
            </w:r>
          </w:p>
        </w:tc>
        <w:tc>
          <w:tcPr>
            <w:tcW w:w="1843" w:type="pct"/>
            <w:tcBorders>
              <w:top w:val="nil"/>
              <w:left w:val="nil"/>
              <w:bottom w:val="single" w:sz="4" w:space="0" w:color="auto"/>
              <w:right w:val="single" w:sz="4" w:space="0" w:color="auto"/>
            </w:tcBorders>
            <w:shd w:val="clear" w:color="auto" w:fill="auto"/>
            <w:tcMar>
              <w:left w:w="45" w:type="dxa"/>
              <w:right w:w="45" w:type="dxa"/>
            </w:tcMar>
            <w:hideMark/>
          </w:tcPr>
          <w:p w14:paraId="390A5F75"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Payments to in-house carers for fostered and adopted children.</w:t>
            </w:r>
          </w:p>
        </w:tc>
        <w:tc>
          <w:tcPr>
            <w:tcW w:w="2025" w:type="pct"/>
            <w:tcBorders>
              <w:top w:val="nil"/>
              <w:left w:val="nil"/>
              <w:bottom w:val="single" w:sz="4" w:space="0" w:color="auto"/>
              <w:right w:val="single" w:sz="4" w:space="0" w:color="auto"/>
            </w:tcBorders>
            <w:shd w:val="clear" w:color="auto" w:fill="auto"/>
            <w:tcMar>
              <w:left w:w="45" w:type="dxa"/>
              <w:right w:w="45" w:type="dxa"/>
            </w:tcMar>
            <w:hideMark/>
          </w:tcPr>
          <w:p w14:paraId="5DFCCF76"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No savings proposed - statutory duty. Aim is to ultimately increase in-house carers to reduce Independent Foster Agency costs.</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46AFD867"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4093E814" w14:textId="77777777" w:rsidTr="00BC26AB">
        <w:trPr>
          <w:trHeight w:val="20"/>
        </w:trPr>
        <w:tc>
          <w:tcPr>
            <w:tcW w:w="689"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23C6FB1D"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Fostering &amp; Adoption</w:t>
            </w:r>
          </w:p>
        </w:tc>
        <w:tc>
          <w:tcPr>
            <w:tcW w:w="1843" w:type="pct"/>
            <w:tcBorders>
              <w:top w:val="nil"/>
              <w:left w:val="nil"/>
              <w:bottom w:val="single" w:sz="4" w:space="0" w:color="auto"/>
              <w:right w:val="single" w:sz="4" w:space="0" w:color="auto"/>
            </w:tcBorders>
            <w:shd w:val="clear" w:color="auto" w:fill="auto"/>
            <w:tcMar>
              <w:left w:w="45" w:type="dxa"/>
              <w:right w:w="45" w:type="dxa"/>
            </w:tcMar>
            <w:hideMark/>
          </w:tcPr>
          <w:p w14:paraId="239C4BCC"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Staffing teams assessing and supporting foster carers. Allowances paid to Adopters</w:t>
            </w:r>
          </w:p>
        </w:tc>
        <w:tc>
          <w:tcPr>
            <w:tcW w:w="2025" w:type="pct"/>
            <w:tcBorders>
              <w:top w:val="nil"/>
              <w:left w:val="nil"/>
              <w:bottom w:val="single" w:sz="4" w:space="0" w:color="auto"/>
              <w:right w:val="single" w:sz="4" w:space="0" w:color="auto"/>
            </w:tcBorders>
            <w:shd w:val="clear" w:color="auto" w:fill="auto"/>
            <w:tcMar>
              <w:left w:w="45" w:type="dxa"/>
              <w:right w:w="45" w:type="dxa"/>
            </w:tcMar>
            <w:hideMark/>
          </w:tcPr>
          <w:p w14:paraId="3E1496CB"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No savings proposed - statutory duty.</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36E9C0BD"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576A7C06" w14:textId="77777777" w:rsidTr="00BC26AB">
        <w:trPr>
          <w:trHeight w:val="20"/>
        </w:trPr>
        <w:tc>
          <w:tcPr>
            <w:tcW w:w="689"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053B23CE"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Adoption Southeast</w:t>
            </w:r>
          </w:p>
        </w:tc>
        <w:tc>
          <w:tcPr>
            <w:tcW w:w="1843" w:type="pct"/>
            <w:tcBorders>
              <w:top w:val="nil"/>
              <w:left w:val="nil"/>
              <w:bottom w:val="single" w:sz="4" w:space="0" w:color="auto"/>
              <w:right w:val="single" w:sz="4" w:space="0" w:color="auto"/>
            </w:tcBorders>
            <w:shd w:val="clear" w:color="auto" w:fill="auto"/>
            <w:tcMar>
              <w:left w:w="45" w:type="dxa"/>
              <w:right w:w="45" w:type="dxa"/>
            </w:tcMar>
            <w:hideMark/>
          </w:tcPr>
          <w:p w14:paraId="48D955D3"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Regional Adoption Agency</w:t>
            </w:r>
          </w:p>
        </w:tc>
        <w:tc>
          <w:tcPr>
            <w:tcW w:w="2025" w:type="pct"/>
            <w:tcBorders>
              <w:top w:val="nil"/>
              <w:left w:val="nil"/>
              <w:bottom w:val="single" w:sz="4" w:space="0" w:color="auto"/>
              <w:right w:val="single" w:sz="4" w:space="0" w:color="auto"/>
            </w:tcBorders>
            <w:shd w:val="clear" w:color="auto" w:fill="auto"/>
            <w:tcMar>
              <w:left w:w="45" w:type="dxa"/>
              <w:right w:w="45" w:type="dxa"/>
            </w:tcMar>
            <w:hideMark/>
          </w:tcPr>
          <w:p w14:paraId="54BE5E23"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No savings proposed - statutory duty and important service that mitigates higher alternative costs.</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262E406E"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25F7480D" w14:textId="77777777" w:rsidTr="00BC26AB">
        <w:trPr>
          <w:trHeight w:val="20"/>
        </w:trPr>
        <w:tc>
          <w:tcPr>
            <w:tcW w:w="689"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2B24D7A2"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Social Work</w:t>
            </w:r>
          </w:p>
        </w:tc>
        <w:tc>
          <w:tcPr>
            <w:tcW w:w="1843" w:type="pct"/>
            <w:tcBorders>
              <w:top w:val="nil"/>
              <w:left w:val="nil"/>
              <w:bottom w:val="single" w:sz="4" w:space="0" w:color="auto"/>
              <w:right w:val="single" w:sz="4" w:space="0" w:color="auto"/>
            </w:tcBorders>
            <w:shd w:val="clear" w:color="auto" w:fill="auto"/>
            <w:tcMar>
              <w:left w:w="45" w:type="dxa"/>
              <w:right w:w="45" w:type="dxa"/>
            </w:tcMar>
            <w:hideMark/>
          </w:tcPr>
          <w:p w14:paraId="3F713971"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Social work staffing teams.</w:t>
            </w:r>
          </w:p>
        </w:tc>
        <w:tc>
          <w:tcPr>
            <w:tcW w:w="2025" w:type="pct"/>
            <w:tcBorders>
              <w:top w:val="nil"/>
              <w:left w:val="nil"/>
              <w:bottom w:val="single" w:sz="4" w:space="0" w:color="auto"/>
              <w:right w:val="single" w:sz="4" w:space="0" w:color="auto"/>
            </w:tcBorders>
            <w:shd w:val="clear" w:color="auto" w:fill="auto"/>
            <w:tcMar>
              <w:left w:w="45" w:type="dxa"/>
              <w:right w:w="45" w:type="dxa"/>
            </w:tcMar>
            <w:hideMark/>
          </w:tcPr>
          <w:p w14:paraId="75B58AD9"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Small non-staffing efficiency proposed.</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509CAF20"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10 </w:t>
            </w:r>
          </w:p>
        </w:tc>
      </w:tr>
      <w:tr w:rsidR="000729CF" w:rsidRPr="000729CF" w14:paraId="7BAAFBB5" w14:textId="77777777" w:rsidTr="00BC26AB">
        <w:trPr>
          <w:trHeight w:val="20"/>
        </w:trPr>
        <w:tc>
          <w:tcPr>
            <w:tcW w:w="689"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1A93E401"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Social Work</w:t>
            </w:r>
          </w:p>
        </w:tc>
        <w:tc>
          <w:tcPr>
            <w:tcW w:w="1843" w:type="pct"/>
            <w:tcBorders>
              <w:top w:val="nil"/>
              <w:left w:val="nil"/>
              <w:bottom w:val="single" w:sz="4" w:space="0" w:color="auto"/>
              <w:right w:val="single" w:sz="4" w:space="0" w:color="auto"/>
            </w:tcBorders>
            <w:shd w:val="clear" w:color="auto" w:fill="auto"/>
            <w:tcMar>
              <w:left w:w="45" w:type="dxa"/>
              <w:right w:w="45" w:type="dxa"/>
            </w:tcMar>
            <w:hideMark/>
          </w:tcPr>
          <w:p w14:paraId="369EC691"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Expenditure incurred under section 17 &amp; 18 of the 1989 Children Act.</w:t>
            </w:r>
          </w:p>
        </w:tc>
        <w:tc>
          <w:tcPr>
            <w:tcW w:w="2025" w:type="pct"/>
            <w:tcBorders>
              <w:top w:val="nil"/>
              <w:left w:val="nil"/>
              <w:bottom w:val="single" w:sz="4" w:space="0" w:color="auto"/>
              <w:right w:val="single" w:sz="4" w:space="0" w:color="auto"/>
            </w:tcBorders>
            <w:shd w:val="clear" w:color="auto" w:fill="auto"/>
            <w:tcMar>
              <w:left w:w="45" w:type="dxa"/>
              <w:right w:w="45" w:type="dxa"/>
            </w:tcMar>
            <w:hideMark/>
          </w:tcPr>
          <w:p w14:paraId="0434781B"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No savings proposed - statutory duty. Contributes to the council's response to welfare reforms which will become even more important with the ending/reduction of the Household Support Fund.</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6BF04599"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1B90B8DE" w14:textId="77777777" w:rsidTr="00BC26AB">
        <w:trPr>
          <w:trHeight w:val="20"/>
        </w:trPr>
        <w:tc>
          <w:tcPr>
            <w:tcW w:w="689"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69875C24"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Social Work</w:t>
            </w:r>
          </w:p>
        </w:tc>
        <w:tc>
          <w:tcPr>
            <w:tcW w:w="1843" w:type="pct"/>
            <w:tcBorders>
              <w:top w:val="nil"/>
              <w:left w:val="nil"/>
              <w:bottom w:val="single" w:sz="4" w:space="0" w:color="auto"/>
              <w:right w:val="single" w:sz="4" w:space="0" w:color="auto"/>
            </w:tcBorders>
            <w:shd w:val="clear" w:color="auto" w:fill="auto"/>
            <w:tcMar>
              <w:left w:w="45" w:type="dxa"/>
              <w:right w:w="45" w:type="dxa"/>
            </w:tcMar>
            <w:hideMark/>
          </w:tcPr>
          <w:p w14:paraId="08E6C7FE"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Legal costs relating to assessment and court fees.</w:t>
            </w:r>
          </w:p>
        </w:tc>
        <w:tc>
          <w:tcPr>
            <w:tcW w:w="2025" w:type="pct"/>
            <w:tcBorders>
              <w:top w:val="nil"/>
              <w:left w:val="nil"/>
              <w:bottom w:val="single" w:sz="4" w:space="0" w:color="auto"/>
              <w:right w:val="single" w:sz="4" w:space="0" w:color="auto"/>
            </w:tcBorders>
            <w:shd w:val="clear" w:color="auto" w:fill="auto"/>
            <w:tcMar>
              <w:left w:w="45" w:type="dxa"/>
              <w:right w:w="45" w:type="dxa"/>
            </w:tcMar>
            <w:hideMark/>
          </w:tcPr>
          <w:p w14:paraId="189318DE"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No savings proposed - statutory duty which achieves significant cost avoidance.</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5E2DBBF6"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74D1D3C6" w14:textId="77777777" w:rsidTr="00BC26AB">
        <w:trPr>
          <w:trHeight w:val="20"/>
        </w:trPr>
        <w:tc>
          <w:tcPr>
            <w:tcW w:w="689"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1A10D0BA"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Contact Service</w:t>
            </w:r>
          </w:p>
        </w:tc>
        <w:tc>
          <w:tcPr>
            <w:tcW w:w="1843" w:type="pct"/>
            <w:tcBorders>
              <w:top w:val="nil"/>
              <w:left w:val="nil"/>
              <w:bottom w:val="single" w:sz="4" w:space="0" w:color="auto"/>
              <w:right w:val="single" w:sz="4" w:space="0" w:color="auto"/>
            </w:tcBorders>
            <w:shd w:val="clear" w:color="auto" w:fill="auto"/>
            <w:tcMar>
              <w:left w:w="45" w:type="dxa"/>
              <w:right w:w="45" w:type="dxa"/>
            </w:tcMar>
            <w:hideMark/>
          </w:tcPr>
          <w:p w14:paraId="12242C44"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Family contact for children in care (Chic) and children in need (CIN)</w:t>
            </w:r>
          </w:p>
        </w:tc>
        <w:tc>
          <w:tcPr>
            <w:tcW w:w="2025" w:type="pct"/>
            <w:tcBorders>
              <w:top w:val="nil"/>
              <w:left w:val="nil"/>
              <w:bottom w:val="single" w:sz="4" w:space="0" w:color="auto"/>
              <w:right w:val="single" w:sz="4" w:space="0" w:color="auto"/>
            </w:tcBorders>
            <w:shd w:val="clear" w:color="auto" w:fill="auto"/>
            <w:tcMar>
              <w:left w:w="45" w:type="dxa"/>
              <w:right w:w="45" w:type="dxa"/>
            </w:tcMar>
            <w:hideMark/>
          </w:tcPr>
          <w:p w14:paraId="10C2E521"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Efficiency savings and deletion of 1.25fte vacancies. Risk: To deliver the statutory duty will require some use of sessional staff which could result in a budget pressure. See EIA 7.</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1FDCCDD9"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72 </w:t>
            </w:r>
          </w:p>
        </w:tc>
      </w:tr>
      <w:tr w:rsidR="000729CF" w:rsidRPr="000729CF" w14:paraId="32BDF883" w14:textId="77777777" w:rsidTr="00BC26AB">
        <w:trPr>
          <w:trHeight w:val="20"/>
        </w:trPr>
        <w:tc>
          <w:tcPr>
            <w:tcW w:w="689"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30B639E2"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Care Leavers</w:t>
            </w:r>
          </w:p>
        </w:tc>
        <w:tc>
          <w:tcPr>
            <w:tcW w:w="1843" w:type="pct"/>
            <w:tcBorders>
              <w:top w:val="nil"/>
              <w:left w:val="nil"/>
              <w:bottom w:val="single" w:sz="4" w:space="0" w:color="auto"/>
              <w:right w:val="single" w:sz="4" w:space="0" w:color="auto"/>
            </w:tcBorders>
            <w:shd w:val="clear" w:color="auto" w:fill="auto"/>
            <w:tcMar>
              <w:left w:w="45" w:type="dxa"/>
              <w:right w:w="45" w:type="dxa"/>
            </w:tcMar>
            <w:hideMark/>
          </w:tcPr>
          <w:p w14:paraId="59D75CC1"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Services for 18-24 year olds leaving care, including staying put and ex-asylum seekers.</w:t>
            </w:r>
          </w:p>
        </w:tc>
        <w:tc>
          <w:tcPr>
            <w:tcW w:w="2025" w:type="pct"/>
            <w:tcBorders>
              <w:top w:val="nil"/>
              <w:left w:val="nil"/>
              <w:bottom w:val="single" w:sz="4" w:space="0" w:color="auto"/>
              <w:right w:val="single" w:sz="4" w:space="0" w:color="auto"/>
            </w:tcBorders>
            <w:shd w:val="clear" w:color="auto" w:fill="auto"/>
            <w:tcMar>
              <w:left w:w="45" w:type="dxa"/>
              <w:right w:w="45" w:type="dxa"/>
            </w:tcMar>
            <w:hideMark/>
          </w:tcPr>
          <w:p w14:paraId="360E4728"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No savings proposed - statutory duty that meets a core priority.</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5CCCAAB6"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32D8BBA9" w14:textId="77777777" w:rsidTr="00BC26AB">
        <w:trPr>
          <w:trHeight w:val="20"/>
        </w:trPr>
        <w:tc>
          <w:tcPr>
            <w:tcW w:w="689"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3CF37EC0"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Agency Placements</w:t>
            </w:r>
          </w:p>
        </w:tc>
        <w:tc>
          <w:tcPr>
            <w:tcW w:w="1843" w:type="pct"/>
            <w:tcBorders>
              <w:top w:val="nil"/>
              <w:left w:val="nil"/>
              <w:bottom w:val="single" w:sz="4" w:space="0" w:color="auto"/>
              <w:right w:val="single" w:sz="4" w:space="0" w:color="auto"/>
            </w:tcBorders>
            <w:shd w:val="clear" w:color="auto" w:fill="auto"/>
            <w:tcMar>
              <w:left w:w="45" w:type="dxa"/>
              <w:right w:w="45" w:type="dxa"/>
            </w:tcMar>
            <w:hideMark/>
          </w:tcPr>
          <w:p w14:paraId="64525853"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Residential, fostering and secure placements for looked after children provided by external agencies</w:t>
            </w:r>
          </w:p>
        </w:tc>
        <w:tc>
          <w:tcPr>
            <w:tcW w:w="2025" w:type="pct"/>
            <w:tcBorders>
              <w:top w:val="nil"/>
              <w:left w:val="nil"/>
              <w:bottom w:val="single" w:sz="4" w:space="0" w:color="auto"/>
              <w:right w:val="single" w:sz="4" w:space="0" w:color="auto"/>
            </w:tcBorders>
            <w:shd w:val="clear" w:color="auto" w:fill="auto"/>
            <w:tcMar>
              <w:left w:w="45" w:type="dxa"/>
              <w:right w:w="45" w:type="dxa"/>
            </w:tcMar>
            <w:hideMark/>
          </w:tcPr>
          <w:p w14:paraId="46135A6B"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A significant saving is proposed in respect of an ongoing project to increase the number of in-house foster placements and reduce reliance on more expensive independent providers. Economies are also sought through the provision of high quality, value for money  contracted services with external providers using the children's services framework contract arrangements and preferred provider guidelines. In addition to the savings proposed, there is pressure funding for 2023/24 to cover future anticipated increased costs for existing clients.</w:t>
            </w:r>
            <w:r w:rsidRPr="000729CF">
              <w:rPr>
                <w:rFonts w:ascii="Calibri" w:hAnsi="Calibri" w:cs="Calibri"/>
                <w:sz w:val="22"/>
                <w:szCs w:val="22"/>
                <w:lang w:val="en-GB" w:eastAsia="en-GB"/>
              </w:rPr>
              <w:br/>
            </w:r>
            <w:r w:rsidRPr="000729CF">
              <w:rPr>
                <w:rFonts w:ascii="Calibri" w:hAnsi="Calibri" w:cs="Calibri"/>
                <w:sz w:val="22"/>
                <w:szCs w:val="22"/>
                <w:lang w:val="en-GB" w:eastAsia="en-GB"/>
              </w:rPr>
              <w:br/>
              <w:t xml:space="preserve">Relationship-based social work practice and the specialist adolescence service is contributing to diverting children from the care system, and for those already in care, a stepping down to in house and/or less expensive placements. Close scrutiny of placement costs, together with an increase in in-house foster carers is contributing to a reduction in unit costs.                         </w:t>
            </w:r>
            <w:r w:rsidRPr="000729CF">
              <w:rPr>
                <w:rFonts w:ascii="Calibri" w:hAnsi="Calibri" w:cs="Calibri"/>
                <w:sz w:val="22"/>
                <w:szCs w:val="22"/>
                <w:lang w:val="en-GB" w:eastAsia="en-GB"/>
              </w:rPr>
              <w:br/>
            </w:r>
            <w:r w:rsidRPr="000729CF">
              <w:rPr>
                <w:rFonts w:ascii="Calibri" w:hAnsi="Calibri" w:cs="Calibri"/>
                <w:sz w:val="22"/>
                <w:szCs w:val="22"/>
                <w:lang w:val="en-GB" w:eastAsia="en-GB"/>
              </w:rPr>
              <w:br/>
              <w:t>Delivery Risk: This is a high cost service where the failure of effective prevention and demand management would not only impact on the achievement of cost reduction but is likely to be of corporate financial significance to the council's challenging medium term financial position. The proposals set out here assume that other identified pressures on this budget will be met across the overall budget. A small number of adolescents with very significant needs continue to place pressure on these budgets combined with a national shortage of  placements.</w:t>
            </w:r>
            <w:r w:rsidRPr="000729CF">
              <w:rPr>
                <w:rFonts w:ascii="Calibri" w:hAnsi="Calibri" w:cs="Calibri"/>
                <w:sz w:val="22"/>
                <w:szCs w:val="22"/>
                <w:lang w:val="en-GB" w:eastAsia="en-GB"/>
              </w:rPr>
              <w:br/>
            </w:r>
            <w:r w:rsidRPr="000729CF">
              <w:rPr>
                <w:rFonts w:ascii="Calibri" w:hAnsi="Calibri" w:cs="Calibri"/>
                <w:sz w:val="22"/>
                <w:szCs w:val="22"/>
                <w:lang w:val="en-GB" w:eastAsia="en-GB"/>
              </w:rPr>
              <w:br/>
              <w:t>Impact on Outcomes: The council's improved practice model prevents children needing care and contributes to improved outcomes for young people. Demand management has implications for managing risk effectively to meet safeguarding requirements and statutory duties. See EIA 8.</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6F8094C8"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2,004 </w:t>
            </w:r>
          </w:p>
        </w:tc>
      </w:tr>
      <w:tr w:rsidR="000729CF" w:rsidRPr="000729CF" w14:paraId="5479058B" w14:textId="77777777" w:rsidTr="00BC26AB">
        <w:trPr>
          <w:trHeight w:val="20"/>
        </w:trPr>
        <w:tc>
          <w:tcPr>
            <w:tcW w:w="689"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3FA417BD"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Adolescent Service</w:t>
            </w:r>
          </w:p>
        </w:tc>
        <w:tc>
          <w:tcPr>
            <w:tcW w:w="1843" w:type="pct"/>
            <w:tcBorders>
              <w:top w:val="nil"/>
              <w:left w:val="nil"/>
              <w:bottom w:val="single" w:sz="4" w:space="0" w:color="auto"/>
              <w:right w:val="single" w:sz="4" w:space="0" w:color="auto"/>
            </w:tcBorders>
            <w:shd w:val="clear" w:color="auto" w:fill="auto"/>
            <w:tcMar>
              <w:left w:w="45" w:type="dxa"/>
              <w:right w:w="45" w:type="dxa"/>
            </w:tcMar>
            <w:hideMark/>
          </w:tcPr>
          <w:p w14:paraId="152F833B"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Support and supervision to young people at risk of exploitation, some of whom are at risk of becoming involved in the Criminal Justice System and preventative work for children and young people at risk of becoming involved in offending.</w:t>
            </w:r>
          </w:p>
        </w:tc>
        <w:tc>
          <w:tcPr>
            <w:tcW w:w="2025" w:type="pct"/>
            <w:tcBorders>
              <w:top w:val="nil"/>
              <w:left w:val="nil"/>
              <w:bottom w:val="single" w:sz="4" w:space="0" w:color="auto"/>
              <w:right w:val="single" w:sz="4" w:space="0" w:color="auto"/>
            </w:tcBorders>
            <w:shd w:val="clear" w:color="auto" w:fill="auto"/>
            <w:tcMar>
              <w:left w:w="45" w:type="dxa"/>
              <w:right w:w="45" w:type="dxa"/>
            </w:tcMar>
            <w:hideMark/>
          </w:tcPr>
          <w:p w14:paraId="5ACA328B"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The adolescent service works with the most vulnerable adolescents in the city, at risk of criminal and sexual exploitation, misusing substances and at risk of teenage pregnancy. Risk: Efficiencies are potentially manageable but may result in escalation of need which requires statutory, more expensive social work intervention, including placement in care.</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1A01DC9C"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80 </w:t>
            </w:r>
          </w:p>
        </w:tc>
      </w:tr>
      <w:tr w:rsidR="000729CF" w:rsidRPr="000729CF" w14:paraId="0A13D174" w14:textId="77777777" w:rsidTr="00BC26AB">
        <w:trPr>
          <w:trHeight w:val="20"/>
        </w:trPr>
        <w:tc>
          <w:tcPr>
            <w:tcW w:w="689"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41D67A2A"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Family group conferences</w:t>
            </w:r>
          </w:p>
        </w:tc>
        <w:tc>
          <w:tcPr>
            <w:tcW w:w="1843" w:type="pct"/>
            <w:tcBorders>
              <w:top w:val="nil"/>
              <w:left w:val="nil"/>
              <w:bottom w:val="single" w:sz="4" w:space="0" w:color="auto"/>
              <w:right w:val="single" w:sz="4" w:space="0" w:color="auto"/>
            </w:tcBorders>
            <w:shd w:val="clear" w:color="auto" w:fill="auto"/>
            <w:tcMar>
              <w:left w:w="45" w:type="dxa"/>
              <w:right w:w="45" w:type="dxa"/>
            </w:tcMar>
            <w:hideMark/>
          </w:tcPr>
          <w:p w14:paraId="5C1980D6"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Family group conferences</w:t>
            </w:r>
          </w:p>
        </w:tc>
        <w:tc>
          <w:tcPr>
            <w:tcW w:w="2025" w:type="pct"/>
            <w:tcBorders>
              <w:top w:val="nil"/>
              <w:left w:val="nil"/>
              <w:bottom w:val="single" w:sz="4" w:space="0" w:color="auto"/>
              <w:right w:val="single" w:sz="4" w:space="0" w:color="auto"/>
            </w:tcBorders>
            <w:shd w:val="clear" w:color="auto" w:fill="auto"/>
            <w:tcMar>
              <w:left w:w="45" w:type="dxa"/>
              <w:right w:w="45" w:type="dxa"/>
            </w:tcMar>
            <w:hideMark/>
          </w:tcPr>
          <w:p w14:paraId="59707AF1"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No savings proposed - supports statutory duty and provides a key preventative service achieving cost avoidance.</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4B294A4A"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246974DE" w14:textId="77777777" w:rsidTr="00BC26AB">
        <w:trPr>
          <w:trHeight w:val="20"/>
        </w:trPr>
        <w:tc>
          <w:tcPr>
            <w:tcW w:w="689"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3556F714"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Partners in Change Hub &amp; specialist assessments</w:t>
            </w:r>
          </w:p>
        </w:tc>
        <w:tc>
          <w:tcPr>
            <w:tcW w:w="1843" w:type="pct"/>
            <w:tcBorders>
              <w:top w:val="nil"/>
              <w:left w:val="nil"/>
              <w:bottom w:val="single" w:sz="4" w:space="0" w:color="auto"/>
              <w:right w:val="single" w:sz="4" w:space="0" w:color="auto"/>
            </w:tcBorders>
            <w:shd w:val="clear" w:color="auto" w:fill="auto"/>
            <w:tcMar>
              <w:left w:w="45" w:type="dxa"/>
              <w:right w:w="45" w:type="dxa"/>
            </w:tcMar>
            <w:hideMark/>
          </w:tcPr>
          <w:p w14:paraId="64518CFC"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Lead practitioners and adult workers supporting social workers to manage risk effectively within families; specialist assessments to support social work decision making</w:t>
            </w:r>
          </w:p>
        </w:tc>
        <w:tc>
          <w:tcPr>
            <w:tcW w:w="2025" w:type="pct"/>
            <w:tcBorders>
              <w:top w:val="nil"/>
              <w:left w:val="nil"/>
              <w:bottom w:val="single" w:sz="4" w:space="0" w:color="auto"/>
              <w:right w:val="single" w:sz="4" w:space="0" w:color="auto"/>
            </w:tcBorders>
            <w:shd w:val="clear" w:color="auto" w:fill="auto"/>
            <w:tcMar>
              <w:left w:w="45" w:type="dxa"/>
              <w:right w:w="45" w:type="dxa"/>
            </w:tcMar>
            <w:hideMark/>
          </w:tcPr>
          <w:p w14:paraId="279A8DC5"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Deletion of a vacancy is proposed. This service provides specialist assessments and supports social work to undertake complex work to prevent children coming into care or within care proceedings. This service provides specialist reports to court, preventing the court requesting expensive specialist externally commissioned assessments. Risk: If demand cannot be managed effectively, a reduction in the service could impact on specialist assessments requested by the court and lead to increased expense. See EIA 9</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6F3D7975"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75 </w:t>
            </w:r>
          </w:p>
        </w:tc>
      </w:tr>
      <w:tr w:rsidR="000729CF" w:rsidRPr="000729CF" w14:paraId="18DA4222" w14:textId="77777777" w:rsidTr="00BC26AB">
        <w:trPr>
          <w:trHeight w:val="20"/>
        </w:trPr>
        <w:tc>
          <w:tcPr>
            <w:tcW w:w="689"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7CB529C2"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Social Care Grant</w:t>
            </w:r>
          </w:p>
        </w:tc>
        <w:tc>
          <w:tcPr>
            <w:tcW w:w="1843" w:type="pct"/>
            <w:tcBorders>
              <w:top w:val="nil"/>
              <w:left w:val="nil"/>
              <w:bottom w:val="single" w:sz="4" w:space="0" w:color="auto"/>
              <w:right w:val="single" w:sz="4" w:space="0" w:color="auto"/>
            </w:tcBorders>
            <w:shd w:val="clear" w:color="auto" w:fill="auto"/>
            <w:tcMar>
              <w:left w:w="45" w:type="dxa"/>
              <w:right w:w="45" w:type="dxa"/>
            </w:tcMar>
            <w:hideMark/>
          </w:tcPr>
          <w:p w14:paraId="4D0FF1C2"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Social Care Grant</w:t>
            </w:r>
          </w:p>
        </w:tc>
        <w:tc>
          <w:tcPr>
            <w:tcW w:w="2025" w:type="pct"/>
            <w:tcBorders>
              <w:top w:val="nil"/>
              <w:left w:val="nil"/>
              <w:bottom w:val="single" w:sz="4" w:space="0" w:color="auto"/>
              <w:right w:val="single" w:sz="4" w:space="0" w:color="auto"/>
            </w:tcBorders>
            <w:shd w:val="clear" w:color="auto" w:fill="auto"/>
            <w:tcMar>
              <w:left w:w="45" w:type="dxa"/>
              <w:right w:w="45" w:type="dxa"/>
            </w:tcMar>
            <w:hideMark/>
          </w:tcPr>
          <w:p w14:paraId="77BA8A19"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4A50CD21"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3219827E" w14:textId="77777777" w:rsidTr="00BC26AB">
        <w:trPr>
          <w:trHeight w:val="20"/>
        </w:trPr>
        <w:tc>
          <w:tcPr>
            <w:tcW w:w="2532" w:type="pct"/>
            <w:gridSpan w:val="2"/>
            <w:tcBorders>
              <w:top w:val="single" w:sz="4" w:space="0" w:color="auto"/>
              <w:left w:val="single" w:sz="4" w:space="0" w:color="auto"/>
              <w:bottom w:val="single" w:sz="4" w:space="0" w:color="auto"/>
              <w:right w:val="single" w:sz="4" w:space="0" w:color="auto"/>
            </w:tcBorders>
            <w:shd w:val="clear" w:color="000000" w:fill="A6A6A6"/>
            <w:noWrap/>
            <w:tcMar>
              <w:left w:w="45" w:type="dxa"/>
              <w:right w:w="45" w:type="dxa"/>
            </w:tcMar>
            <w:hideMark/>
          </w:tcPr>
          <w:p w14:paraId="0827CF59"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Children's Safeguarding &amp; Care Total</w:t>
            </w:r>
          </w:p>
        </w:tc>
        <w:tc>
          <w:tcPr>
            <w:tcW w:w="2025" w:type="pct"/>
            <w:tcBorders>
              <w:top w:val="nil"/>
              <w:left w:val="nil"/>
              <w:bottom w:val="single" w:sz="4" w:space="0" w:color="auto"/>
              <w:right w:val="single" w:sz="4" w:space="0" w:color="auto"/>
            </w:tcBorders>
            <w:shd w:val="clear" w:color="000000" w:fill="A6A6A6"/>
            <w:noWrap/>
            <w:tcMar>
              <w:left w:w="45" w:type="dxa"/>
              <w:right w:w="45" w:type="dxa"/>
            </w:tcMar>
            <w:hideMark/>
          </w:tcPr>
          <w:p w14:paraId="7A4A3743"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w:t>
            </w:r>
          </w:p>
        </w:tc>
        <w:tc>
          <w:tcPr>
            <w:tcW w:w="443" w:type="pct"/>
            <w:tcBorders>
              <w:top w:val="nil"/>
              <w:left w:val="nil"/>
              <w:bottom w:val="single" w:sz="4" w:space="0" w:color="auto"/>
              <w:right w:val="single" w:sz="4" w:space="0" w:color="auto"/>
            </w:tcBorders>
            <w:shd w:val="clear" w:color="000000" w:fill="A6A6A6"/>
            <w:noWrap/>
            <w:tcMar>
              <w:left w:w="45" w:type="dxa"/>
              <w:right w:w="45" w:type="dxa"/>
            </w:tcMar>
            <w:hideMark/>
          </w:tcPr>
          <w:p w14:paraId="0C36EC72"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2,241 </w:t>
            </w:r>
          </w:p>
        </w:tc>
      </w:tr>
      <w:tr w:rsidR="000729CF" w:rsidRPr="000729CF" w14:paraId="0EE0ED91" w14:textId="77777777" w:rsidTr="00BC26AB">
        <w:trPr>
          <w:trHeight w:val="20"/>
        </w:trPr>
        <w:tc>
          <w:tcPr>
            <w:tcW w:w="4557" w:type="pct"/>
            <w:gridSpan w:val="3"/>
            <w:tcBorders>
              <w:top w:val="single" w:sz="4" w:space="0" w:color="auto"/>
              <w:left w:val="single" w:sz="4" w:space="0" w:color="auto"/>
              <w:bottom w:val="single" w:sz="4" w:space="0" w:color="auto"/>
              <w:right w:val="nil"/>
            </w:tcBorders>
            <w:shd w:val="clear" w:color="000000" w:fill="000000"/>
            <w:noWrap/>
            <w:tcMar>
              <w:left w:w="45" w:type="dxa"/>
              <w:right w:w="45" w:type="dxa"/>
            </w:tcMar>
            <w:hideMark/>
          </w:tcPr>
          <w:p w14:paraId="17AFF4A4"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Quality Assurance &amp; Performance</w:t>
            </w:r>
          </w:p>
        </w:tc>
        <w:tc>
          <w:tcPr>
            <w:tcW w:w="443" w:type="pct"/>
            <w:tcBorders>
              <w:top w:val="nil"/>
              <w:left w:val="nil"/>
              <w:bottom w:val="single" w:sz="4" w:space="0" w:color="auto"/>
              <w:right w:val="single" w:sz="4" w:space="0" w:color="auto"/>
            </w:tcBorders>
            <w:shd w:val="clear" w:color="000000" w:fill="000000"/>
            <w:noWrap/>
            <w:tcMar>
              <w:left w:w="45" w:type="dxa"/>
              <w:right w:w="45" w:type="dxa"/>
            </w:tcMar>
            <w:hideMark/>
          </w:tcPr>
          <w:p w14:paraId="5448FB63"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 </w:t>
            </w:r>
          </w:p>
        </w:tc>
      </w:tr>
      <w:tr w:rsidR="000729CF" w:rsidRPr="000729CF" w14:paraId="3BDEFE49" w14:textId="77777777" w:rsidTr="00BC26AB">
        <w:trPr>
          <w:trHeight w:val="20"/>
        </w:trPr>
        <w:tc>
          <w:tcPr>
            <w:tcW w:w="689" w:type="pct"/>
            <w:tcBorders>
              <w:top w:val="nil"/>
              <w:left w:val="single" w:sz="4" w:space="0" w:color="auto"/>
              <w:bottom w:val="single" w:sz="4" w:space="0" w:color="auto"/>
              <w:right w:val="single" w:sz="4" w:space="0" w:color="auto"/>
            </w:tcBorders>
            <w:shd w:val="clear" w:color="000000" w:fill="FFFFFF"/>
            <w:tcMar>
              <w:left w:w="45" w:type="dxa"/>
              <w:right w:w="45" w:type="dxa"/>
            </w:tcMar>
            <w:hideMark/>
          </w:tcPr>
          <w:p w14:paraId="66069D07"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Children's Safeguarding &amp; Quality Assurance</w:t>
            </w:r>
          </w:p>
        </w:tc>
        <w:tc>
          <w:tcPr>
            <w:tcW w:w="1843" w:type="pct"/>
            <w:tcBorders>
              <w:top w:val="nil"/>
              <w:left w:val="nil"/>
              <w:bottom w:val="single" w:sz="4" w:space="0" w:color="auto"/>
              <w:right w:val="single" w:sz="4" w:space="0" w:color="auto"/>
            </w:tcBorders>
            <w:shd w:val="clear" w:color="000000" w:fill="FFFFFF"/>
            <w:tcMar>
              <w:left w:w="45" w:type="dxa"/>
              <w:right w:w="45" w:type="dxa"/>
            </w:tcMar>
            <w:hideMark/>
          </w:tcPr>
          <w:p w14:paraId="26C30F14"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Specific child protection services, the Brighton &amp; Hove Safeguarding Children's Partnership (BHSCP) and independent reviewing officers. Note: Income of £45k from services to schools has been netted off within the gross budget.</w:t>
            </w:r>
          </w:p>
        </w:tc>
        <w:tc>
          <w:tcPr>
            <w:tcW w:w="2025" w:type="pct"/>
            <w:tcBorders>
              <w:top w:val="nil"/>
              <w:left w:val="nil"/>
              <w:bottom w:val="single" w:sz="4" w:space="0" w:color="auto"/>
              <w:right w:val="single" w:sz="4" w:space="0" w:color="auto"/>
            </w:tcBorders>
            <w:shd w:val="clear" w:color="auto" w:fill="auto"/>
            <w:tcMar>
              <w:left w:w="45" w:type="dxa"/>
              <w:right w:w="45" w:type="dxa"/>
            </w:tcMar>
            <w:hideMark/>
          </w:tcPr>
          <w:p w14:paraId="24263D92"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No savings proposed. The BHSCP as it is a partnership budget, owned alongside Police and Health and is a statutory function.</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6A14D291"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19B6A8CA" w14:textId="77777777" w:rsidTr="00BC26AB">
        <w:trPr>
          <w:trHeight w:val="20"/>
        </w:trPr>
        <w:tc>
          <w:tcPr>
            <w:tcW w:w="2532" w:type="pct"/>
            <w:gridSpan w:val="2"/>
            <w:tcBorders>
              <w:top w:val="single" w:sz="4" w:space="0" w:color="auto"/>
              <w:left w:val="single" w:sz="4" w:space="0" w:color="auto"/>
              <w:bottom w:val="single" w:sz="4" w:space="0" w:color="auto"/>
              <w:right w:val="single" w:sz="4" w:space="0" w:color="auto"/>
            </w:tcBorders>
            <w:shd w:val="clear" w:color="000000" w:fill="A6A6A6"/>
            <w:noWrap/>
            <w:tcMar>
              <w:left w:w="45" w:type="dxa"/>
              <w:right w:w="45" w:type="dxa"/>
            </w:tcMar>
            <w:hideMark/>
          </w:tcPr>
          <w:p w14:paraId="74CE08CA"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Quality Assurance &amp; Performance Total</w:t>
            </w:r>
          </w:p>
        </w:tc>
        <w:tc>
          <w:tcPr>
            <w:tcW w:w="2025" w:type="pct"/>
            <w:tcBorders>
              <w:top w:val="nil"/>
              <w:left w:val="nil"/>
              <w:bottom w:val="single" w:sz="4" w:space="0" w:color="auto"/>
              <w:right w:val="single" w:sz="4" w:space="0" w:color="auto"/>
            </w:tcBorders>
            <w:shd w:val="clear" w:color="000000" w:fill="A6A6A6"/>
            <w:noWrap/>
            <w:tcMar>
              <w:left w:w="45" w:type="dxa"/>
              <w:right w:w="45" w:type="dxa"/>
            </w:tcMar>
            <w:hideMark/>
          </w:tcPr>
          <w:p w14:paraId="1F341828"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w:t>
            </w:r>
          </w:p>
        </w:tc>
        <w:tc>
          <w:tcPr>
            <w:tcW w:w="443" w:type="pct"/>
            <w:tcBorders>
              <w:top w:val="nil"/>
              <w:left w:val="nil"/>
              <w:bottom w:val="single" w:sz="4" w:space="0" w:color="auto"/>
              <w:right w:val="single" w:sz="4" w:space="0" w:color="auto"/>
            </w:tcBorders>
            <w:shd w:val="clear" w:color="000000" w:fill="A6A6A6"/>
            <w:noWrap/>
            <w:tcMar>
              <w:left w:w="45" w:type="dxa"/>
              <w:right w:w="45" w:type="dxa"/>
            </w:tcMar>
            <w:hideMark/>
          </w:tcPr>
          <w:p w14:paraId="2C8F8A3A"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1B1AF2A1" w14:textId="77777777" w:rsidTr="00BC26AB">
        <w:trPr>
          <w:trHeight w:val="20"/>
        </w:trPr>
        <w:tc>
          <w:tcPr>
            <w:tcW w:w="2532" w:type="pct"/>
            <w:gridSpan w:val="2"/>
            <w:tcBorders>
              <w:top w:val="single" w:sz="4" w:space="0" w:color="auto"/>
              <w:left w:val="single" w:sz="4" w:space="0" w:color="auto"/>
              <w:bottom w:val="single" w:sz="4" w:space="0" w:color="auto"/>
              <w:right w:val="single" w:sz="4" w:space="0" w:color="auto"/>
            </w:tcBorders>
            <w:shd w:val="clear" w:color="000000" w:fill="A6A6A6"/>
            <w:noWrap/>
            <w:tcMar>
              <w:left w:w="45" w:type="dxa"/>
              <w:right w:w="45" w:type="dxa"/>
            </w:tcMar>
            <w:hideMark/>
          </w:tcPr>
          <w:p w14:paraId="0F761F6F"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Families, Children &amp; Learning Total</w:t>
            </w:r>
          </w:p>
        </w:tc>
        <w:tc>
          <w:tcPr>
            <w:tcW w:w="2025" w:type="pct"/>
            <w:tcBorders>
              <w:top w:val="nil"/>
              <w:left w:val="nil"/>
              <w:bottom w:val="single" w:sz="4" w:space="0" w:color="auto"/>
              <w:right w:val="single" w:sz="4" w:space="0" w:color="auto"/>
            </w:tcBorders>
            <w:shd w:val="clear" w:color="000000" w:fill="A6A6A6"/>
            <w:noWrap/>
            <w:tcMar>
              <w:left w:w="45" w:type="dxa"/>
              <w:right w:w="45" w:type="dxa"/>
            </w:tcMar>
            <w:hideMark/>
          </w:tcPr>
          <w:p w14:paraId="41A094D4"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w:t>
            </w:r>
          </w:p>
        </w:tc>
        <w:tc>
          <w:tcPr>
            <w:tcW w:w="443" w:type="pct"/>
            <w:tcBorders>
              <w:top w:val="nil"/>
              <w:left w:val="nil"/>
              <w:bottom w:val="single" w:sz="4" w:space="0" w:color="auto"/>
              <w:right w:val="single" w:sz="4" w:space="0" w:color="auto"/>
            </w:tcBorders>
            <w:shd w:val="clear" w:color="000000" w:fill="A6A6A6"/>
            <w:noWrap/>
            <w:tcMar>
              <w:left w:w="45" w:type="dxa"/>
              <w:right w:w="45" w:type="dxa"/>
            </w:tcMar>
            <w:hideMark/>
          </w:tcPr>
          <w:p w14:paraId="487A6900"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4,991 </w:t>
            </w:r>
          </w:p>
        </w:tc>
      </w:tr>
    </w:tbl>
    <w:p w14:paraId="73DAC4DB" w14:textId="77777777" w:rsidR="000729CF" w:rsidRPr="000729CF" w:rsidRDefault="000729CF" w:rsidP="000729CF">
      <w:pPr>
        <w:spacing w:after="160" w:line="259" w:lineRule="auto"/>
        <w:rPr>
          <w:rFonts w:ascii="Calibri" w:eastAsia="Calibri" w:hAnsi="Calibri"/>
          <w:sz w:val="22"/>
          <w:szCs w:val="22"/>
          <w:lang w:val="en-GB"/>
        </w:rPr>
        <w:sectPr w:rsidR="000729CF" w:rsidRPr="000729CF" w:rsidSect="001604BB">
          <w:pgSz w:w="16838" w:h="11906" w:orient="landscape"/>
          <w:pgMar w:top="720" w:right="720" w:bottom="720" w:left="720" w:header="708" w:footer="708" w:gutter="0"/>
          <w:cols w:space="708"/>
          <w:docGrid w:linePitch="360"/>
        </w:sectPr>
      </w:pPr>
    </w:p>
    <w:p w14:paraId="2ABEF282" w14:textId="77777777" w:rsidR="000729CF" w:rsidRPr="000729CF" w:rsidRDefault="000729CF" w:rsidP="000729CF">
      <w:pPr>
        <w:spacing w:after="120"/>
        <w:rPr>
          <w:rFonts w:ascii="Calibri" w:eastAsia="Calibri" w:hAnsi="Calibri"/>
          <w:b/>
          <w:color w:val="7030A0"/>
          <w:sz w:val="44"/>
          <w:szCs w:val="22"/>
          <w:lang w:val="en-GB"/>
        </w:rPr>
      </w:pPr>
      <w:r w:rsidRPr="000729CF">
        <w:rPr>
          <w:rFonts w:ascii="Calibri" w:eastAsia="Calibri" w:hAnsi="Calibri"/>
          <w:b/>
          <w:color w:val="7030A0"/>
          <w:sz w:val="44"/>
          <w:szCs w:val="22"/>
          <w:lang w:val="en-GB"/>
        </w:rPr>
        <w:t xml:space="preserve">Health &amp; Adult Social Care </w:t>
      </w:r>
    </w:p>
    <w:p w14:paraId="7A6A1CE5" w14:textId="77777777" w:rsidR="000729CF" w:rsidRPr="000729CF" w:rsidRDefault="000729CF" w:rsidP="000729CF">
      <w:pPr>
        <w:spacing w:after="160"/>
        <w:rPr>
          <w:rFonts w:ascii="Calibri" w:eastAsia="Calibri" w:hAnsi="Calibri"/>
          <w:b/>
          <w:bCs/>
          <w:color w:val="7030A0"/>
          <w:sz w:val="28"/>
          <w:szCs w:val="28"/>
          <w:lang w:val="en-GB"/>
        </w:rPr>
      </w:pPr>
      <w:r w:rsidRPr="000729CF">
        <w:rPr>
          <w:rFonts w:ascii="Calibri" w:eastAsia="Calibri" w:hAnsi="Calibri"/>
          <w:b/>
          <w:bCs/>
          <w:color w:val="7030A0"/>
          <w:sz w:val="28"/>
          <w:szCs w:val="28"/>
          <w:lang w:val="en-GB"/>
        </w:rPr>
        <w:t>Budget Strategy and Savings Proposals 2024/25</w:t>
      </w:r>
    </w:p>
    <w:p w14:paraId="53E37BD2" w14:textId="77777777" w:rsidR="000729CF" w:rsidRPr="000729CF" w:rsidRDefault="000729CF" w:rsidP="000729CF">
      <w:pPr>
        <w:spacing w:after="160" w:line="259" w:lineRule="auto"/>
        <w:rPr>
          <w:rFonts w:ascii="Calibri" w:eastAsia="Calibri" w:hAnsi="Calibri" w:cs="Calibri"/>
          <w:b/>
          <w:bCs/>
          <w:sz w:val="22"/>
          <w:szCs w:val="22"/>
          <w:u w:val="single"/>
          <w:lang w:val="en-GB"/>
        </w:rPr>
      </w:pPr>
      <w:r w:rsidRPr="000729CF">
        <w:rPr>
          <w:rFonts w:ascii="Calibri" w:eastAsia="Calibri" w:hAnsi="Calibri" w:cs="Calibri"/>
          <w:b/>
          <w:bCs/>
          <w:sz w:val="22"/>
          <w:szCs w:val="22"/>
          <w:u w:val="single"/>
          <w:lang w:val="en-GB"/>
        </w:rPr>
        <w:t>Service Context</w:t>
      </w:r>
    </w:p>
    <w:p w14:paraId="5912003A" w14:textId="77777777" w:rsidR="000729CF" w:rsidRPr="000729CF" w:rsidRDefault="000729CF" w:rsidP="000729CF">
      <w:pPr>
        <w:autoSpaceDE w:val="0"/>
        <w:autoSpaceDN w:val="0"/>
        <w:spacing w:line="259" w:lineRule="auto"/>
        <w:rPr>
          <w:rFonts w:ascii="Calibri" w:eastAsia="Calibri" w:hAnsi="Calibri" w:cs="Calibri"/>
          <w:sz w:val="22"/>
          <w:szCs w:val="22"/>
          <w:lang w:val="en-GB"/>
        </w:rPr>
      </w:pPr>
      <w:r w:rsidRPr="000729CF">
        <w:rPr>
          <w:rFonts w:ascii="Calibri" w:eastAsia="Calibri" w:hAnsi="Calibri" w:cs="Calibri"/>
          <w:sz w:val="22"/>
          <w:szCs w:val="22"/>
          <w:lang w:val="en-GB"/>
        </w:rPr>
        <w:t xml:space="preserve">The Health and Adult Social Care Directorate (HASC) consists of Public Health, Adult Social Care and Life Events. </w:t>
      </w:r>
    </w:p>
    <w:p w14:paraId="229FA237" w14:textId="77777777" w:rsidR="000729CF" w:rsidRPr="000729CF" w:rsidRDefault="000729CF" w:rsidP="000729CF">
      <w:pPr>
        <w:autoSpaceDE w:val="0"/>
        <w:autoSpaceDN w:val="0"/>
        <w:spacing w:line="259" w:lineRule="auto"/>
        <w:rPr>
          <w:rFonts w:ascii="Calibri" w:eastAsia="Calibri" w:hAnsi="Calibri" w:cs="Calibri"/>
          <w:sz w:val="22"/>
          <w:szCs w:val="22"/>
          <w:lang w:val="en-GB"/>
        </w:rPr>
      </w:pPr>
    </w:p>
    <w:p w14:paraId="611ED618" w14:textId="77777777" w:rsidR="000729CF" w:rsidRPr="000729CF" w:rsidRDefault="000729CF" w:rsidP="000729CF">
      <w:pPr>
        <w:autoSpaceDE w:val="0"/>
        <w:autoSpaceDN w:val="0"/>
        <w:spacing w:line="259" w:lineRule="auto"/>
        <w:rPr>
          <w:rFonts w:ascii="Calibri" w:eastAsia="Calibri" w:hAnsi="Calibri" w:cs="Calibri"/>
          <w:sz w:val="22"/>
          <w:szCs w:val="22"/>
          <w:lang w:val="en-GB"/>
        </w:rPr>
      </w:pPr>
      <w:r w:rsidRPr="000729CF">
        <w:rPr>
          <w:rFonts w:ascii="Calibri" w:eastAsia="Calibri" w:hAnsi="Calibri" w:cs="Calibri"/>
          <w:sz w:val="22"/>
          <w:szCs w:val="22"/>
          <w:lang w:val="en-GB"/>
        </w:rPr>
        <w:t xml:space="preserve">Principle Adult Social Care service area responsibilities covered in this strategy include services for vulnerable adults with Care Act eligible needs including older people, physical and sensory disability, mental health, carers and all ancillary activities. Public Health work with partners throughout the City to improve and protect the health of residents of all ages. Life Events services include Registrars, Bereavement and Coroner. It is to be noted that the provision of services for adults with learning disability and autism from 25 years have been transferred back to the Health and Adult Social Care Directorate from April 2023. Services for adults with learning disability and autism up to 25 years old continue to be delivered through the Families, Children and Learning Directorate, with delegated powers within that Directorate for budget spend for this cohort. However, the whole budget for all adult social care services, including adults with a learning disability are within scope of this strategy.  </w:t>
      </w:r>
    </w:p>
    <w:p w14:paraId="770846CF" w14:textId="77777777" w:rsidR="000729CF" w:rsidRPr="000729CF" w:rsidRDefault="000729CF" w:rsidP="000729CF">
      <w:pPr>
        <w:autoSpaceDE w:val="0"/>
        <w:autoSpaceDN w:val="0"/>
        <w:spacing w:line="259" w:lineRule="auto"/>
        <w:rPr>
          <w:rFonts w:ascii="Calibri" w:eastAsia="Calibri" w:hAnsi="Calibri" w:cs="Calibri"/>
          <w:sz w:val="22"/>
          <w:szCs w:val="22"/>
          <w:lang w:val="en-GB"/>
        </w:rPr>
      </w:pPr>
    </w:p>
    <w:p w14:paraId="13916937" w14:textId="77777777" w:rsidR="000729CF" w:rsidRPr="000729CF" w:rsidRDefault="000729CF" w:rsidP="000729CF">
      <w:pPr>
        <w:autoSpaceDE w:val="0"/>
        <w:autoSpaceDN w:val="0"/>
        <w:spacing w:line="276" w:lineRule="auto"/>
        <w:rPr>
          <w:rFonts w:ascii="Calibri" w:eastAsia="Calibri" w:hAnsi="Calibri" w:cs="Calibri"/>
          <w:sz w:val="22"/>
          <w:szCs w:val="22"/>
          <w:lang w:val="en-GB"/>
        </w:rPr>
      </w:pPr>
      <w:r w:rsidRPr="000729CF">
        <w:rPr>
          <w:rFonts w:ascii="Calibri" w:eastAsia="Calibri" w:hAnsi="Calibri" w:cs="Calibri"/>
          <w:sz w:val="22"/>
          <w:szCs w:val="22"/>
          <w:lang w:val="en-GB"/>
        </w:rPr>
        <w:t xml:space="preserve">The wellbeing of Brighton &amp; Hove residents remains at the heart of our approach and is reflected in the HASC core offer, which is to: </w:t>
      </w:r>
    </w:p>
    <w:p w14:paraId="4C7E19C1" w14:textId="77777777" w:rsidR="000729CF" w:rsidRPr="000729CF" w:rsidRDefault="000729CF" w:rsidP="00CE70A3">
      <w:pPr>
        <w:numPr>
          <w:ilvl w:val="0"/>
          <w:numId w:val="27"/>
        </w:numPr>
        <w:autoSpaceDE w:val="0"/>
        <w:autoSpaceDN w:val="0"/>
        <w:spacing w:after="160" w:line="259"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Lead and deliver actions to improve health, prevent ill health, reduce health inequalities and protect the health of our residents. Promote preventative and early intervention approaches to maintain health &amp; wellbeing, insofar as this promotes independence and reduces immediate demand for more expensive, statutory services;</w:t>
      </w:r>
    </w:p>
    <w:p w14:paraId="1CAED27D" w14:textId="77777777" w:rsidR="000729CF" w:rsidRPr="000729CF" w:rsidRDefault="000729CF" w:rsidP="00CE70A3">
      <w:pPr>
        <w:numPr>
          <w:ilvl w:val="0"/>
          <w:numId w:val="27"/>
        </w:numPr>
        <w:autoSpaceDE w:val="0"/>
        <w:autoSpaceDN w:val="0"/>
        <w:spacing w:after="160" w:line="276"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Provide information and advice for all adults seeking care and support;</w:t>
      </w:r>
    </w:p>
    <w:p w14:paraId="79CDC2EC" w14:textId="77777777" w:rsidR="000729CF" w:rsidRPr="000729CF" w:rsidRDefault="000729CF" w:rsidP="00CE70A3">
      <w:pPr>
        <w:numPr>
          <w:ilvl w:val="0"/>
          <w:numId w:val="26"/>
        </w:numPr>
        <w:autoSpaceDE w:val="0"/>
        <w:autoSpaceDN w:val="0"/>
        <w:spacing w:after="160" w:line="259"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 xml:space="preserve">Assess need and arrange help for individuals and their carers who are eligible under the Care Act for support from Adult Social Care; </w:t>
      </w:r>
    </w:p>
    <w:p w14:paraId="65BBDCCE" w14:textId="77777777" w:rsidR="000729CF" w:rsidRPr="000729CF" w:rsidRDefault="000729CF" w:rsidP="00CE70A3">
      <w:pPr>
        <w:numPr>
          <w:ilvl w:val="0"/>
          <w:numId w:val="26"/>
        </w:numPr>
        <w:autoSpaceDE w:val="0"/>
        <w:autoSpaceDN w:val="0"/>
        <w:spacing w:after="160" w:line="259"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Maintain and support the local care market;</w:t>
      </w:r>
    </w:p>
    <w:p w14:paraId="7312BB73" w14:textId="77777777" w:rsidR="000729CF" w:rsidRPr="000729CF" w:rsidRDefault="000729CF" w:rsidP="00CE70A3">
      <w:pPr>
        <w:numPr>
          <w:ilvl w:val="0"/>
          <w:numId w:val="26"/>
        </w:numPr>
        <w:autoSpaceDE w:val="0"/>
        <w:autoSpaceDN w:val="0"/>
        <w:spacing w:after="160" w:line="259"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 xml:space="preserve">Provide support that reduces the need for social care in the longer term and/or prevents the need for a more expensive service; and </w:t>
      </w:r>
    </w:p>
    <w:p w14:paraId="30AE2B35" w14:textId="77777777" w:rsidR="000729CF" w:rsidRPr="000729CF" w:rsidRDefault="000729CF" w:rsidP="00CE70A3">
      <w:pPr>
        <w:numPr>
          <w:ilvl w:val="0"/>
          <w:numId w:val="26"/>
        </w:numPr>
        <w:autoSpaceDE w:val="0"/>
        <w:autoSpaceDN w:val="0"/>
        <w:spacing w:after="160" w:line="259"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Safeguard vulnerable adults who are at risk of harm or abuse.</w:t>
      </w:r>
    </w:p>
    <w:p w14:paraId="24BC509F" w14:textId="77777777" w:rsidR="000729CF" w:rsidRPr="000729CF" w:rsidRDefault="000729CF" w:rsidP="00CE70A3">
      <w:pPr>
        <w:numPr>
          <w:ilvl w:val="0"/>
          <w:numId w:val="26"/>
        </w:numPr>
        <w:spacing w:after="160" w:line="259"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Provide bereavement and registration services.</w:t>
      </w:r>
    </w:p>
    <w:p w14:paraId="676D985C" w14:textId="77777777" w:rsidR="000729CF" w:rsidRPr="000729CF" w:rsidRDefault="000729CF" w:rsidP="000729CF">
      <w:pPr>
        <w:spacing w:line="276" w:lineRule="auto"/>
        <w:rPr>
          <w:rFonts w:ascii="Calibri" w:eastAsia="Calibri" w:hAnsi="Calibri" w:cs="Calibri"/>
          <w:sz w:val="22"/>
          <w:szCs w:val="22"/>
          <w:lang w:val="en-GB"/>
        </w:rPr>
      </w:pPr>
    </w:p>
    <w:p w14:paraId="727AEEE4" w14:textId="77777777" w:rsidR="000729CF" w:rsidRPr="000729CF" w:rsidRDefault="000729CF" w:rsidP="000729CF">
      <w:pPr>
        <w:autoSpaceDE w:val="0"/>
        <w:autoSpaceDN w:val="0"/>
        <w:spacing w:line="276" w:lineRule="auto"/>
        <w:rPr>
          <w:rFonts w:ascii="Calibri" w:eastAsia="Calibri" w:hAnsi="Calibri" w:cs="Calibri"/>
          <w:sz w:val="22"/>
          <w:szCs w:val="22"/>
          <w:lang w:val="en-GB"/>
        </w:rPr>
      </w:pPr>
      <w:r w:rsidRPr="000729CF">
        <w:rPr>
          <w:rFonts w:ascii="Calibri" w:eastAsia="Calibri" w:hAnsi="Calibri" w:cs="Calibri"/>
          <w:sz w:val="22"/>
          <w:szCs w:val="22"/>
          <w:lang w:val="en-GB" w:eastAsia="en-GB"/>
        </w:rPr>
        <w:t>While there are a range of service areas across the Directorate that contribute to the delivery of this activity, t</w:t>
      </w:r>
      <w:r w:rsidRPr="000729CF">
        <w:rPr>
          <w:rFonts w:ascii="Calibri" w:eastAsia="Calibri" w:hAnsi="Calibri" w:cs="Calibri"/>
          <w:sz w:val="22"/>
          <w:szCs w:val="22"/>
          <w:lang w:val="en-GB"/>
        </w:rPr>
        <w:t>here are three main budget areas, and these are detailed below, with budget figures for 2023/24:</w:t>
      </w:r>
    </w:p>
    <w:p w14:paraId="712B8920" w14:textId="77777777" w:rsidR="000729CF" w:rsidRPr="000729CF" w:rsidRDefault="000729CF" w:rsidP="000729CF">
      <w:pPr>
        <w:kinsoku w:val="0"/>
        <w:overflowPunct w:val="0"/>
        <w:textAlignment w:val="baseline"/>
        <w:rPr>
          <w:rFonts w:ascii="Calibri" w:hAnsi="Calibri" w:cs="Calibri"/>
          <w:sz w:val="22"/>
          <w:szCs w:val="22"/>
          <w:lang w:val="en-GB" w:eastAsia="en-GB"/>
        </w:rPr>
      </w:pPr>
    </w:p>
    <w:p w14:paraId="2E388AD6" w14:textId="77777777" w:rsidR="000729CF" w:rsidRPr="000729CF" w:rsidRDefault="000729CF" w:rsidP="00CE70A3">
      <w:pPr>
        <w:numPr>
          <w:ilvl w:val="0"/>
          <w:numId w:val="23"/>
        </w:numPr>
        <w:spacing w:after="160" w:line="259" w:lineRule="auto"/>
        <w:ind w:left="426" w:hanging="426"/>
        <w:contextualSpacing/>
        <w:rPr>
          <w:rFonts w:ascii="Calibri" w:hAnsi="Calibri" w:cs="Calibri"/>
          <w:b/>
          <w:bCs/>
          <w:sz w:val="22"/>
          <w:szCs w:val="22"/>
          <w:lang w:val="en-GB" w:eastAsia="en-GB"/>
        </w:rPr>
      </w:pPr>
      <w:r w:rsidRPr="000729CF">
        <w:rPr>
          <w:rFonts w:ascii="Calibri" w:hAnsi="Calibri" w:cs="Calibri"/>
          <w:b/>
          <w:bCs/>
          <w:sz w:val="22"/>
          <w:szCs w:val="22"/>
          <w:lang w:val="en-GB" w:eastAsia="en-GB"/>
        </w:rPr>
        <w:t>Public Health Net nil budget (Funded by grant - gross budget £22.659m)</w:t>
      </w:r>
    </w:p>
    <w:p w14:paraId="4A32F11C" w14:textId="77777777" w:rsidR="000729CF" w:rsidRPr="000729CF" w:rsidRDefault="000729CF" w:rsidP="000729CF">
      <w:pPr>
        <w:ind w:firstLine="410"/>
        <w:rPr>
          <w:rFonts w:ascii="Calibri" w:eastAsia="Calibri" w:hAnsi="Calibri" w:cs="Calibri"/>
          <w:color w:val="000000"/>
          <w:sz w:val="22"/>
          <w:szCs w:val="22"/>
          <w:lang w:val="en-GB"/>
        </w:rPr>
      </w:pPr>
      <w:r w:rsidRPr="000729CF">
        <w:rPr>
          <w:rFonts w:ascii="Calibri" w:eastAsia="Calibri" w:hAnsi="Calibri" w:cs="Calibri"/>
          <w:color w:val="000000"/>
          <w:sz w:val="22"/>
          <w:szCs w:val="22"/>
          <w:lang w:val="en-GB"/>
        </w:rPr>
        <w:t>This service area includes:</w:t>
      </w:r>
    </w:p>
    <w:p w14:paraId="1F588FF2" w14:textId="77777777" w:rsidR="000729CF" w:rsidRPr="000729CF" w:rsidRDefault="000729CF" w:rsidP="00CE70A3">
      <w:pPr>
        <w:numPr>
          <w:ilvl w:val="0"/>
          <w:numId w:val="28"/>
        </w:numPr>
        <w:spacing w:after="160" w:line="259" w:lineRule="auto"/>
        <w:contextualSpacing/>
        <w:rPr>
          <w:rFonts w:ascii="Calibri" w:eastAsia="Calibri" w:hAnsi="Calibri" w:cs="Calibri"/>
          <w:color w:val="000000"/>
          <w:sz w:val="22"/>
          <w:szCs w:val="22"/>
          <w:lang w:val="en-GB"/>
        </w:rPr>
      </w:pPr>
      <w:r w:rsidRPr="000729CF">
        <w:rPr>
          <w:rFonts w:ascii="Calibri" w:eastAsia="Calibri" w:hAnsi="Calibri" w:cs="Calibri"/>
          <w:color w:val="000000"/>
          <w:sz w:val="22"/>
          <w:szCs w:val="22"/>
          <w:lang w:val="en-GB"/>
        </w:rPr>
        <w:t>Drugs and alcohol treatment and recovery</w:t>
      </w:r>
    </w:p>
    <w:p w14:paraId="2397096A" w14:textId="77777777" w:rsidR="000729CF" w:rsidRPr="000729CF" w:rsidRDefault="000729CF" w:rsidP="00CE70A3">
      <w:pPr>
        <w:numPr>
          <w:ilvl w:val="0"/>
          <w:numId w:val="28"/>
        </w:numPr>
        <w:spacing w:after="160" w:line="259" w:lineRule="auto"/>
        <w:contextualSpacing/>
        <w:rPr>
          <w:rFonts w:ascii="Calibri" w:eastAsia="Calibri" w:hAnsi="Calibri" w:cs="Calibri"/>
          <w:color w:val="000000"/>
          <w:sz w:val="22"/>
          <w:szCs w:val="22"/>
          <w:lang w:val="en-GB"/>
        </w:rPr>
      </w:pPr>
      <w:r w:rsidRPr="000729CF">
        <w:rPr>
          <w:rFonts w:ascii="Calibri" w:eastAsia="Calibri" w:hAnsi="Calibri" w:cs="Calibri"/>
          <w:color w:val="000000"/>
          <w:sz w:val="22"/>
          <w:szCs w:val="22"/>
          <w:lang w:val="en-GB"/>
        </w:rPr>
        <w:t>Sexual Health</w:t>
      </w:r>
    </w:p>
    <w:p w14:paraId="7450DA75" w14:textId="77777777" w:rsidR="000729CF" w:rsidRPr="000729CF" w:rsidRDefault="000729CF" w:rsidP="00CE70A3">
      <w:pPr>
        <w:numPr>
          <w:ilvl w:val="0"/>
          <w:numId w:val="28"/>
        </w:numPr>
        <w:spacing w:after="160" w:line="259" w:lineRule="auto"/>
        <w:contextualSpacing/>
        <w:rPr>
          <w:rFonts w:ascii="Calibri" w:eastAsia="Calibri" w:hAnsi="Calibri" w:cs="Calibri"/>
          <w:color w:val="000000"/>
          <w:sz w:val="22"/>
          <w:szCs w:val="22"/>
          <w:lang w:val="en-GB"/>
        </w:rPr>
      </w:pPr>
      <w:r w:rsidRPr="000729CF">
        <w:rPr>
          <w:rFonts w:ascii="Calibri" w:eastAsia="Calibri" w:hAnsi="Calibri" w:cs="Calibri"/>
          <w:color w:val="000000"/>
          <w:sz w:val="22"/>
          <w:szCs w:val="22"/>
          <w:lang w:val="en-GB"/>
        </w:rPr>
        <w:t>Children 0-19 Public Health programmes</w:t>
      </w:r>
    </w:p>
    <w:p w14:paraId="5CD9A81F" w14:textId="77777777" w:rsidR="000729CF" w:rsidRPr="000729CF" w:rsidRDefault="000729CF" w:rsidP="00CE70A3">
      <w:pPr>
        <w:numPr>
          <w:ilvl w:val="0"/>
          <w:numId w:val="28"/>
        </w:numPr>
        <w:spacing w:after="160" w:line="259" w:lineRule="auto"/>
        <w:contextualSpacing/>
        <w:rPr>
          <w:rFonts w:ascii="Calibri" w:eastAsia="Calibri" w:hAnsi="Calibri" w:cs="Calibri"/>
          <w:color w:val="000000"/>
          <w:sz w:val="22"/>
          <w:szCs w:val="22"/>
          <w:lang w:val="en-GB"/>
        </w:rPr>
      </w:pPr>
      <w:r w:rsidRPr="000729CF">
        <w:rPr>
          <w:rFonts w:ascii="Calibri" w:eastAsia="Calibri" w:hAnsi="Calibri" w:cs="Calibri"/>
          <w:color w:val="000000"/>
          <w:sz w:val="22"/>
          <w:szCs w:val="22"/>
          <w:lang w:val="en-GB"/>
        </w:rPr>
        <w:t>A dedicated Healthy Lifestyles team</w:t>
      </w:r>
    </w:p>
    <w:p w14:paraId="2513A393" w14:textId="77777777" w:rsidR="000729CF" w:rsidRPr="000729CF" w:rsidRDefault="000729CF" w:rsidP="00CE70A3">
      <w:pPr>
        <w:numPr>
          <w:ilvl w:val="0"/>
          <w:numId w:val="28"/>
        </w:numPr>
        <w:spacing w:after="160" w:line="259" w:lineRule="auto"/>
        <w:contextualSpacing/>
        <w:rPr>
          <w:rFonts w:ascii="Calibri" w:eastAsia="Calibri" w:hAnsi="Calibri" w:cs="Calibri"/>
          <w:color w:val="000000"/>
          <w:sz w:val="22"/>
          <w:szCs w:val="22"/>
          <w:lang w:val="en-GB"/>
        </w:rPr>
      </w:pPr>
      <w:r w:rsidRPr="000729CF">
        <w:rPr>
          <w:rFonts w:ascii="Calibri" w:eastAsia="Calibri" w:hAnsi="Calibri" w:cs="Calibri"/>
          <w:color w:val="000000"/>
          <w:sz w:val="22"/>
          <w:szCs w:val="22"/>
          <w:lang w:val="en-GB"/>
        </w:rPr>
        <w:t>A range of Public Health and Health Improvement services and functions including promotion of physical activity, stop smoking, weight management, NHS Health Checks, Ageing Well, public mental health, local health protection etc.</w:t>
      </w:r>
    </w:p>
    <w:p w14:paraId="7D7710F8" w14:textId="77777777" w:rsidR="000729CF" w:rsidRPr="000729CF" w:rsidRDefault="000729CF" w:rsidP="000729CF">
      <w:pPr>
        <w:ind w:firstLine="360"/>
        <w:rPr>
          <w:rFonts w:ascii="Calibri" w:eastAsia="Calibri" w:hAnsi="Calibri" w:cs="Calibri"/>
          <w:color w:val="000000"/>
          <w:sz w:val="22"/>
          <w:szCs w:val="22"/>
          <w:lang w:val="en-GB"/>
        </w:rPr>
      </w:pPr>
      <w:r w:rsidRPr="000729CF">
        <w:rPr>
          <w:rFonts w:ascii="Calibri" w:eastAsia="Calibri" w:hAnsi="Calibri" w:cs="Calibri"/>
          <w:color w:val="000000"/>
          <w:sz w:val="22"/>
          <w:szCs w:val="22"/>
          <w:lang w:val="en-GB"/>
        </w:rPr>
        <w:t>The above services are provided by Public Health, other BHCC directorates, NHS providers and the Voluntary and Community Sector.</w:t>
      </w:r>
    </w:p>
    <w:p w14:paraId="5BD300BD" w14:textId="77777777" w:rsidR="000729CF" w:rsidRPr="000729CF" w:rsidRDefault="000729CF" w:rsidP="00CE70A3">
      <w:pPr>
        <w:numPr>
          <w:ilvl w:val="0"/>
          <w:numId w:val="47"/>
        </w:numPr>
        <w:spacing w:after="160" w:line="288" w:lineRule="auto"/>
        <w:contextualSpacing/>
        <w:rPr>
          <w:rFonts w:ascii="Calibri" w:eastAsia="Calibri" w:hAnsi="Calibri" w:cs="Calibri"/>
          <w:color w:val="000000"/>
          <w:sz w:val="22"/>
          <w:szCs w:val="22"/>
          <w:lang w:val="en-GB"/>
        </w:rPr>
      </w:pPr>
      <w:r w:rsidRPr="000729CF">
        <w:rPr>
          <w:rFonts w:ascii="Calibri" w:eastAsia="Calibri" w:hAnsi="Calibri" w:cs="Calibri"/>
          <w:color w:val="000000"/>
          <w:sz w:val="22"/>
          <w:szCs w:val="22"/>
          <w:lang w:val="en-GB"/>
        </w:rPr>
        <w:t xml:space="preserve">producing the Joint Strategic Needs Assessment and providing public health advice to Integrated Care System partners including the NHS </w:t>
      </w:r>
    </w:p>
    <w:p w14:paraId="48D03C3C" w14:textId="77777777" w:rsidR="000729CF" w:rsidRPr="000729CF" w:rsidRDefault="000729CF" w:rsidP="000729CF">
      <w:pPr>
        <w:ind w:left="720"/>
        <w:contextualSpacing/>
        <w:rPr>
          <w:rFonts w:ascii="Calibri" w:eastAsia="Calibri" w:hAnsi="Calibri" w:cs="Calibri"/>
          <w:color w:val="000000"/>
          <w:sz w:val="22"/>
          <w:szCs w:val="22"/>
          <w:lang w:val="en-GB"/>
        </w:rPr>
      </w:pPr>
    </w:p>
    <w:p w14:paraId="77A3A103" w14:textId="77777777" w:rsidR="000729CF" w:rsidRPr="000729CF" w:rsidRDefault="000729CF" w:rsidP="000729CF">
      <w:pPr>
        <w:ind w:left="360"/>
        <w:contextualSpacing/>
        <w:rPr>
          <w:rFonts w:ascii="Calibri" w:eastAsia="Calibri" w:hAnsi="Calibri" w:cs="Calibri"/>
          <w:color w:val="000000"/>
          <w:sz w:val="22"/>
          <w:szCs w:val="22"/>
          <w:lang w:val="en-GB"/>
        </w:rPr>
      </w:pPr>
      <w:r w:rsidRPr="000729CF">
        <w:rPr>
          <w:rFonts w:ascii="Calibri" w:eastAsia="Calibri" w:hAnsi="Calibri" w:cs="Calibri"/>
          <w:color w:val="000000"/>
          <w:sz w:val="22"/>
          <w:szCs w:val="22"/>
          <w:lang w:val="en-GB"/>
        </w:rPr>
        <w:t xml:space="preserve">With respect to the Public Health ring fenced grant, whilst this budget strategy does not propose a focus on this area the grant continues to play a vital role in the overarching HASC budget strategy for the following reasons: </w:t>
      </w:r>
    </w:p>
    <w:p w14:paraId="5B64DA69" w14:textId="77777777" w:rsidR="000729CF" w:rsidRPr="000729CF" w:rsidRDefault="000729CF" w:rsidP="00CE70A3">
      <w:pPr>
        <w:numPr>
          <w:ilvl w:val="0"/>
          <w:numId w:val="28"/>
        </w:numPr>
        <w:spacing w:after="160" w:line="259" w:lineRule="auto"/>
        <w:contextualSpacing/>
        <w:rPr>
          <w:rFonts w:ascii="Calibri" w:eastAsia="Calibri" w:hAnsi="Calibri" w:cs="Calibri"/>
          <w:color w:val="000000"/>
          <w:sz w:val="22"/>
          <w:szCs w:val="22"/>
          <w:lang w:val="en-GB"/>
        </w:rPr>
      </w:pPr>
      <w:r w:rsidRPr="000729CF">
        <w:rPr>
          <w:rFonts w:ascii="Calibri" w:eastAsia="Calibri" w:hAnsi="Calibri" w:cs="Calibri"/>
          <w:color w:val="000000"/>
          <w:sz w:val="22"/>
          <w:szCs w:val="22"/>
          <w:lang w:val="en-GB"/>
        </w:rPr>
        <w:t>The Public Health grant is ring fenced with specific criteria for spend and is considered separately from the general fund. The main and primary purpose of all spend from the grant is public health.</w:t>
      </w:r>
    </w:p>
    <w:p w14:paraId="471BE4C2" w14:textId="77777777" w:rsidR="000729CF" w:rsidRPr="000729CF" w:rsidRDefault="000729CF" w:rsidP="00CE70A3">
      <w:pPr>
        <w:numPr>
          <w:ilvl w:val="0"/>
          <w:numId w:val="28"/>
        </w:numPr>
        <w:spacing w:after="160" w:line="259" w:lineRule="auto"/>
        <w:contextualSpacing/>
        <w:rPr>
          <w:rFonts w:ascii="Calibri" w:eastAsia="Calibri" w:hAnsi="Calibri" w:cs="Calibri"/>
          <w:color w:val="000000"/>
          <w:sz w:val="22"/>
          <w:szCs w:val="22"/>
          <w:lang w:val="en-GB"/>
        </w:rPr>
      </w:pPr>
      <w:r w:rsidRPr="000729CF">
        <w:rPr>
          <w:rFonts w:ascii="Calibri" w:eastAsia="Calibri" w:hAnsi="Calibri" w:cs="Calibri"/>
          <w:color w:val="000000"/>
          <w:sz w:val="22"/>
          <w:szCs w:val="22"/>
          <w:lang w:val="en-GB"/>
        </w:rPr>
        <w:t xml:space="preserve">Public Health services and functions are central to the preventative approach adopted in the HASC strategy and our Joint Health and Wellbeing Strategy. The grant supports delivering population health outcomes and contributes to the financial stability of both the directorate and the Council. </w:t>
      </w:r>
    </w:p>
    <w:p w14:paraId="1423AE90" w14:textId="77777777" w:rsidR="000729CF" w:rsidRPr="000729CF" w:rsidRDefault="000729CF" w:rsidP="00CE70A3">
      <w:pPr>
        <w:numPr>
          <w:ilvl w:val="0"/>
          <w:numId w:val="28"/>
        </w:numPr>
        <w:spacing w:after="160" w:line="259" w:lineRule="auto"/>
        <w:contextualSpacing/>
        <w:rPr>
          <w:rFonts w:ascii="Calibri" w:eastAsia="Calibri" w:hAnsi="Calibri" w:cs="Calibri"/>
          <w:color w:val="000000"/>
          <w:sz w:val="22"/>
          <w:szCs w:val="22"/>
          <w:lang w:val="en-GB"/>
        </w:rPr>
      </w:pPr>
      <w:r w:rsidRPr="000729CF">
        <w:rPr>
          <w:rFonts w:ascii="Calibri" w:eastAsia="Calibri" w:hAnsi="Calibri" w:cs="Calibri"/>
          <w:color w:val="000000"/>
          <w:sz w:val="22"/>
          <w:szCs w:val="22"/>
          <w:lang w:val="en-GB"/>
        </w:rPr>
        <w:t>Public Health services and functions are critical to delivery of wider corporate and directorate priorities working with external partners and stakeholders.</w:t>
      </w:r>
    </w:p>
    <w:p w14:paraId="37EC73C0" w14:textId="77777777" w:rsidR="000729CF" w:rsidRPr="000729CF" w:rsidRDefault="000729CF" w:rsidP="000729CF">
      <w:pPr>
        <w:rPr>
          <w:rFonts w:ascii="Calibri" w:eastAsia="Calibri" w:hAnsi="Calibri" w:cs="Calibri"/>
          <w:b/>
          <w:sz w:val="22"/>
          <w:szCs w:val="22"/>
          <w:lang w:val="en-GB"/>
        </w:rPr>
      </w:pPr>
    </w:p>
    <w:p w14:paraId="05215163" w14:textId="77777777" w:rsidR="000729CF" w:rsidRPr="000729CF" w:rsidRDefault="000729CF" w:rsidP="00CE70A3">
      <w:pPr>
        <w:numPr>
          <w:ilvl w:val="0"/>
          <w:numId w:val="23"/>
        </w:numPr>
        <w:spacing w:after="160" w:line="259" w:lineRule="auto"/>
        <w:ind w:left="426" w:hanging="426"/>
        <w:contextualSpacing/>
        <w:rPr>
          <w:rFonts w:ascii="Calibri" w:hAnsi="Calibri" w:cs="Calibri"/>
          <w:b/>
          <w:bCs/>
          <w:sz w:val="22"/>
          <w:szCs w:val="22"/>
          <w:lang w:val="en-GB" w:eastAsia="en-GB"/>
        </w:rPr>
      </w:pPr>
      <w:r w:rsidRPr="000729CF">
        <w:rPr>
          <w:rFonts w:ascii="Calibri" w:hAnsi="Calibri" w:cs="Calibri"/>
          <w:b/>
          <w:bCs/>
          <w:sz w:val="22"/>
          <w:szCs w:val="22"/>
          <w:lang w:val="en-GB" w:eastAsia="en-GB"/>
        </w:rPr>
        <w:t xml:space="preserve">Adult Social Care Services (including mental health under S75 arrangement with Sussex Partnership Foundation Trust) £104.028m </w:t>
      </w:r>
    </w:p>
    <w:p w14:paraId="6A3C0520" w14:textId="77777777" w:rsidR="000729CF" w:rsidRPr="000729CF" w:rsidRDefault="000729CF" w:rsidP="000729CF">
      <w:pPr>
        <w:ind w:firstLine="426"/>
        <w:contextualSpacing/>
        <w:rPr>
          <w:rFonts w:ascii="Calibri" w:hAnsi="Calibri" w:cs="Calibri"/>
          <w:b/>
          <w:sz w:val="22"/>
          <w:szCs w:val="22"/>
          <w:lang w:val="en-GB" w:eastAsia="en-GB"/>
        </w:rPr>
      </w:pPr>
      <w:r w:rsidRPr="000729CF">
        <w:rPr>
          <w:rFonts w:ascii="Calibri" w:hAnsi="Calibri" w:cs="Calibri"/>
          <w:sz w:val="22"/>
          <w:szCs w:val="22"/>
          <w:lang w:val="en-GB" w:eastAsia="en-GB"/>
        </w:rPr>
        <w:t>This service area includes:</w:t>
      </w:r>
    </w:p>
    <w:p w14:paraId="1B9D8561" w14:textId="77777777" w:rsidR="000729CF" w:rsidRPr="000729CF" w:rsidRDefault="000729CF" w:rsidP="00CE70A3">
      <w:pPr>
        <w:numPr>
          <w:ilvl w:val="0"/>
          <w:numId w:val="24"/>
        </w:numPr>
        <w:spacing w:after="160" w:line="259" w:lineRule="auto"/>
        <w:contextualSpacing/>
        <w:rPr>
          <w:rFonts w:ascii="Calibri" w:hAnsi="Calibri" w:cs="Calibri"/>
          <w:sz w:val="22"/>
          <w:szCs w:val="22"/>
          <w:lang w:val="en-GB" w:eastAsia="en-GB"/>
        </w:rPr>
      </w:pPr>
      <w:r w:rsidRPr="000729CF">
        <w:rPr>
          <w:rFonts w:ascii="Calibri" w:hAnsi="Calibri" w:cs="Calibri"/>
          <w:sz w:val="22"/>
          <w:szCs w:val="22"/>
          <w:lang w:val="en-GB" w:eastAsia="en-GB"/>
        </w:rPr>
        <w:t xml:space="preserve">Assessment, Social Work, Occupational Therapy and community care for adults requiring physical support, mental health support, memory &amp; cognition support and learning disability and autism. </w:t>
      </w:r>
    </w:p>
    <w:p w14:paraId="05128B2C" w14:textId="77777777" w:rsidR="000729CF" w:rsidRPr="000729CF" w:rsidRDefault="000729CF" w:rsidP="00CE70A3">
      <w:pPr>
        <w:numPr>
          <w:ilvl w:val="0"/>
          <w:numId w:val="24"/>
        </w:numPr>
        <w:spacing w:after="160" w:line="259" w:lineRule="auto"/>
        <w:contextualSpacing/>
        <w:rPr>
          <w:rFonts w:ascii="Calibri" w:hAnsi="Calibri" w:cs="Calibri"/>
          <w:sz w:val="22"/>
          <w:szCs w:val="22"/>
          <w:lang w:val="en-GB" w:eastAsia="en-GB"/>
        </w:rPr>
      </w:pPr>
      <w:r w:rsidRPr="000729CF">
        <w:rPr>
          <w:rFonts w:ascii="Calibri" w:hAnsi="Calibri" w:cs="Calibri"/>
          <w:sz w:val="22"/>
          <w:szCs w:val="22"/>
          <w:lang w:val="en-GB" w:eastAsia="en-GB"/>
        </w:rPr>
        <w:t>Community Short Term services</w:t>
      </w:r>
    </w:p>
    <w:p w14:paraId="3371BB8D" w14:textId="77777777" w:rsidR="000729CF" w:rsidRPr="000729CF" w:rsidRDefault="000729CF" w:rsidP="00CE70A3">
      <w:pPr>
        <w:numPr>
          <w:ilvl w:val="0"/>
          <w:numId w:val="24"/>
        </w:numPr>
        <w:spacing w:after="160" w:line="259" w:lineRule="auto"/>
        <w:contextualSpacing/>
        <w:rPr>
          <w:rFonts w:ascii="Calibri" w:hAnsi="Calibri" w:cs="Calibri"/>
          <w:sz w:val="22"/>
          <w:szCs w:val="22"/>
          <w:lang w:val="en-GB" w:eastAsia="en-GB"/>
        </w:rPr>
      </w:pPr>
      <w:r w:rsidRPr="000729CF">
        <w:rPr>
          <w:rFonts w:ascii="Calibri" w:hAnsi="Calibri" w:cs="Calibri"/>
          <w:sz w:val="22"/>
          <w:szCs w:val="22"/>
          <w:lang w:val="en-GB" w:eastAsia="en-GB"/>
        </w:rPr>
        <w:t>Telecare and equipment services</w:t>
      </w:r>
    </w:p>
    <w:p w14:paraId="2D34DC47" w14:textId="77777777" w:rsidR="000729CF" w:rsidRPr="000729CF" w:rsidRDefault="000729CF" w:rsidP="00CE70A3">
      <w:pPr>
        <w:numPr>
          <w:ilvl w:val="0"/>
          <w:numId w:val="24"/>
        </w:numPr>
        <w:spacing w:after="160" w:line="259" w:lineRule="auto"/>
        <w:contextualSpacing/>
        <w:rPr>
          <w:rFonts w:ascii="Calibri" w:hAnsi="Calibri" w:cs="Calibri"/>
          <w:sz w:val="22"/>
          <w:szCs w:val="22"/>
          <w:lang w:val="en-GB" w:eastAsia="en-GB"/>
        </w:rPr>
      </w:pPr>
      <w:r w:rsidRPr="000729CF">
        <w:rPr>
          <w:rFonts w:ascii="Calibri" w:hAnsi="Calibri" w:cs="Calibri"/>
          <w:sz w:val="22"/>
          <w:szCs w:val="22"/>
          <w:lang w:val="en-GB" w:eastAsia="en-GB"/>
        </w:rPr>
        <w:t>In house provider services</w:t>
      </w:r>
    </w:p>
    <w:p w14:paraId="5FF35147" w14:textId="77777777" w:rsidR="000729CF" w:rsidRPr="000729CF" w:rsidRDefault="000729CF" w:rsidP="000729CF">
      <w:pPr>
        <w:contextualSpacing/>
        <w:rPr>
          <w:rFonts w:ascii="Calibri" w:hAnsi="Calibri" w:cs="Calibri"/>
          <w:sz w:val="22"/>
          <w:szCs w:val="22"/>
          <w:lang w:val="en-GB" w:eastAsia="en-GB"/>
        </w:rPr>
      </w:pPr>
    </w:p>
    <w:p w14:paraId="1482078F" w14:textId="77777777" w:rsidR="000729CF" w:rsidRPr="000729CF" w:rsidRDefault="000729CF" w:rsidP="00CE70A3">
      <w:pPr>
        <w:numPr>
          <w:ilvl w:val="0"/>
          <w:numId w:val="23"/>
        </w:numPr>
        <w:spacing w:after="160" w:line="259" w:lineRule="auto"/>
        <w:ind w:left="426" w:hanging="426"/>
        <w:contextualSpacing/>
        <w:rPr>
          <w:rFonts w:ascii="Calibri" w:hAnsi="Calibri" w:cs="Calibri"/>
          <w:b/>
          <w:bCs/>
          <w:sz w:val="22"/>
          <w:szCs w:val="22"/>
          <w:lang w:val="en-GB" w:eastAsia="en-GB"/>
        </w:rPr>
      </w:pPr>
      <w:r w:rsidRPr="000729CF">
        <w:rPr>
          <w:rFonts w:ascii="Calibri" w:hAnsi="Calibri" w:cs="Calibri"/>
          <w:b/>
          <w:bCs/>
          <w:sz w:val="22"/>
          <w:szCs w:val="22"/>
          <w:lang w:val="en-GB" w:eastAsia="en-GB"/>
        </w:rPr>
        <w:t>Commissioning, Contracts and Performance £5.354m</w:t>
      </w:r>
    </w:p>
    <w:p w14:paraId="5B68A89A" w14:textId="77777777" w:rsidR="000729CF" w:rsidRPr="000729CF" w:rsidRDefault="000729CF" w:rsidP="000729CF">
      <w:pPr>
        <w:ind w:firstLine="426"/>
        <w:contextualSpacing/>
        <w:rPr>
          <w:rFonts w:ascii="Calibri" w:hAnsi="Calibri" w:cs="Calibri"/>
          <w:b/>
          <w:sz w:val="22"/>
          <w:szCs w:val="22"/>
          <w:lang w:val="en-GB" w:eastAsia="en-GB"/>
        </w:rPr>
      </w:pPr>
      <w:r w:rsidRPr="000729CF">
        <w:rPr>
          <w:rFonts w:ascii="Calibri" w:hAnsi="Calibri" w:cs="Calibri"/>
          <w:sz w:val="22"/>
          <w:szCs w:val="22"/>
          <w:lang w:val="en-GB" w:eastAsia="en-GB"/>
        </w:rPr>
        <w:t>This service area includes:</w:t>
      </w:r>
    </w:p>
    <w:p w14:paraId="591909DD" w14:textId="77777777" w:rsidR="000729CF" w:rsidRPr="000729CF" w:rsidRDefault="000729CF" w:rsidP="00CE70A3">
      <w:pPr>
        <w:numPr>
          <w:ilvl w:val="0"/>
          <w:numId w:val="25"/>
        </w:numPr>
        <w:spacing w:after="160" w:line="259" w:lineRule="auto"/>
        <w:contextualSpacing/>
        <w:rPr>
          <w:rFonts w:ascii="Calibri" w:hAnsi="Calibri" w:cs="Calibri"/>
          <w:sz w:val="22"/>
          <w:szCs w:val="22"/>
          <w:lang w:val="en-GB" w:eastAsia="en-GB"/>
        </w:rPr>
      </w:pPr>
      <w:r w:rsidRPr="000729CF">
        <w:rPr>
          <w:rFonts w:ascii="Calibri" w:hAnsi="Calibri" w:cs="Calibri"/>
          <w:sz w:val="22"/>
          <w:szCs w:val="22"/>
          <w:lang w:val="en-GB" w:eastAsia="en-GB"/>
        </w:rPr>
        <w:t>Commissioning &amp; Performance teams</w:t>
      </w:r>
    </w:p>
    <w:p w14:paraId="309C4F09" w14:textId="77777777" w:rsidR="000729CF" w:rsidRPr="000729CF" w:rsidRDefault="000729CF" w:rsidP="00CE70A3">
      <w:pPr>
        <w:numPr>
          <w:ilvl w:val="0"/>
          <w:numId w:val="25"/>
        </w:numPr>
        <w:spacing w:after="160" w:line="259" w:lineRule="auto"/>
        <w:contextualSpacing/>
        <w:rPr>
          <w:rFonts w:ascii="Calibri" w:hAnsi="Calibri" w:cs="Calibri"/>
          <w:sz w:val="22"/>
          <w:szCs w:val="22"/>
          <w:lang w:val="en-GB" w:eastAsia="en-GB"/>
        </w:rPr>
      </w:pPr>
      <w:r w:rsidRPr="000729CF">
        <w:rPr>
          <w:rFonts w:ascii="Calibri" w:hAnsi="Calibri" w:cs="Calibri"/>
          <w:sz w:val="22"/>
          <w:szCs w:val="22"/>
          <w:lang w:val="en-GB" w:eastAsia="en-GB"/>
        </w:rPr>
        <w:t>Care Brokerage team</w:t>
      </w:r>
    </w:p>
    <w:p w14:paraId="7790C763" w14:textId="77777777" w:rsidR="000729CF" w:rsidRPr="000729CF" w:rsidRDefault="000729CF" w:rsidP="00CE70A3">
      <w:pPr>
        <w:numPr>
          <w:ilvl w:val="0"/>
          <w:numId w:val="25"/>
        </w:numPr>
        <w:spacing w:after="160" w:line="259" w:lineRule="auto"/>
        <w:contextualSpacing/>
        <w:rPr>
          <w:rFonts w:ascii="Calibri" w:hAnsi="Calibri" w:cs="Calibri"/>
          <w:sz w:val="22"/>
          <w:szCs w:val="22"/>
          <w:lang w:val="en-GB" w:eastAsia="en-GB"/>
        </w:rPr>
      </w:pPr>
      <w:r w:rsidRPr="000729CF">
        <w:rPr>
          <w:rFonts w:ascii="Calibri" w:hAnsi="Calibri" w:cs="Calibri"/>
          <w:sz w:val="22"/>
          <w:szCs w:val="22"/>
          <w:lang w:val="en-GB" w:eastAsia="en-GB"/>
        </w:rPr>
        <w:t>Self-directed support</w:t>
      </w:r>
    </w:p>
    <w:p w14:paraId="083E06DF" w14:textId="77777777" w:rsidR="000729CF" w:rsidRPr="000729CF" w:rsidRDefault="000729CF" w:rsidP="00CE70A3">
      <w:pPr>
        <w:numPr>
          <w:ilvl w:val="0"/>
          <w:numId w:val="25"/>
        </w:numPr>
        <w:spacing w:after="160" w:line="259"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Carer support</w:t>
      </w:r>
    </w:p>
    <w:p w14:paraId="4E9A4DB0" w14:textId="77777777" w:rsidR="000729CF" w:rsidRPr="000729CF" w:rsidRDefault="000729CF" w:rsidP="00CE70A3">
      <w:pPr>
        <w:numPr>
          <w:ilvl w:val="0"/>
          <w:numId w:val="25"/>
        </w:numPr>
        <w:spacing w:after="160" w:line="259"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Council management of partnership arrangements with Health including the Better Care Fund</w:t>
      </w:r>
    </w:p>
    <w:p w14:paraId="10A32704" w14:textId="77777777" w:rsidR="000729CF" w:rsidRPr="000729CF" w:rsidRDefault="000729CF" w:rsidP="00CE70A3">
      <w:pPr>
        <w:numPr>
          <w:ilvl w:val="0"/>
          <w:numId w:val="23"/>
        </w:numPr>
        <w:spacing w:after="160" w:line="259" w:lineRule="auto"/>
        <w:ind w:left="426" w:hanging="426"/>
        <w:contextualSpacing/>
        <w:rPr>
          <w:rFonts w:ascii="Calibri" w:hAnsi="Calibri" w:cs="Calibri"/>
          <w:b/>
          <w:bCs/>
          <w:sz w:val="22"/>
          <w:szCs w:val="22"/>
          <w:lang w:val="en-GB" w:eastAsia="en-GB"/>
        </w:rPr>
      </w:pPr>
      <w:r w:rsidRPr="000729CF">
        <w:rPr>
          <w:rFonts w:ascii="Calibri" w:hAnsi="Calibri" w:cs="Calibri"/>
          <w:b/>
          <w:bCs/>
          <w:sz w:val="22"/>
          <w:szCs w:val="22"/>
          <w:lang w:val="en-GB" w:eastAsia="en-GB"/>
        </w:rPr>
        <w:t>Life Events £0.249m</w:t>
      </w:r>
    </w:p>
    <w:p w14:paraId="5E1C8244" w14:textId="77777777" w:rsidR="000729CF" w:rsidRPr="000729CF" w:rsidRDefault="000729CF" w:rsidP="000729CF">
      <w:pPr>
        <w:ind w:firstLine="426"/>
        <w:contextualSpacing/>
        <w:rPr>
          <w:rFonts w:ascii="Calibri" w:hAnsi="Calibri" w:cs="Calibri"/>
          <w:b/>
          <w:bCs/>
          <w:sz w:val="22"/>
          <w:szCs w:val="22"/>
          <w:lang w:val="en-GB" w:eastAsia="en-GB"/>
        </w:rPr>
      </w:pPr>
      <w:r w:rsidRPr="000729CF">
        <w:rPr>
          <w:rFonts w:ascii="Calibri" w:hAnsi="Calibri" w:cs="Calibri"/>
          <w:sz w:val="22"/>
          <w:szCs w:val="22"/>
          <w:lang w:val="en-GB" w:eastAsia="en-GB"/>
        </w:rPr>
        <w:t>This service area includes:</w:t>
      </w:r>
    </w:p>
    <w:p w14:paraId="06BE654A" w14:textId="77777777" w:rsidR="000729CF" w:rsidRPr="000729CF" w:rsidRDefault="000729CF" w:rsidP="00CE70A3">
      <w:pPr>
        <w:numPr>
          <w:ilvl w:val="0"/>
          <w:numId w:val="25"/>
        </w:numPr>
        <w:spacing w:after="160" w:line="259" w:lineRule="auto"/>
        <w:contextualSpacing/>
        <w:rPr>
          <w:rFonts w:ascii="Calibri" w:hAnsi="Calibri" w:cs="Calibri"/>
          <w:sz w:val="22"/>
          <w:szCs w:val="22"/>
          <w:lang w:val="en-GB" w:eastAsia="en-GB"/>
        </w:rPr>
      </w:pPr>
      <w:r w:rsidRPr="000729CF">
        <w:rPr>
          <w:rFonts w:ascii="Calibri" w:hAnsi="Calibri" w:cs="Calibri"/>
          <w:sz w:val="22"/>
          <w:szCs w:val="22"/>
          <w:lang w:val="en-GB" w:eastAsia="en-GB"/>
        </w:rPr>
        <w:t>Bereavement Services</w:t>
      </w:r>
    </w:p>
    <w:p w14:paraId="514081A7" w14:textId="77777777" w:rsidR="000729CF" w:rsidRPr="000729CF" w:rsidRDefault="000729CF" w:rsidP="00CE70A3">
      <w:pPr>
        <w:numPr>
          <w:ilvl w:val="0"/>
          <w:numId w:val="25"/>
        </w:numPr>
        <w:spacing w:after="160" w:line="259" w:lineRule="auto"/>
        <w:contextualSpacing/>
        <w:rPr>
          <w:rFonts w:ascii="Calibri" w:hAnsi="Calibri" w:cs="Calibri"/>
          <w:sz w:val="22"/>
          <w:szCs w:val="22"/>
          <w:lang w:val="en-GB" w:eastAsia="en-GB"/>
        </w:rPr>
      </w:pPr>
      <w:r w:rsidRPr="000729CF">
        <w:rPr>
          <w:rFonts w:ascii="Calibri" w:hAnsi="Calibri" w:cs="Calibri"/>
          <w:sz w:val="22"/>
          <w:szCs w:val="22"/>
          <w:lang w:val="en-GB" w:eastAsia="en-GB"/>
        </w:rPr>
        <w:t>Coroner Services</w:t>
      </w:r>
    </w:p>
    <w:p w14:paraId="32BABF3B" w14:textId="77777777" w:rsidR="000729CF" w:rsidRPr="000729CF" w:rsidRDefault="000729CF" w:rsidP="00CE70A3">
      <w:pPr>
        <w:numPr>
          <w:ilvl w:val="0"/>
          <w:numId w:val="25"/>
        </w:numPr>
        <w:spacing w:after="160" w:line="259" w:lineRule="auto"/>
        <w:rPr>
          <w:rFonts w:ascii="Calibri" w:hAnsi="Calibri" w:cs="Calibri"/>
          <w:sz w:val="22"/>
          <w:szCs w:val="22"/>
          <w:lang w:val="en-GB" w:eastAsia="en-GB"/>
        </w:rPr>
      </w:pPr>
      <w:r w:rsidRPr="000729CF">
        <w:rPr>
          <w:rFonts w:ascii="Calibri" w:hAnsi="Calibri" w:cs="Calibri"/>
          <w:sz w:val="22"/>
          <w:szCs w:val="22"/>
          <w:lang w:val="en-GB" w:eastAsia="en-GB"/>
        </w:rPr>
        <w:t>Registration Services including weddings</w:t>
      </w:r>
    </w:p>
    <w:p w14:paraId="414712ED" w14:textId="77777777" w:rsidR="000729CF" w:rsidRPr="000729CF" w:rsidRDefault="000729CF" w:rsidP="000729CF">
      <w:pPr>
        <w:spacing w:after="160" w:line="259" w:lineRule="auto"/>
        <w:rPr>
          <w:rFonts w:ascii="Calibri" w:eastAsia="Calibri" w:hAnsi="Calibri" w:cs="Calibri"/>
          <w:sz w:val="22"/>
          <w:szCs w:val="22"/>
          <w:lang w:val="en-GB"/>
        </w:rPr>
      </w:pPr>
      <w:r w:rsidRPr="000729CF">
        <w:rPr>
          <w:rFonts w:ascii="Calibri" w:eastAsia="Calibri" w:hAnsi="Calibri" w:cs="Calibri"/>
          <w:sz w:val="22"/>
          <w:szCs w:val="22"/>
          <w:lang w:val="en-GB"/>
        </w:rPr>
        <w:t xml:space="preserve">In total therefore HASC net budget for 2023/24 is £102.576m. The Community Care budget is £68.387m and equates to 67% of the overall HASC budget, meaning our main area of spend relates to the external provision of care for those people who have been assessed as eligible for social care support (Community Care). This covers a vast array of services and includes such areas as Residential and Nursing Care and Home Care. Adult Social Care provision is primarily commissioned rather than internally provided. HASC does manage a number of in house services, which are residential care units at Craven Vale, Ireland Lodge and Wayfield Avenue, home care with a reablement focus through Independence at Home and two hostels, New Steine Mews and Glenwood Lodge. HASC also manage 5 residential group homes and 3 supported living homes for people with learning disabilities; a day service at Wellington House, a Shared Lives service and a Community Support Service. </w:t>
      </w:r>
    </w:p>
    <w:p w14:paraId="5EADD56E" w14:textId="77777777" w:rsidR="000729CF" w:rsidRPr="000729CF" w:rsidRDefault="000729CF" w:rsidP="000729CF">
      <w:pPr>
        <w:spacing w:after="160" w:line="257" w:lineRule="auto"/>
        <w:rPr>
          <w:rFonts w:ascii="Calibri" w:eastAsia="Calibri" w:hAnsi="Calibri" w:cs="Calibri"/>
          <w:b/>
          <w:bCs/>
          <w:sz w:val="22"/>
          <w:szCs w:val="22"/>
          <w:u w:val="single"/>
          <w:lang w:val="en-GB"/>
        </w:rPr>
      </w:pPr>
      <w:r w:rsidRPr="000729CF">
        <w:rPr>
          <w:rFonts w:ascii="Calibri" w:eastAsia="Calibri" w:hAnsi="Calibri" w:cs="Calibri"/>
          <w:b/>
          <w:bCs/>
          <w:sz w:val="22"/>
          <w:szCs w:val="22"/>
          <w:u w:val="single"/>
          <w:lang w:val="en-GB"/>
        </w:rPr>
        <w:t>Budget Context</w:t>
      </w:r>
    </w:p>
    <w:p w14:paraId="4DE1B3CD" w14:textId="77777777" w:rsidR="000729CF" w:rsidRPr="000729CF" w:rsidRDefault="000729CF" w:rsidP="000729CF">
      <w:pPr>
        <w:spacing w:after="160" w:line="257" w:lineRule="auto"/>
        <w:rPr>
          <w:rFonts w:ascii="Calibri" w:eastAsia="Calibri" w:hAnsi="Calibri" w:cs="Calibri"/>
          <w:sz w:val="22"/>
          <w:szCs w:val="22"/>
          <w:lang w:val="en-GB"/>
        </w:rPr>
      </w:pPr>
      <w:r w:rsidRPr="000729CF">
        <w:rPr>
          <w:rFonts w:ascii="Calibri" w:eastAsia="Calibri" w:hAnsi="Calibri" w:cs="Calibri"/>
          <w:sz w:val="22"/>
          <w:szCs w:val="22"/>
          <w:lang w:val="en-GB"/>
        </w:rPr>
        <w:t xml:space="preserve">The activity data shown below is for the last 3 years. Data in red is updated from the HASC Budget Strategy 23/24. For purposes of comparison the updated data in the table below does not include the data from people using learning disability services.  </w:t>
      </w:r>
    </w:p>
    <w:tbl>
      <w:tblPr>
        <w:tblStyle w:val="TableGrid"/>
        <w:tblW w:w="8784" w:type="dxa"/>
        <w:tblLook w:val="04A0" w:firstRow="1" w:lastRow="0" w:firstColumn="1" w:lastColumn="0" w:noHBand="0" w:noVBand="1"/>
      </w:tblPr>
      <w:tblGrid>
        <w:gridCol w:w="3462"/>
        <w:gridCol w:w="1330"/>
        <w:gridCol w:w="1331"/>
        <w:gridCol w:w="1330"/>
        <w:gridCol w:w="1331"/>
      </w:tblGrid>
      <w:tr w:rsidR="000729CF" w:rsidRPr="000729CF" w14:paraId="5E8F8587" w14:textId="77777777" w:rsidTr="00BC26AB">
        <w:tc>
          <w:tcPr>
            <w:tcW w:w="3462" w:type="dxa"/>
            <w:shd w:val="clear" w:color="auto" w:fill="7030A0"/>
          </w:tcPr>
          <w:p w14:paraId="66BBAD51" w14:textId="77777777" w:rsidR="000729CF" w:rsidRPr="000729CF" w:rsidRDefault="000729CF" w:rsidP="000729CF">
            <w:pPr>
              <w:spacing w:after="160" w:line="259" w:lineRule="auto"/>
              <w:jc w:val="center"/>
              <w:rPr>
                <w:rFonts w:ascii="Calibri" w:eastAsia="Calibri" w:hAnsi="Calibri" w:cs="Calibri"/>
                <w:b/>
                <w:bCs/>
                <w:color w:val="FFFFFF"/>
              </w:rPr>
            </w:pPr>
            <w:r w:rsidRPr="000729CF">
              <w:rPr>
                <w:rFonts w:ascii="Calibri" w:eastAsia="Calibri" w:hAnsi="Calibri" w:cs="Calibri"/>
                <w:b/>
                <w:bCs/>
                <w:color w:val="FFFFFF"/>
              </w:rPr>
              <w:t>FUNDED CARE SERVICE</w:t>
            </w:r>
          </w:p>
          <w:p w14:paraId="48F4E134" w14:textId="77777777" w:rsidR="000729CF" w:rsidRPr="000729CF" w:rsidRDefault="000729CF" w:rsidP="000729CF">
            <w:pPr>
              <w:spacing w:after="160" w:line="259" w:lineRule="auto"/>
              <w:jc w:val="center"/>
              <w:rPr>
                <w:rFonts w:ascii="Calibri" w:eastAsia="Calibri" w:hAnsi="Calibri" w:cs="Calibri"/>
                <w:b/>
                <w:bCs/>
                <w:color w:val="FFFFFF"/>
              </w:rPr>
            </w:pPr>
          </w:p>
        </w:tc>
        <w:tc>
          <w:tcPr>
            <w:tcW w:w="1330" w:type="dxa"/>
            <w:shd w:val="clear" w:color="auto" w:fill="7030A0"/>
          </w:tcPr>
          <w:p w14:paraId="75706D7E" w14:textId="77777777" w:rsidR="000729CF" w:rsidRPr="000729CF" w:rsidRDefault="000729CF" w:rsidP="000729CF">
            <w:pPr>
              <w:spacing w:after="160" w:line="259" w:lineRule="auto"/>
              <w:jc w:val="center"/>
              <w:rPr>
                <w:rFonts w:ascii="Calibri" w:eastAsia="Calibri" w:hAnsi="Calibri" w:cs="Calibri"/>
                <w:b/>
                <w:bCs/>
                <w:color w:val="FFFFFF"/>
              </w:rPr>
            </w:pPr>
            <w:r w:rsidRPr="000729CF">
              <w:rPr>
                <w:rFonts w:ascii="Calibri" w:eastAsia="Calibri" w:hAnsi="Calibri" w:cs="Calibri"/>
                <w:b/>
                <w:bCs/>
                <w:color w:val="FFFFFF"/>
              </w:rPr>
              <w:t>2020/21</w:t>
            </w:r>
          </w:p>
        </w:tc>
        <w:tc>
          <w:tcPr>
            <w:tcW w:w="1331" w:type="dxa"/>
            <w:shd w:val="clear" w:color="auto" w:fill="7030A0"/>
          </w:tcPr>
          <w:p w14:paraId="7525604C" w14:textId="77777777" w:rsidR="000729CF" w:rsidRPr="000729CF" w:rsidRDefault="000729CF" w:rsidP="000729CF">
            <w:pPr>
              <w:spacing w:after="160" w:line="259" w:lineRule="auto"/>
              <w:jc w:val="center"/>
              <w:rPr>
                <w:rFonts w:ascii="Calibri" w:eastAsia="Calibri" w:hAnsi="Calibri" w:cs="Calibri"/>
                <w:b/>
                <w:bCs/>
                <w:color w:val="FFFFFF"/>
              </w:rPr>
            </w:pPr>
            <w:r w:rsidRPr="000729CF">
              <w:rPr>
                <w:rFonts w:ascii="Calibri" w:eastAsia="Calibri" w:hAnsi="Calibri" w:cs="Calibri"/>
                <w:b/>
                <w:bCs/>
                <w:color w:val="FFFFFF"/>
              </w:rPr>
              <w:t>2021/22</w:t>
            </w:r>
          </w:p>
        </w:tc>
        <w:tc>
          <w:tcPr>
            <w:tcW w:w="1330" w:type="dxa"/>
            <w:shd w:val="clear" w:color="auto" w:fill="7030A0"/>
          </w:tcPr>
          <w:p w14:paraId="35EC489C" w14:textId="77777777" w:rsidR="000729CF" w:rsidRPr="000729CF" w:rsidRDefault="000729CF" w:rsidP="000729CF">
            <w:pPr>
              <w:spacing w:after="160" w:line="259" w:lineRule="auto"/>
              <w:jc w:val="center"/>
              <w:rPr>
                <w:rFonts w:ascii="Calibri" w:eastAsia="Calibri" w:hAnsi="Calibri" w:cs="Calibri"/>
                <w:b/>
                <w:bCs/>
                <w:color w:val="FFFFFF"/>
              </w:rPr>
            </w:pPr>
            <w:r w:rsidRPr="000729CF">
              <w:rPr>
                <w:rFonts w:ascii="Calibri" w:eastAsia="Calibri" w:hAnsi="Calibri" w:cs="Calibri"/>
                <w:b/>
                <w:bCs/>
                <w:color w:val="FFFFFF"/>
              </w:rPr>
              <w:t>2022/23</w:t>
            </w:r>
          </w:p>
        </w:tc>
        <w:tc>
          <w:tcPr>
            <w:tcW w:w="1331" w:type="dxa"/>
            <w:shd w:val="clear" w:color="auto" w:fill="7030A0"/>
          </w:tcPr>
          <w:p w14:paraId="44AA4C08" w14:textId="77777777" w:rsidR="000729CF" w:rsidRPr="000729CF" w:rsidRDefault="000729CF" w:rsidP="000729CF">
            <w:pPr>
              <w:spacing w:after="160" w:line="259" w:lineRule="auto"/>
              <w:jc w:val="center"/>
              <w:rPr>
                <w:rFonts w:ascii="Calibri" w:eastAsia="Calibri" w:hAnsi="Calibri" w:cs="Calibri"/>
                <w:b/>
                <w:bCs/>
                <w:color w:val="FFFFFF"/>
              </w:rPr>
            </w:pPr>
            <w:r w:rsidRPr="000729CF">
              <w:rPr>
                <w:rFonts w:ascii="Calibri" w:eastAsia="Calibri" w:hAnsi="Calibri" w:cs="Calibri"/>
                <w:b/>
                <w:bCs/>
                <w:color w:val="FFFFFF"/>
              </w:rPr>
              <w:t>2023/24</w:t>
            </w:r>
          </w:p>
          <w:p w14:paraId="5433B40F" w14:textId="77777777" w:rsidR="000729CF" w:rsidRPr="000729CF" w:rsidRDefault="000729CF" w:rsidP="000729CF">
            <w:pPr>
              <w:spacing w:after="160" w:line="259" w:lineRule="auto"/>
              <w:jc w:val="center"/>
              <w:rPr>
                <w:rFonts w:ascii="Calibri" w:eastAsia="Calibri" w:hAnsi="Calibri" w:cs="Calibri"/>
                <w:b/>
                <w:bCs/>
                <w:color w:val="FFFFFF"/>
              </w:rPr>
            </w:pPr>
            <w:r w:rsidRPr="000729CF">
              <w:rPr>
                <w:rFonts w:ascii="Calibri" w:eastAsia="Calibri" w:hAnsi="Calibri" w:cs="Calibri"/>
                <w:b/>
                <w:bCs/>
                <w:color w:val="FFFFFF"/>
              </w:rPr>
              <w:t>(Apr – Sept)</w:t>
            </w:r>
          </w:p>
        </w:tc>
      </w:tr>
      <w:tr w:rsidR="000729CF" w:rsidRPr="000729CF" w14:paraId="7001D555" w14:textId="77777777" w:rsidTr="00BC26AB">
        <w:tc>
          <w:tcPr>
            <w:tcW w:w="3462" w:type="dxa"/>
            <w:vAlign w:val="center"/>
          </w:tcPr>
          <w:p w14:paraId="43028354" w14:textId="77777777" w:rsidR="000729CF" w:rsidRPr="000729CF" w:rsidRDefault="000729CF" w:rsidP="000729CF">
            <w:pPr>
              <w:spacing w:before="20" w:after="20" w:line="259" w:lineRule="auto"/>
              <w:rPr>
                <w:rFonts w:ascii="Calibri" w:eastAsia="Calibri" w:hAnsi="Calibri" w:cs="Calibri"/>
              </w:rPr>
            </w:pPr>
            <w:r w:rsidRPr="000729CF">
              <w:rPr>
                <w:rFonts w:ascii="Calibri" w:eastAsia="Calibri" w:hAnsi="Calibri" w:cs="Calibri"/>
              </w:rPr>
              <w:t>Adults receiving domiciliary care</w:t>
            </w:r>
          </w:p>
        </w:tc>
        <w:tc>
          <w:tcPr>
            <w:tcW w:w="1330" w:type="dxa"/>
            <w:vAlign w:val="center"/>
          </w:tcPr>
          <w:p w14:paraId="52750DF3" w14:textId="77777777" w:rsidR="000729CF" w:rsidRPr="000729CF" w:rsidRDefault="000729CF" w:rsidP="000729CF">
            <w:pPr>
              <w:spacing w:before="20" w:after="20" w:line="259" w:lineRule="auto"/>
              <w:jc w:val="right"/>
              <w:rPr>
                <w:rFonts w:ascii="Calibri" w:eastAsia="Calibri" w:hAnsi="Calibri" w:cs="Calibri"/>
              </w:rPr>
            </w:pPr>
            <w:r w:rsidRPr="000729CF">
              <w:rPr>
                <w:rFonts w:ascii="Calibri" w:eastAsia="Calibri" w:hAnsi="Calibri" w:cs="Calibri"/>
              </w:rPr>
              <w:t>1,856</w:t>
            </w:r>
          </w:p>
        </w:tc>
        <w:tc>
          <w:tcPr>
            <w:tcW w:w="1331" w:type="dxa"/>
          </w:tcPr>
          <w:p w14:paraId="6FA4F459" w14:textId="77777777" w:rsidR="000729CF" w:rsidRPr="000729CF" w:rsidRDefault="000729CF" w:rsidP="000729CF">
            <w:pPr>
              <w:spacing w:before="20" w:after="20" w:line="259" w:lineRule="auto"/>
              <w:jc w:val="right"/>
              <w:rPr>
                <w:rFonts w:ascii="Calibri" w:eastAsia="Calibri" w:hAnsi="Calibri" w:cs="Calibri"/>
              </w:rPr>
            </w:pPr>
            <w:r w:rsidRPr="000729CF">
              <w:rPr>
                <w:rFonts w:ascii="Calibri" w:eastAsia="Calibri" w:hAnsi="Calibri" w:cs="Calibri"/>
              </w:rPr>
              <w:t>1,653</w:t>
            </w:r>
          </w:p>
        </w:tc>
        <w:tc>
          <w:tcPr>
            <w:tcW w:w="1330" w:type="dxa"/>
          </w:tcPr>
          <w:p w14:paraId="263EE8B4" w14:textId="77777777" w:rsidR="000729CF" w:rsidRPr="000729CF" w:rsidRDefault="000729CF" w:rsidP="000729CF">
            <w:pPr>
              <w:spacing w:before="20" w:after="20" w:line="259" w:lineRule="auto"/>
              <w:jc w:val="right"/>
              <w:rPr>
                <w:rFonts w:ascii="Calibri" w:eastAsia="Calibri" w:hAnsi="Calibri" w:cs="Calibri"/>
              </w:rPr>
            </w:pPr>
            <w:r w:rsidRPr="000729CF">
              <w:rPr>
                <w:rFonts w:ascii="Calibri" w:eastAsia="Calibri" w:hAnsi="Calibri" w:cs="Calibri"/>
              </w:rPr>
              <w:t>1,555</w:t>
            </w:r>
          </w:p>
        </w:tc>
        <w:tc>
          <w:tcPr>
            <w:tcW w:w="1331" w:type="dxa"/>
          </w:tcPr>
          <w:p w14:paraId="56720A4B" w14:textId="77777777" w:rsidR="000729CF" w:rsidRPr="000729CF" w:rsidRDefault="000729CF" w:rsidP="000729CF">
            <w:pPr>
              <w:spacing w:before="20" w:after="20" w:line="259" w:lineRule="auto"/>
              <w:jc w:val="right"/>
              <w:rPr>
                <w:rFonts w:ascii="Calibri" w:eastAsia="Calibri" w:hAnsi="Calibri" w:cs="Calibri"/>
              </w:rPr>
            </w:pPr>
            <w:r w:rsidRPr="000729CF">
              <w:rPr>
                <w:rFonts w:ascii="Calibri" w:eastAsia="Calibri" w:hAnsi="Calibri" w:cs="Calibri"/>
              </w:rPr>
              <w:t>1,442</w:t>
            </w:r>
          </w:p>
        </w:tc>
      </w:tr>
      <w:tr w:rsidR="000729CF" w:rsidRPr="000729CF" w14:paraId="578AA0C6" w14:textId="77777777" w:rsidTr="00BC26AB">
        <w:tc>
          <w:tcPr>
            <w:tcW w:w="3462" w:type="dxa"/>
            <w:vAlign w:val="center"/>
          </w:tcPr>
          <w:p w14:paraId="116201E9" w14:textId="77777777" w:rsidR="000729CF" w:rsidRPr="000729CF" w:rsidRDefault="000729CF" w:rsidP="000729CF">
            <w:pPr>
              <w:spacing w:before="20" w:after="20" w:line="259" w:lineRule="auto"/>
              <w:rPr>
                <w:rFonts w:ascii="Calibri" w:eastAsia="Calibri" w:hAnsi="Calibri" w:cs="Calibri"/>
              </w:rPr>
            </w:pPr>
            <w:r w:rsidRPr="000729CF">
              <w:rPr>
                <w:rFonts w:ascii="Calibri" w:eastAsia="Calibri" w:hAnsi="Calibri" w:cs="Calibri"/>
              </w:rPr>
              <w:t>Adults receiving residential care</w:t>
            </w:r>
          </w:p>
        </w:tc>
        <w:tc>
          <w:tcPr>
            <w:tcW w:w="1330" w:type="dxa"/>
            <w:vAlign w:val="center"/>
          </w:tcPr>
          <w:p w14:paraId="77F00E00" w14:textId="77777777" w:rsidR="000729CF" w:rsidRPr="000729CF" w:rsidRDefault="000729CF" w:rsidP="000729CF">
            <w:pPr>
              <w:spacing w:before="20" w:after="20" w:line="259" w:lineRule="auto"/>
              <w:jc w:val="right"/>
              <w:rPr>
                <w:rFonts w:ascii="Calibri" w:eastAsia="Calibri" w:hAnsi="Calibri" w:cs="Calibri"/>
              </w:rPr>
            </w:pPr>
            <w:r w:rsidRPr="000729CF">
              <w:rPr>
                <w:rFonts w:ascii="Calibri" w:eastAsia="Calibri" w:hAnsi="Calibri" w:cs="Calibri"/>
              </w:rPr>
              <w:t>637</w:t>
            </w:r>
          </w:p>
        </w:tc>
        <w:tc>
          <w:tcPr>
            <w:tcW w:w="1331" w:type="dxa"/>
          </w:tcPr>
          <w:p w14:paraId="4F560558" w14:textId="77777777" w:rsidR="000729CF" w:rsidRPr="000729CF" w:rsidRDefault="000729CF" w:rsidP="000729CF">
            <w:pPr>
              <w:spacing w:before="20" w:after="20" w:line="259" w:lineRule="auto"/>
              <w:jc w:val="right"/>
              <w:rPr>
                <w:rFonts w:ascii="Calibri" w:eastAsia="Calibri" w:hAnsi="Calibri" w:cs="Calibri"/>
              </w:rPr>
            </w:pPr>
            <w:r w:rsidRPr="000729CF">
              <w:rPr>
                <w:rFonts w:ascii="Calibri" w:eastAsia="Calibri" w:hAnsi="Calibri" w:cs="Calibri"/>
              </w:rPr>
              <w:t>556</w:t>
            </w:r>
          </w:p>
        </w:tc>
        <w:tc>
          <w:tcPr>
            <w:tcW w:w="1330" w:type="dxa"/>
          </w:tcPr>
          <w:p w14:paraId="3217D7D0" w14:textId="77777777" w:rsidR="000729CF" w:rsidRPr="000729CF" w:rsidRDefault="000729CF" w:rsidP="000729CF">
            <w:pPr>
              <w:spacing w:before="20" w:after="20" w:line="259" w:lineRule="auto"/>
              <w:jc w:val="right"/>
              <w:rPr>
                <w:rFonts w:ascii="Calibri" w:eastAsia="Calibri" w:hAnsi="Calibri" w:cs="Calibri"/>
              </w:rPr>
            </w:pPr>
            <w:r w:rsidRPr="000729CF">
              <w:rPr>
                <w:rFonts w:ascii="Calibri" w:eastAsia="Calibri" w:hAnsi="Calibri" w:cs="Calibri"/>
              </w:rPr>
              <w:t>573</w:t>
            </w:r>
          </w:p>
        </w:tc>
        <w:tc>
          <w:tcPr>
            <w:tcW w:w="1331" w:type="dxa"/>
          </w:tcPr>
          <w:p w14:paraId="57BF0E0B" w14:textId="77777777" w:rsidR="000729CF" w:rsidRPr="000729CF" w:rsidRDefault="000729CF" w:rsidP="000729CF">
            <w:pPr>
              <w:spacing w:before="20" w:after="20" w:line="259" w:lineRule="auto"/>
              <w:jc w:val="right"/>
              <w:rPr>
                <w:rFonts w:ascii="Calibri" w:eastAsia="Calibri" w:hAnsi="Calibri" w:cs="Calibri"/>
              </w:rPr>
            </w:pPr>
            <w:r w:rsidRPr="000729CF">
              <w:rPr>
                <w:rFonts w:ascii="Calibri" w:eastAsia="Calibri" w:hAnsi="Calibri" w:cs="Calibri"/>
              </w:rPr>
              <w:t>522</w:t>
            </w:r>
          </w:p>
        </w:tc>
      </w:tr>
      <w:tr w:rsidR="000729CF" w:rsidRPr="000729CF" w14:paraId="676970E5" w14:textId="77777777" w:rsidTr="00BC26AB">
        <w:tc>
          <w:tcPr>
            <w:tcW w:w="3462" w:type="dxa"/>
            <w:vAlign w:val="center"/>
          </w:tcPr>
          <w:p w14:paraId="7C46B187" w14:textId="77777777" w:rsidR="000729CF" w:rsidRPr="000729CF" w:rsidRDefault="000729CF" w:rsidP="000729CF">
            <w:pPr>
              <w:spacing w:before="20" w:after="20" w:line="259" w:lineRule="auto"/>
              <w:rPr>
                <w:rFonts w:ascii="Calibri" w:eastAsia="Calibri" w:hAnsi="Calibri" w:cs="Calibri"/>
              </w:rPr>
            </w:pPr>
            <w:r w:rsidRPr="000729CF">
              <w:rPr>
                <w:rFonts w:ascii="Calibri" w:eastAsia="Calibri" w:hAnsi="Calibri" w:cs="Calibri"/>
              </w:rPr>
              <w:t>Adults receiving nursing care</w:t>
            </w:r>
          </w:p>
        </w:tc>
        <w:tc>
          <w:tcPr>
            <w:tcW w:w="1330" w:type="dxa"/>
            <w:vAlign w:val="center"/>
          </w:tcPr>
          <w:p w14:paraId="3F1593EF" w14:textId="77777777" w:rsidR="000729CF" w:rsidRPr="000729CF" w:rsidRDefault="000729CF" w:rsidP="000729CF">
            <w:pPr>
              <w:spacing w:before="20" w:after="20" w:line="259" w:lineRule="auto"/>
              <w:jc w:val="right"/>
              <w:rPr>
                <w:rFonts w:ascii="Calibri" w:eastAsia="Calibri" w:hAnsi="Calibri" w:cs="Calibri"/>
              </w:rPr>
            </w:pPr>
            <w:r w:rsidRPr="000729CF">
              <w:rPr>
                <w:rFonts w:ascii="Calibri" w:eastAsia="Calibri" w:hAnsi="Calibri" w:cs="Calibri"/>
              </w:rPr>
              <w:t>591</w:t>
            </w:r>
          </w:p>
        </w:tc>
        <w:tc>
          <w:tcPr>
            <w:tcW w:w="1331" w:type="dxa"/>
          </w:tcPr>
          <w:p w14:paraId="39D91676" w14:textId="77777777" w:rsidR="000729CF" w:rsidRPr="000729CF" w:rsidRDefault="000729CF" w:rsidP="000729CF">
            <w:pPr>
              <w:spacing w:before="20" w:after="20" w:line="259" w:lineRule="auto"/>
              <w:jc w:val="right"/>
              <w:rPr>
                <w:rFonts w:ascii="Calibri" w:eastAsia="Calibri" w:hAnsi="Calibri" w:cs="Calibri"/>
              </w:rPr>
            </w:pPr>
            <w:r w:rsidRPr="000729CF">
              <w:rPr>
                <w:rFonts w:ascii="Calibri" w:eastAsia="Calibri" w:hAnsi="Calibri" w:cs="Calibri"/>
              </w:rPr>
              <w:t>486</w:t>
            </w:r>
          </w:p>
        </w:tc>
        <w:tc>
          <w:tcPr>
            <w:tcW w:w="1330" w:type="dxa"/>
          </w:tcPr>
          <w:p w14:paraId="583F7027" w14:textId="77777777" w:rsidR="000729CF" w:rsidRPr="000729CF" w:rsidRDefault="000729CF" w:rsidP="000729CF">
            <w:pPr>
              <w:spacing w:before="20" w:after="20" w:line="259" w:lineRule="auto"/>
              <w:jc w:val="right"/>
              <w:rPr>
                <w:rFonts w:ascii="Calibri" w:eastAsia="Calibri" w:hAnsi="Calibri" w:cs="Calibri"/>
              </w:rPr>
            </w:pPr>
            <w:r w:rsidRPr="000729CF">
              <w:rPr>
                <w:rFonts w:ascii="Calibri" w:eastAsia="Calibri" w:hAnsi="Calibri" w:cs="Calibri"/>
              </w:rPr>
              <w:t>500</w:t>
            </w:r>
          </w:p>
        </w:tc>
        <w:tc>
          <w:tcPr>
            <w:tcW w:w="1331" w:type="dxa"/>
          </w:tcPr>
          <w:p w14:paraId="14BE665B" w14:textId="77777777" w:rsidR="000729CF" w:rsidRPr="000729CF" w:rsidRDefault="000729CF" w:rsidP="000729CF">
            <w:pPr>
              <w:spacing w:before="20" w:after="20" w:line="259" w:lineRule="auto"/>
              <w:jc w:val="right"/>
              <w:rPr>
                <w:rFonts w:ascii="Calibri" w:eastAsia="Calibri" w:hAnsi="Calibri" w:cs="Calibri"/>
              </w:rPr>
            </w:pPr>
            <w:r w:rsidRPr="000729CF">
              <w:rPr>
                <w:rFonts w:ascii="Calibri" w:eastAsia="Calibri" w:hAnsi="Calibri" w:cs="Calibri"/>
              </w:rPr>
              <w:t>448</w:t>
            </w:r>
          </w:p>
        </w:tc>
      </w:tr>
      <w:tr w:rsidR="000729CF" w:rsidRPr="000729CF" w14:paraId="225A031D" w14:textId="77777777" w:rsidTr="00BC26AB">
        <w:tc>
          <w:tcPr>
            <w:tcW w:w="3462" w:type="dxa"/>
            <w:vAlign w:val="center"/>
          </w:tcPr>
          <w:p w14:paraId="531CF81A" w14:textId="77777777" w:rsidR="000729CF" w:rsidRPr="000729CF" w:rsidRDefault="000729CF" w:rsidP="000729CF">
            <w:pPr>
              <w:spacing w:before="20" w:after="20" w:line="259" w:lineRule="auto"/>
              <w:rPr>
                <w:rFonts w:ascii="Calibri" w:eastAsia="Calibri" w:hAnsi="Calibri" w:cs="Calibri"/>
              </w:rPr>
            </w:pPr>
            <w:r w:rsidRPr="000729CF">
              <w:rPr>
                <w:rFonts w:ascii="Calibri" w:eastAsia="Calibri" w:hAnsi="Calibri" w:cs="Calibri"/>
              </w:rPr>
              <w:t>Adults receiving a direct payment</w:t>
            </w:r>
          </w:p>
        </w:tc>
        <w:tc>
          <w:tcPr>
            <w:tcW w:w="1330" w:type="dxa"/>
            <w:vAlign w:val="center"/>
          </w:tcPr>
          <w:p w14:paraId="1966E167" w14:textId="77777777" w:rsidR="000729CF" w:rsidRPr="000729CF" w:rsidRDefault="000729CF" w:rsidP="000729CF">
            <w:pPr>
              <w:spacing w:before="20" w:after="20" w:line="259" w:lineRule="auto"/>
              <w:jc w:val="right"/>
              <w:rPr>
                <w:rFonts w:ascii="Calibri" w:eastAsia="Calibri" w:hAnsi="Calibri" w:cs="Calibri"/>
              </w:rPr>
            </w:pPr>
            <w:r w:rsidRPr="000729CF">
              <w:rPr>
                <w:rFonts w:ascii="Calibri" w:eastAsia="Calibri" w:hAnsi="Calibri" w:cs="Calibri"/>
              </w:rPr>
              <w:t>432</w:t>
            </w:r>
          </w:p>
        </w:tc>
        <w:tc>
          <w:tcPr>
            <w:tcW w:w="1331" w:type="dxa"/>
          </w:tcPr>
          <w:p w14:paraId="1AE1EBBC" w14:textId="77777777" w:rsidR="000729CF" w:rsidRPr="000729CF" w:rsidRDefault="000729CF" w:rsidP="000729CF">
            <w:pPr>
              <w:spacing w:before="20" w:after="20" w:line="259" w:lineRule="auto"/>
              <w:jc w:val="right"/>
              <w:rPr>
                <w:rFonts w:ascii="Calibri" w:eastAsia="Calibri" w:hAnsi="Calibri" w:cs="Calibri"/>
              </w:rPr>
            </w:pPr>
            <w:r w:rsidRPr="000729CF">
              <w:rPr>
                <w:rFonts w:ascii="Calibri" w:eastAsia="Calibri" w:hAnsi="Calibri" w:cs="Calibri"/>
              </w:rPr>
              <w:t>436</w:t>
            </w:r>
          </w:p>
        </w:tc>
        <w:tc>
          <w:tcPr>
            <w:tcW w:w="1330" w:type="dxa"/>
          </w:tcPr>
          <w:p w14:paraId="681D516D" w14:textId="77777777" w:rsidR="000729CF" w:rsidRPr="000729CF" w:rsidRDefault="000729CF" w:rsidP="000729CF">
            <w:pPr>
              <w:spacing w:before="20" w:after="20" w:line="259" w:lineRule="auto"/>
              <w:jc w:val="right"/>
              <w:rPr>
                <w:rFonts w:ascii="Calibri" w:eastAsia="Calibri" w:hAnsi="Calibri" w:cs="Calibri"/>
              </w:rPr>
            </w:pPr>
            <w:r w:rsidRPr="000729CF">
              <w:rPr>
                <w:rFonts w:ascii="Calibri" w:eastAsia="Calibri" w:hAnsi="Calibri" w:cs="Calibri"/>
              </w:rPr>
              <w:t>448</w:t>
            </w:r>
          </w:p>
        </w:tc>
        <w:tc>
          <w:tcPr>
            <w:tcW w:w="1331" w:type="dxa"/>
          </w:tcPr>
          <w:p w14:paraId="47C9C366" w14:textId="77777777" w:rsidR="000729CF" w:rsidRPr="000729CF" w:rsidRDefault="000729CF" w:rsidP="000729CF">
            <w:pPr>
              <w:spacing w:before="20" w:after="20" w:line="259" w:lineRule="auto"/>
              <w:jc w:val="right"/>
              <w:rPr>
                <w:rFonts w:ascii="Calibri" w:eastAsia="Calibri" w:hAnsi="Calibri" w:cs="Calibri"/>
              </w:rPr>
            </w:pPr>
            <w:r w:rsidRPr="000729CF">
              <w:rPr>
                <w:rFonts w:ascii="Calibri" w:eastAsia="Calibri" w:hAnsi="Calibri" w:cs="Calibri"/>
              </w:rPr>
              <w:t>439</w:t>
            </w:r>
          </w:p>
        </w:tc>
      </w:tr>
      <w:tr w:rsidR="000729CF" w:rsidRPr="000729CF" w14:paraId="409F8FF8" w14:textId="77777777" w:rsidTr="00BC26AB">
        <w:tc>
          <w:tcPr>
            <w:tcW w:w="3462" w:type="dxa"/>
            <w:vAlign w:val="center"/>
          </w:tcPr>
          <w:p w14:paraId="723627F4" w14:textId="77777777" w:rsidR="000729CF" w:rsidRPr="000729CF" w:rsidRDefault="000729CF" w:rsidP="000729CF">
            <w:pPr>
              <w:spacing w:before="20" w:after="20" w:line="259" w:lineRule="auto"/>
              <w:rPr>
                <w:rFonts w:ascii="Calibri" w:eastAsia="Calibri" w:hAnsi="Calibri" w:cs="Calibri"/>
              </w:rPr>
            </w:pPr>
            <w:r w:rsidRPr="000729CF">
              <w:rPr>
                <w:rFonts w:ascii="Calibri" w:eastAsia="Calibri" w:hAnsi="Calibri" w:cs="Calibri"/>
              </w:rPr>
              <w:t>Total number of adults provided with long term funded care during the period</w:t>
            </w:r>
          </w:p>
        </w:tc>
        <w:tc>
          <w:tcPr>
            <w:tcW w:w="1330" w:type="dxa"/>
            <w:vAlign w:val="center"/>
          </w:tcPr>
          <w:p w14:paraId="22A7B33A" w14:textId="77777777" w:rsidR="000729CF" w:rsidRPr="000729CF" w:rsidRDefault="000729CF" w:rsidP="000729CF">
            <w:pPr>
              <w:spacing w:before="20" w:after="20" w:line="259" w:lineRule="auto"/>
              <w:jc w:val="right"/>
              <w:rPr>
                <w:rFonts w:ascii="Calibri" w:eastAsia="Calibri" w:hAnsi="Calibri" w:cs="Calibri"/>
                <w:b/>
                <w:bCs/>
              </w:rPr>
            </w:pPr>
            <w:r w:rsidRPr="000729CF">
              <w:rPr>
                <w:rFonts w:ascii="Calibri" w:eastAsia="Calibri" w:hAnsi="Calibri" w:cs="Calibri"/>
                <w:b/>
                <w:bCs/>
              </w:rPr>
              <w:t>3,516</w:t>
            </w:r>
          </w:p>
        </w:tc>
        <w:tc>
          <w:tcPr>
            <w:tcW w:w="1331" w:type="dxa"/>
          </w:tcPr>
          <w:p w14:paraId="16938E04" w14:textId="77777777" w:rsidR="000729CF" w:rsidRPr="000729CF" w:rsidRDefault="000729CF" w:rsidP="000729CF">
            <w:pPr>
              <w:spacing w:before="20" w:after="20" w:line="259" w:lineRule="auto"/>
              <w:jc w:val="right"/>
              <w:rPr>
                <w:rFonts w:ascii="Calibri" w:eastAsia="Calibri" w:hAnsi="Calibri" w:cs="Calibri"/>
                <w:b/>
                <w:bCs/>
              </w:rPr>
            </w:pPr>
          </w:p>
          <w:p w14:paraId="35BBF00B" w14:textId="77777777" w:rsidR="000729CF" w:rsidRPr="000729CF" w:rsidRDefault="000729CF" w:rsidP="000729CF">
            <w:pPr>
              <w:spacing w:before="20" w:after="20" w:line="259" w:lineRule="auto"/>
              <w:jc w:val="right"/>
              <w:rPr>
                <w:rFonts w:ascii="Calibri" w:eastAsia="Calibri" w:hAnsi="Calibri" w:cs="Calibri"/>
                <w:b/>
                <w:bCs/>
              </w:rPr>
            </w:pPr>
            <w:r w:rsidRPr="000729CF">
              <w:rPr>
                <w:rFonts w:ascii="Calibri" w:eastAsia="Calibri" w:hAnsi="Calibri" w:cs="Calibri"/>
                <w:b/>
                <w:bCs/>
              </w:rPr>
              <w:t>3,131</w:t>
            </w:r>
          </w:p>
        </w:tc>
        <w:tc>
          <w:tcPr>
            <w:tcW w:w="1330" w:type="dxa"/>
          </w:tcPr>
          <w:p w14:paraId="05F49F81" w14:textId="77777777" w:rsidR="000729CF" w:rsidRPr="000729CF" w:rsidRDefault="000729CF" w:rsidP="000729CF">
            <w:pPr>
              <w:spacing w:before="20" w:after="20" w:line="259" w:lineRule="auto"/>
              <w:jc w:val="right"/>
              <w:rPr>
                <w:rFonts w:ascii="Calibri" w:eastAsia="Calibri" w:hAnsi="Calibri" w:cs="Calibri"/>
                <w:b/>
                <w:bCs/>
              </w:rPr>
            </w:pPr>
          </w:p>
          <w:p w14:paraId="1497D29C" w14:textId="77777777" w:rsidR="000729CF" w:rsidRPr="000729CF" w:rsidRDefault="000729CF" w:rsidP="000729CF">
            <w:pPr>
              <w:spacing w:before="20" w:after="20" w:line="259" w:lineRule="auto"/>
              <w:jc w:val="right"/>
              <w:rPr>
                <w:rFonts w:ascii="Calibri" w:eastAsia="Calibri" w:hAnsi="Calibri" w:cs="Calibri"/>
                <w:b/>
                <w:bCs/>
              </w:rPr>
            </w:pPr>
            <w:r w:rsidRPr="000729CF">
              <w:rPr>
                <w:rFonts w:ascii="Calibri" w:eastAsia="Calibri" w:hAnsi="Calibri" w:cs="Calibri"/>
                <w:b/>
                <w:bCs/>
              </w:rPr>
              <w:t>3,076</w:t>
            </w:r>
          </w:p>
        </w:tc>
        <w:tc>
          <w:tcPr>
            <w:tcW w:w="1331" w:type="dxa"/>
          </w:tcPr>
          <w:p w14:paraId="1F776DBC" w14:textId="77777777" w:rsidR="000729CF" w:rsidRPr="000729CF" w:rsidRDefault="000729CF" w:rsidP="000729CF">
            <w:pPr>
              <w:spacing w:before="20" w:after="20" w:line="259" w:lineRule="auto"/>
              <w:jc w:val="right"/>
              <w:rPr>
                <w:rFonts w:ascii="Calibri" w:eastAsia="Calibri" w:hAnsi="Calibri" w:cs="Calibri"/>
                <w:b/>
                <w:bCs/>
              </w:rPr>
            </w:pPr>
          </w:p>
          <w:p w14:paraId="43B98E94" w14:textId="77777777" w:rsidR="000729CF" w:rsidRPr="000729CF" w:rsidRDefault="000729CF" w:rsidP="000729CF">
            <w:pPr>
              <w:spacing w:before="20" w:after="20" w:line="259" w:lineRule="auto"/>
              <w:jc w:val="right"/>
              <w:rPr>
                <w:rFonts w:ascii="Calibri" w:eastAsia="Calibri" w:hAnsi="Calibri" w:cs="Calibri"/>
                <w:b/>
                <w:bCs/>
              </w:rPr>
            </w:pPr>
            <w:r w:rsidRPr="000729CF">
              <w:rPr>
                <w:rFonts w:ascii="Calibri" w:eastAsia="Calibri" w:hAnsi="Calibri" w:cs="Calibri"/>
                <w:b/>
                <w:bCs/>
              </w:rPr>
              <w:t>2,851</w:t>
            </w:r>
          </w:p>
        </w:tc>
      </w:tr>
    </w:tbl>
    <w:p w14:paraId="4462EC85" w14:textId="77777777" w:rsidR="000729CF" w:rsidRPr="000729CF" w:rsidRDefault="000729CF" w:rsidP="000729CF">
      <w:pPr>
        <w:spacing w:after="160" w:line="259" w:lineRule="auto"/>
        <w:rPr>
          <w:rFonts w:ascii="Calibri" w:eastAsia="Calibri" w:hAnsi="Calibri" w:cs="Calibri"/>
          <w:sz w:val="22"/>
          <w:szCs w:val="22"/>
          <w:lang w:val="en-GB"/>
        </w:rPr>
      </w:pPr>
    </w:p>
    <w:p w14:paraId="22187279" w14:textId="77777777" w:rsidR="000729CF" w:rsidRPr="000729CF" w:rsidRDefault="000729CF" w:rsidP="000729CF">
      <w:pPr>
        <w:spacing w:after="160" w:line="259" w:lineRule="auto"/>
        <w:rPr>
          <w:rFonts w:ascii="Calibri" w:eastAsia="Calibri" w:hAnsi="Calibri" w:cs="Calibri"/>
          <w:sz w:val="22"/>
          <w:szCs w:val="22"/>
          <w:lang w:val="en-GB"/>
        </w:rPr>
      </w:pPr>
      <w:r w:rsidRPr="000729CF">
        <w:rPr>
          <w:rFonts w:ascii="Calibri" w:eastAsia="Calibri" w:hAnsi="Calibri" w:cs="Calibri"/>
          <w:sz w:val="22"/>
          <w:szCs w:val="22"/>
          <w:lang w:val="en-GB"/>
        </w:rPr>
        <w:t xml:space="preserve">Since April 2023 adult Learning Disability Services from 25+ have returned to the HASC Directorate. All adults in learning disability services from 18 and over come under the Care Act requirements, and so data will now include data for adults with a learning disability who are receiving a service. The data in the table below shows all BHCC adult social care data, with learning disability activity data now included.  </w:t>
      </w:r>
    </w:p>
    <w:p w14:paraId="1EEC62BA" w14:textId="77777777" w:rsidR="000729CF" w:rsidRPr="000729CF" w:rsidRDefault="000729CF" w:rsidP="000729CF">
      <w:pPr>
        <w:spacing w:after="160" w:line="259" w:lineRule="auto"/>
        <w:rPr>
          <w:rFonts w:ascii="Calibri" w:eastAsia="Calibri" w:hAnsi="Calibri" w:cs="Calibri"/>
          <w:b/>
          <w:bCs/>
          <w:sz w:val="22"/>
          <w:szCs w:val="22"/>
          <w:lang w:val="en-GB"/>
        </w:rPr>
      </w:pPr>
      <w:r w:rsidRPr="000729CF">
        <w:rPr>
          <w:rFonts w:ascii="Calibri" w:eastAsia="Calibri" w:hAnsi="Calibri" w:cs="Calibri"/>
          <w:b/>
          <w:bCs/>
          <w:sz w:val="22"/>
          <w:szCs w:val="22"/>
          <w:lang w:val="en-GB"/>
        </w:rPr>
        <w:t>With Adults LD included – All statutory data submitted for returns.</w:t>
      </w:r>
    </w:p>
    <w:tbl>
      <w:tblPr>
        <w:tblStyle w:val="TableGrid"/>
        <w:tblW w:w="0" w:type="auto"/>
        <w:tblLook w:val="04A0" w:firstRow="1" w:lastRow="0" w:firstColumn="1" w:lastColumn="0" w:noHBand="0" w:noVBand="1"/>
      </w:tblPr>
      <w:tblGrid>
        <w:gridCol w:w="3462"/>
        <w:gridCol w:w="1330"/>
        <w:gridCol w:w="1331"/>
        <w:gridCol w:w="1330"/>
        <w:gridCol w:w="1331"/>
      </w:tblGrid>
      <w:tr w:rsidR="000729CF" w:rsidRPr="000729CF" w14:paraId="07A61C04" w14:textId="77777777" w:rsidTr="00BC26AB">
        <w:tc>
          <w:tcPr>
            <w:tcW w:w="3462" w:type="dxa"/>
            <w:shd w:val="clear" w:color="auto" w:fill="7030A0"/>
          </w:tcPr>
          <w:p w14:paraId="6D943A15" w14:textId="77777777" w:rsidR="000729CF" w:rsidRPr="000729CF" w:rsidRDefault="000729CF" w:rsidP="000729CF">
            <w:pPr>
              <w:spacing w:after="160" w:line="259" w:lineRule="auto"/>
              <w:jc w:val="center"/>
              <w:rPr>
                <w:rFonts w:ascii="Calibri" w:eastAsia="Calibri" w:hAnsi="Calibri" w:cs="Calibri"/>
                <w:b/>
                <w:bCs/>
                <w:color w:val="FFFFFF"/>
              </w:rPr>
            </w:pPr>
            <w:r w:rsidRPr="000729CF">
              <w:rPr>
                <w:rFonts w:ascii="Calibri" w:eastAsia="Calibri" w:hAnsi="Calibri" w:cs="Calibri"/>
                <w:b/>
                <w:bCs/>
                <w:color w:val="FFFFFF"/>
              </w:rPr>
              <w:t>FUNDED CARE SERVICE</w:t>
            </w:r>
          </w:p>
          <w:p w14:paraId="6A852087" w14:textId="77777777" w:rsidR="000729CF" w:rsidRPr="000729CF" w:rsidRDefault="000729CF" w:rsidP="000729CF">
            <w:pPr>
              <w:spacing w:after="160" w:line="259" w:lineRule="auto"/>
              <w:jc w:val="center"/>
              <w:rPr>
                <w:rFonts w:ascii="Calibri" w:eastAsia="Calibri" w:hAnsi="Calibri" w:cs="Calibri"/>
                <w:b/>
                <w:bCs/>
                <w:color w:val="FFFFFF"/>
              </w:rPr>
            </w:pPr>
          </w:p>
        </w:tc>
        <w:tc>
          <w:tcPr>
            <w:tcW w:w="1330" w:type="dxa"/>
            <w:shd w:val="clear" w:color="auto" w:fill="7030A0"/>
          </w:tcPr>
          <w:p w14:paraId="103DC046" w14:textId="77777777" w:rsidR="000729CF" w:rsidRPr="000729CF" w:rsidRDefault="000729CF" w:rsidP="000729CF">
            <w:pPr>
              <w:spacing w:after="160" w:line="259" w:lineRule="auto"/>
              <w:jc w:val="center"/>
              <w:rPr>
                <w:rFonts w:ascii="Calibri" w:eastAsia="Calibri" w:hAnsi="Calibri" w:cs="Calibri"/>
                <w:b/>
                <w:bCs/>
                <w:color w:val="FFFFFF"/>
              </w:rPr>
            </w:pPr>
            <w:r w:rsidRPr="000729CF">
              <w:rPr>
                <w:rFonts w:ascii="Calibri" w:eastAsia="Calibri" w:hAnsi="Calibri" w:cs="Calibri"/>
                <w:b/>
                <w:bCs/>
                <w:color w:val="FFFFFF"/>
              </w:rPr>
              <w:t>2020/21</w:t>
            </w:r>
          </w:p>
        </w:tc>
        <w:tc>
          <w:tcPr>
            <w:tcW w:w="1331" w:type="dxa"/>
            <w:shd w:val="clear" w:color="auto" w:fill="7030A0"/>
          </w:tcPr>
          <w:p w14:paraId="2C06001E" w14:textId="77777777" w:rsidR="000729CF" w:rsidRPr="000729CF" w:rsidRDefault="000729CF" w:rsidP="000729CF">
            <w:pPr>
              <w:spacing w:after="160" w:line="259" w:lineRule="auto"/>
              <w:jc w:val="center"/>
              <w:rPr>
                <w:rFonts w:ascii="Calibri" w:eastAsia="Calibri" w:hAnsi="Calibri" w:cs="Calibri"/>
                <w:b/>
                <w:bCs/>
                <w:color w:val="FFFFFF"/>
              </w:rPr>
            </w:pPr>
            <w:r w:rsidRPr="000729CF">
              <w:rPr>
                <w:rFonts w:ascii="Calibri" w:eastAsia="Calibri" w:hAnsi="Calibri" w:cs="Calibri"/>
                <w:b/>
                <w:bCs/>
                <w:color w:val="FFFFFF"/>
              </w:rPr>
              <w:t>2021/22</w:t>
            </w:r>
          </w:p>
        </w:tc>
        <w:tc>
          <w:tcPr>
            <w:tcW w:w="1330" w:type="dxa"/>
            <w:shd w:val="clear" w:color="auto" w:fill="7030A0"/>
          </w:tcPr>
          <w:p w14:paraId="7D3F4BB2" w14:textId="77777777" w:rsidR="000729CF" w:rsidRPr="000729CF" w:rsidRDefault="000729CF" w:rsidP="000729CF">
            <w:pPr>
              <w:spacing w:after="160" w:line="259" w:lineRule="auto"/>
              <w:jc w:val="center"/>
              <w:rPr>
                <w:rFonts w:ascii="Calibri" w:eastAsia="Calibri" w:hAnsi="Calibri" w:cs="Calibri"/>
                <w:b/>
                <w:bCs/>
                <w:color w:val="FFFFFF"/>
              </w:rPr>
            </w:pPr>
            <w:r w:rsidRPr="000729CF">
              <w:rPr>
                <w:rFonts w:ascii="Calibri" w:eastAsia="Calibri" w:hAnsi="Calibri" w:cs="Calibri"/>
                <w:b/>
                <w:bCs/>
                <w:color w:val="FFFFFF"/>
              </w:rPr>
              <w:t>2022/23</w:t>
            </w:r>
          </w:p>
        </w:tc>
        <w:tc>
          <w:tcPr>
            <w:tcW w:w="1331" w:type="dxa"/>
            <w:shd w:val="clear" w:color="auto" w:fill="7030A0"/>
          </w:tcPr>
          <w:p w14:paraId="0047F2D7" w14:textId="77777777" w:rsidR="000729CF" w:rsidRPr="000729CF" w:rsidRDefault="000729CF" w:rsidP="000729CF">
            <w:pPr>
              <w:spacing w:after="160" w:line="259" w:lineRule="auto"/>
              <w:jc w:val="center"/>
              <w:rPr>
                <w:rFonts w:ascii="Calibri" w:eastAsia="Calibri" w:hAnsi="Calibri" w:cs="Calibri"/>
                <w:b/>
                <w:bCs/>
                <w:color w:val="FFFFFF"/>
              </w:rPr>
            </w:pPr>
            <w:r w:rsidRPr="000729CF">
              <w:rPr>
                <w:rFonts w:ascii="Calibri" w:eastAsia="Calibri" w:hAnsi="Calibri" w:cs="Calibri"/>
                <w:b/>
                <w:bCs/>
                <w:color w:val="FFFFFF"/>
              </w:rPr>
              <w:t>2023/24</w:t>
            </w:r>
          </w:p>
          <w:p w14:paraId="633BC94B" w14:textId="77777777" w:rsidR="000729CF" w:rsidRPr="000729CF" w:rsidRDefault="000729CF" w:rsidP="000729CF">
            <w:pPr>
              <w:spacing w:after="160" w:line="259" w:lineRule="auto"/>
              <w:jc w:val="center"/>
              <w:rPr>
                <w:rFonts w:ascii="Calibri" w:eastAsia="Calibri" w:hAnsi="Calibri" w:cs="Calibri"/>
                <w:b/>
                <w:bCs/>
                <w:color w:val="FFFFFF"/>
              </w:rPr>
            </w:pPr>
            <w:r w:rsidRPr="000729CF">
              <w:rPr>
                <w:rFonts w:ascii="Calibri" w:eastAsia="Calibri" w:hAnsi="Calibri" w:cs="Calibri"/>
                <w:b/>
                <w:bCs/>
                <w:color w:val="FFFFFF"/>
              </w:rPr>
              <w:t>(Apr – Sept)</w:t>
            </w:r>
          </w:p>
        </w:tc>
      </w:tr>
      <w:tr w:rsidR="000729CF" w:rsidRPr="000729CF" w14:paraId="412F7E2B" w14:textId="77777777" w:rsidTr="00BC26AB">
        <w:tc>
          <w:tcPr>
            <w:tcW w:w="3462" w:type="dxa"/>
            <w:vAlign w:val="center"/>
          </w:tcPr>
          <w:p w14:paraId="0A8D782F" w14:textId="77777777" w:rsidR="000729CF" w:rsidRPr="000729CF" w:rsidRDefault="000729CF" w:rsidP="000729CF">
            <w:pPr>
              <w:spacing w:before="20" w:after="20" w:line="259" w:lineRule="auto"/>
              <w:rPr>
                <w:rFonts w:ascii="Calibri" w:eastAsia="Calibri" w:hAnsi="Calibri" w:cs="Calibri"/>
              </w:rPr>
            </w:pPr>
            <w:r w:rsidRPr="000729CF">
              <w:rPr>
                <w:rFonts w:ascii="Calibri" w:eastAsia="Calibri" w:hAnsi="Calibri" w:cs="Calibri"/>
              </w:rPr>
              <w:t>Adults receiving domiciliary care</w:t>
            </w:r>
          </w:p>
        </w:tc>
        <w:tc>
          <w:tcPr>
            <w:tcW w:w="1330" w:type="dxa"/>
            <w:vAlign w:val="center"/>
          </w:tcPr>
          <w:p w14:paraId="7048556C" w14:textId="77777777" w:rsidR="000729CF" w:rsidRPr="000729CF" w:rsidRDefault="000729CF" w:rsidP="000729CF">
            <w:pPr>
              <w:spacing w:before="20" w:after="20" w:line="259" w:lineRule="auto"/>
              <w:jc w:val="right"/>
              <w:rPr>
                <w:rFonts w:ascii="Calibri" w:eastAsia="Calibri" w:hAnsi="Calibri" w:cs="Calibri"/>
              </w:rPr>
            </w:pPr>
            <w:r w:rsidRPr="000729CF">
              <w:rPr>
                <w:rFonts w:ascii="Calibri" w:eastAsia="Calibri" w:hAnsi="Calibri" w:cs="Calibri"/>
              </w:rPr>
              <w:t>2,369</w:t>
            </w:r>
          </w:p>
        </w:tc>
        <w:tc>
          <w:tcPr>
            <w:tcW w:w="1331" w:type="dxa"/>
          </w:tcPr>
          <w:p w14:paraId="220212D6" w14:textId="77777777" w:rsidR="000729CF" w:rsidRPr="000729CF" w:rsidRDefault="000729CF" w:rsidP="000729CF">
            <w:pPr>
              <w:spacing w:before="20" w:after="20" w:line="259" w:lineRule="auto"/>
              <w:jc w:val="right"/>
              <w:rPr>
                <w:rFonts w:ascii="Calibri" w:eastAsia="Calibri" w:hAnsi="Calibri" w:cs="Calibri"/>
              </w:rPr>
            </w:pPr>
            <w:r w:rsidRPr="000729CF">
              <w:rPr>
                <w:rFonts w:ascii="Calibri" w:eastAsia="Calibri" w:hAnsi="Calibri" w:cs="Calibri"/>
              </w:rPr>
              <w:t>2,162</w:t>
            </w:r>
          </w:p>
        </w:tc>
        <w:tc>
          <w:tcPr>
            <w:tcW w:w="1330" w:type="dxa"/>
          </w:tcPr>
          <w:p w14:paraId="4499664C" w14:textId="77777777" w:rsidR="000729CF" w:rsidRPr="000729CF" w:rsidRDefault="000729CF" w:rsidP="000729CF">
            <w:pPr>
              <w:spacing w:before="20" w:after="20" w:line="259" w:lineRule="auto"/>
              <w:jc w:val="right"/>
              <w:rPr>
                <w:rFonts w:ascii="Calibri" w:eastAsia="Calibri" w:hAnsi="Calibri" w:cs="Calibri"/>
              </w:rPr>
            </w:pPr>
            <w:r w:rsidRPr="000729CF">
              <w:rPr>
                <w:rFonts w:ascii="Calibri" w:eastAsia="Calibri" w:hAnsi="Calibri" w:cs="Calibri"/>
              </w:rPr>
              <w:t>2,060</w:t>
            </w:r>
          </w:p>
        </w:tc>
        <w:tc>
          <w:tcPr>
            <w:tcW w:w="1331" w:type="dxa"/>
          </w:tcPr>
          <w:p w14:paraId="4BF6412F" w14:textId="77777777" w:rsidR="000729CF" w:rsidRPr="000729CF" w:rsidRDefault="000729CF" w:rsidP="000729CF">
            <w:pPr>
              <w:spacing w:before="20" w:after="20" w:line="259" w:lineRule="auto"/>
              <w:jc w:val="right"/>
              <w:rPr>
                <w:rFonts w:ascii="Calibri" w:eastAsia="Calibri" w:hAnsi="Calibri" w:cs="Calibri"/>
              </w:rPr>
            </w:pPr>
            <w:r w:rsidRPr="000729CF">
              <w:rPr>
                <w:rFonts w:ascii="Calibri" w:eastAsia="Calibri" w:hAnsi="Calibri" w:cs="Calibri"/>
              </w:rPr>
              <w:t>1,929</w:t>
            </w:r>
          </w:p>
        </w:tc>
      </w:tr>
      <w:tr w:rsidR="000729CF" w:rsidRPr="000729CF" w14:paraId="0F895061" w14:textId="77777777" w:rsidTr="00BC26AB">
        <w:tc>
          <w:tcPr>
            <w:tcW w:w="3462" w:type="dxa"/>
            <w:vAlign w:val="center"/>
          </w:tcPr>
          <w:p w14:paraId="56080625" w14:textId="77777777" w:rsidR="000729CF" w:rsidRPr="000729CF" w:rsidRDefault="000729CF" w:rsidP="000729CF">
            <w:pPr>
              <w:spacing w:before="20" w:after="20" w:line="259" w:lineRule="auto"/>
              <w:rPr>
                <w:rFonts w:ascii="Calibri" w:eastAsia="Calibri" w:hAnsi="Calibri" w:cs="Calibri"/>
              </w:rPr>
            </w:pPr>
            <w:r w:rsidRPr="000729CF">
              <w:rPr>
                <w:rFonts w:ascii="Calibri" w:eastAsia="Calibri" w:hAnsi="Calibri" w:cs="Calibri"/>
              </w:rPr>
              <w:t>Adults receiving residential care</w:t>
            </w:r>
          </w:p>
        </w:tc>
        <w:tc>
          <w:tcPr>
            <w:tcW w:w="1330" w:type="dxa"/>
            <w:vAlign w:val="center"/>
          </w:tcPr>
          <w:p w14:paraId="0CE0A112" w14:textId="77777777" w:rsidR="000729CF" w:rsidRPr="000729CF" w:rsidRDefault="000729CF" w:rsidP="000729CF">
            <w:pPr>
              <w:spacing w:before="20" w:after="20" w:line="259" w:lineRule="auto"/>
              <w:jc w:val="right"/>
              <w:rPr>
                <w:rFonts w:ascii="Calibri" w:eastAsia="Calibri" w:hAnsi="Calibri" w:cs="Calibri"/>
              </w:rPr>
            </w:pPr>
            <w:r w:rsidRPr="000729CF">
              <w:rPr>
                <w:rFonts w:ascii="Calibri" w:eastAsia="Calibri" w:hAnsi="Calibri" w:cs="Calibri"/>
              </w:rPr>
              <w:t>801</w:t>
            </w:r>
          </w:p>
        </w:tc>
        <w:tc>
          <w:tcPr>
            <w:tcW w:w="1331" w:type="dxa"/>
          </w:tcPr>
          <w:p w14:paraId="208FEB09" w14:textId="77777777" w:rsidR="000729CF" w:rsidRPr="000729CF" w:rsidRDefault="000729CF" w:rsidP="000729CF">
            <w:pPr>
              <w:spacing w:before="20" w:after="20" w:line="259" w:lineRule="auto"/>
              <w:jc w:val="right"/>
              <w:rPr>
                <w:rFonts w:ascii="Calibri" w:eastAsia="Calibri" w:hAnsi="Calibri" w:cs="Calibri"/>
              </w:rPr>
            </w:pPr>
            <w:r w:rsidRPr="000729CF">
              <w:rPr>
                <w:rFonts w:ascii="Calibri" w:eastAsia="Calibri" w:hAnsi="Calibri" w:cs="Calibri"/>
              </w:rPr>
              <w:t>722</w:t>
            </w:r>
          </w:p>
        </w:tc>
        <w:tc>
          <w:tcPr>
            <w:tcW w:w="1330" w:type="dxa"/>
          </w:tcPr>
          <w:p w14:paraId="4C387449" w14:textId="77777777" w:rsidR="000729CF" w:rsidRPr="000729CF" w:rsidRDefault="000729CF" w:rsidP="000729CF">
            <w:pPr>
              <w:spacing w:before="20" w:after="20" w:line="259" w:lineRule="auto"/>
              <w:jc w:val="right"/>
              <w:rPr>
                <w:rFonts w:ascii="Calibri" w:eastAsia="Calibri" w:hAnsi="Calibri" w:cs="Calibri"/>
              </w:rPr>
            </w:pPr>
            <w:r w:rsidRPr="000729CF">
              <w:rPr>
                <w:rFonts w:ascii="Calibri" w:eastAsia="Calibri" w:hAnsi="Calibri" w:cs="Calibri"/>
              </w:rPr>
              <w:t>736</w:t>
            </w:r>
          </w:p>
        </w:tc>
        <w:tc>
          <w:tcPr>
            <w:tcW w:w="1331" w:type="dxa"/>
          </w:tcPr>
          <w:p w14:paraId="2CD20151" w14:textId="77777777" w:rsidR="000729CF" w:rsidRPr="000729CF" w:rsidRDefault="000729CF" w:rsidP="000729CF">
            <w:pPr>
              <w:spacing w:before="20" w:after="20" w:line="259" w:lineRule="auto"/>
              <w:jc w:val="right"/>
              <w:rPr>
                <w:rFonts w:ascii="Calibri" w:eastAsia="Calibri" w:hAnsi="Calibri" w:cs="Calibri"/>
              </w:rPr>
            </w:pPr>
            <w:r w:rsidRPr="000729CF">
              <w:rPr>
                <w:rFonts w:ascii="Calibri" w:eastAsia="Calibri" w:hAnsi="Calibri" w:cs="Calibri"/>
              </w:rPr>
              <w:t>678</w:t>
            </w:r>
          </w:p>
        </w:tc>
      </w:tr>
      <w:tr w:rsidR="000729CF" w:rsidRPr="000729CF" w14:paraId="683504A5" w14:textId="77777777" w:rsidTr="00BC26AB">
        <w:tc>
          <w:tcPr>
            <w:tcW w:w="3462" w:type="dxa"/>
            <w:vAlign w:val="center"/>
          </w:tcPr>
          <w:p w14:paraId="21DD4573" w14:textId="77777777" w:rsidR="000729CF" w:rsidRPr="000729CF" w:rsidRDefault="000729CF" w:rsidP="000729CF">
            <w:pPr>
              <w:spacing w:before="20" w:after="20" w:line="259" w:lineRule="auto"/>
              <w:rPr>
                <w:rFonts w:ascii="Calibri" w:eastAsia="Calibri" w:hAnsi="Calibri" w:cs="Calibri"/>
              </w:rPr>
            </w:pPr>
            <w:r w:rsidRPr="000729CF">
              <w:rPr>
                <w:rFonts w:ascii="Calibri" w:eastAsia="Calibri" w:hAnsi="Calibri" w:cs="Calibri"/>
              </w:rPr>
              <w:t>Adults receiving nursing care</w:t>
            </w:r>
          </w:p>
        </w:tc>
        <w:tc>
          <w:tcPr>
            <w:tcW w:w="1330" w:type="dxa"/>
            <w:vAlign w:val="center"/>
          </w:tcPr>
          <w:p w14:paraId="40BE06B2" w14:textId="77777777" w:rsidR="000729CF" w:rsidRPr="000729CF" w:rsidRDefault="000729CF" w:rsidP="000729CF">
            <w:pPr>
              <w:spacing w:before="20" w:after="20" w:line="259" w:lineRule="auto"/>
              <w:jc w:val="right"/>
              <w:rPr>
                <w:rFonts w:ascii="Calibri" w:eastAsia="Calibri" w:hAnsi="Calibri" w:cs="Calibri"/>
              </w:rPr>
            </w:pPr>
            <w:r w:rsidRPr="000729CF">
              <w:rPr>
                <w:rFonts w:ascii="Calibri" w:eastAsia="Calibri" w:hAnsi="Calibri" w:cs="Calibri"/>
              </w:rPr>
              <w:t>599</w:t>
            </w:r>
          </w:p>
        </w:tc>
        <w:tc>
          <w:tcPr>
            <w:tcW w:w="1331" w:type="dxa"/>
          </w:tcPr>
          <w:p w14:paraId="5513C42A" w14:textId="77777777" w:rsidR="000729CF" w:rsidRPr="000729CF" w:rsidRDefault="000729CF" w:rsidP="000729CF">
            <w:pPr>
              <w:spacing w:before="20" w:after="20" w:line="259" w:lineRule="auto"/>
              <w:jc w:val="right"/>
              <w:rPr>
                <w:rFonts w:ascii="Calibri" w:eastAsia="Calibri" w:hAnsi="Calibri" w:cs="Calibri"/>
              </w:rPr>
            </w:pPr>
            <w:r w:rsidRPr="000729CF">
              <w:rPr>
                <w:rFonts w:ascii="Calibri" w:eastAsia="Calibri" w:hAnsi="Calibri" w:cs="Calibri"/>
              </w:rPr>
              <w:t>494</w:t>
            </w:r>
          </w:p>
        </w:tc>
        <w:tc>
          <w:tcPr>
            <w:tcW w:w="1330" w:type="dxa"/>
          </w:tcPr>
          <w:p w14:paraId="72594F81" w14:textId="77777777" w:rsidR="000729CF" w:rsidRPr="000729CF" w:rsidRDefault="000729CF" w:rsidP="000729CF">
            <w:pPr>
              <w:spacing w:before="20" w:after="20" w:line="259" w:lineRule="auto"/>
              <w:jc w:val="right"/>
              <w:rPr>
                <w:rFonts w:ascii="Calibri" w:eastAsia="Calibri" w:hAnsi="Calibri" w:cs="Calibri"/>
              </w:rPr>
            </w:pPr>
            <w:r w:rsidRPr="000729CF">
              <w:rPr>
                <w:rFonts w:ascii="Calibri" w:eastAsia="Calibri" w:hAnsi="Calibri" w:cs="Calibri"/>
              </w:rPr>
              <w:t>511</w:t>
            </w:r>
          </w:p>
        </w:tc>
        <w:tc>
          <w:tcPr>
            <w:tcW w:w="1331" w:type="dxa"/>
          </w:tcPr>
          <w:p w14:paraId="674BF64E" w14:textId="77777777" w:rsidR="000729CF" w:rsidRPr="000729CF" w:rsidRDefault="000729CF" w:rsidP="000729CF">
            <w:pPr>
              <w:spacing w:before="20" w:after="20" w:line="259" w:lineRule="auto"/>
              <w:jc w:val="right"/>
              <w:rPr>
                <w:rFonts w:ascii="Calibri" w:eastAsia="Calibri" w:hAnsi="Calibri" w:cs="Calibri"/>
              </w:rPr>
            </w:pPr>
            <w:r w:rsidRPr="000729CF">
              <w:rPr>
                <w:rFonts w:ascii="Calibri" w:eastAsia="Calibri" w:hAnsi="Calibri" w:cs="Calibri"/>
              </w:rPr>
              <w:t>457</w:t>
            </w:r>
          </w:p>
        </w:tc>
      </w:tr>
      <w:tr w:rsidR="000729CF" w:rsidRPr="000729CF" w14:paraId="0742F7A2" w14:textId="77777777" w:rsidTr="00BC26AB">
        <w:tc>
          <w:tcPr>
            <w:tcW w:w="3462" w:type="dxa"/>
            <w:vAlign w:val="center"/>
          </w:tcPr>
          <w:p w14:paraId="550026E0" w14:textId="77777777" w:rsidR="000729CF" w:rsidRPr="000729CF" w:rsidRDefault="000729CF" w:rsidP="000729CF">
            <w:pPr>
              <w:spacing w:before="20" w:after="20" w:line="259" w:lineRule="auto"/>
              <w:rPr>
                <w:rFonts w:ascii="Calibri" w:eastAsia="Calibri" w:hAnsi="Calibri" w:cs="Calibri"/>
              </w:rPr>
            </w:pPr>
            <w:r w:rsidRPr="000729CF">
              <w:rPr>
                <w:rFonts w:ascii="Calibri" w:eastAsia="Calibri" w:hAnsi="Calibri" w:cs="Calibri"/>
              </w:rPr>
              <w:t>Adults receiving a direct payment</w:t>
            </w:r>
          </w:p>
        </w:tc>
        <w:tc>
          <w:tcPr>
            <w:tcW w:w="1330" w:type="dxa"/>
            <w:vAlign w:val="center"/>
          </w:tcPr>
          <w:p w14:paraId="01E03FA9" w14:textId="77777777" w:rsidR="000729CF" w:rsidRPr="000729CF" w:rsidRDefault="000729CF" w:rsidP="000729CF">
            <w:pPr>
              <w:spacing w:before="20" w:after="20" w:line="259" w:lineRule="auto"/>
              <w:jc w:val="right"/>
              <w:rPr>
                <w:rFonts w:ascii="Calibri" w:eastAsia="Calibri" w:hAnsi="Calibri" w:cs="Calibri"/>
              </w:rPr>
            </w:pPr>
            <w:r w:rsidRPr="000729CF">
              <w:rPr>
                <w:rFonts w:ascii="Calibri" w:eastAsia="Calibri" w:hAnsi="Calibri" w:cs="Calibri"/>
              </w:rPr>
              <w:t>600</w:t>
            </w:r>
          </w:p>
        </w:tc>
        <w:tc>
          <w:tcPr>
            <w:tcW w:w="1331" w:type="dxa"/>
          </w:tcPr>
          <w:p w14:paraId="12F6F989" w14:textId="77777777" w:rsidR="000729CF" w:rsidRPr="000729CF" w:rsidRDefault="000729CF" w:rsidP="000729CF">
            <w:pPr>
              <w:spacing w:before="20" w:after="20" w:line="259" w:lineRule="auto"/>
              <w:jc w:val="right"/>
              <w:rPr>
                <w:rFonts w:ascii="Calibri" w:eastAsia="Calibri" w:hAnsi="Calibri" w:cs="Calibri"/>
              </w:rPr>
            </w:pPr>
            <w:r w:rsidRPr="000729CF">
              <w:rPr>
                <w:rFonts w:ascii="Calibri" w:eastAsia="Calibri" w:hAnsi="Calibri" w:cs="Calibri"/>
              </w:rPr>
              <w:t>610</w:t>
            </w:r>
          </w:p>
        </w:tc>
        <w:tc>
          <w:tcPr>
            <w:tcW w:w="1330" w:type="dxa"/>
          </w:tcPr>
          <w:p w14:paraId="27CFA6A9" w14:textId="77777777" w:rsidR="000729CF" w:rsidRPr="000729CF" w:rsidRDefault="000729CF" w:rsidP="000729CF">
            <w:pPr>
              <w:spacing w:before="20" w:after="20" w:line="259" w:lineRule="auto"/>
              <w:jc w:val="right"/>
              <w:rPr>
                <w:rFonts w:ascii="Calibri" w:eastAsia="Calibri" w:hAnsi="Calibri" w:cs="Calibri"/>
              </w:rPr>
            </w:pPr>
            <w:r w:rsidRPr="000729CF">
              <w:rPr>
                <w:rFonts w:ascii="Calibri" w:eastAsia="Calibri" w:hAnsi="Calibri" w:cs="Calibri"/>
              </w:rPr>
              <w:t>627</w:t>
            </w:r>
          </w:p>
        </w:tc>
        <w:tc>
          <w:tcPr>
            <w:tcW w:w="1331" w:type="dxa"/>
          </w:tcPr>
          <w:p w14:paraId="64395A1D" w14:textId="77777777" w:rsidR="000729CF" w:rsidRPr="000729CF" w:rsidRDefault="000729CF" w:rsidP="000729CF">
            <w:pPr>
              <w:spacing w:before="20" w:after="20" w:line="259" w:lineRule="auto"/>
              <w:jc w:val="right"/>
              <w:rPr>
                <w:rFonts w:ascii="Calibri" w:eastAsia="Calibri" w:hAnsi="Calibri" w:cs="Calibri"/>
              </w:rPr>
            </w:pPr>
            <w:r w:rsidRPr="000729CF">
              <w:rPr>
                <w:rFonts w:ascii="Calibri" w:eastAsia="Calibri" w:hAnsi="Calibri" w:cs="Calibri"/>
              </w:rPr>
              <w:t>609</w:t>
            </w:r>
          </w:p>
        </w:tc>
      </w:tr>
      <w:tr w:rsidR="000729CF" w:rsidRPr="000729CF" w14:paraId="45B8D162" w14:textId="77777777" w:rsidTr="00BC26AB">
        <w:tc>
          <w:tcPr>
            <w:tcW w:w="3462" w:type="dxa"/>
            <w:vAlign w:val="center"/>
          </w:tcPr>
          <w:p w14:paraId="2F22C750" w14:textId="77777777" w:rsidR="000729CF" w:rsidRPr="000729CF" w:rsidRDefault="000729CF" w:rsidP="000729CF">
            <w:pPr>
              <w:spacing w:before="20" w:after="20" w:line="259" w:lineRule="auto"/>
              <w:rPr>
                <w:rFonts w:ascii="Calibri" w:eastAsia="Calibri" w:hAnsi="Calibri" w:cs="Calibri"/>
              </w:rPr>
            </w:pPr>
            <w:r w:rsidRPr="000729CF">
              <w:rPr>
                <w:rFonts w:ascii="Calibri" w:eastAsia="Calibri" w:hAnsi="Calibri" w:cs="Calibri"/>
              </w:rPr>
              <w:t>Total number of adults provided with long term funded care during the period</w:t>
            </w:r>
          </w:p>
        </w:tc>
        <w:tc>
          <w:tcPr>
            <w:tcW w:w="1330" w:type="dxa"/>
            <w:vAlign w:val="center"/>
          </w:tcPr>
          <w:p w14:paraId="64450A26" w14:textId="77777777" w:rsidR="000729CF" w:rsidRPr="000729CF" w:rsidRDefault="000729CF" w:rsidP="000729CF">
            <w:pPr>
              <w:spacing w:before="20" w:after="20" w:line="259" w:lineRule="auto"/>
              <w:jc w:val="right"/>
              <w:rPr>
                <w:rFonts w:ascii="Calibri" w:eastAsia="Calibri" w:hAnsi="Calibri" w:cs="Calibri"/>
                <w:b/>
                <w:bCs/>
              </w:rPr>
            </w:pPr>
            <w:r w:rsidRPr="000729CF">
              <w:rPr>
                <w:rFonts w:ascii="Calibri" w:eastAsia="Calibri" w:hAnsi="Calibri" w:cs="Calibri"/>
                <w:b/>
                <w:bCs/>
              </w:rPr>
              <w:t>4,369</w:t>
            </w:r>
          </w:p>
        </w:tc>
        <w:tc>
          <w:tcPr>
            <w:tcW w:w="1331" w:type="dxa"/>
          </w:tcPr>
          <w:p w14:paraId="47A33596" w14:textId="77777777" w:rsidR="000729CF" w:rsidRPr="000729CF" w:rsidRDefault="000729CF" w:rsidP="000729CF">
            <w:pPr>
              <w:spacing w:before="20" w:after="20" w:line="259" w:lineRule="auto"/>
              <w:jc w:val="right"/>
              <w:rPr>
                <w:rFonts w:ascii="Calibri" w:eastAsia="Calibri" w:hAnsi="Calibri" w:cs="Calibri"/>
                <w:b/>
                <w:bCs/>
              </w:rPr>
            </w:pPr>
          </w:p>
          <w:p w14:paraId="5B4B96E7" w14:textId="77777777" w:rsidR="000729CF" w:rsidRPr="000729CF" w:rsidRDefault="000729CF" w:rsidP="000729CF">
            <w:pPr>
              <w:spacing w:before="20" w:after="20" w:line="259" w:lineRule="auto"/>
              <w:jc w:val="right"/>
              <w:rPr>
                <w:rFonts w:ascii="Calibri" w:eastAsia="Calibri" w:hAnsi="Calibri" w:cs="Calibri"/>
                <w:b/>
                <w:bCs/>
              </w:rPr>
            </w:pPr>
            <w:r w:rsidRPr="000729CF">
              <w:rPr>
                <w:rFonts w:ascii="Calibri" w:eastAsia="Calibri" w:hAnsi="Calibri" w:cs="Calibri"/>
                <w:b/>
                <w:bCs/>
              </w:rPr>
              <w:t>3,988</w:t>
            </w:r>
          </w:p>
        </w:tc>
        <w:tc>
          <w:tcPr>
            <w:tcW w:w="1330" w:type="dxa"/>
          </w:tcPr>
          <w:p w14:paraId="7DE90CD5" w14:textId="77777777" w:rsidR="000729CF" w:rsidRPr="000729CF" w:rsidRDefault="000729CF" w:rsidP="000729CF">
            <w:pPr>
              <w:spacing w:before="20" w:after="20" w:line="259" w:lineRule="auto"/>
              <w:jc w:val="right"/>
              <w:rPr>
                <w:rFonts w:ascii="Calibri" w:eastAsia="Calibri" w:hAnsi="Calibri" w:cs="Calibri"/>
                <w:b/>
                <w:bCs/>
              </w:rPr>
            </w:pPr>
          </w:p>
          <w:p w14:paraId="709E3D50" w14:textId="77777777" w:rsidR="000729CF" w:rsidRPr="000729CF" w:rsidRDefault="000729CF" w:rsidP="000729CF">
            <w:pPr>
              <w:spacing w:before="20" w:after="20" w:line="259" w:lineRule="auto"/>
              <w:jc w:val="right"/>
              <w:rPr>
                <w:rFonts w:ascii="Calibri" w:eastAsia="Calibri" w:hAnsi="Calibri" w:cs="Calibri"/>
                <w:b/>
                <w:bCs/>
              </w:rPr>
            </w:pPr>
            <w:r w:rsidRPr="000729CF">
              <w:rPr>
                <w:rFonts w:ascii="Calibri" w:eastAsia="Calibri" w:hAnsi="Calibri" w:cs="Calibri"/>
                <w:b/>
                <w:bCs/>
              </w:rPr>
              <w:t>3,934</w:t>
            </w:r>
          </w:p>
        </w:tc>
        <w:tc>
          <w:tcPr>
            <w:tcW w:w="1331" w:type="dxa"/>
          </w:tcPr>
          <w:p w14:paraId="01A322AC" w14:textId="77777777" w:rsidR="000729CF" w:rsidRPr="000729CF" w:rsidRDefault="000729CF" w:rsidP="000729CF">
            <w:pPr>
              <w:spacing w:before="20" w:after="20" w:line="259" w:lineRule="auto"/>
              <w:jc w:val="right"/>
              <w:rPr>
                <w:rFonts w:ascii="Calibri" w:eastAsia="Calibri" w:hAnsi="Calibri" w:cs="Calibri"/>
                <w:b/>
                <w:bCs/>
              </w:rPr>
            </w:pPr>
          </w:p>
          <w:p w14:paraId="6A75D6A8" w14:textId="77777777" w:rsidR="000729CF" w:rsidRPr="000729CF" w:rsidRDefault="000729CF" w:rsidP="000729CF">
            <w:pPr>
              <w:spacing w:before="20" w:after="20" w:line="259" w:lineRule="auto"/>
              <w:jc w:val="right"/>
              <w:rPr>
                <w:rFonts w:ascii="Calibri" w:eastAsia="Calibri" w:hAnsi="Calibri" w:cs="Calibri"/>
                <w:b/>
                <w:bCs/>
              </w:rPr>
            </w:pPr>
            <w:r w:rsidRPr="000729CF">
              <w:rPr>
                <w:rFonts w:ascii="Calibri" w:eastAsia="Calibri" w:hAnsi="Calibri" w:cs="Calibri"/>
                <w:b/>
                <w:bCs/>
              </w:rPr>
              <w:t>3,673</w:t>
            </w:r>
          </w:p>
        </w:tc>
      </w:tr>
    </w:tbl>
    <w:p w14:paraId="5E45868C" w14:textId="77777777" w:rsidR="000729CF" w:rsidRPr="000729CF" w:rsidRDefault="000729CF" w:rsidP="000729CF">
      <w:pPr>
        <w:spacing w:after="160" w:line="259" w:lineRule="auto"/>
        <w:rPr>
          <w:rFonts w:ascii="Calibri" w:eastAsia="Calibri" w:hAnsi="Calibri" w:cs="Calibri"/>
          <w:sz w:val="22"/>
          <w:szCs w:val="22"/>
          <w:lang w:val="en-GB"/>
        </w:rPr>
      </w:pPr>
    </w:p>
    <w:p w14:paraId="2C47A2EB" w14:textId="77777777" w:rsidR="000729CF" w:rsidRPr="000729CF" w:rsidRDefault="000729CF" w:rsidP="000729CF">
      <w:pPr>
        <w:spacing w:after="160" w:line="257" w:lineRule="auto"/>
        <w:rPr>
          <w:rFonts w:ascii="Calibri" w:eastAsia="Calibri" w:hAnsi="Calibri" w:cs="Calibri"/>
          <w:sz w:val="22"/>
          <w:szCs w:val="22"/>
          <w:lang w:val="en-GB"/>
        </w:rPr>
      </w:pPr>
      <w:r w:rsidRPr="000729CF">
        <w:rPr>
          <w:rFonts w:ascii="Calibri" w:eastAsia="Calibri" w:hAnsi="Calibri" w:cs="Calibri"/>
          <w:noProof/>
          <w:sz w:val="22"/>
          <w:szCs w:val="22"/>
          <w:lang w:val="en-GB"/>
          <w14:ligatures w14:val="standardContextual"/>
        </w:rPr>
        <w:drawing>
          <wp:inline distT="0" distB="0" distL="0" distR="0" wp14:anchorId="08CF97C4" wp14:editId="1EFDFB9E">
            <wp:extent cx="4787900" cy="2413000"/>
            <wp:effectExtent l="0" t="0" r="12700" b="6350"/>
            <wp:docPr id="148541597" name="Chart 1">
              <a:extLst xmlns:a="http://schemas.openxmlformats.org/drawingml/2006/main">
                <a:ext uri="{FF2B5EF4-FFF2-40B4-BE49-F238E27FC236}">
                  <a16:creationId xmlns:a16="http://schemas.microsoft.com/office/drawing/2014/main" id="{AB68B8F7-2A2C-D7CC-83B7-139EDBEED4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341E717" w14:textId="77777777" w:rsidR="000729CF" w:rsidRPr="000729CF" w:rsidRDefault="000729CF" w:rsidP="000729CF">
      <w:pPr>
        <w:spacing w:after="160" w:line="257" w:lineRule="auto"/>
        <w:rPr>
          <w:rFonts w:ascii="Calibri" w:eastAsia="Calibri" w:hAnsi="Calibri" w:cs="Calibri"/>
          <w:sz w:val="22"/>
          <w:szCs w:val="22"/>
          <w:lang w:val="en-GB"/>
        </w:rPr>
      </w:pPr>
      <w:r w:rsidRPr="000729CF">
        <w:rPr>
          <w:rFonts w:ascii="Calibri" w:eastAsia="Calibri" w:hAnsi="Calibri" w:cs="Calibri"/>
          <w:sz w:val="22"/>
          <w:szCs w:val="22"/>
          <w:lang w:val="en-GB"/>
        </w:rPr>
        <w:t>We can see that the data above shows an ongoing steady trend in reduction of long-term funded care in Brighton &amp; Hove. This is echoed across the country, and the national trend of clients in long-term support (as a % of the adult population) over the last 4 years (1.85%) has also fallen in line with BHCC figures (1.70%). However, for adults aged 18-64, BHCC (0.96%) is slightly above the England average (0.85%). As explained further below however, this reduction in demand needs to be considered within the context of increasing complexity of individual cases and the consistent increase in provider unit costs.</w:t>
      </w:r>
    </w:p>
    <w:p w14:paraId="224B2F67" w14:textId="77777777" w:rsidR="000729CF" w:rsidRPr="000729CF" w:rsidRDefault="000729CF" w:rsidP="000729CF">
      <w:pPr>
        <w:spacing w:after="160" w:line="257" w:lineRule="auto"/>
        <w:rPr>
          <w:rFonts w:ascii="Calibri" w:eastAsia="Calibri" w:hAnsi="Calibri" w:cs="Calibri"/>
          <w:sz w:val="22"/>
          <w:szCs w:val="22"/>
          <w:lang w:val="en-GB"/>
        </w:rPr>
      </w:pPr>
      <w:r w:rsidRPr="000729CF">
        <w:rPr>
          <w:rFonts w:ascii="Calibri" w:eastAsia="Calibri" w:hAnsi="Calibri" w:cs="Calibri"/>
          <w:noProof/>
          <w:sz w:val="22"/>
          <w:szCs w:val="22"/>
          <w:lang w:val="en-GB"/>
        </w:rPr>
        <w:drawing>
          <wp:inline distT="0" distB="0" distL="0" distR="0" wp14:anchorId="10AAA5D5" wp14:editId="7DA89027">
            <wp:extent cx="9622465" cy="6336770"/>
            <wp:effectExtent l="0" t="0" r="0" b="6985"/>
            <wp:docPr id="1168427275" name="Picture 116842727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533317" name="Picture 1" descr="A screenshot of a graph&#10;&#10;Description automatically generated"/>
                    <pic:cNvPicPr/>
                  </pic:nvPicPr>
                  <pic:blipFill>
                    <a:blip r:embed="rId16"/>
                    <a:stretch>
                      <a:fillRect/>
                    </a:stretch>
                  </pic:blipFill>
                  <pic:spPr>
                    <a:xfrm>
                      <a:off x="0" y="0"/>
                      <a:ext cx="9644244" cy="6351112"/>
                    </a:xfrm>
                    <a:prstGeom prst="rect">
                      <a:avLst/>
                    </a:prstGeom>
                  </pic:spPr>
                </pic:pic>
              </a:graphicData>
            </a:graphic>
          </wp:inline>
        </w:drawing>
      </w:r>
    </w:p>
    <w:p w14:paraId="39665849" w14:textId="77777777" w:rsidR="000729CF" w:rsidRPr="000729CF" w:rsidRDefault="000729CF" w:rsidP="000729CF">
      <w:pPr>
        <w:spacing w:after="160" w:line="257" w:lineRule="auto"/>
        <w:rPr>
          <w:rFonts w:ascii="Calibri" w:eastAsia="Calibri" w:hAnsi="Calibri" w:cs="Calibri"/>
          <w:sz w:val="22"/>
          <w:szCs w:val="22"/>
          <w:lang w:val="en-GB"/>
        </w:rPr>
      </w:pPr>
      <w:r w:rsidRPr="000729CF">
        <w:rPr>
          <w:rFonts w:ascii="Calibri" w:eastAsia="Calibri" w:hAnsi="Calibri" w:cs="Calibri"/>
          <w:sz w:val="22"/>
          <w:szCs w:val="22"/>
          <w:lang w:val="en-GB"/>
        </w:rPr>
        <w:t>The main proportion of that reduction locally is in the older (65+) age group dropping in 22/23 to near the national average, with the 18-64 age group remaining static both nationally and locally over the last 3 years. A similar drop for long-term support in the older age group can be seen within BHCC’s statistical nearest neighbours. However, this is countered in the above data by a considerable increase in the number and cost of working age adults aged 18-64.</w:t>
      </w:r>
    </w:p>
    <w:p w14:paraId="2655C881" w14:textId="77777777" w:rsidR="000729CF" w:rsidRPr="000729CF" w:rsidRDefault="000729CF" w:rsidP="000729CF">
      <w:pPr>
        <w:spacing w:after="160" w:line="259" w:lineRule="auto"/>
        <w:rPr>
          <w:rFonts w:ascii="Calibri" w:eastAsia="Calibri" w:hAnsi="Calibri" w:cs="Calibri"/>
          <w:sz w:val="22"/>
          <w:szCs w:val="22"/>
          <w:lang w:val="en-GB"/>
        </w:rPr>
      </w:pPr>
      <w:r w:rsidRPr="000729CF">
        <w:rPr>
          <w:rFonts w:ascii="Calibri" w:eastAsia="Calibri" w:hAnsi="Calibri" w:cs="Calibri"/>
          <w:sz w:val="22"/>
          <w:szCs w:val="22"/>
          <w:lang w:val="en-GB"/>
        </w:rPr>
        <w:t xml:space="preserve">The rising cost of services and the increasing cost pressures experienced by many of our providers means that ensuring we have the right services at a sustainable price remains challenging. This is a national picture being faced by many local authorities with Adult Social Care responsibilities.  From a budget strategy perspective, inflation and cost of living for things like fuel and energy bills impact on our unit costs for both residential and nursing care. In B&amp;H we have higher gross expenditure per head of the population compared to other local authorities in the South East (LGA Use of Resources report indicates that the B&amp;H mean is £609, with the South East mean being £517).   This is mainly driven by our unit costs for residential and nursing care for those over 65 years of age which is above average for the country (LGA Use of Resources report indicates B&amp;H mean is £1,136 per week, our South East comparators mean is £993), and that currently in B&amp;H there are more people residing in residential and nursing homes than our comparators.  Unit costs for residential and nursing care for 18 – 64 year olds in B&amp;H compare more favourably with our South East comparators (LGA Use of Resources report indicates the B&amp;H average is £1,590 weekly, the South East mean is £1,596). B&amp;H home care costs also compare favourably to the rest of the South East (LGA Use of Resources report indicates the B&amp;H average is £20.62 per hour, the South East region mean is £20.88 per hour). This does not include the cost of reablement at home provided by our in-house home care provider, as this is a specialist service provision aimed at supporting people to reduce ongoing care needs, and therefore costs more than the average hourly rate. </w:t>
      </w:r>
    </w:p>
    <w:p w14:paraId="43F9CA7D" w14:textId="77777777" w:rsidR="000729CF" w:rsidRPr="000729CF" w:rsidRDefault="000729CF" w:rsidP="000729CF">
      <w:pPr>
        <w:spacing w:after="160" w:line="259" w:lineRule="auto"/>
        <w:rPr>
          <w:rFonts w:ascii="Calibri" w:eastAsia="Calibri" w:hAnsi="Calibri" w:cs="Calibri"/>
          <w:sz w:val="22"/>
          <w:szCs w:val="22"/>
          <w:lang w:val="en-GB"/>
        </w:rPr>
      </w:pPr>
      <w:r w:rsidRPr="000729CF">
        <w:rPr>
          <w:rFonts w:ascii="Calibri" w:eastAsia="Calibri" w:hAnsi="Calibri" w:cs="Calibri"/>
          <w:sz w:val="22"/>
          <w:szCs w:val="22"/>
          <w:lang w:val="en-GB"/>
        </w:rPr>
        <w:t xml:space="preserve">This means that our budget strategy must continue to support the management of unit costs, particularly for residential and nursing care for people 65 years and over and must support keeping people well and independent and to remain at home for as long as possible for all adult age groups. </w:t>
      </w:r>
    </w:p>
    <w:p w14:paraId="60D9FE24" w14:textId="77777777" w:rsidR="000729CF" w:rsidRPr="000729CF" w:rsidRDefault="000729CF" w:rsidP="000729CF">
      <w:pPr>
        <w:spacing w:after="160" w:line="259" w:lineRule="auto"/>
        <w:rPr>
          <w:rFonts w:ascii="Calibri" w:eastAsia="Calibri" w:hAnsi="Calibri" w:cs="Calibri"/>
          <w:b/>
          <w:bCs/>
          <w:sz w:val="22"/>
          <w:szCs w:val="22"/>
          <w:u w:val="single"/>
          <w:lang w:val="en-GB" w:eastAsia="en-GB"/>
        </w:rPr>
      </w:pPr>
      <w:r w:rsidRPr="000729CF">
        <w:rPr>
          <w:rFonts w:ascii="Calibri" w:eastAsia="Calibri" w:hAnsi="Calibri" w:cs="Calibri"/>
          <w:b/>
          <w:bCs/>
          <w:sz w:val="22"/>
          <w:szCs w:val="22"/>
          <w:u w:val="single"/>
          <w:lang w:val="en-GB" w:eastAsia="en-GB"/>
        </w:rPr>
        <w:t>Budget Strategy – Direction of Travel</w:t>
      </w:r>
    </w:p>
    <w:p w14:paraId="25F79807" w14:textId="77777777" w:rsidR="000729CF" w:rsidRPr="000729CF" w:rsidRDefault="000729CF" w:rsidP="000729CF">
      <w:pPr>
        <w:autoSpaceDE w:val="0"/>
        <w:autoSpaceDN w:val="0"/>
        <w:spacing w:line="259" w:lineRule="auto"/>
        <w:rPr>
          <w:rFonts w:ascii="Calibri" w:eastAsia="Calibri" w:hAnsi="Calibri" w:cs="Calibri"/>
          <w:sz w:val="22"/>
          <w:szCs w:val="22"/>
          <w:lang w:val="en-GB"/>
        </w:rPr>
      </w:pPr>
      <w:r w:rsidRPr="000729CF">
        <w:rPr>
          <w:rFonts w:ascii="Calibri" w:eastAsia="Calibri" w:hAnsi="Calibri" w:cs="Calibri"/>
          <w:sz w:val="22"/>
          <w:szCs w:val="22"/>
          <w:lang w:val="en-GB"/>
        </w:rPr>
        <w:t xml:space="preserve">HASC’s vision is for everyone in Brighton &amp; Hove to have the best opportunity to live a healthy, happy and fulfilling life, by ensuring that they are starting well, living well, ageing well and dying well, and this is set out in the joint Health and Wellbeing Strategy and the Directorate Strategy agreed Summer 2023. Our mission is to promote and improve health and wellbeing, supporting people to live independent and fulfilling lives. </w:t>
      </w:r>
    </w:p>
    <w:p w14:paraId="268FFC11" w14:textId="77777777" w:rsidR="000729CF" w:rsidRPr="000729CF" w:rsidRDefault="000729CF" w:rsidP="000729CF">
      <w:pPr>
        <w:autoSpaceDE w:val="0"/>
        <w:autoSpaceDN w:val="0"/>
        <w:spacing w:line="259" w:lineRule="auto"/>
        <w:rPr>
          <w:rFonts w:ascii="Calibri" w:eastAsia="Calibri" w:hAnsi="Calibri" w:cs="Calibri"/>
          <w:sz w:val="22"/>
          <w:szCs w:val="22"/>
          <w:lang w:val="en-GB"/>
        </w:rPr>
      </w:pPr>
    </w:p>
    <w:p w14:paraId="7CC5E280" w14:textId="77777777" w:rsidR="000729CF" w:rsidRPr="000729CF" w:rsidRDefault="000729CF" w:rsidP="000729CF">
      <w:pPr>
        <w:spacing w:after="160" w:line="259" w:lineRule="auto"/>
        <w:rPr>
          <w:rFonts w:ascii="Calibri" w:eastAsia="Calibri" w:hAnsi="Calibri" w:cs="Calibri"/>
          <w:sz w:val="22"/>
          <w:szCs w:val="22"/>
          <w:lang w:val="en-GB"/>
        </w:rPr>
      </w:pPr>
      <w:r w:rsidRPr="000729CF">
        <w:rPr>
          <w:rFonts w:ascii="Calibri" w:eastAsia="Calibri" w:hAnsi="Calibri" w:cs="Calibri"/>
          <w:sz w:val="22"/>
          <w:szCs w:val="22"/>
          <w:lang w:val="en-GB"/>
        </w:rPr>
        <w:t xml:space="preserve">In order to achieve this and meet our corporate financial responsibilities of savings and reducing pressures our budget strategy requires: </w:t>
      </w:r>
    </w:p>
    <w:p w14:paraId="4E8F4FE5" w14:textId="77777777" w:rsidR="000729CF" w:rsidRPr="000729CF" w:rsidRDefault="000729CF" w:rsidP="00CE70A3">
      <w:pPr>
        <w:numPr>
          <w:ilvl w:val="0"/>
          <w:numId w:val="29"/>
        </w:numPr>
        <w:spacing w:after="160" w:line="259" w:lineRule="auto"/>
        <w:contextualSpacing/>
        <w:rPr>
          <w:rFonts w:ascii="Calibri" w:eastAsia="Calibri" w:hAnsi="Calibri" w:cs="Calibri"/>
          <w:sz w:val="22"/>
          <w:szCs w:val="22"/>
          <w:lang w:val="en-GB"/>
        </w:rPr>
      </w:pPr>
      <w:r w:rsidRPr="000729CF">
        <w:rPr>
          <w:rFonts w:ascii="Calibri" w:eastAsia="Calibri" w:hAnsi="Calibri" w:cs="Calibri"/>
          <w:b/>
          <w:bCs/>
          <w:sz w:val="22"/>
          <w:szCs w:val="22"/>
          <w:u w:val="single"/>
          <w:lang w:val="en-GB"/>
        </w:rPr>
        <w:t>Demand and Complexity management</w:t>
      </w:r>
      <w:r w:rsidRPr="000729CF">
        <w:rPr>
          <w:rFonts w:ascii="Calibri" w:eastAsia="Calibri" w:hAnsi="Calibri" w:cs="Calibri"/>
          <w:sz w:val="22"/>
          <w:szCs w:val="22"/>
          <w:lang w:val="en-GB"/>
        </w:rPr>
        <w:t xml:space="preserve"> – whilst both Public Health and Adult Social Care are driven in large part by demand we will continue to adopt means that manage this effectively and equally look to the best services to support the increasing complexity of need we continue to see. This will require ongoing close working with our NHS partners and other key stakeholders. For example, the mental health JSNA shows a significant rise in demand and complexity for people with mental health needs; the Changing Futures Programme provides a multi-agency framework with financial input to support this area. In managing demand, we will focus on prevention and reablement to support and enable people to remain well and independent for as long as possible, reducing the need for long term care. We will also focus on technology enabled care to support people in the most person centred and cost-effective way. Whilst demand is increasing in some areas and not in others, more generally there is evidence of increased complexity of individual cases which often require more intensive and expensive package of care. We will continue to develop new models of working in order to reduce the pressure on workforce requirements, such as increasing and improving customers' ability to self-assess.</w:t>
      </w:r>
    </w:p>
    <w:p w14:paraId="6AF8E6B8" w14:textId="77777777" w:rsidR="000729CF" w:rsidRPr="000729CF" w:rsidRDefault="000729CF" w:rsidP="00CE70A3">
      <w:pPr>
        <w:numPr>
          <w:ilvl w:val="0"/>
          <w:numId w:val="29"/>
        </w:numPr>
        <w:spacing w:after="160" w:line="259" w:lineRule="auto"/>
        <w:contextualSpacing/>
        <w:rPr>
          <w:rFonts w:ascii="Calibri" w:eastAsia="Calibri" w:hAnsi="Calibri" w:cs="Calibri"/>
          <w:sz w:val="22"/>
          <w:szCs w:val="22"/>
          <w:lang w:val="en-GB"/>
        </w:rPr>
      </w:pPr>
      <w:r w:rsidRPr="000729CF">
        <w:rPr>
          <w:rFonts w:ascii="Calibri" w:eastAsia="Calibri" w:hAnsi="Calibri" w:cs="Calibri"/>
          <w:b/>
          <w:bCs/>
          <w:sz w:val="22"/>
          <w:szCs w:val="22"/>
          <w:u w:val="single"/>
          <w:lang w:val="en-GB"/>
        </w:rPr>
        <w:t>Market management</w:t>
      </w:r>
      <w:r w:rsidRPr="000729CF">
        <w:rPr>
          <w:rFonts w:ascii="Calibri" w:eastAsia="Calibri" w:hAnsi="Calibri" w:cs="Calibri"/>
          <w:sz w:val="22"/>
          <w:szCs w:val="22"/>
          <w:lang w:val="en-GB"/>
        </w:rPr>
        <w:t xml:space="preserve"> – following from the national Fair Cost of Care exercise, a review of framework rates will be undertaken alongside continued investment into other service areas such community support services and supported living provision to ensure that provision across the city remains financially sustainable. We will continue to review the in-house service offer to ensure it aligns with these commissioning intentions and provides value for money. We will continue to focus on our brokerage offer to manage unit costs for care and support. Contracts will continue to be reviewed for value for money and ensure that all contracts are delivering core business need. </w:t>
      </w:r>
    </w:p>
    <w:p w14:paraId="69B81B93" w14:textId="77777777" w:rsidR="000729CF" w:rsidRPr="000729CF" w:rsidRDefault="000729CF" w:rsidP="00CE70A3">
      <w:pPr>
        <w:numPr>
          <w:ilvl w:val="0"/>
          <w:numId w:val="29"/>
        </w:numPr>
        <w:spacing w:after="160" w:line="259" w:lineRule="auto"/>
        <w:contextualSpacing/>
        <w:rPr>
          <w:rFonts w:ascii="Calibri" w:eastAsia="Calibri" w:hAnsi="Calibri" w:cs="Calibri"/>
          <w:sz w:val="22"/>
          <w:szCs w:val="22"/>
          <w:lang w:val="en-GB"/>
        </w:rPr>
      </w:pPr>
      <w:r w:rsidRPr="000729CF">
        <w:rPr>
          <w:rFonts w:ascii="Calibri" w:eastAsia="Calibri" w:hAnsi="Calibri" w:cs="Calibri"/>
          <w:b/>
          <w:bCs/>
          <w:sz w:val="22"/>
          <w:szCs w:val="22"/>
          <w:u w:val="single"/>
          <w:lang w:val="en-GB"/>
        </w:rPr>
        <w:t>Financial Management</w:t>
      </w:r>
      <w:r w:rsidRPr="000729CF">
        <w:rPr>
          <w:rFonts w:ascii="Calibri" w:eastAsia="Calibri" w:hAnsi="Calibri" w:cs="Calibri"/>
          <w:b/>
          <w:bCs/>
          <w:sz w:val="22"/>
          <w:szCs w:val="22"/>
          <w:lang w:val="en-GB"/>
        </w:rPr>
        <w:t xml:space="preserve"> </w:t>
      </w:r>
      <w:r w:rsidRPr="000729CF">
        <w:rPr>
          <w:rFonts w:ascii="Calibri" w:eastAsia="Calibri" w:hAnsi="Calibri" w:cs="Calibri"/>
          <w:sz w:val="22"/>
          <w:szCs w:val="22"/>
          <w:lang w:val="en-GB"/>
        </w:rPr>
        <w:t xml:space="preserve">– ensuring robust financial management, value for money and efficiencies.   As stated above, we will focus on our in-house care delivery, ensuring effective use of these services, to manage costs and to support reducing long term care needs.  We will continue with budget scrutiny and controls on spend to ensure good financial management.  We will look at what we charge for services to ensure they are in line with costs and will improve collection processes to maximise income.  </w:t>
      </w:r>
    </w:p>
    <w:p w14:paraId="5706C49F" w14:textId="77777777" w:rsidR="000729CF" w:rsidRPr="000729CF" w:rsidRDefault="000729CF" w:rsidP="000729CF">
      <w:pPr>
        <w:spacing w:after="160" w:line="259" w:lineRule="auto"/>
        <w:rPr>
          <w:rFonts w:ascii="Calibri" w:eastAsia="Calibri" w:hAnsi="Calibri" w:cs="Calibri"/>
          <w:b/>
          <w:bCs/>
          <w:sz w:val="22"/>
          <w:szCs w:val="22"/>
          <w:u w:val="single"/>
          <w:lang w:val="en-GB"/>
        </w:rPr>
      </w:pPr>
      <w:r w:rsidRPr="000729CF">
        <w:rPr>
          <w:rFonts w:ascii="Calibri" w:eastAsia="Calibri" w:hAnsi="Calibri" w:cs="Calibri"/>
          <w:sz w:val="22"/>
          <w:szCs w:val="22"/>
          <w:lang w:val="en-GB"/>
        </w:rPr>
        <w:t xml:space="preserve"> </w:t>
      </w:r>
      <w:r w:rsidRPr="000729CF">
        <w:rPr>
          <w:rFonts w:ascii="Calibri" w:eastAsia="Calibri" w:hAnsi="Calibri" w:cs="Calibri"/>
          <w:b/>
          <w:bCs/>
          <w:sz w:val="22"/>
          <w:szCs w:val="22"/>
          <w:u w:val="single"/>
          <w:lang w:val="en-GB"/>
        </w:rPr>
        <w:t>Investment in Services</w:t>
      </w:r>
    </w:p>
    <w:p w14:paraId="39B1E905" w14:textId="77777777" w:rsidR="000729CF" w:rsidRPr="000729CF" w:rsidRDefault="000729CF" w:rsidP="000729CF">
      <w:pPr>
        <w:contextualSpacing/>
        <w:rPr>
          <w:rFonts w:ascii="Calibri" w:hAnsi="Calibri" w:cs="Calibri"/>
          <w:sz w:val="22"/>
          <w:szCs w:val="22"/>
          <w:lang w:val="en-GB" w:eastAsia="en-GB"/>
        </w:rPr>
      </w:pPr>
      <w:r w:rsidRPr="000729CF">
        <w:rPr>
          <w:rFonts w:ascii="Calibri" w:hAnsi="Calibri" w:cs="Calibri"/>
          <w:sz w:val="22"/>
          <w:szCs w:val="22"/>
          <w:lang w:val="en-GB" w:eastAsia="en-GB"/>
        </w:rPr>
        <w:t xml:space="preserve">The directorate has received growth funding over the past 3 years of £26.9m acknowledging a combination of increasing demand in specific areas, complexity and unit cost. HASC are requesting budget growth for 2024/25 of £10.302m for adult social care services of which £4.6m is funded by Government grants. Adult Social Care pressures are calculated on unit cost increases and increases in demand and complexity in line with trends from previous years.  </w:t>
      </w:r>
    </w:p>
    <w:p w14:paraId="794535D0" w14:textId="77777777" w:rsidR="000729CF" w:rsidRPr="000729CF" w:rsidRDefault="000729CF" w:rsidP="000729CF">
      <w:pPr>
        <w:contextualSpacing/>
        <w:rPr>
          <w:rFonts w:ascii="Calibri" w:hAnsi="Calibri" w:cs="Calibri"/>
          <w:sz w:val="22"/>
          <w:szCs w:val="22"/>
          <w:lang w:val="en-GB" w:eastAsia="en-GB"/>
        </w:rPr>
      </w:pPr>
      <w:r w:rsidRPr="000729CF">
        <w:rPr>
          <w:rFonts w:ascii="Calibri" w:hAnsi="Calibri" w:cs="Calibri"/>
          <w:sz w:val="22"/>
          <w:szCs w:val="22"/>
          <w:lang w:val="en-GB" w:eastAsia="en-GB"/>
        </w:rPr>
        <w:t>In 2023/24 HASC committed to managing its pressures and reducing its budget as part of the Council’s savings programme to a net reduction of £4.316m. HASC is projected to deliver a forecast of under 1% overspend on outturn by end of 2023/24, which is in line with expectations on a demand led budget.</w:t>
      </w:r>
    </w:p>
    <w:p w14:paraId="6F2E53F6" w14:textId="77777777" w:rsidR="000729CF" w:rsidRPr="000729CF" w:rsidRDefault="000729CF" w:rsidP="000729CF">
      <w:pPr>
        <w:contextualSpacing/>
        <w:rPr>
          <w:rFonts w:ascii="Calibri" w:hAnsi="Calibri" w:cs="Calibri"/>
          <w:sz w:val="22"/>
          <w:szCs w:val="22"/>
          <w:lang w:val="en-GB" w:eastAsia="en-GB"/>
        </w:rPr>
      </w:pPr>
    </w:p>
    <w:p w14:paraId="5F57F7AE" w14:textId="77777777" w:rsidR="000729CF" w:rsidRPr="000729CF" w:rsidRDefault="000729CF" w:rsidP="000729CF">
      <w:pPr>
        <w:spacing w:after="160" w:line="259" w:lineRule="auto"/>
        <w:rPr>
          <w:rFonts w:ascii="Calibri" w:eastAsia="Calibri" w:hAnsi="Calibri" w:cs="Calibri"/>
          <w:sz w:val="22"/>
          <w:szCs w:val="22"/>
          <w:lang w:val="en-GB"/>
        </w:rPr>
      </w:pPr>
      <w:r w:rsidRPr="000729CF">
        <w:rPr>
          <w:rFonts w:ascii="Calibri" w:eastAsia="Calibri" w:hAnsi="Calibri" w:cs="Calibri"/>
          <w:b/>
          <w:bCs/>
          <w:sz w:val="22"/>
          <w:szCs w:val="22"/>
          <w:lang w:val="en-GB"/>
        </w:rPr>
        <w:t xml:space="preserve">Supporting the Council’s Priorities – </w:t>
      </w:r>
      <w:r w:rsidRPr="000729CF">
        <w:rPr>
          <w:rFonts w:ascii="Calibri" w:eastAsia="Calibri" w:hAnsi="Calibri" w:cs="Calibri"/>
          <w:sz w:val="22"/>
          <w:szCs w:val="22"/>
          <w:lang w:val="en-GB"/>
        </w:rPr>
        <w:t>HASC supports a One Council approach recognising that it will lead on delivering corporate priorities in some areas working with partners and stakeholders and equally elsewhere, where it may not lead, it can still offer significant support.</w:t>
      </w:r>
    </w:p>
    <w:p w14:paraId="4CC5BD08" w14:textId="77777777" w:rsidR="000729CF" w:rsidRPr="000729CF" w:rsidRDefault="000729CF" w:rsidP="000729CF">
      <w:pPr>
        <w:shd w:val="clear" w:color="auto" w:fill="C5E0B3"/>
        <w:spacing w:after="160" w:line="259" w:lineRule="auto"/>
        <w:rPr>
          <w:rFonts w:ascii="Calibri" w:eastAsia="Calibri" w:hAnsi="Calibri" w:cs="Calibri"/>
          <w:b/>
          <w:bCs/>
          <w:sz w:val="22"/>
          <w:szCs w:val="22"/>
          <w:lang w:val="en-GB"/>
        </w:rPr>
      </w:pPr>
      <w:r w:rsidRPr="000729CF">
        <w:rPr>
          <w:rFonts w:ascii="Calibri" w:eastAsia="Calibri" w:hAnsi="Calibri" w:cs="Calibri"/>
          <w:b/>
          <w:bCs/>
          <w:sz w:val="22"/>
          <w:szCs w:val="22"/>
          <w:lang w:val="en-GB"/>
        </w:rPr>
        <w:t>A city to be proud of</w:t>
      </w:r>
    </w:p>
    <w:p w14:paraId="58F1A82F" w14:textId="77777777" w:rsidR="000729CF" w:rsidRPr="000729CF" w:rsidRDefault="000729CF" w:rsidP="000729CF">
      <w:pPr>
        <w:spacing w:after="160" w:line="259" w:lineRule="auto"/>
        <w:rPr>
          <w:rFonts w:ascii="Calibri" w:eastAsia="Calibri" w:hAnsi="Calibri" w:cs="Calibri"/>
          <w:sz w:val="22"/>
          <w:szCs w:val="22"/>
          <w:lang w:val="en-GB"/>
        </w:rPr>
      </w:pPr>
      <w:r w:rsidRPr="000729CF">
        <w:rPr>
          <w:rFonts w:ascii="Calibri" w:eastAsia="Calibri" w:hAnsi="Calibri" w:cs="Calibri"/>
          <w:b/>
          <w:bCs/>
          <w:sz w:val="22"/>
          <w:szCs w:val="22"/>
          <w:lang w:val="en-GB"/>
        </w:rPr>
        <w:t>Investing in our city</w:t>
      </w:r>
    </w:p>
    <w:p w14:paraId="49CDE977" w14:textId="77777777" w:rsidR="000729CF" w:rsidRPr="000729CF" w:rsidRDefault="000729CF" w:rsidP="000729CF">
      <w:pPr>
        <w:spacing w:after="160" w:line="259" w:lineRule="auto"/>
        <w:rPr>
          <w:rFonts w:ascii="Calibri" w:eastAsia="Calibri" w:hAnsi="Calibri" w:cs="Calibri"/>
          <w:sz w:val="22"/>
          <w:szCs w:val="22"/>
          <w:lang w:val="en-GB"/>
        </w:rPr>
      </w:pPr>
      <w:r w:rsidRPr="000729CF">
        <w:rPr>
          <w:rFonts w:ascii="Calibri" w:eastAsia="Calibri" w:hAnsi="Calibri" w:cs="Calibri"/>
          <w:sz w:val="22"/>
          <w:szCs w:val="22"/>
          <w:lang w:val="en-GB"/>
        </w:rPr>
        <w:t>We recognise the importance of a healthy population to a thriving and fair economy. Our healthy lifestyles team support more than 3,700 people in the city and our physical activity strategy supports the investment of facilities in our city. We will continue our investment in partnership working with the local voluntary and community sector and build on joint community working.</w:t>
      </w:r>
    </w:p>
    <w:p w14:paraId="7B8264A0" w14:textId="77777777" w:rsidR="000729CF" w:rsidRPr="000729CF" w:rsidRDefault="000729CF" w:rsidP="000729CF">
      <w:pPr>
        <w:spacing w:after="160" w:line="259" w:lineRule="auto"/>
        <w:rPr>
          <w:rFonts w:ascii="Calibri" w:eastAsia="Calibri" w:hAnsi="Calibri" w:cs="Calibri"/>
          <w:sz w:val="22"/>
          <w:szCs w:val="22"/>
          <w:lang w:val="en-GB"/>
        </w:rPr>
      </w:pPr>
      <w:r w:rsidRPr="000729CF">
        <w:rPr>
          <w:rFonts w:ascii="Calibri" w:eastAsia="Calibri" w:hAnsi="Calibri" w:cs="Calibri"/>
          <w:sz w:val="22"/>
          <w:szCs w:val="22"/>
          <w:lang w:val="en-GB"/>
        </w:rPr>
        <w:t xml:space="preserve"> The directorate has completed a workforce strategy which focuses upon improving opportunity for our internal workforce and we continue to engage constructively with the wider care sector to both encourage employment opportunity and provide jobs for adults with eligible care needs. </w:t>
      </w:r>
    </w:p>
    <w:p w14:paraId="545B4BA1" w14:textId="77777777" w:rsidR="000729CF" w:rsidRPr="000729CF" w:rsidRDefault="000729CF" w:rsidP="000729CF">
      <w:pPr>
        <w:spacing w:after="160" w:line="259" w:lineRule="auto"/>
        <w:rPr>
          <w:rFonts w:ascii="Calibri" w:eastAsia="Calibri" w:hAnsi="Calibri" w:cs="Calibri"/>
          <w:b/>
          <w:bCs/>
          <w:sz w:val="22"/>
          <w:szCs w:val="22"/>
          <w:lang w:val="en-GB"/>
        </w:rPr>
      </w:pPr>
      <w:r w:rsidRPr="000729CF">
        <w:rPr>
          <w:rFonts w:ascii="Calibri" w:eastAsia="Calibri" w:hAnsi="Calibri" w:cs="Calibri"/>
          <w:b/>
          <w:bCs/>
          <w:sz w:val="22"/>
          <w:szCs w:val="22"/>
          <w:lang w:val="en-GB"/>
        </w:rPr>
        <w:t>An accessible, clean, and sustainable city</w:t>
      </w:r>
    </w:p>
    <w:p w14:paraId="4D7142EB" w14:textId="77777777" w:rsidR="000729CF" w:rsidRPr="000729CF" w:rsidRDefault="000729CF" w:rsidP="000729CF">
      <w:pPr>
        <w:spacing w:after="160" w:line="259" w:lineRule="auto"/>
        <w:rPr>
          <w:rFonts w:ascii="Calibri" w:eastAsia="Calibri" w:hAnsi="Calibri" w:cs="Calibri"/>
          <w:sz w:val="22"/>
          <w:szCs w:val="22"/>
          <w:lang w:val="en-GB"/>
        </w:rPr>
      </w:pPr>
      <w:r w:rsidRPr="000729CF">
        <w:rPr>
          <w:rFonts w:ascii="Calibri" w:eastAsia="Calibri" w:hAnsi="Calibri" w:cs="Calibri"/>
          <w:sz w:val="22"/>
          <w:szCs w:val="22"/>
          <w:lang w:val="en-GB"/>
        </w:rPr>
        <w:t>Through the Joint Health and Wellbeing Strategy, Adult Learning Disability Strategy, Autism Strategy, our contribution to the Accessible City Strategy, we are supporting people to have improved access to the city.</w:t>
      </w:r>
    </w:p>
    <w:p w14:paraId="0D210CA3" w14:textId="77777777" w:rsidR="000729CF" w:rsidRPr="000729CF" w:rsidRDefault="000729CF" w:rsidP="000729CF">
      <w:pPr>
        <w:spacing w:after="160" w:line="259" w:lineRule="auto"/>
        <w:rPr>
          <w:rFonts w:ascii="Calibri" w:eastAsia="Calibri" w:hAnsi="Calibri" w:cs="Calibri"/>
          <w:sz w:val="22"/>
          <w:szCs w:val="22"/>
          <w:lang w:val="en-GB"/>
        </w:rPr>
      </w:pPr>
      <w:r w:rsidRPr="000729CF">
        <w:rPr>
          <w:rFonts w:ascii="Calibri" w:eastAsia="Calibri" w:hAnsi="Calibri" w:cs="Calibri"/>
          <w:sz w:val="22"/>
          <w:szCs w:val="22"/>
          <w:lang w:val="en-GB"/>
        </w:rPr>
        <w:t>Our commissioning always considers how we can be more sustainable and contribute towards carbon reduction. We also aim to maximise social value through our commissioning.</w:t>
      </w:r>
    </w:p>
    <w:p w14:paraId="47EE85D5" w14:textId="77777777" w:rsidR="000729CF" w:rsidRPr="000729CF" w:rsidRDefault="000729CF" w:rsidP="000729CF">
      <w:pPr>
        <w:keepNext/>
        <w:shd w:val="clear" w:color="auto" w:fill="C5E0B3"/>
        <w:spacing w:after="160" w:line="259" w:lineRule="auto"/>
        <w:rPr>
          <w:rFonts w:ascii="Calibri" w:eastAsia="Calibri" w:hAnsi="Calibri" w:cs="Calibri"/>
          <w:b/>
          <w:bCs/>
          <w:sz w:val="22"/>
          <w:szCs w:val="22"/>
          <w:lang w:val="en-GB"/>
        </w:rPr>
      </w:pPr>
      <w:r w:rsidRPr="000729CF">
        <w:rPr>
          <w:rFonts w:ascii="Calibri" w:eastAsia="Calibri" w:hAnsi="Calibri" w:cs="Calibri"/>
          <w:b/>
          <w:bCs/>
          <w:sz w:val="22"/>
          <w:szCs w:val="22"/>
          <w:lang w:val="en-GB"/>
        </w:rPr>
        <w:t>A Fair and Inclusive City</w:t>
      </w:r>
    </w:p>
    <w:p w14:paraId="24911432" w14:textId="77777777" w:rsidR="000729CF" w:rsidRPr="000729CF" w:rsidRDefault="000729CF" w:rsidP="000729CF">
      <w:pPr>
        <w:spacing w:after="160" w:line="259" w:lineRule="auto"/>
        <w:rPr>
          <w:rFonts w:ascii="Calibri" w:eastAsia="Calibri" w:hAnsi="Calibri" w:cs="Calibri"/>
          <w:b/>
          <w:bCs/>
          <w:sz w:val="22"/>
          <w:szCs w:val="22"/>
          <w:lang w:val="en-GB"/>
        </w:rPr>
      </w:pPr>
      <w:r w:rsidRPr="000729CF">
        <w:rPr>
          <w:rFonts w:ascii="Calibri" w:eastAsia="Calibri" w:hAnsi="Calibri" w:cs="Calibri"/>
          <w:b/>
          <w:bCs/>
          <w:sz w:val="22"/>
          <w:szCs w:val="22"/>
          <w:lang w:val="en-GB"/>
        </w:rPr>
        <w:t>An inclusive and fairer city</w:t>
      </w:r>
    </w:p>
    <w:p w14:paraId="6CC09781" w14:textId="77777777" w:rsidR="000729CF" w:rsidRPr="000729CF" w:rsidRDefault="000729CF" w:rsidP="000729CF">
      <w:pPr>
        <w:spacing w:after="160" w:line="259" w:lineRule="auto"/>
        <w:rPr>
          <w:rFonts w:ascii="Calibri" w:eastAsia="Calibri" w:hAnsi="Calibri" w:cs="Calibri"/>
          <w:sz w:val="22"/>
          <w:szCs w:val="22"/>
          <w:lang w:val="en-GB"/>
        </w:rPr>
      </w:pPr>
      <w:r w:rsidRPr="000729CF">
        <w:rPr>
          <w:rFonts w:ascii="Calibri" w:eastAsia="Calibri" w:hAnsi="Calibri" w:cs="Calibri"/>
          <w:sz w:val="22"/>
          <w:szCs w:val="22"/>
          <w:lang w:val="en-GB"/>
        </w:rPr>
        <w:t>Reducing health inequalities is at the heart of our Joint Health and Wellbeing Strategy and one of the key priorities of Improving Lives, the Sussex wide Health and Care strategy. We seek to continuously improve the opportunities for diverse people with lived experience to influence and improve services and we are actively embedding a coproduction approach as business as usual in all that we do. Our continued work through the Anti-racism Strategy, Accessible City Strategy and Fair and Inclusive Action Plan aim to reduce inequalities for our community and our workforce. Equalities impact assessments are crucial to ensuring we mitigate negative impacts to communities where service alterations take place.</w:t>
      </w:r>
    </w:p>
    <w:p w14:paraId="33812BCC" w14:textId="77777777" w:rsidR="000729CF" w:rsidRPr="000729CF" w:rsidRDefault="000729CF" w:rsidP="000729CF">
      <w:pPr>
        <w:spacing w:after="160" w:line="259" w:lineRule="auto"/>
        <w:rPr>
          <w:rFonts w:ascii="Calibri" w:eastAsia="Calibri" w:hAnsi="Calibri" w:cs="Calibri"/>
          <w:b/>
          <w:bCs/>
          <w:sz w:val="22"/>
          <w:szCs w:val="22"/>
          <w:lang w:val="en-GB"/>
        </w:rPr>
      </w:pPr>
      <w:r w:rsidRPr="000729CF">
        <w:rPr>
          <w:rFonts w:ascii="Calibri" w:eastAsia="Calibri" w:hAnsi="Calibri" w:cs="Calibri"/>
          <w:b/>
          <w:bCs/>
          <w:sz w:val="22"/>
          <w:szCs w:val="22"/>
          <w:lang w:val="en-GB"/>
        </w:rPr>
        <w:t>A city where people feel safe and welcome</w:t>
      </w:r>
    </w:p>
    <w:p w14:paraId="7D79F55E" w14:textId="77777777" w:rsidR="000729CF" w:rsidRPr="000729CF" w:rsidRDefault="000729CF" w:rsidP="000729CF">
      <w:pPr>
        <w:spacing w:after="160" w:line="259" w:lineRule="auto"/>
        <w:rPr>
          <w:rFonts w:ascii="Calibri" w:eastAsia="Calibri" w:hAnsi="Calibri" w:cs="Calibri"/>
          <w:sz w:val="22"/>
          <w:szCs w:val="22"/>
          <w:lang w:val="en-GB"/>
        </w:rPr>
      </w:pPr>
      <w:r w:rsidRPr="000729CF">
        <w:rPr>
          <w:rFonts w:ascii="Calibri" w:eastAsia="Calibri" w:hAnsi="Calibri" w:cs="Calibri"/>
          <w:sz w:val="22"/>
          <w:szCs w:val="22"/>
          <w:lang w:val="en-GB"/>
        </w:rPr>
        <w:t xml:space="preserve">We are working with the city to develop more age and dementia friendly spaces and developing our combatting drugs strategy. </w:t>
      </w:r>
    </w:p>
    <w:p w14:paraId="4AC70332" w14:textId="77777777" w:rsidR="000729CF" w:rsidRPr="000729CF" w:rsidRDefault="000729CF" w:rsidP="000729CF">
      <w:pPr>
        <w:spacing w:after="160" w:line="259" w:lineRule="auto"/>
        <w:rPr>
          <w:rFonts w:ascii="Calibri" w:eastAsia="Calibri" w:hAnsi="Calibri" w:cs="Calibri"/>
          <w:sz w:val="22"/>
          <w:szCs w:val="22"/>
          <w:lang w:val="en-GB"/>
        </w:rPr>
      </w:pPr>
      <w:r w:rsidRPr="000729CF">
        <w:rPr>
          <w:rFonts w:ascii="Calibri" w:eastAsia="Calibri" w:hAnsi="Calibri" w:cs="Calibri"/>
          <w:sz w:val="22"/>
          <w:szCs w:val="22"/>
          <w:lang w:val="en-GB"/>
        </w:rPr>
        <w:t>Through the Safeguarding Adults Board we are looking to continuously improve how we work across multiple agencies in the city to protect those most vulnerable to harm and abuse.</w:t>
      </w:r>
    </w:p>
    <w:p w14:paraId="4FD26C4E" w14:textId="77777777" w:rsidR="000729CF" w:rsidRPr="000729CF" w:rsidRDefault="000729CF" w:rsidP="000729CF">
      <w:pPr>
        <w:spacing w:after="160" w:line="259" w:lineRule="auto"/>
        <w:rPr>
          <w:rFonts w:ascii="Calibri" w:eastAsia="Calibri" w:hAnsi="Calibri" w:cs="Calibri"/>
          <w:b/>
          <w:bCs/>
          <w:sz w:val="22"/>
          <w:szCs w:val="22"/>
          <w:lang w:val="en-GB"/>
        </w:rPr>
      </w:pPr>
      <w:r w:rsidRPr="000729CF">
        <w:rPr>
          <w:rFonts w:ascii="Calibri" w:eastAsia="Calibri" w:hAnsi="Calibri" w:cs="Calibri"/>
          <w:b/>
          <w:bCs/>
          <w:sz w:val="22"/>
          <w:szCs w:val="22"/>
          <w:lang w:val="en-GB"/>
        </w:rPr>
        <w:t>Homes for everyone</w:t>
      </w:r>
    </w:p>
    <w:p w14:paraId="5691CFB1" w14:textId="77777777" w:rsidR="000729CF" w:rsidRPr="000729CF" w:rsidRDefault="000729CF" w:rsidP="000729CF">
      <w:pPr>
        <w:spacing w:after="160" w:line="259" w:lineRule="auto"/>
        <w:rPr>
          <w:rFonts w:ascii="Calibri" w:eastAsia="Calibri" w:hAnsi="Calibri" w:cs="Calibri"/>
          <w:sz w:val="22"/>
          <w:szCs w:val="22"/>
          <w:lang w:val="en-GB"/>
        </w:rPr>
      </w:pPr>
      <w:r w:rsidRPr="000729CF">
        <w:rPr>
          <w:rFonts w:ascii="Calibri" w:eastAsia="Calibri" w:hAnsi="Calibri" w:cs="Calibri"/>
          <w:sz w:val="22"/>
          <w:szCs w:val="22"/>
          <w:lang w:val="en-GB"/>
        </w:rPr>
        <w:t>We are working with our housing colleagues to ensure accommodation and social care needs of residents are met. The Changing Futures multi-disciplinary team is supporting people with multiple disadvantage, many of whom experience homelessness. We aim to promote independence of adults with care and support needs so that they can live in a place that they can call home.</w:t>
      </w:r>
    </w:p>
    <w:p w14:paraId="32D98D99" w14:textId="77777777" w:rsidR="000729CF" w:rsidRPr="000729CF" w:rsidRDefault="000729CF" w:rsidP="000729CF">
      <w:pPr>
        <w:shd w:val="clear" w:color="auto" w:fill="C5E0B3"/>
        <w:spacing w:after="160" w:line="259" w:lineRule="auto"/>
        <w:rPr>
          <w:rFonts w:ascii="Calibri" w:eastAsia="Calibri" w:hAnsi="Calibri" w:cs="Calibri"/>
          <w:b/>
          <w:bCs/>
          <w:sz w:val="22"/>
          <w:szCs w:val="22"/>
          <w:lang w:val="en-GB"/>
        </w:rPr>
      </w:pPr>
      <w:r w:rsidRPr="000729CF">
        <w:rPr>
          <w:rFonts w:ascii="Calibri" w:eastAsia="Calibri" w:hAnsi="Calibri" w:cs="Calibri"/>
          <w:b/>
          <w:bCs/>
          <w:sz w:val="22"/>
          <w:szCs w:val="22"/>
          <w:lang w:val="en-GB"/>
        </w:rPr>
        <w:t>A Healthy City Where People Thrive</w:t>
      </w:r>
    </w:p>
    <w:p w14:paraId="5F19E752" w14:textId="77777777" w:rsidR="000729CF" w:rsidRPr="000729CF" w:rsidRDefault="000729CF" w:rsidP="000729CF">
      <w:pPr>
        <w:spacing w:after="160" w:line="259" w:lineRule="auto"/>
        <w:rPr>
          <w:rFonts w:ascii="Calibri" w:eastAsia="Calibri" w:hAnsi="Calibri" w:cs="Calibri"/>
          <w:b/>
          <w:bCs/>
          <w:sz w:val="22"/>
          <w:szCs w:val="22"/>
          <w:lang w:val="en-GB"/>
        </w:rPr>
      </w:pPr>
      <w:r w:rsidRPr="000729CF">
        <w:rPr>
          <w:rFonts w:ascii="Calibri" w:eastAsia="Calibri" w:hAnsi="Calibri" w:cs="Calibri"/>
          <w:b/>
          <w:bCs/>
          <w:sz w:val="22"/>
          <w:szCs w:val="22"/>
          <w:lang w:val="en-GB"/>
        </w:rPr>
        <w:t>A better future for children and young people</w:t>
      </w:r>
    </w:p>
    <w:p w14:paraId="7FCC0C3A" w14:textId="77777777" w:rsidR="000729CF" w:rsidRPr="000729CF" w:rsidRDefault="000729CF" w:rsidP="000729CF">
      <w:pPr>
        <w:spacing w:after="160" w:line="259" w:lineRule="auto"/>
        <w:rPr>
          <w:rFonts w:ascii="Calibri" w:eastAsia="Calibri" w:hAnsi="Calibri" w:cs="Calibri"/>
          <w:sz w:val="22"/>
          <w:szCs w:val="22"/>
          <w:lang w:val="en-GB"/>
        </w:rPr>
      </w:pPr>
      <w:r w:rsidRPr="000729CF">
        <w:rPr>
          <w:rFonts w:ascii="Calibri" w:eastAsia="Calibri" w:hAnsi="Calibri" w:cs="Calibri"/>
          <w:sz w:val="22"/>
          <w:szCs w:val="22"/>
          <w:lang w:val="en-GB"/>
        </w:rPr>
        <w:t>Support to children and young people is an essential priority that we are determined to give future focus to in delivering our prevention and early intervention offers. The Healthy Child Programme is a key programme funded by Public Health and Starting Well is a key aim or our Joint Health and Wellbeing Strategy. We support public Health outcomes and integrated services within the Family Hubs programme and the health visiting and school nursing is provided as part of the Healthy Child Programme.</w:t>
      </w:r>
    </w:p>
    <w:p w14:paraId="51FE0C4C" w14:textId="77777777" w:rsidR="000729CF" w:rsidRPr="000729CF" w:rsidRDefault="000729CF" w:rsidP="000729CF">
      <w:pPr>
        <w:spacing w:after="160" w:line="259" w:lineRule="auto"/>
        <w:rPr>
          <w:rFonts w:ascii="Calibri" w:eastAsia="Calibri" w:hAnsi="Calibri" w:cs="Calibri"/>
          <w:sz w:val="22"/>
          <w:szCs w:val="22"/>
          <w:lang w:val="en-GB"/>
        </w:rPr>
      </w:pPr>
      <w:r w:rsidRPr="000729CF">
        <w:rPr>
          <w:rFonts w:ascii="Calibri" w:eastAsia="Calibri" w:hAnsi="Calibri" w:cs="Calibri"/>
          <w:sz w:val="22"/>
          <w:szCs w:val="22"/>
          <w:lang w:val="en-GB"/>
        </w:rPr>
        <w:t>Activities Work and Learning is a priority within the Adult Learning Disability Strategy.</w:t>
      </w:r>
    </w:p>
    <w:p w14:paraId="1A2AA9EF" w14:textId="77777777" w:rsidR="000729CF" w:rsidRPr="000729CF" w:rsidRDefault="000729CF" w:rsidP="000729CF">
      <w:pPr>
        <w:spacing w:after="160" w:line="259" w:lineRule="auto"/>
        <w:rPr>
          <w:rFonts w:ascii="Calibri" w:eastAsia="Calibri" w:hAnsi="Calibri" w:cs="Calibri"/>
          <w:b/>
          <w:bCs/>
          <w:sz w:val="22"/>
          <w:szCs w:val="22"/>
          <w:lang w:val="en-GB"/>
        </w:rPr>
      </w:pPr>
      <w:r w:rsidRPr="000729CF">
        <w:rPr>
          <w:rFonts w:ascii="Calibri" w:eastAsia="Calibri" w:hAnsi="Calibri" w:cs="Calibri"/>
          <w:b/>
          <w:bCs/>
          <w:sz w:val="22"/>
          <w:szCs w:val="22"/>
          <w:lang w:val="en-GB"/>
        </w:rPr>
        <w:t>Living and ageing well</w:t>
      </w:r>
    </w:p>
    <w:p w14:paraId="71C605FF" w14:textId="77777777" w:rsidR="000729CF" w:rsidRPr="000729CF" w:rsidRDefault="000729CF" w:rsidP="000729CF">
      <w:pPr>
        <w:spacing w:after="160" w:line="259" w:lineRule="auto"/>
        <w:rPr>
          <w:rFonts w:ascii="Calibri" w:eastAsia="Calibri" w:hAnsi="Calibri" w:cs="Calibri"/>
          <w:b/>
          <w:bCs/>
          <w:sz w:val="22"/>
          <w:szCs w:val="22"/>
          <w:lang w:val="en-GB"/>
        </w:rPr>
      </w:pPr>
      <w:r w:rsidRPr="000729CF">
        <w:rPr>
          <w:rFonts w:ascii="Calibri" w:eastAsia="Calibri" w:hAnsi="Calibri" w:cs="Calibri"/>
          <w:sz w:val="22"/>
          <w:szCs w:val="22"/>
          <w:lang w:val="en-GB"/>
        </w:rPr>
        <w:t>Our prevention programmes enable people to live healthy, happy and fulfilling lives. These include physical activity, mental health promotion and suicide prevention, sexual health, physical health, tobacco, alcohol and drugs. A key focus of our budget strategy is prevention of admission into long term residential and nursing care and promoting independence in the community. This includes ensuring everyone has access to the information, advice, and services they need and our work towards integrated community teams and joined up services. We are continuously seeking to maintain and improve the quality, effectiveness, accessibility, and inclusivity of our services.</w:t>
      </w:r>
    </w:p>
    <w:p w14:paraId="54E0EF1D" w14:textId="77777777" w:rsidR="000729CF" w:rsidRPr="000729CF" w:rsidRDefault="000729CF" w:rsidP="000729CF">
      <w:pPr>
        <w:keepNext/>
        <w:shd w:val="clear" w:color="auto" w:fill="C5E0B3"/>
        <w:spacing w:after="160" w:line="259" w:lineRule="auto"/>
        <w:rPr>
          <w:rFonts w:ascii="Calibri" w:eastAsia="Calibri" w:hAnsi="Calibri" w:cs="Calibri"/>
          <w:kern w:val="2"/>
          <w:sz w:val="22"/>
          <w:szCs w:val="22"/>
          <w:lang w:val="en-GB"/>
          <w14:ligatures w14:val="standardContextual"/>
        </w:rPr>
      </w:pPr>
      <w:r w:rsidRPr="000729CF">
        <w:rPr>
          <w:rFonts w:ascii="Calibri" w:eastAsia="Calibri" w:hAnsi="Calibri" w:cs="Calibri"/>
          <w:b/>
          <w:bCs/>
          <w:sz w:val="22"/>
          <w:szCs w:val="22"/>
          <w:lang w:val="en-GB"/>
        </w:rPr>
        <w:t>A Responsive Council with Well Run Services</w:t>
      </w:r>
    </w:p>
    <w:p w14:paraId="5441FF87" w14:textId="77777777" w:rsidR="000729CF" w:rsidRPr="000729CF" w:rsidRDefault="000729CF" w:rsidP="000729CF">
      <w:pPr>
        <w:spacing w:after="160" w:line="259" w:lineRule="auto"/>
        <w:contextualSpacing/>
        <w:rPr>
          <w:rFonts w:ascii="Calibri" w:eastAsia="Calibri" w:hAnsi="Calibri" w:cs="Calibri"/>
          <w:kern w:val="2"/>
          <w:sz w:val="22"/>
          <w:szCs w:val="22"/>
          <w:lang w:val="en-GB"/>
          <w14:ligatures w14:val="standardContextual"/>
        </w:rPr>
      </w:pPr>
      <w:r w:rsidRPr="000729CF">
        <w:rPr>
          <w:rFonts w:ascii="Calibri" w:eastAsia="Calibri" w:hAnsi="Calibri" w:cs="Calibri"/>
          <w:kern w:val="2"/>
          <w:sz w:val="22"/>
          <w:szCs w:val="22"/>
          <w:lang w:val="en-GB"/>
          <w14:ligatures w14:val="standardContextual"/>
        </w:rPr>
        <w:t>People are at the heart of everything we do, and we strive to provide good customer service to all and make sure people have access to the information and advice they need. We work with partners across the city to focus on the health and wellbeing of our residents. Our fair and inclusive action plan and workforce strategy aim to improve the experience for our workforce. Through meticulous budget management and good governance, we aim to have resilient, safe, and effective services fit for the future.</w:t>
      </w:r>
    </w:p>
    <w:p w14:paraId="02F4CFA3" w14:textId="77777777" w:rsidR="000729CF" w:rsidRPr="000729CF" w:rsidRDefault="000729CF" w:rsidP="000729CF">
      <w:pPr>
        <w:spacing w:after="160" w:line="259" w:lineRule="auto"/>
        <w:rPr>
          <w:rFonts w:ascii="Calibri" w:eastAsia="Calibri" w:hAnsi="Calibri" w:cs="Calibri"/>
          <w:kern w:val="2"/>
          <w:sz w:val="22"/>
          <w:szCs w:val="22"/>
          <w:lang w:val="en-GB"/>
          <w14:ligatures w14:val="standardContextual"/>
        </w:rPr>
      </w:pPr>
      <w:r w:rsidRPr="000729CF">
        <w:rPr>
          <w:rFonts w:ascii="Calibri" w:eastAsia="Calibri" w:hAnsi="Calibri" w:cs="Calibri"/>
          <w:kern w:val="2"/>
          <w:sz w:val="22"/>
          <w:szCs w:val="22"/>
          <w:lang w:val="en-GB"/>
          <w14:ligatures w14:val="standardContextual"/>
        </w:rPr>
        <w:br w:type="page"/>
      </w:r>
    </w:p>
    <w:tbl>
      <w:tblPr>
        <w:tblW w:w="5000" w:type="pct"/>
        <w:tblLook w:val="04A0" w:firstRow="1" w:lastRow="0" w:firstColumn="1" w:lastColumn="0" w:noHBand="0" w:noVBand="1"/>
      </w:tblPr>
      <w:tblGrid>
        <w:gridCol w:w="3534"/>
        <w:gridCol w:w="3536"/>
        <w:gridCol w:w="6955"/>
        <w:gridCol w:w="1363"/>
      </w:tblGrid>
      <w:tr w:rsidR="000729CF" w:rsidRPr="000729CF" w14:paraId="05DDDD90" w14:textId="77777777" w:rsidTr="00BC26AB">
        <w:trPr>
          <w:trHeight w:val="20"/>
          <w:tblHeader/>
        </w:trPr>
        <w:tc>
          <w:tcPr>
            <w:tcW w:w="1148" w:type="pct"/>
            <w:vMerge w:val="restart"/>
            <w:tcBorders>
              <w:top w:val="single" w:sz="4" w:space="0" w:color="auto"/>
              <w:left w:val="single" w:sz="4" w:space="0" w:color="auto"/>
              <w:bottom w:val="single" w:sz="4" w:space="0" w:color="auto"/>
              <w:right w:val="single" w:sz="4" w:space="0" w:color="auto"/>
            </w:tcBorders>
            <w:shd w:val="clear" w:color="000000" w:fill="A6A6A6"/>
            <w:tcMar>
              <w:left w:w="45" w:type="dxa"/>
              <w:right w:w="45" w:type="dxa"/>
            </w:tcMar>
            <w:vAlign w:val="bottom"/>
            <w:hideMark/>
          </w:tcPr>
          <w:p w14:paraId="04CE61C8" w14:textId="77777777" w:rsidR="000729CF" w:rsidRPr="000729CF" w:rsidRDefault="000729CF" w:rsidP="000729CF">
            <w:pPr>
              <w:jc w:val="cente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Section</w:t>
            </w:r>
          </w:p>
        </w:tc>
        <w:tc>
          <w:tcPr>
            <w:tcW w:w="1149" w:type="pct"/>
            <w:vMerge w:val="restart"/>
            <w:tcBorders>
              <w:top w:val="single" w:sz="4" w:space="0" w:color="auto"/>
              <w:left w:val="single" w:sz="4" w:space="0" w:color="auto"/>
              <w:bottom w:val="single" w:sz="4" w:space="0" w:color="auto"/>
              <w:right w:val="single" w:sz="4" w:space="0" w:color="auto"/>
            </w:tcBorders>
            <w:shd w:val="clear" w:color="000000" w:fill="A6A6A6"/>
            <w:tcMar>
              <w:left w:w="45" w:type="dxa"/>
              <w:right w:w="45" w:type="dxa"/>
            </w:tcMar>
            <w:vAlign w:val="bottom"/>
            <w:hideMark/>
          </w:tcPr>
          <w:p w14:paraId="7C89E6A9" w14:textId="77777777" w:rsidR="000729CF" w:rsidRPr="000729CF" w:rsidRDefault="000729CF" w:rsidP="000729CF">
            <w:pPr>
              <w:jc w:val="cente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Service Area</w:t>
            </w:r>
          </w:p>
        </w:tc>
        <w:tc>
          <w:tcPr>
            <w:tcW w:w="2260" w:type="pct"/>
            <w:vMerge w:val="restart"/>
            <w:tcBorders>
              <w:top w:val="single" w:sz="4" w:space="0" w:color="auto"/>
              <w:left w:val="single" w:sz="4" w:space="0" w:color="auto"/>
              <w:bottom w:val="single" w:sz="4" w:space="0" w:color="auto"/>
              <w:right w:val="single" w:sz="4" w:space="0" w:color="auto"/>
            </w:tcBorders>
            <w:shd w:val="clear" w:color="000000" w:fill="A6A6A6"/>
            <w:tcMar>
              <w:left w:w="45" w:type="dxa"/>
              <w:right w:w="45" w:type="dxa"/>
            </w:tcMar>
            <w:vAlign w:val="bottom"/>
            <w:hideMark/>
          </w:tcPr>
          <w:p w14:paraId="5162CA49" w14:textId="77777777" w:rsidR="000729CF" w:rsidRPr="000729CF" w:rsidRDefault="000729CF" w:rsidP="000729CF">
            <w:pPr>
              <w:jc w:val="cente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Brief Summary of Budget Proposal/Strategy and Risks</w:t>
            </w:r>
          </w:p>
        </w:tc>
        <w:tc>
          <w:tcPr>
            <w:tcW w:w="443" w:type="pct"/>
            <w:tcBorders>
              <w:top w:val="single" w:sz="4" w:space="0" w:color="auto"/>
              <w:left w:val="nil"/>
              <w:bottom w:val="single" w:sz="4" w:space="0" w:color="auto"/>
              <w:right w:val="single" w:sz="4" w:space="0" w:color="auto"/>
            </w:tcBorders>
            <w:shd w:val="clear" w:color="000000" w:fill="A6A6A6"/>
            <w:tcMar>
              <w:left w:w="45" w:type="dxa"/>
              <w:right w:w="45" w:type="dxa"/>
            </w:tcMar>
            <w:vAlign w:val="bottom"/>
            <w:hideMark/>
          </w:tcPr>
          <w:p w14:paraId="55F7289C" w14:textId="77777777" w:rsidR="000729CF" w:rsidRPr="000729CF" w:rsidRDefault="000729CF" w:rsidP="000729CF">
            <w:pPr>
              <w:jc w:val="cente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Total Savings Proposed 2024/25</w:t>
            </w:r>
          </w:p>
        </w:tc>
      </w:tr>
      <w:tr w:rsidR="000729CF" w:rsidRPr="000729CF" w14:paraId="36BF9582" w14:textId="77777777" w:rsidTr="00BC26AB">
        <w:trPr>
          <w:trHeight w:val="20"/>
          <w:tblHeader/>
        </w:trPr>
        <w:tc>
          <w:tcPr>
            <w:tcW w:w="1148" w:type="pct"/>
            <w:vMerge/>
            <w:tcBorders>
              <w:top w:val="single" w:sz="4" w:space="0" w:color="auto"/>
              <w:left w:val="single" w:sz="4" w:space="0" w:color="auto"/>
              <w:bottom w:val="single" w:sz="4" w:space="0" w:color="auto"/>
              <w:right w:val="single" w:sz="4" w:space="0" w:color="auto"/>
            </w:tcBorders>
            <w:tcMar>
              <w:left w:w="45" w:type="dxa"/>
              <w:right w:w="45" w:type="dxa"/>
            </w:tcMar>
            <w:vAlign w:val="center"/>
            <w:hideMark/>
          </w:tcPr>
          <w:p w14:paraId="2B899E94" w14:textId="77777777" w:rsidR="000729CF" w:rsidRPr="000729CF" w:rsidRDefault="000729CF" w:rsidP="000729CF">
            <w:pPr>
              <w:rPr>
                <w:rFonts w:ascii="Calibri" w:hAnsi="Calibri" w:cs="Calibri"/>
                <w:b/>
                <w:bCs/>
                <w:color w:val="000000"/>
                <w:sz w:val="22"/>
                <w:szCs w:val="22"/>
                <w:lang w:val="en-GB" w:eastAsia="en-GB"/>
              </w:rPr>
            </w:pPr>
          </w:p>
        </w:tc>
        <w:tc>
          <w:tcPr>
            <w:tcW w:w="1149" w:type="pct"/>
            <w:vMerge/>
            <w:tcBorders>
              <w:top w:val="single" w:sz="4" w:space="0" w:color="auto"/>
              <w:left w:val="single" w:sz="4" w:space="0" w:color="auto"/>
              <w:bottom w:val="single" w:sz="4" w:space="0" w:color="auto"/>
              <w:right w:val="single" w:sz="4" w:space="0" w:color="auto"/>
            </w:tcBorders>
            <w:tcMar>
              <w:left w:w="45" w:type="dxa"/>
              <w:right w:w="45" w:type="dxa"/>
            </w:tcMar>
            <w:vAlign w:val="center"/>
            <w:hideMark/>
          </w:tcPr>
          <w:p w14:paraId="59954F42" w14:textId="77777777" w:rsidR="000729CF" w:rsidRPr="000729CF" w:rsidRDefault="000729CF" w:rsidP="000729CF">
            <w:pPr>
              <w:rPr>
                <w:rFonts w:ascii="Calibri" w:hAnsi="Calibri" w:cs="Calibri"/>
                <w:b/>
                <w:bCs/>
                <w:color w:val="000000"/>
                <w:sz w:val="22"/>
                <w:szCs w:val="22"/>
                <w:lang w:val="en-GB" w:eastAsia="en-GB"/>
              </w:rPr>
            </w:pPr>
          </w:p>
        </w:tc>
        <w:tc>
          <w:tcPr>
            <w:tcW w:w="2260" w:type="pct"/>
            <w:vMerge/>
            <w:tcBorders>
              <w:top w:val="single" w:sz="4" w:space="0" w:color="auto"/>
              <w:left w:val="single" w:sz="4" w:space="0" w:color="auto"/>
              <w:bottom w:val="single" w:sz="4" w:space="0" w:color="auto"/>
              <w:right w:val="single" w:sz="4" w:space="0" w:color="auto"/>
            </w:tcBorders>
            <w:tcMar>
              <w:left w:w="45" w:type="dxa"/>
              <w:right w:w="45" w:type="dxa"/>
            </w:tcMar>
            <w:vAlign w:val="center"/>
            <w:hideMark/>
          </w:tcPr>
          <w:p w14:paraId="500E795B" w14:textId="77777777" w:rsidR="000729CF" w:rsidRPr="000729CF" w:rsidRDefault="000729CF" w:rsidP="000729CF">
            <w:pPr>
              <w:rPr>
                <w:rFonts w:ascii="Calibri" w:hAnsi="Calibri" w:cs="Calibri"/>
                <w:b/>
                <w:bCs/>
                <w:color w:val="000000"/>
                <w:sz w:val="22"/>
                <w:szCs w:val="22"/>
                <w:lang w:val="en-GB" w:eastAsia="en-GB"/>
              </w:rPr>
            </w:pPr>
          </w:p>
        </w:tc>
        <w:tc>
          <w:tcPr>
            <w:tcW w:w="443" w:type="pct"/>
            <w:tcBorders>
              <w:top w:val="single" w:sz="4" w:space="0" w:color="auto"/>
              <w:left w:val="nil"/>
              <w:bottom w:val="single" w:sz="4" w:space="0" w:color="auto"/>
              <w:right w:val="single" w:sz="4" w:space="0" w:color="auto"/>
            </w:tcBorders>
            <w:shd w:val="clear" w:color="000000" w:fill="A6A6A6"/>
            <w:tcMar>
              <w:left w:w="45" w:type="dxa"/>
              <w:right w:w="45" w:type="dxa"/>
            </w:tcMar>
            <w:vAlign w:val="bottom"/>
            <w:hideMark/>
          </w:tcPr>
          <w:p w14:paraId="565284DA" w14:textId="77777777" w:rsidR="000729CF" w:rsidRPr="000729CF" w:rsidRDefault="000729CF" w:rsidP="000729CF">
            <w:pPr>
              <w:jc w:val="cente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£'000</w:t>
            </w:r>
          </w:p>
        </w:tc>
      </w:tr>
      <w:tr w:rsidR="000729CF" w:rsidRPr="000729CF" w14:paraId="122BADE8" w14:textId="77777777" w:rsidTr="00BC26AB">
        <w:trPr>
          <w:trHeight w:val="20"/>
        </w:trPr>
        <w:tc>
          <w:tcPr>
            <w:tcW w:w="4557" w:type="pct"/>
            <w:gridSpan w:val="3"/>
            <w:tcBorders>
              <w:top w:val="single" w:sz="4" w:space="0" w:color="auto"/>
              <w:left w:val="single" w:sz="4" w:space="0" w:color="auto"/>
              <w:bottom w:val="single" w:sz="4" w:space="0" w:color="auto"/>
              <w:right w:val="nil"/>
            </w:tcBorders>
            <w:shd w:val="clear" w:color="000000" w:fill="000000"/>
            <w:noWrap/>
            <w:tcMar>
              <w:left w:w="45" w:type="dxa"/>
              <w:right w:w="45" w:type="dxa"/>
            </w:tcMar>
            <w:hideMark/>
          </w:tcPr>
          <w:p w14:paraId="6ED76ECC"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Health &amp; Adult Social Care</w:t>
            </w:r>
          </w:p>
        </w:tc>
        <w:tc>
          <w:tcPr>
            <w:tcW w:w="443" w:type="pct"/>
            <w:tcBorders>
              <w:top w:val="single" w:sz="4" w:space="0" w:color="auto"/>
              <w:left w:val="nil"/>
              <w:bottom w:val="single" w:sz="4" w:space="0" w:color="auto"/>
              <w:right w:val="single" w:sz="4" w:space="0" w:color="auto"/>
            </w:tcBorders>
            <w:shd w:val="clear" w:color="000000" w:fill="000000"/>
            <w:noWrap/>
            <w:tcMar>
              <w:left w:w="45" w:type="dxa"/>
              <w:right w:w="45" w:type="dxa"/>
            </w:tcMar>
            <w:hideMark/>
          </w:tcPr>
          <w:p w14:paraId="59C26864"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 </w:t>
            </w:r>
          </w:p>
        </w:tc>
      </w:tr>
      <w:tr w:rsidR="000729CF" w:rsidRPr="000729CF" w14:paraId="5AA3B505" w14:textId="77777777" w:rsidTr="00BC26AB">
        <w:trPr>
          <w:trHeight w:val="20"/>
        </w:trPr>
        <w:tc>
          <w:tcPr>
            <w:tcW w:w="4557" w:type="pct"/>
            <w:gridSpan w:val="3"/>
            <w:tcBorders>
              <w:top w:val="single" w:sz="4" w:space="0" w:color="auto"/>
              <w:left w:val="single" w:sz="4" w:space="0" w:color="auto"/>
              <w:bottom w:val="single" w:sz="4" w:space="0" w:color="auto"/>
              <w:right w:val="nil"/>
            </w:tcBorders>
            <w:shd w:val="clear" w:color="000000" w:fill="000000"/>
            <w:noWrap/>
            <w:tcMar>
              <w:left w:w="45" w:type="dxa"/>
              <w:right w:w="45" w:type="dxa"/>
            </w:tcMar>
            <w:hideMark/>
          </w:tcPr>
          <w:p w14:paraId="30BB4E23"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Adult Social Care</w:t>
            </w:r>
          </w:p>
        </w:tc>
        <w:tc>
          <w:tcPr>
            <w:tcW w:w="443" w:type="pct"/>
            <w:tcBorders>
              <w:top w:val="single" w:sz="4" w:space="0" w:color="auto"/>
              <w:left w:val="nil"/>
              <w:bottom w:val="single" w:sz="4" w:space="0" w:color="auto"/>
              <w:right w:val="single" w:sz="4" w:space="0" w:color="auto"/>
            </w:tcBorders>
            <w:shd w:val="clear" w:color="000000" w:fill="000000"/>
            <w:noWrap/>
            <w:tcMar>
              <w:left w:w="45" w:type="dxa"/>
              <w:right w:w="45" w:type="dxa"/>
            </w:tcMar>
            <w:hideMark/>
          </w:tcPr>
          <w:p w14:paraId="1CB158AD"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 </w:t>
            </w:r>
          </w:p>
        </w:tc>
      </w:tr>
      <w:tr w:rsidR="000729CF" w:rsidRPr="000729CF" w14:paraId="57150703" w14:textId="77777777" w:rsidTr="00BC26AB">
        <w:trPr>
          <w:trHeight w:val="20"/>
        </w:trPr>
        <w:tc>
          <w:tcPr>
            <w:tcW w:w="1148"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5564684B"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Community Care  budget funding packages of care to meet statutory responsibilities across adult care groups apart from Learning Disability and Mental Health. Services include; community support, home care, supported accommodation, residential and nursing care.</w:t>
            </w:r>
          </w:p>
        </w:tc>
        <w:tc>
          <w:tcPr>
            <w:tcW w:w="1149" w:type="pct"/>
            <w:tcBorders>
              <w:top w:val="nil"/>
              <w:left w:val="nil"/>
              <w:bottom w:val="single" w:sz="4" w:space="0" w:color="auto"/>
              <w:right w:val="single" w:sz="4" w:space="0" w:color="auto"/>
            </w:tcBorders>
            <w:shd w:val="clear" w:color="auto" w:fill="auto"/>
            <w:tcMar>
              <w:left w:w="45" w:type="dxa"/>
              <w:right w:w="45" w:type="dxa"/>
            </w:tcMar>
            <w:hideMark/>
          </w:tcPr>
          <w:p w14:paraId="0801D92B"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Physical Support &amp; Sensory Support</w:t>
            </w:r>
            <w:r w:rsidRPr="000729CF">
              <w:rPr>
                <w:rFonts w:ascii="Calibri" w:hAnsi="Calibri" w:cs="Calibri"/>
                <w:sz w:val="22"/>
                <w:szCs w:val="22"/>
                <w:lang w:val="en-GB" w:eastAsia="en-GB"/>
              </w:rPr>
              <w:br/>
            </w:r>
            <w:r w:rsidRPr="000729CF">
              <w:rPr>
                <w:rFonts w:ascii="Calibri" w:hAnsi="Calibri" w:cs="Calibri"/>
                <w:sz w:val="22"/>
                <w:szCs w:val="22"/>
                <w:lang w:val="en-GB" w:eastAsia="en-GB"/>
              </w:rPr>
              <w:br/>
              <w:t>2,135 budgeted capacity for 2023/24</w:t>
            </w:r>
          </w:p>
        </w:tc>
        <w:tc>
          <w:tcPr>
            <w:tcW w:w="2260" w:type="pct"/>
            <w:tcBorders>
              <w:top w:val="nil"/>
              <w:left w:val="nil"/>
              <w:bottom w:val="single" w:sz="4" w:space="0" w:color="auto"/>
              <w:right w:val="single" w:sz="4" w:space="0" w:color="auto"/>
            </w:tcBorders>
            <w:shd w:val="clear" w:color="auto" w:fill="auto"/>
            <w:tcMar>
              <w:left w:w="45" w:type="dxa"/>
              <w:right w:w="45" w:type="dxa"/>
            </w:tcMar>
            <w:hideMark/>
          </w:tcPr>
          <w:p w14:paraId="49F50AE1"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Savings proposals include:</w:t>
            </w:r>
            <w:r w:rsidRPr="000729CF">
              <w:rPr>
                <w:rFonts w:ascii="Calibri" w:hAnsi="Calibri" w:cs="Calibri"/>
                <w:sz w:val="22"/>
                <w:szCs w:val="22"/>
                <w:lang w:val="en-GB" w:eastAsia="en-GB"/>
              </w:rPr>
              <w:br/>
              <w:t>£568k from increased Craven Vale reablement capacity;</w:t>
            </w:r>
            <w:r w:rsidRPr="000729CF">
              <w:rPr>
                <w:rFonts w:ascii="Calibri" w:hAnsi="Calibri" w:cs="Calibri"/>
                <w:sz w:val="22"/>
                <w:szCs w:val="22"/>
                <w:lang w:val="en-GB" w:eastAsia="en-GB"/>
              </w:rPr>
              <w:br/>
              <w:t>£335k through managing provider fee uplifts taking into account the current market fee position;</w:t>
            </w:r>
            <w:r w:rsidRPr="000729CF">
              <w:rPr>
                <w:rFonts w:ascii="Calibri" w:hAnsi="Calibri" w:cs="Calibri"/>
                <w:sz w:val="22"/>
                <w:szCs w:val="22"/>
                <w:lang w:val="en-GB" w:eastAsia="en-GB"/>
              </w:rPr>
              <w:br/>
              <w:t>£208k through the design of a different Discharge-to-Assess (D2A) model;</w:t>
            </w:r>
            <w:r w:rsidRPr="000729CF">
              <w:rPr>
                <w:rFonts w:ascii="Calibri" w:hAnsi="Calibri" w:cs="Calibri"/>
                <w:sz w:val="22"/>
                <w:szCs w:val="22"/>
                <w:lang w:val="en-GB" w:eastAsia="en-GB"/>
              </w:rPr>
              <w:br/>
              <w:t>£302k efficiencies from the Target Operating Model (TOM) and associated admission avoidance, ensuring all Extra Care and other block contract voids are effectively managed and filled throughout 2024/25;</w:t>
            </w:r>
            <w:r w:rsidRPr="000729CF">
              <w:rPr>
                <w:rFonts w:ascii="Calibri" w:hAnsi="Calibri" w:cs="Calibri"/>
                <w:sz w:val="22"/>
                <w:szCs w:val="22"/>
                <w:lang w:val="en-GB" w:eastAsia="en-GB"/>
              </w:rPr>
              <w:br/>
              <w:t>£225k from overdue Financial Assessment reviews;</w:t>
            </w:r>
            <w:r w:rsidRPr="000729CF">
              <w:rPr>
                <w:rFonts w:ascii="Calibri" w:hAnsi="Calibri" w:cs="Calibri"/>
                <w:sz w:val="22"/>
                <w:szCs w:val="22"/>
                <w:lang w:val="en-GB" w:eastAsia="en-GB"/>
              </w:rPr>
              <w:br/>
              <w:t>£69k by ensuring that reviews demonstrate support services are adequate to meet needs and represent efficiency and value for money</w:t>
            </w:r>
            <w:r w:rsidRPr="000729CF">
              <w:rPr>
                <w:rFonts w:ascii="Calibri" w:hAnsi="Calibri" w:cs="Calibri"/>
                <w:sz w:val="22"/>
                <w:szCs w:val="22"/>
                <w:lang w:val="en-GB" w:eastAsia="en-GB"/>
              </w:rPr>
              <w:br/>
            </w:r>
            <w:r w:rsidRPr="000729CF">
              <w:rPr>
                <w:rFonts w:ascii="Calibri" w:hAnsi="Calibri" w:cs="Calibri"/>
                <w:sz w:val="22"/>
                <w:szCs w:val="22"/>
                <w:lang w:val="en-GB" w:eastAsia="en-GB"/>
              </w:rPr>
              <w:br/>
            </w:r>
            <w:r w:rsidRPr="000729CF">
              <w:rPr>
                <w:rFonts w:ascii="Calibri" w:hAnsi="Calibri" w:cs="Calibri"/>
                <w:b/>
                <w:bCs/>
                <w:sz w:val="22"/>
                <w:szCs w:val="22"/>
                <w:lang w:val="en-GB" w:eastAsia="en-GB"/>
              </w:rPr>
              <w:t>Delivery risk</w:t>
            </w:r>
            <w:r w:rsidRPr="000729CF">
              <w:rPr>
                <w:rFonts w:ascii="Calibri" w:hAnsi="Calibri" w:cs="Calibri"/>
                <w:sz w:val="22"/>
                <w:szCs w:val="22"/>
                <w:lang w:val="en-GB" w:eastAsia="en-GB"/>
              </w:rPr>
              <w:t>: The Community Care budget is demand-led and is under significant pressure which should be matched by government and service pressure funding.</w:t>
            </w:r>
            <w:r w:rsidRPr="000729CF">
              <w:rPr>
                <w:rFonts w:ascii="Calibri" w:hAnsi="Calibri" w:cs="Calibri"/>
                <w:sz w:val="22"/>
                <w:szCs w:val="22"/>
                <w:lang w:val="en-GB" w:eastAsia="en-GB"/>
              </w:rPr>
              <w:br/>
              <w:t>Craven Vale saving - the demand for reablement may reduce and there could be challenges recruiting therapist and care posts.</w:t>
            </w:r>
            <w:r w:rsidRPr="000729CF">
              <w:rPr>
                <w:rFonts w:ascii="Calibri" w:hAnsi="Calibri" w:cs="Calibri"/>
                <w:sz w:val="22"/>
                <w:szCs w:val="22"/>
                <w:lang w:val="en-GB" w:eastAsia="en-GB"/>
              </w:rPr>
              <w:br/>
              <w:t>Ther are also potential risks around provider failure / giving notice on services i.e. impacts on sufficiency.</w:t>
            </w:r>
            <w:r w:rsidRPr="000729CF">
              <w:rPr>
                <w:rFonts w:ascii="Calibri" w:hAnsi="Calibri" w:cs="Calibri"/>
                <w:sz w:val="22"/>
                <w:szCs w:val="22"/>
                <w:lang w:val="en-GB" w:eastAsia="en-GB"/>
              </w:rPr>
              <w:br/>
              <w:t>Delivery of the new TOM at Access Point will be required by 01/04/2024. See EIA 10</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58AF45C9"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1,707 </w:t>
            </w:r>
          </w:p>
        </w:tc>
      </w:tr>
      <w:tr w:rsidR="000729CF" w:rsidRPr="000729CF" w14:paraId="3F6DB74F" w14:textId="77777777" w:rsidTr="00BC26AB">
        <w:trPr>
          <w:trHeight w:val="20"/>
        </w:trPr>
        <w:tc>
          <w:tcPr>
            <w:tcW w:w="1148"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5CBAD382"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Assessment and Support Teams. Social Work teams delivering statutory duties under the Care Act to assess eligible needs, intervene where people are at risk to themselves, others or the community. Deliver statutory duties under the Mental Capacity Act, Safeguarding Vulnerable Adults, Deprivation of Liberty Safeguards (</w:t>
            </w:r>
            <w:proofErr w:type="spellStart"/>
            <w:r w:rsidRPr="000729CF">
              <w:rPr>
                <w:rFonts w:ascii="Calibri" w:hAnsi="Calibri" w:cs="Calibri"/>
                <w:color w:val="000000"/>
                <w:sz w:val="22"/>
                <w:szCs w:val="22"/>
                <w:lang w:val="en-GB" w:eastAsia="en-GB"/>
              </w:rPr>
              <w:t>DoL's</w:t>
            </w:r>
            <w:proofErr w:type="spellEnd"/>
            <w:r w:rsidRPr="000729CF">
              <w:rPr>
                <w:rFonts w:ascii="Calibri" w:hAnsi="Calibri" w:cs="Calibri"/>
                <w:color w:val="000000"/>
                <w:sz w:val="22"/>
                <w:szCs w:val="22"/>
                <w:lang w:val="en-GB" w:eastAsia="en-GB"/>
              </w:rPr>
              <w:t>)</w:t>
            </w:r>
          </w:p>
        </w:tc>
        <w:tc>
          <w:tcPr>
            <w:tcW w:w="1149" w:type="pct"/>
            <w:tcBorders>
              <w:top w:val="nil"/>
              <w:left w:val="nil"/>
              <w:bottom w:val="single" w:sz="4" w:space="0" w:color="auto"/>
              <w:right w:val="single" w:sz="4" w:space="0" w:color="auto"/>
            </w:tcBorders>
            <w:shd w:val="clear" w:color="auto" w:fill="auto"/>
            <w:tcMar>
              <w:left w:w="45" w:type="dxa"/>
              <w:right w:w="45" w:type="dxa"/>
            </w:tcMar>
            <w:hideMark/>
          </w:tcPr>
          <w:p w14:paraId="0650FEC4"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Assistant Director</w:t>
            </w:r>
            <w:r w:rsidRPr="000729CF">
              <w:rPr>
                <w:rFonts w:ascii="Calibri" w:hAnsi="Calibri" w:cs="Calibri"/>
                <w:sz w:val="22"/>
                <w:szCs w:val="22"/>
                <w:lang w:val="en-GB" w:eastAsia="en-GB"/>
              </w:rPr>
              <w:br/>
              <w:t xml:space="preserve">Community Short Term Services Social Work Team </w:t>
            </w:r>
            <w:r w:rsidRPr="000729CF">
              <w:rPr>
                <w:rFonts w:ascii="Calibri" w:hAnsi="Calibri" w:cs="Calibri"/>
                <w:sz w:val="22"/>
                <w:szCs w:val="22"/>
                <w:lang w:val="en-GB" w:eastAsia="en-GB"/>
              </w:rPr>
              <w:br/>
              <w:t>Access Point</w:t>
            </w:r>
            <w:r w:rsidRPr="000729CF">
              <w:rPr>
                <w:rFonts w:ascii="Calibri" w:hAnsi="Calibri" w:cs="Calibri"/>
                <w:sz w:val="22"/>
                <w:szCs w:val="22"/>
                <w:lang w:val="en-GB" w:eastAsia="en-GB"/>
              </w:rPr>
              <w:br/>
              <w:t>Financial Assessments</w:t>
            </w:r>
            <w:r w:rsidRPr="000729CF">
              <w:rPr>
                <w:rFonts w:ascii="Calibri" w:hAnsi="Calibri" w:cs="Calibri"/>
                <w:sz w:val="22"/>
                <w:szCs w:val="22"/>
                <w:lang w:val="en-GB" w:eastAsia="en-GB"/>
              </w:rPr>
              <w:br/>
              <w:t>Rapid Response Team</w:t>
            </w:r>
            <w:r w:rsidRPr="000729CF">
              <w:rPr>
                <w:rFonts w:ascii="Calibri" w:hAnsi="Calibri" w:cs="Calibri"/>
                <w:sz w:val="22"/>
                <w:szCs w:val="22"/>
                <w:lang w:val="en-GB" w:eastAsia="en-GB"/>
              </w:rPr>
              <w:br/>
              <w:t>Hospital Discharge Service Acute</w:t>
            </w:r>
            <w:r w:rsidRPr="000729CF">
              <w:rPr>
                <w:rFonts w:ascii="Calibri" w:hAnsi="Calibri" w:cs="Calibri"/>
                <w:sz w:val="22"/>
                <w:szCs w:val="22"/>
                <w:lang w:val="en-GB" w:eastAsia="en-GB"/>
              </w:rPr>
              <w:br/>
              <w:t>Planned Response Service</w:t>
            </w:r>
            <w:r w:rsidRPr="000729CF">
              <w:rPr>
                <w:rFonts w:ascii="Calibri" w:hAnsi="Calibri" w:cs="Calibri"/>
                <w:sz w:val="22"/>
                <w:szCs w:val="22"/>
                <w:lang w:val="en-GB" w:eastAsia="en-GB"/>
              </w:rPr>
              <w:br/>
              <w:t>Carers Development Team</w:t>
            </w:r>
            <w:r w:rsidRPr="000729CF">
              <w:rPr>
                <w:rFonts w:ascii="Calibri" w:hAnsi="Calibri" w:cs="Calibri"/>
                <w:sz w:val="22"/>
                <w:szCs w:val="22"/>
                <w:lang w:val="en-GB" w:eastAsia="en-GB"/>
              </w:rPr>
              <w:br/>
              <w:t>Assessment and Reablement</w:t>
            </w:r>
            <w:r w:rsidRPr="000729CF">
              <w:rPr>
                <w:rFonts w:ascii="Calibri" w:hAnsi="Calibri" w:cs="Calibri"/>
                <w:sz w:val="22"/>
                <w:szCs w:val="22"/>
                <w:lang w:val="en-GB" w:eastAsia="en-GB"/>
              </w:rPr>
              <w:br/>
              <w:t>Deprivation of Liberty Safeguarding team</w:t>
            </w:r>
            <w:r w:rsidRPr="000729CF">
              <w:rPr>
                <w:rFonts w:ascii="Calibri" w:hAnsi="Calibri" w:cs="Calibri"/>
                <w:sz w:val="22"/>
                <w:szCs w:val="22"/>
                <w:lang w:val="en-GB" w:eastAsia="en-GB"/>
              </w:rPr>
              <w:br/>
              <w:t>Independent Living</w:t>
            </w:r>
            <w:r w:rsidRPr="000729CF">
              <w:rPr>
                <w:rFonts w:ascii="Calibri" w:hAnsi="Calibri" w:cs="Calibri"/>
                <w:sz w:val="22"/>
                <w:szCs w:val="22"/>
                <w:lang w:val="en-GB" w:eastAsia="en-GB"/>
              </w:rPr>
              <w:br/>
              <w:t>Carelink</w:t>
            </w:r>
          </w:p>
        </w:tc>
        <w:tc>
          <w:tcPr>
            <w:tcW w:w="2260" w:type="pct"/>
            <w:tcBorders>
              <w:top w:val="nil"/>
              <w:left w:val="nil"/>
              <w:bottom w:val="single" w:sz="4" w:space="0" w:color="auto"/>
              <w:right w:val="single" w:sz="4" w:space="0" w:color="auto"/>
            </w:tcBorders>
            <w:shd w:val="clear" w:color="auto" w:fill="auto"/>
            <w:tcMar>
              <w:left w:w="45" w:type="dxa"/>
              <w:right w:w="45" w:type="dxa"/>
            </w:tcMar>
            <w:hideMark/>
          </w:tcPr>
          <w:p w14:paraId="6C4A6531"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Small increase in Public Health contribution to specialist drugs and alcohol service.</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7D18E748"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5 </w:t>
            </w:r>
          </w:p>
        </w:tc>
      </w:tr>
      <w:tr w:rsidR="000729CF" w:rsidRPr="000729CF" w14:paraId="28AAEDFC" w14:textId="77777777" w:rsidTr="00BC26AB">
        <w:trPr>
          <w:trHeight w:val="20"/>
        </w:trPr>
        <w:tc>
          <w:tcPr>
            <w:tcW w:w="1148"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6F1E18CE"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Assessment &amp; Support and Intervention Team (SIT)</w:t>
            </w:r>
          </w:p>
        </w:tc>
        <w:tc>
          <w:tcPr>
            <w:tcW w:w="1149" w:type="pct"/>
            <w:tcBorders>
              <w:top w:val="nil"/>
              <w:left w:val="nil"/>
              <w:bottom w:val="single" w:sz="4" w:space="0" w:color="auto"/>
              <w:right w:val="single" w:sz="4" w:space="0" w:color="auto"/>
            </w:tcBorders>
            <w:shd w:val="clear" w:color="auto" w:fill="auto"/>
            <w:tcMar>
              <w:left w:w="45" w:type="dxa"/>
              <w:right w:w="45" w:type="dxa"/>
            </w:tcMar>
            <w:hideMark/>
          </w:tcPr>
          <w:p w14:paraId="70AA7F22"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Community Equipment Service</w:t>
            </w:r>
          </w:p>
        </w:tc>
        <w:tc>
          <w:tcPr>
            <w:tcW w:w="2260" w:type="pct"/>
            <w:tcBorders>
              <w:top w:val="nil"/>
              <w:left w:val="nil"/>
              <w:bottom w:val="single" w:sz="4" w:space="0" w:color="auto"/>
              <w:right w:val="single" w:sz="4" w:space="0" w:color="auto"/>
            </w:tcBorders>
            <w:shd w:val="clear" w:color="auto" w:fill="auto"/>
            <w:tcMar>
              <w:left w:w="45" w:type="dxa"/>
              <w:right w:w="45" w:type="dxa"/>
            </w:tcMar>
            <w:hideMark/>
          </w:tcPr>
          <w:p w14:paraId="57DC358F"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Economies and efficiencies are continually explored as is recovery and refurbishment of equipment but no further saving opportunity is possible at present.</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35FF92AE"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1093783C" w14:textId="77777777" w:rsidTr="00BC26AB">
        <w:trPr>
          <w:trHeight w:val="20"/>
        </w:trPr>
        <w:tc>
          <w:tcPr>
            <w:tcW w:w="1148" w:type="pct"/>
            <w:tcBorders>
              <w:top w:val="nil"/>
              <w:left w:val="single" w:sz="4" w:space="0" w:color="auto"/>
              <w:bottom w:val="nil"/>
              <w:right w:val="single" w:sz="4" w:space="0" w:color="auto"/>
            </w:tcBorders>
            <w:shd w:val="clear" w:color="auto" w:fill="auto"/>
            <w:tcMar>
              <w:left w:w="45" w:type="dxa"/>
              <w:right w:w="45" w:type="dxa"/>
            </w:tcMar>
            <w:hideMark/>
          </w:tcPr>
          <w:p w14:paraId="4078AF0B"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Hostel Accommodation</w:t>
            </w:r>
          </w:p>
        </w:tc>
        <w:tc>
          <w:tcPr>
            <w:tcW w:w="1149" w:type="pct"/>
            <w:tcBorders>
              <w:top w:val="nil"/>
              <w:left w:val="nil"/>
              <w:bottom w:val="nil"/>
              <w:right w:val="single" w:sz="4" w:space="0" w:color="auto"/>
            </w:tcBorders>
            <w:shd w:val="clear" w:color="auto" w:fill="auto"/>
            <w:tcMar>
              <w:left w:w="45" w:type="dxa"/>
              <w:right w:w="45" w:type="dxa"/>
            </w:tcMar>
            <w:hideMark/>
          </w:tcPr>
          <w:p w14:paraId="70E0124F"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Hostel Accommodation</w:t>
            </w:r>
            <w:r w:rsidRPr="000729CF">
              <w:rPr>
                <w:rFonts w:ascii="Calibri" w:hAnsi="Calibri" w:cs="Calibri"/>
                <w:sz w:val="22"/>
                <w:szCs w:val="22"/>
                <w:lang w:val="en-GB" w:eastAsia="en-GB"/>
              </w:rPr>
              <w:br/>
            </w:r>
            <w:r w:rsidRPr="000729CF">
              <w:rPr>
                <w:rFonts w:ascii="Calibri" w:hAnsi="Calibri" w:cs="Calibri"/>
                <w:sz w:val="22"/>
                <w:szCs w:val="22"/>
                <w:lang w:val="en-GB" w:eastAsia="en-GB"/>
              </w:rPr>
              <w:br/>
              <w:t>71 beds budgeted for in 2023/24</w:t>
            </w:r>
          </w:p>
        </w:tc>
        <w:tc>
          <w:tcPr>
            <w:tcW w:w="2260" w:type="pct"/>
            <w:tcBorders>
              <w:top w:val="nil"/>
              <w:left w:val="nil"/>
              <w:bottom w:val="single" w:sz="4" w:space="0" w:color="auto"/>
              <w:right w:val="single" w:sz="4" w:space="0" w:color="auto"/>
            </w:tcBorders>
            <w:shd w:val="clear" w:color="auto" w:fill="auto"/>
            <w:tcMar>
              <w:left w:w="45" w:type="dxa"/>
              <w:right w:w="45" w:type="dxa"/>
            </w:tcMar>
            <w:hideMark/>
          </w:tcPr>
          <w:p w14:paraId="5F2B4E51"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Housing Benefit optimisation through increased income levels.</w:t>
            </w:r>
            <w:r w:rsidRPr="000729CF">
              <w:rPr>
                <w:rFonts w:ascii="Calibri" w:hAnsi="Calibri" w:cs="Calibri"/>
                <w:sz w:val="22"/>
                <w:szCs w:val="22"/>
                <w:lang w:val="en-GB" w:eastAsia="en-GB"/>
              </w:rPr>
              <w:br/>
              <w:t>Delivery risk: requires activity levels to be maintained. See EIA 11</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1B686FBD"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344 </w:t>
            </w:r>
          </w:p>
        </w:tc>
      </w:tr>
      <w:tr w:rsidR="000729CF" w:rsidRPr="000729CF" w14:paraId="41CBA495" w14:textId="77777777" w:rsidTr="00BC26AB">
        <w:trPr>
          <w:trHeight w:val="20"/>
        </w:trPr>
        <w:tc>
          <w:tcPr>
            <w:tcW w:w="1148" w:type="pct"/>
            <w:tcBorders>
              <w:top w:val="single" w:sz="4" w:space="0" w:color="auto"/>
              <w:left w:val="single" w:sz="4" w:space="0" w:color="auto"/>
              <w:bottom w:val="nil"/>
              <w:right w:val="single" w:sz="4" w:space="0" w:color="auto"/>
            </w:tcBorders>
            <w:shd w:val="clear" w:color="auto" w:fill="auto"/>
            <w:tcMar>
              <w:left w:w="45" w:type="dxa"/>
              <w:right w:w="45" w:type="dxa"/>
            </w:tcMar>
            <w:hideMark/>
          </w:tcPr>
          <w:p w14:paraId="04784FB8"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Memory &amp; Cognition Support - Residential</w:t>
            </w:r>
          </w:p>
        </w:tc>
        <w:tc>
          <w:tcPr>
            <w:tcW w:w="1149" w:type="pct"/>
            <w:tcBorders>
              <w:top w:val="single" w:sz="4" w:space="0" w:color="auto"/>
              <w:left w:val="nil"/>
              <w:bottom w:val="nil"/>
              <w:right w:val="single" w:sz="4" w:space="0" w:color="auto"/>
            </w:tcBorders>
            <w:shd w:val="clear" w:color="auto" w:fill="auto"/>
            <w:tcMar>
              <w:left w:w="45" w:type="dxa"/>
              <w:right w:w="45" w:type="dxa"/>
            </w:tcMar>
            <w:hideMark/>
          </w:tcPr>
          <w:p w14:paraId="169708FB"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xml:space="preserve">Ireland Lodge Residential </w:t>
            </w:r>
            <w:r w:rsidRPr="000729CF">
              <w:rPr>
                <w:rFonts w:ascii="Calibri" w:hAnsi="Calibri" w:cs="Calibri"/>
                <w:sz w:val="22"/>
                <w:szCs w:val="22"/>
                <w:lang w:val="en-GB" w:eastAsia="en-GB"/>
              </w:rPr>
              <w:br/>
              <w:t xml:space="preserve">Wayfield Ave Residential </w:t>
            </w:r>
            <w:r w:rsidRPr="000729CF">
              <w:rPr>
                <w:rFonts w:ascii="Calibri" w:hAnsi="Calibri" w:cs="Calibri"/>
                <w:sz w:val="22"/>
                <w:szCs w:val="22"/>
                <w:lang w:val="en-GB" w:eastAsia="en-GB"/>
              </w:rPr>
              <w:br/>
            </w:r>
            <w:r w:rsidRPr="000729CF">
              <w:rPr>
                <w:rFonts w:ascii="Calibri" w:hAnsi="Calibri" w:cs="Calibri"/>
                <w:sz w:val="22"/>
                <w:szCs w:val="22"/>
                <w:lang w:val="en-GB" w:eastAsia="en-GB"/>
              </w:rPr>
              <w:br/>
              <w:t>58 budgeted capacity for 2023/24</w:t>
            </w:r>
          </w:p>
        </w:tc>
        <w:tc>
          <w:tcPr>
            <w:tcW w:w="2260" w:type="pct"/>
            <w:tcBorders>
              <w:top w:val="nil"/>
              <w:left w:val="nil"/>
              <w:bottom w:val="single" w:sz="4" w:space="0" w:color="auto"/>
              <w:right w:val="single" w:sz="4" w:space="0" w:color="auto"/>
            </w:tcBorders>
            <w:shd w:val="clear" w:color="auto" w:fill="auto"/>
            <w:tcMar>
              <w:left w:w="45" w:type="dxa"/>
              <w:right w:w="45" w:type="dxa"/>
            </w:tcMar>
            <w:hideMark/>
          </w:tcPr>
          <w:p w14:paraId="3B40556F"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Reduce service to 24 beds from 34 beds currently.</w:t>
            </w:r>
            <w:r w:rsidRPr="000729CF">
              <w:rPr>
                <w:rFonts w:ascii="Calibri" w:hAnsi="Calibri" w:cs="Calibri"/>
                <w:sz w:val="22"/>
                <w:szCs w:val="22"/>
                <w:lang w:val="en-GB" w:eastAsia="en-GB"/>
              </w:rPr>
              <w:br/>
              <w:t>Delivery risk: Alternative private and independent sector provision is available. A full year saving may not be achieved due to other staffing pressures. See EIA 11</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2E1A4B68"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211 </w:t>
            </w:r>
          </w:p>
        </w:tc>
      </w:tr>
      <w:tr w:rsidR="000729CF" w:rsidRPr="000729CF" w14:paraId="04B45CBF" w14:textId="77777777" w:rsidTr="00BC26AB">
        <w:trPr>
          <w:trHeight w:val="20"/>
        </w:trPr>
        <w:tc>
          <w:tcPr>
            <w:tcW w:w="1148" w:type="pct"/>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hideMark/>
          </w:tcPr>
          <w:p w14:paraId="3C75ACC4"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Physical Support - Residential</w:t>
            </w:r>
          </w:p>
        </w:tc>
        <w:tc>
          <w:tcPr>
            <w:tcW w:w="1149" w:type="pct"/>
            <w:tcBorders>
              <w:top w:val="single" w:sz="4" w:space="0" w:color="auto"/>
              <w:left w:val="nil"/>
              <w:bottom w:val="single" w:sz="4" w:space="0" w:color="auto"/>
              <w:right w:val="single" w:sz="4" w:space="0" w:color="auto"/>
            </w:tcBorders>
            <w:shd w:val="clear" w:color="auto" w:fill="auto"/>
            <w:tcMar>
              <w:left w:w="45" w:type="dxa"/>
              <w:right w:w="45" w:type="dxa"/>
            </w:tcMar>
            <w:hideMark/>
          </w:tcPr>
          <w:p w14:paraId="09719D5E"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xml:space="preserve">Craven Vale Resource Centre </w:t>
            </w:r>
            <w:r w:rsidRPr="000729CF">
              <w:rPr>
                <w:rFonts w:ascii="Calibri" w:hAnsi="Calibri" w:cs="Calibri"/>
                <w:sz w:val="22"/>
                <w:szCs w:val="22"/>
                <w:lang w:val="en-GB" w:eastAsia="en-GB"/>
              </w:rPr>
              <w:br/>
              <w:t>24 budgeted capacity for 2023/24</w:t>
            </w:r>
          </w:p>
        </w:tc>
        <w:tc>
          <w:tcPr>
            <w:tcW w:w="2260" w:type="pct"/>
            <w:tcBorders>
              <w:top w:val="nil"/>
              <w:left w:val="nil"/>
              <w:bottom w:val="single" w:sz="4" w:space="0" w:color="auto"/>
              <w:right w:val="single" w:sz="4" w:space="0" w:color="auto"/>
            </w:tcBorders>
            <w:shd w:val="clear" w:color="auto" w:fill="auto"/>
            <w:tcMar>
              <w:left w:w="45" w:type="dxa"/>
              <w:right w:w="45" w:type="dxa"/>
            </w:tcMar>
            <w:hideMark/>
          </w:tcPr>
          <w:p w14:paraId="66AEE188"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No saving identified but see linked proposal above to utilise Craven Vale to achieve Community Care savings.</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5E0F1C0F"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0276403C" w14:textId="77777777" w:rsidTr="00BC26AB">
        <w:trPr>
          <w:trHeight w:val="20"/>
        </w:trPr>
        <w:tc>
          <w:tcPr>
            <w:tcW w:w="1148"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1656B114"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Community Short Term Services</w:t>
            </w:r>
          </w:p>
        </w:tc>
        <w:tc>
          <w:tcPr>
            <w:tcW w:w="1149" w:type="pct"/>
            <w:tcBorders>
              <w:top w:val="nil"/>
              <w:left w:val="nil"/>
              <w:bottom w:val="single" w:sz="4" w:space="0" w:color="auto"/>
              <w:right w:val="single" w:sz="4" w:space="0" w:color="auto"/>
            </w:tcBorders>
            <w:shd w:val="clear" w:color="auto" w:fill="auto"/>
            <w:tcMar>
              <w:left w:w="45" w:type="dxa"/>
              <w:right w:w="45" w:type="dxa"/>
            </w:tcMar>
            <w:hideMark/>
          </w:tcPr>
          <w:p w14:paraId="16D40DC1"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Community Short Term Services &amp; Independence at Home  (Including Early Supported Stroke Discharge and Apportionment of Assessment Duties Budget capacity for 2023/24 assumes a max of 65 people in service at any time through 12 month period</w:t>
            </w:r>
          </w:p>
        </w:tc>
        <w:tc>
          <w:tcPr>
            <w:tcW w:w="2260" w:type="pct"/>
            <w:tcBorders>
              <w:top w:val="nil"/>
              <w:left w:val="nil"/>
              <w:bottom w:val="single" w:sz="4" w:space="0" w:color="auto"/>
              <w:right w:val="single" w:sz="4" w:space="0" w:color="auto"/>
            </w:tcBorders>
            <w:shd w:val="clear" w:color="auto" w:fill="auto"/>
            <w:tcMar>
              <w:left w:w="45" w:type="dxa"/>
              <w:right w:w="45" w:type="dxa"/>
            </w:tcMar>
            <w:hideMark/>
          </w:tcPr>
          <w:p w14:paraId="60207582"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Efficiencies in premises budget and efficiencies through deletion of vacant posts.</w:t>
            </w:r>
            <w:r w:rsidRPr="000729CF">
              <w:rPr>
                <w:rFonts w:ascii="Calibri" w:hAnsi="Calibri" w:cs="Calibri"/>
                <w:sz w:val="22"/>
                <w:szCs w:val="22"/>
                <w:lang w:val="en-GB" w:eastAsia="en-GB"/>
              </w:rPr>
              <w:br/>
            </w:r>
            <w:r w:rsidRPr="000729CF">
              <w:rPr>
                <w:rFonts w:ascii="Calibri" w:hAnsi="Calibri" w:cs="Calibri"/>
                <w:sz w:val="22"/>
                <w:szCs w:val="22"/>
                <w:lang w:val="en-GB" w:eastAsia="en-GB"/>
              </w:rPr>
              <w:br/>
              <w:t>Delivery risk: reducing opportunity for growth and flexibility within the reablement service. See EIA 11</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5848F89B"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130 </w:t>
            </w:r>
          </w:p>
        </w:tc>
      </w:tr>
      <w:tr w:rsidR="000729CF" w:rsidRPr="000729CF" w14:paraId="1E81C38C" w14:textId="77777777" w:rsidTr="00BC26AB">
        <w:trPr>
          <w:trHeight w:val="20"/>
        </w:trPr>
        <w:tc>
          <w:tcPr>
            <w:tcW w:w="1148"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0D8ADCD2"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Services for Adults with learning disabilities</w:t>
            </w:r>
          </w:p>
        </w:tc>
        <w:tc>
          <w:tcPr>
            <w:tcW w:w="1149" w:type="pct"/>
            <w:tcBorders>
              <w:top w:val="nil"/>
              <w:left w:val="nil"/>
              <w:bottom w:val="single" w:sz="4" w:space="0" w:color="auto"/>
              <w:right w:val="single" w:sz="4" w:space="0" w:color="auto"/>
            </w:tcBorders>
            <w:shd w:val="clear" w:color="auto" w:fill="auto"/>
            <w:tcMar>
              <w:left w:w="45" w:type="dxa"/>
              <w:right w:w="45" w:type="dxa"/>
            </w:tcMar>
            <w:hideMark/>
          </w:tcPr>
          <w:p w14:paraId="23461F69"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Management, assessment, operations and admin</w:t>
            </w:r>
          </w:p>
        </w:tc>
        <w:tc>
          <w:tcPr>
            <w:tcW w:w="2260" w:type="pct"/>
            <w:tcBorders>
              <w:top w:val="nil"/>
              <w:left w:val="nil"/>
              <w:bottom w:val="single" w:sz="4" w:space="0" w:color="auto"/>
              <w:right w:val="single" w:sz="4" w:space="0" w:color="auto"/>
            </w:tcBorders>
            <w:shd w:val="clear" w:color="auto" w:fill="auto"/>
            <w:tcMar>
              <w:left w:w="45" w:type="dxa"/>
              <w:right w:w="45" w:type="dxa"/>
            </w:tcMar>
            <w:hideMark/>
          </w:tcPr>
          <w:p w14:paraId="542FD5B0"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No direct saving but will be considered as part of overall 'Organisational Design' principles.</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4A2592E9"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67676F80" w14:textId="77777777" w:rsidTr="00BC26AB">
        <w:trPr>
          <w:trHeight w:val="20"/>
        </w:trPr>
        <w:tc>
          <w:tcPr>
            <w:tcW w:w="1148"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73378F99"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Community Care  budget funding packages of care to meet statutory responsibilities across adult care groups apart from Learning Disability and Mental Health. Services include; community support, home care, supported accommodation, residential and nursing care.</w:t>
            </w:r>
          </w:p>
        </w:tc>
        <w:tc>
          <w:tcPr>
            <w:tcW w:w="1149" w:type="pct"/>
            <w:tcBorders>
              <w:top w:val="nil"/>
              <w:left w:val="nil"/>
              <w:bottom w:val="single" w:sz="4" w:space="0" w:color="auto"/>
              <w:right w:val="single" w:sz="4" w:space="0" w:color="auto"/>
            </w:tcBorders>
            <w:shd w:val="clear" w:color="auto" w:fill="auto"/>
            <w:tcMar>
              <w:left w:w="45" w:type="dxa"/>
              <w:right w:w="45" w:type="dxa"/>
            </w:tcMar>
            <w:hideMark/>
          </w:tcPr>
          <w:p w14:paraId="358CD433"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Learning Disabilities</w:t>
            </w:r>
            <w:r w:rsidRPr="000729CF">
              <w:rPr>
                <w:rFonts w:ascii="Calibri" w:hAnsi="Calibri" w:cs="Calibri"/>
                <w:sz w:val="22"/>
                <w:szCs w:val="22"/>
                <w:lang w:val="en-GB" w:eastAsia="en-GB"/>
              </w:rPr>
              <w:br/>
            </w:r>
            <w:r w:rsidRPr="000729CF">
              <w:rPr>
                <w:rFonts w:ascii="Calibri" w:hAnsi="Calibri" w:cs="Calibri"/>
                <w:sz w:val="22"/>
                <w:szCs w:val="22"/>
                <w:lang w:val="en-GB" w:eastAsia="en-GB"/>
              </w:rPr>
              <w:br/>
              <w:t>1,103 budgeted capacity for 2023/24</w:t>
            </w:r>
          </w:p>
        </w:tc>
        <w:tc>
          <w:tcPr>
            <w:tcW w:w="2260" w:type="pct"/>
            <w:tcBorders>
              <w:top w:val="nil"/>
              <w:left w:val="nil"/>
              <w:bottom w:val="single" w:sz="4" w:space="0" w:color="auto"/>
              <w:right w:val="single" w:sz="4" w:space="0" w:color="auto"/>
            </w:tcBorders>
            <w:shd w:val="clear" w:color="auto" w:fill="auto"/>
            <w:tcMar>
              <w:left w:w="45" w:type="dxa"/>
              <w:right w:w="45" w:type="dxa"/>
            </w:tcMar>
            <w:hideMark/>
          </w:tcPr>
          <w:p w14:paraId="76B5667D"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Savings proposals include:</w:t>
            </w:r>
            <w:r w:rsidRPr="000729CF">
              <w:rPr>
                <w:rFonts w:ascii="Calibri" w:hAnsi="Calibri" w:cs="Calibri"/>
                <w:sz w:val="22"/>
                <w:szCs w:val="22"/>
                <w:lang w:val="en-GB" w:eastAsia="en-GB"/>
              </w:rPr>
              <w:br/>
              <w:t>£450k through managing provider fee uplifts taking into account the current market fee position;</w:t>
            </w:r>
            <w:r w:rsidRPr="000729CF">
              <w:rPr>
                <w:rFonts w:ascii="Calibri" w:hAnsi="Calibri" w:cs="Calibri"/>
                <w:sz w:val="22"/>
                <w:szCs w:val="22"/>
                <w:lang w:val="en-GB" w:eastAsia="en-GB"/>
              </w:rPr>
              <w:br/>
              <w:t>£141k Housing Benefit optimisation through increased income levels;</w:t>
            </w:r>
            <w:r w:rsidRPr="000729CF">
              <w:rPr>
                <w:rFonts w:ascii="Calibri" w:hAnsi="Calibri" w:cs="Calibri"/>
                <w:sz w:val="22"/>
                <w:szCs w:val="22"/>
                <w:lang w:val="en-GB" w:eastAsia="en-GB"/>
              </w:rPr>
              <w:br/>
              <w:t>£172k continuation of targeted reviews supporting adults to move from high cost placements into new living arrangements which promote independence;</w:t>
            </w:r>
            <w:r w:rsidRPr="000729CF">
              <w:rPr>
                <w:rFonts w:ascii="Calibri" w:hAnsi="Calibri" w:cs="Calibri"/>
                <w:sz w:val="22"/>
                <w:szCs w:val="22"/>
                <w:lang w:val="en-GB" w:eastAsia="en-GB"/>
              </w:rPr>
              <w:br/>
              <w:t>£50k review of existing block contracts.</w:t>
            </w:r>
            <w:r w:rsidRPr="000729CF">
              <w:rPr>
                <w:rFonts w:ascii="Calibri" w:hAnsi="Calibri" w:cs="Calibri"/>
                <w:sz w:val="22"/>
                <w:szCs w:val="22"/>
                <w:lang w:val="en-GB" w:eastAsia="en-GB"/>
              </w:rPr>
              <w:br/>
            </w:r>
            <w:r w:rsidRPr="000729CF">
              <w:rPr>
                <w:rFonts w:ascii="Calibri" w:hAnsi="Calibri" w:cs="Calibri"/>
                <w:sz w:val="22"/>
                <w:szCs w:val="22"/>
                <w:lang w:val="en-GB" w:eastAsia="en-GB"/>
              </w:rPr>
              <w:br/>
              <w:t>Delivery risk: potential risks around provider failure / giving notice on services. See EIA 10</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2829D1EE"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813 </w:t>
            </w:r>
          </w:p>
        </w:tc>
      </w:tr>
      <w:tr w:rsidR="000729CF" w:rsidRPr="000729CF" w14:paraId="55141F89" w14:textId="77777777" w:rsidTr="00BC26AB">
        <w:trPr>
          <w:trHeight w:val="20"/>
        </w:trPr>
        <w:tc>
          <w:tcPr>
            <w:tcW w:w="1148"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062D6BC1"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Learning Disabilities - Community Support (Adults)</w:t>
            </w:r>
          </w:p>
        </w:tc>
        <w:tc>
          <w:tcPr>
            <w:tcW w:w="1149" w:type="pct"/>
            <w:tcBorders>
              <w:top w:val="nil"/>
              <w:left w:val="nil"/>
              <w:bottom w:val="single" w:sz="4" w:space="0" w:color="auto"/>
              <w:right w:val="single" w:sz="4" w:space="0" w:color="auto"/>
            </w:tcBorders>
            <w:shd w:val="clear" w:color="auto" w:fill="auto"/>
            <w:tcMar>
              <w:left w:w="45" w:type="dxa"/>
              <w:right w:w="45" w:type="dxa"/>
            </w:tcMar>
            <w:hideMark/>
          </w:tcPr>
          <w:p w14:paraId="178B6DF5" w14:textId="77777777" w:rsidR="000729CF" w:rsidRPr="000729CF" w:rsidRDefault="000729CF" w:rsidP="000729CF">
            <w:pPr>
              <w:spacing w:after="240"/>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In-house Community Support Service</w:t>
            </w:r>
          </w:p>
        </w:tc>
        <w:tc>
          <w:tcPr>
            <w:tcW w:w="2260" w:type="pct"/>
            <w:tcBorders>
              <w:top w:val="nil"/>
              <w:left w:val="nil"/>
              <w:bottom w:val="single" w:sz="4" w:space="0" w:color="auto"/>
              <w:right w:val="single" w:sz="4" w:space="0" w:color="auto"/>
            </w:tcBorders>
            <w:shd w:val="clear" w:color="auto" w:fill="auto"/>
            <w:tcMar>
              <w:left w:w="45" w:type="dxa"/>
              <w:right w:w="45" w:type="dxa"/>
            </w:tcMar>
            <w:hideMark/>
          </w:tcPr>
          <w:p w14:paraId="5B06153C"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xml:space="preserve">Proposed saving of £182k from closure of in-house Community Support Service, through alternative spot purchasing of support hours via independent sector contract framework. Redeployment of staff into existing vacancies and/or managing staffing changes through a voluntary severance process may be required. </w:t>
            </w:r>
            <w:r w:rsidRPr="000729CF">
              <w:rPr>
                <w:rFonts w:ascii="Calibri" w:hAnsi="Calibri" w:cs="Calibri"/>
                <w:sz w:val="22"/>
                <w:szCs w:val="22"/>
                <w:lang w:val="en-GB" w:eastAsia="en-GB"/>
              </w:rPr>
              <w:br/>
              <w:t>Delivery Risk: ensuring there is enough market capacity to absorb spot purchasing and industrial relations issues delay staff moves. See EIA 11</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136998B5"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182 </w:t>
            </w:r>
          </w:p>
        </w:tc>
      </w:tr>
      <w:tr w:rsidR="000729CF" w:rsidRPr="000729CF" w14:paraId="1C8FAABD" w14:textId="77777777" w:rsidTr="00BC26AB">
        <w:trPr>
          <w:trHeight w:val="20"/>
        </w:trPr>
        <w:tc>
          <w:tcPr>
            <w:tcW w:w="1148"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000AA510"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Learning Disabilities - Day Services (Adults)</w:t>
            </w:r>
          </w:p>
        </w:tc>
        <w:tc>
          <w:tcPr>
            <w:tcW w:w="1149" w:type="pct"/>
            <w:tcBorders>
              <w:top w:val="nil"/>
              <w:left w:val="nil"/>
              <w:bottom w:val="single" w:sz="4" w:space="0" w:color="auto"/>
              <w:right w:val="single" w:sz="4" w:space="0" w:color="auto"/>
            </w:tcBorders>
            <w:shd w:val="clear" w:color="auto" w:fill="auto"/>
            <w:tcMar>
              <w:left w:w="45" w:type="dxa"/>
              <w:right w:w="45" w:type="dxa"/>
            </w:tcMar>
            <w:hideMark/>
          </w:tcPr>
          <w:p w14:paraId="336B0592"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In-house Day Service</w:t>
            </w:r>
          </w:p>
        </w:tc>
        <w:tc>
          <w:tcPr>
            <w:tcW w:w="2260" w:type="pct"/>
            <w:tcBorders>
              <w:top w:val="nil"/>
              <w:left w:val="nil"/>
              <w:bottom w:val="single" w:sz="4" w:space="0" w:color="auto"/>
              <w:right w:val="single" w:sz="4" w:space="0" w:color="auto"/>
            </w:tcBorders>
            <w:shd w:val="clear" w:color="auto" w:fill="auto"/>
            <w:tcMar>
              <w:left w:w="45" w:type="dxa"/>
              <w:right w:w="45" w:type="dxa"/>
            </w:tcMar>
            <w:hideMark/>
          </w:tcPr>
          <w:p w14:paraId="2BC172B5"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Efficiencies within the service are achievable through deletion of vacant posts. See EIA 11</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375A4180"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75 </w:t>
            </w:r>
          </w:p>
        </w:tc>
      </w:tr>
      <w:tr w:rsidR="000729CF" w:rsidRPr="000729CF" w14:paraId="20A8BBD0" w14:textId="77777777" w:rsidTr="00BC26AB">
        <w:trPr>
          <w:trHeight w:val="20"/>
        </w:trPr>
        <w:tc>
          <w:tcPr>
            <w:tcW w:w="1148"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4E95C2F7"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Learning Disabilities - Residential (Adults)</w:t>
            </w:r>
          </w:p>
        </w:tc>
        <w:tc>
          <w:tcPr>
            <w:tcW w:w="1149" w:type="pct"/>
            <w:tcBorders>
              <w:top w:val="nil"/>
              <w:left w:val="nil"/>
              <w:bottom w:val="single" w:sz="4" w:space="0" w:color="auto"/>
              <w:right w:val="single" w:sz="4" w:space="0" w:color="auto"/>
            </w:tcBorders>
            <w:shd w:val="clear" w:color="auto" w:fill="auto"/>
            <w:tcMar>
              <w:left w:w="45" w:type="dxa"/>
              <w:right w:w="45" w:type="dxa"/>
            </w:tcMar>
            <w:hideMark/>
          </w:tcPr>
          <w:p w14:paraId="6265614F"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In-house Residential</w:t>
            </w:r>
          </w:p>
        </w:tc>
        <w:tc>
          <w:tcPr>
            <w:tcW w:w="2260" w:type="pct"/>
            <w:tcBorders>
              <w:top w:val="nil"/>
              <w:left w:val="nil"/>
              <w:bottom w:val="single" w:sz="4" w:space="0" w:color="auto"/>
              <w:right w:val="single" w:sz="4" w:space="0" w:color="auto"/>
            </w:tcBorders>
            <w:shd w:val="clear" w:color="auto" w:fill="auto"/>
            <w:tcMar>
              <w:left w:w="45" w:type="dxa"/>
              <w:right w:w="45" w:type="dxa"/>
            </w:tcMar>
            <w:hideMark/>
          </w:tcPr>
          <w:p w14:paraId="6652FCE6"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No saving opportunity identified for 2024/25.</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18BCDE4C"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5098B91D" w14:textId="77777777" w:rsidTr="00BC26AB">
        <w:trPr>
          <w:trHeight w:val="20"/>
        </w:trPr>
        <w:tc>
          <w:tcPr>
            <w:tcW w:w="1148"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0439E8DE"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Learning Disabilities - Residential (Adults)</w:t>
            </w:r>
          </w:p>
        </w:tc>
        <w:tc>
          <w:tcPr>
            <w:tcW w:w="1149" w:type="pct"/>
            <w:tcBorders>
              <w:top w:val="nil"/>
              <w:left w:val="nil"/>
              <w:bottom w:val="single" w:sz="4" w:space="0" w:color="auto"/>
              <w:right w:val="single" w:sz="4" w:space="0" w:color="auto"/>
            </w:tcBorders>
            <w:shd w:val="clear" w:color="auto" w:fill="auto"/>
            <w:tcMar>
              <w:left w:w="45" w:type="dxa"/>
              <w:right w:w="45" w:type="dxa"/>
            </w:tcMar>
            <w:hideMark/>
          </w:tcPr>
          <w:p w14:paraId="3CA73902"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In-house Respite Services</w:t>
            </w:r>
          </w:p>
        </w:tc>
        <w:tc>
          <w:tcPr>
            <w:tcW w:w="2260" w:type="pct"/>
            <w:tcBorders>
              <w:top w:val="nil"/>
              <w:left w:val="nil"/>
              <w:bottom w:val="single" w:sz="4" w:space="0" w:color="auto"/>
              <w:right w:val="single" w:sz="4" w:space="0" w:color="auto"/>
            </w:tcBorders>
            <w:shd w:val="clear" w:color="auto" w:fill="auto"/>
            <w:tcMar>
              <w:left w:w="45" w:type="dxa"/>
              <w:right w:w="45" w:type="dxa"/>
            </w:tcMar>
            <w:hideMark/>
          </w:tcPr>
          <w:p w14:paraId="7642C994"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No saving opportunity identified for 2024/25.</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7B3C3A62"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69692EEF" w14:textId="77777777" w:rsidTr="00BC26AB">
        <w:trPr>
          <w:trHeight w:val="20"/>
        </w:trPr>
        <w:tc>
          <w:tcPr>
            <w:tcW w:w="1148"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0E025C96"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Learning Disabilities - Shared Lives (Adults)</w:t>
            </w:r>
          </w:p>
        </w:tc>
        <w:tc>
          <w:tcPr>
            <w:tcW w:w="1149" w:type="pct"/>
            <w:tcBorders>
              <w:top w:val="nil"/>
              <w:left w:val="nil"/>
              <w:bottom w:val="single" w:sz="4" w:space="0" w:color="auto"/>
              <w:right w:val="single" w:sz="4" w:space="0" w:color="auto"/>
            </w:tcBorders>
            <w:shd w:val="clear" w:color="auto" w:fill="auto"/>
            <w:tcMar>
              <w:left w:w="45" w:type="dxa"/>
              <w:right w:w="45" w:type="dxa"/>
            </w:tcMar>
            <w:hideMark/>
          </w:tcPr>
          <w:p w14:paraId="0BA6B22C"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In-house Shared Lives Service</w:t>
            </w:r>
          </w:p>
        </w:tc>
        <w:tc>
          <w:tcPr>
            <w:tcW w:w="2260" w:type="pct"/>
            <w:tcBorders>
              <w:top w:val="nil"/>
              <w:left w:val="nil"/>
              <w:bottom w:val="single" w:sz="4" w:space="0" w:color="auto"/>
              <w:right w:val="single" w:sz="4" w:space="0" w:color="auto"/>
            </w:tcBorders>
            <w:shd w:val="clear" w:color="auto" w:fill="auto"/>
            <w:tcMar>
              <w:left w:w="45" w:type="dxa"/>
              <w:right w:w="45" w:type="dxa"/>
            </w:tcMar>
            <w:hideMark/>
          </w:tcPr>
          <w:p w14:paraId="150E06FF"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No saving opportunity identified for 2024/25.</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562F2347"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239E2243" w14:textId="77777777" w:rsidTr="00BC26AB">
        <w:trPr>
          <w:trHeight w:val="20"/>
        </w:trPr>
        <w:tc>
          <w:tcPr>
            <w:tcW w:w="1148"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033A865B"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Learning Disabilities - Supported Accommodation (Adults)</w:t>
            </w:r>
          </w:p>
        </w:tc>
        <w:tc>
          <w:tcPr>
            <w:tcW w:w="1149" w:type="pct"/>
            <w:tcBorders>
              <w:top w:val="nil"/>
              <w:left w:val="nil"/>
              <w:bottom w:val="single" w:sz="4" w:space="0" w:color="auto"/>
              <w:right w:val="single" w:sz="4" w:space="0" w:color="auto"/>
            </w:tcBorders>
            <w:shd w:val="clear" w:color="auto" w:fill="auto"/>
            <w:tcMar>
              <w:left w:w="45" w:type="dxa"/>
              <w:right w:w="45" w:type="dxa"/>
            </w:tcMar>
            <w:hideMark/>
          </w:tcPr>
          <w:p w14:paraId="77410A60" w14:textId="77777777" w:rsidR="000729CF" w:rsidRPr="000729CF" w:rsidRDefault="000729CF" w:rsidP="000729CF">
            <w:pPr>
              <w:spacing w:after="240"/>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In-house Supported Living</w:t>
            </w:r>
          </w:p>
        </w:tc>
        <w:tc>
          <w:tcPr>
            <w:tcW w:w="2260" w:type="pct"/>
            <w:tcBorders>
              <w:top w:val="nil"/>
              <w:left w:val="nil"/>
              <w:bottom w:val="single" w:sz="4" w:space="0" w:color="auto"/>
              <w:right w:val="single" w:sz="4" w:space="0" w:color="auto"/>
            </w:tcBorders>
            <w:shd w:val="clear" w:color="auto" w:fill="auto"/>
            <w:tcMar>
              <w:left w:w="45" w:type="dxa"/>
              <w:right w:w="45" w:type="dxa"/>
            </w:tcMar>
            <w:hideMark/>
          </w:tcPr>
          <w:p w14:paraId="1538035C"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xml:space="preserve">Closure of Cromwell Road (£327k) - service </w:t>
            </w:r>
            <w:proofErr w:type="spellStart"/>
            <w:r w:rsidRPr="000729CF">
              <w:rPr>
                <w:rFonts w:ascii="Calibri" w:hAnsi="Calibri" w:cs="Calibri"/>
                <w:sz w:val="22"/>
                <w:szCs w:val="22"/>
                <w:lang w:val="en-GB" w:eastAsia="en-GB"/>
              </w:rPr>
              <w:t>users</w:t>
            </w:r>
            <w:proofErr w:type="spellEnd"/>
            <w:r w:rsidRPr="000729CF">
              <w:rPr>
                <w:rFonts w:ascii="Calibri" w:hAnsi="Calibri" w:cs="Calibri"/>
                <w:sz w:val="22"/>
                <w:szCs w:val="22"/>
                <w:lang w:val="en-GB" w:eastAsia="en-GB"/>
              </w:rPr>
              <w:t xml:space="preserve"> needs can be met within the independent sector and/or through moves within existing in-house LD Services. Staff redeployment across in-house services and/or a voluntary severance process may be required. </w:t>
            </w:r>
            <w:r w:rsidRPr="000729CF">
              <w:rPr>
                <w:rFonts w:ascii="Calibri" w:hAnsi="Calibri" w:cs="Calibri"/>
                <w:sz w:val="22"/>
                <w:szCs w:val="22"/>
                <w:lang w:val="en-GB" w:eastAsia="en-GB"/>
              </w:rPr>
              <w:br/>
              <w:t>Delivery risk: time taken to identify suitable placement for Cromwell Rd tenant requiring another service model. See EIA 11</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20E59BFE"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327 </w:t>
            </w:r>
          </w:p>
        </w:tc>
      </w:tr>
      <w:tr w:rsidR="000729CF" w:rsidRPr="000729CF" w14:paraId="61FB02D4" w14:textId="77777777" w:rsidTr="00BC26AB">
        <w:trPr>
          <w:trHeight w:val="20"/>
        </w:trPr>
        <w:tc>
          <w:tcPr>
            <w:tcW w:w="2297" w:type="pct"/>
            <w:gridSpan w:val="2"/>
            <w:tcBorders>
              <w:top w:val="single" w:sz="4" w:space="0" w:color="auto"/>
              <w:left w:val="single" w:sz="4" w:space="0" w:color="auto"/>
              <w:bottom w:val="single" w:sz="4" w:space="0" w:color="auto"/>
              <w:right w:val="single" w:sz="4" w:space="0" w:color="auto"/>
            </w:tcBorders>
            <w:shd w:val="clear" w:color="000000" w:fill="A6A6A6"/>
            <w:noWrap/>
            <w:tcMar>
              <w:left w:w="45" w:type="dxa"/>
              <w:right w:w="45" w:type="dxa"/>
            </w:tcMar>
            <w:hideMark/>
          </w:tcPr>
          <w:p w14:paraId="049526A8"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Adult Social Care Total</w:t>
            </w:r>
          </w:p>
        </w:tc>
        <w:tc>
          <w:tcPr>
            <w:tcW w:w="2260" w:type="pct"/>
            <w:tcBorders>
              <w:top w:val="nil"/>
              <w:left w:val="nil"/>
              <w:bottom w:val="single" w:sz="4" w:space="0" w:color="auto"/>
              <w:right w:val="single" w:sz="4" w:space="0" w:color="auto"/>
            </w:tcBorders>
            <w:shd w:val="clear" w:color="000000" w:fill="A6A6A6"/>
            <w:noWrap/>
            <w:tcMar>
              <w:left w:w="45" w:type="dxa"/>
              <w:right w:w="45" w:type="dxa"/>
            </w:tcMar>
            <w:hideMark/>
          </w:tcPr>
          <w:p w14:paraId="68F8A4FD"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w:t>
            </w:r>
          </w:p>
        </w:tc>
        <w:tc>
          <w:tcPr>
            <w:tcW w:w="443" w:type="pct"/>
            <w:tcBorders>
              <w:top w:val="nil"/>
              <w:left w:val="nil"/>
              <w:bottom w:val="single" w:sz="4" w:space="0" w:color="auto"/>
              <w:right w:val="single" w:sz="4" w:space="0" w:color="auto"/>
            </w:tcBorders>
            <w:shd w:val="clear" w:color="000000" w:fill="A6A6A6"/>
            <w:noWrap/>
            <w:tcMar>
              <w:left w:w="45" w:type="dxa"/>
              <w:right w:w="45" w:type="dxa"/>
            </w:tcMar>
            <w:hideMark/>
          </w:tcPr>
          <w:p w14:paraId="25DE7353"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3,794 </w:t>
            </w:r>
          </w:p>
        </w:tc>
      </w:tr>
      <w:tr w:rsidR="000729CF" w:rsidRPr="000729CF" w14:paraId="5F5DCA3D" w14:textId="77777777" w:rsidTr="00BC26AB">
        <w:trPr>
          <w:trHeight w:val="20"/>
        </w:trPr>
        <w:tc>
          <w:tcPr>
            <w:tcW w:w="4557" w:type="pct"/>
            <w:gridSpan w:val="3"/>
            <w:tcBorders>
              <w:top w:val="single" w:sz="4" w:space="0" w:color="auto"/>
              <w:left w:val="single" w:sz="4" w:space="0" w:color="auto"/>
              <w:bottom w:val="single" w:sz="4" w:space="0" w:color="auto"/>
              <w:right w:val="nil"/>
            </w:tcBorders>
            <w:shd w:val="clear" w:color="000000" w:fill="000000"/>
            <w:noWrap/>
            <w:tcMar>
              <w:left w:w="45" w:type="dxa"/>
              <w:right w:w="45" w:type="dxa"/>
            </w:tcMar>
            <w:hideMark/>
          </w:tcPr>
          <w:p w14:paraId="75A86A63"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S75 Sussex Partnership Foundation Trust (SPFT)</w:t>
            </w:r>
          </w:p>
        </w:tc>
        <w:tc>
          <w:tcPr>
            <w:tcW w:w="443" w:type="pct"/>
            <w:tcBorders>
              <w:top w:val="nil"/>
              <w:left w:val="nil"/>
              <w:bottom w:val="single" w:sz="4" w:space="0" w:color="auto"/>
              <w:right w:val="single" w:sz="4" w:space="0" w:color="auto"/>
            </w:tcBorders>
            <w:shd w:val="clear" w:color="000000" w:fill="000000"/>
            <w:noWrap/>
            <w:tcMar>
              <w:left w:w="45" w:type="dxa"/>
              <w:right w:w="45" w:type="dxa"/>
            </w:tcMar>
            <w:hideMark/>
          </w:tcPr>
          <w:p w14:paraId="59063CF8" w14:textId="77777777" w:rsidR="000729CF" w:rsidRPr="000729CF" w:rsidRDefault="000729CF" w:rsidP="000729CF">
            <w:pPr>
              <w:rPr>
                <w:rFonts w:ascii="Calibri" w:hAnsi="Calibri" w:cs="Calibri"/>
                <w:b/>
                <w:bCs/>
                <w:i/>
                <w:iCs/>
                <w:color w:val="FFFFFF"/>
                <w:sz w:val="22"/>
                <w:szCs w:val="22"/>
                <w:lang w:val="en-GB" w:eastAsia="en-GB"/>
              </w:rPr>
            </w:pPr>
          </w:p>
        </w:tc>
      </w:tr>
      <w:tr w:rsidR="000729CF" w:rsidRPr="000729CF" w14:paraId="10FF1C61" w14:textId="77777777" w:rsidTr="00BC26AB">
        <w:trPr>
          <w:trHeight w:val="20"/>
        </w:trPr>
        <w:tc>
          <w:tcPr>
            <w:tcW w:w="1148"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2C245F54"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Community Care  budget funding packages of care, support, residential/nursing care for people suffering a cognitive impairment (mainly dementia in older people);  services will include Community Support, Home Care, direct payments, supported accommodation, residential/nursing care and specialist placements</w:t>
            </w:r>
          </w:p>
        </w:tc>
        <w:tc>
          <w:tcPr>
            <w:tcW w:w="1149" w:type="pct"/>
            <w:tcBorders>
              <w:top w:val="nil"/>
              <w:left w:val="nil"/>
              <w:bottom w:val="single" w:sz="4" w:space="0" w:color="auto"/>
              <w:right w:val="single" w:sz="4" w:space="0" w:color="auto"/>
            </w:tcBorders>
            <w:shd w:val="clear" w:color="auto" w:fill="auto"/>
            <w:tcMar>
              <w:left w:w="45" w:type="dxa"/>
              <w:right w:w="45" w:type="dxa"/>
            </w:tcMar>
            <w:hideMark/>
          </w:tcPr>
          <w:p w14:paraId="0A69D2D7"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Memory &amp; Cognition Support</w:t>
            </w:r>
            <w:r w:rsidRPr="000729CF">
              <w:rPr>
                <w:rFonts w:ascii="Calibri" w:hAnsi="Calibri" w:cs="Calibri"/>
                <w:color w:val="000000"/>
                <w:sz w:val="22"/>
                <w:szCs w:val="22"/>
                <w:lang w:val="en-GB" w:eastAsia="en-GB"/>
              </w:rPr>
              <w:br/>
            </w:r>
            <w:r w:rsidRPr="000729CF">
              <w:rPr>
                <w:rFonts w:ascii="Calibri" w:hAnsi="Calibri" w:cs="Calibri"/>
                <w:color w:val="000000"/>
                <w:sz w:val="22"/>
                <w:szCs w:val="22"/>
                <w:lang w:val="en-GB" w:eastAsia="en-GB"/>
              </w:rPr>
              <w:br/>
              <w:t>396 budgeted capacity for 2023/24</w:t>
            </w:r>
          </w:p>
        </w:tc>
        <w:tc>
          <w:tcPr>
            <w:tcW w:w="2260" w:type="pct"/>
            <w:tcBorders>
              <w:top w:val="nil"/>
              <w:left w:val="nil"/>
              <w:bottom w:val="single" w:sz="4" w:space="0" w:color="auto"/>
              <w:right w:val="single" w:sz="4" w:space="0" w:color="auto"/>
            </w:tcBorders>
            <w:shd w:val="clear" w:color="auto" w:fill="auto"/>
            <w:tcMar>
              <w:left w:w="45" w:type="dxa"/>
              <w:right w:w="45" w:type="dxa"/>
            </w:tcMar>
            <w:hideMark/>
          </w:tcPr>
          <w:p w14:paraId="18CA33DC"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Saving proposals include:</w:t>
            </w:r>
            <w:r w:rsidRPr="000729CF">
              <w:rPr>
                <w:rFonts w:ascii="Calibri" w:hAnsi="Calibri" w:cs="Calibri"/>
                <w:sz w:val="22"/>
                <w:szCs w:val="22"/>
                <w:lang w:val="en-GB" w:eastAsia="en-GB"/>
              </w:rPr>
              <w:br/>
              <w:t>£105k through managing provider fee uplifts taking into account the current market fee position;</w:t>
            </w:r>
            <w:r w:rsidRPr="000729CF">
              <w:rPr>
                <w:rFonts w:ascii="Calibri" w:hAnsi="Calibri" w:cs="Calibri"/>
                <w:sz w:val="22"/>
                <w:szCs w:val="22"/>
                <w:lang w:val="en-GB" w:eastAsia="en-GB"/>
              </w:rPr>
              <w:br/>
              <w:t>£96k from implementing the Target Operating Model and associated Admission Avoidance, ensuring all Extra Care and other block contract voids are effectively managed and filled throughout 2024/25;</w:t>
            </w:r>
            <w:r w:rsidRPr="000729CF">
              <w:rPr>
                <w:rFonts w:ascii="Calibri" w:hAnsi="Calibri" w:cs="Calibri"/>
                <w:sz w:val="22"/>
                <w:szCs w:val="22"/>
                <w:lang w:val="en-GB" w:eastAsia="en-GB"/>
              </w:rPr>
              <w:br/>
              <w:t>£75k from overdue Financial Assessment reviews.</w:t>
            </w:r>
            <w:r w:rsidRPr="000729CF">
              <w:rPr>
                <w:rFonts w:ascii="Calibri" w:hAnsi="Calibri" w:cs="Calibri"/>
                <w:sz w:val="22"/>
                <w:szCs w:val="22"/>
                <w:lang w:val="en-GB" w:eastAsia="en-GB"/>
              </w:rPr>
              <w:br/>
            </w:r>
            <w:r w:rsidRPr="000729CF">
              <w:rPr>
                <w:rFonts w:ascii="Calibri" w:hAnsi="Calibri" w:cs="Calibri"/>
                <w:sz w:val="22"/>
                <w:szCs w:val="22"/>
                <w:lang w:val="en-GB" w:eastAsia="en-GB"/>
              </w:rPr>
              <w:br/>
              <w:t>Delivery risk: potential risks around provider failure / giving notice on services. Community Care budget is demand-led.</w:t>
            </w:r>
            <w:r w:rsidRPr="000729CF">
              <w:rPr>
                <w:rFonts w:ascii="Calibri" w:hAnsi="Calibri" w:cs="Calibri"/>
                <w:sz w:val="22"/>
                <w:szCs w:val="22"/>
                <w:lang w:val="en-GB" w:eastAsia="en-GB"/>
              </w:rPr>
              <w:br/>
              <w:t>Delivery of the new TOM at Access Point is required by 01/04/2024. See EIA 10</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203449C7"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276 </w:t>
            </w:r>
          </w:p>
        </w:tc>
      </w:tr>
      <w:tr w:rsidR="000729CF" w:rsidRPr="000729CF" w14:paraId="32270466" w14:textId="77777777" w:rsidTr="00BC26AB">
        <w:trPr>
          <w:trHeight w:val="20"/>
        </w:trPr>
        <w:tc>
          <w:tcPr>
            <w:tcW w:w="1148"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25F07AD9"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Community Care  budget funding packages of care, support, residential/nursing care for people suffering a functional mental illness  services will include Community Support, Home Care, direct payments, supported accommodation, residential/nursing care and specialist placements</w:t>
            </w:r>
          </w:p>
        </w:tc>
        <w:tc>
          <w:tcPr>
            <w:tcW w:w="1149" w:type="pct"/>
            <w:tcBorders>
              <w:top w:val="nil"/>
              <w:left w:val="nil"/>
              <w:bottom w:val="single" w:sz="4" w:space="0" w:color="auto"/>
              <w:right w:val="single" w:sz="4" w:space="0" w:color="auto"/>
            </w:tcBorders>
            <w:shd w:val="clear" w:color="auto" w:fill="auto"/>
            <w:tcMar>
              <w:left w:w="45" w:type="dxa"/>
              <w:right w:w="45" w:type="dxa"/>
            </w:tcMar>
            <w:hideMark/>
          </w:tcPr>
          <w:p w14:paraId="15A5A6DC"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Mental Health Support </w:t>
            </w:r>
            <w:r w:rsidRPr="000729CF">
              <w:rPr>
                <w:rFonts w:ascii="Calibri" w:hAnsi="Calibri" w:cs="Calibri"/>
                <w:color w:val="000000"/>
                <w:sz w:val="22"/>
                <w:szCs w:val="22"/>
                <w:lang w:val="en-GB" w:eastAsia="en-GB"/>
              </w:rPr>
              <w:br/>
            </w:r>
            <w:r w:rsidRPr="000729CF">
              <w:rPr>
                <w:rFonts w:ascii="Calibri" w:hAnsi="Calibri" w:cs="Calibri"/>
                <w:color w:val="000000"/>
                <w:sz w:val="22"/>
                <w:szCs w:val="22"/>
                <w:lang w:val="en-GB" w:eastAsia="en-GB"/>
              </w:rPr>
              <w:br/>
              <w:t>527 budgeted capacity for 2023/24</w:t>
            </w:r>
          </w:p>
        </w:tc>
        <w:tc>
          <w:tcPr>
            <w:tcW w:w="2260" w:type="pct"/>
            <w:tcBorders>
              <w:top w:val="nil"/>
              <w:left w:val="nil"/>
              <w:bottom w:val="single" w:sz="4" w:space="0" w:color="auto"/>
              <w:right w:val="single" w:sz="4" w:space="0" w:color="auto"/>
            </w:tcBorders>
            <w:shd w:val="clear" w:color="auto" w:fill="auto"/>
            <w:tcMar>
              <w:left w:w="45" w:type="dxa"/>
              <w:right w:w="45" w:type="dxa"/>
            </w:tcMar>
            <w:hideMark/>
          </w:tcPr>
          <w:p w14:paraId="0EFEF91A"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Saving proposals include:</w:t>
            </w:r>
            <w:r w:rsidRPr="000729CF">
              <w:rPr>
                <w:rFonts w:ascii="Calibri" w:hAnsi="Calibri" w:cs="Calibri"/>
                <w:sz w:val="22"/>
                <w:szCs w:val="22"/>
                <w:lang w:val="en-GB" w:eastAsia="en-GB"/>
              </w:rPr>
              <w:br/>
              <w:t>£110k through managing provider fee uplifts taking into account the current market fee position;</w:t>
            </w:r>
            <w:r w:rsidRPr="000729CF">
              <w:rPr>
                <w:rFonts w:ascii="Calibri" w:hAnsi="Calibri" w:cs="Calibri"/>
                <w:sz w:val="22"/>
                <w:szCs w:val="22"/>
                <w:lang w:val="en-GB" w:eastAsia="en-GB"/>
              </w:rPr>
              <w:br/>
              <w:t>£102k by implementing the Target Operating Model and associated Admission Avoidance, ensuring all Extra Care and other block contract voids are effectively managed and filled throughout 2024/25.</w:t>
            </w:r>
            <w:r w:rsidRPr="000729CF">
              <w:rPr>
                <w:rFonts w:ascii="Calibri" w:hAnsi="Calibri" w:cs="Calibri"/>
                <w:sz w:val="22"/>
                <w:szCs w:val="22"/>
                <w:lang w:val="en-GB" w:eastAsia="en-GB"/>
              </w:rPr>
              <w:br/>
            </w:r>
            <w:r w:rsidRPr="000729CF">
              <w:rPr>
                <w:rFonts w:ascii="Calibri" w:hAnsi="Calibri" w:cs="Calibri"/>
                <w:sz w:val="22"/>
                <w:szCs w:val="22"/>
                <w:lang w:val="en-GB" w:eastAsia="en-GB"/>
              </w:rPr>
              <w:br/>
              <w:t>Delivery risk: potential risks around provider failure / giving notice on services. Community Care budget is demand led. Delivery of the new TOM at Access Point is required by 01/04/2024. See EIA 10</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66A7103E"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212 </w:t>
            </w:r>
          </w:p>
        </w:tc>
      </w:tr>
      <w:tr w:rsidR="000729CF" w:rsidRPr="000729CF" w14:paraId="20926915" w14:textId="77777777" w:rsidTr="00BC26AB">
        <w:trPr>
          <w:trHeight w:val="20"/>
        </w:trPr>
        <w:tc>
          <w:tcPr>
            <w:tcW w:w="1148"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1DE089C9"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Assessment, Support and Intervention Team (SIT). Social Work teams delivering statutory duties under the Care Act to assess eligible needs, intervene where people are at risk to themselves, others or the community. Deliver statutory duties under the Mental Capacity Act, Mental Health Act Safeguarding Vulnerable Adults, Deprivation of Liberty Safeguards (</w:t>
            </w:r>
            <w:proofErr w:type="spellStart"/>
            <w:r w:rsidRPr="000729CF">
              <w:rPr>
                <w:rFonts w:ascii="Calibri" w:hAnsi="Calibri" w:cs="Calibri"/>
                <w:color w:val="000000"/>
                <w:sz w:val="22"/>
                <w:szCs w:val="22"/>
                <w:lang w:val="en-GB" w:eastAsia="en-GB"/>
              </w:rPr>
              <w:t>DoL's</w:t>
            </w:r>
            <w:proofErr w:type="spellEnd"/>
            <w:r w:rsidRPr="000729CF">
              <w:rPr>
                <w:rFonts w:ascii="Calibri" w:hAnsi="Calibri" w:cs="Calibri"/>
                <w:color w:val="000000"/>
                <w:sz w:val="22"/>
                <w:szCs w:val="22"/>
                <w:lang w:val="en-GB" w:eastAsia="en-GB"/>
              </w:rPr>
              <w:t>)</w:t>
            </w:r>
          </w:p>
        </w:tc>
        <w:tc>
          <w:tcPr>
            <w:tcW w:w="1149" w:type="pct"/>
            <w:tcBorders>
              <w:top w:val="nil"/>
              <w:left w:val="nil"/>
              <w:bottom w:val="single" w:sz="4" w:space="0" w:color="auto"/>
              <w:right w:val="single" w:sz="4" w:space="0" w:color="auto"/>
            </w:tcBorders>
            <w:shd w:val="clear" w:color="auto" w:fill="auto"/>
            <w:tcMar>
              <w:left w:w="45" w:type="dxa"/>
              <w:right w:w="45" w:type="dxa"/>
            </w:tcMar>
            <w:hideMark/>
          </w:tcPr>
          <w:p w14:paraId="4A12977F"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Section 75 Staffing teams Including: </w:t>
            </w:r>
            <w:r w:rsidRPr="000729CF">
              <w:rPr>
                <w:rFonts w:ascii="Calibri" w:hAnsi="Calibri" w:cs="Calibri"/>
                <w:color w:val="000000"/>
                <w:sz w:val="22"/>
                <w:szCs w:val="22"/>
                <w:lang w:val="en-GB" w:eastAsia="en-GB"/>
              </w:rPr>
              <w:br/>
              <w:t>Mental Health Homeless Team</w:t>
            </w:r>
            <w:r w:rsidRPr="000729CF">
              <w:rPr>
                <w:rFonts w:ascii="Calibri" w:hAnsi="Calibri" w:cs="Calibri"/>
                <w:color w:val="000000"/>
                <w:sz w:val="22"/>
                <w:szCs w:val="22"/>
                <w:lang w:val="en-GB" w:eastAsia="en-GB"/>
              </w:rPr>
              <w:br/>
              <w:t>Assessment Treatment Service</w:t>
            </w:r>
            <w:r w:rsidRPr="000729CF">
              <w:rPr>
                <w:rFonts w:ascii="Calibri" w:hAnsi="Calibri" w:cs="Calibri"/>
                <w:color w:val="000000"/>
                <w:sz w:val="22"/>
                <w:szCs w:val="22"/>
                <w:lang w:val="en-GB" w:eastAsia="en-GB"/>
              </w:rPr>
              <w:br/>
              <w:t>Living Well with Dementia Service</w:t>
            </w:r>
            <w:r w:rsidRPr="000729CF">
              <w:rPr>
                <w:rFonts w:ascii="Calibri" w:hAnsi="Calibri" w:cs="Calibri"/>
                <w:color w:val="000000"/>
                <w:sz w:val="22"/>
                <w:szCs w:val="22"/>
                <w:lang w:val="en-GB" w:eastAsia="en-GB"/>
              </w:rPr>
              <w:br/>
              <w:t>Adult Mental Health Practitioners (AMHP)</w:t>
            </w:r>
            <w:r w:rsidRPr="000729CF">
              <w:rPr>
                <w:rFonts w:ascii="Calibri" w:hAnsi="Calibri" w:cs="Calibri"/>
                <w:color w:val="000000"/>
                <w:sz w:val="22"/>
                <w:szCs w:val="22"/>
                <w:lang w:val="en-GB" w:eastAsia="en-GB"/>
              </w:rPr>
              <w:br/>
              <w:t>Crisis Resolution Home Treatment Team (CRHTT)</w:t>
            </w:r>
            <w:r w:rsidRPr="000729CF">
              <w:rPr>
                <w:rFonts w:ascii="Calibri" w:hAnsi="Calibri" w:cs="Calibri"/>
                <w:color w:val="000000"/>
                <w:sz w:val="22"/>
                <w:szCs w:val="22"/>
                <w:lang w:val="en-GB" w:eastAsia="en-GB"/>
              </w:rPr>
              <w:br/>
              <w:t>Mental Health Management</w:t>
            </w:r>
          </w:p>
        </w:tc>
        <w:tc>
          <w:tcPr>
            <w:tcW w:w="2260" w:type="pct"/>
            <w:tcBorders>
              <w:top w:val="nil"/>
              <w:left w:val="nil"/>
              <w:bottom w:val="single" w:sz="4" w:space="0" w:color="auto"/>
              <w:right w:val="single" w:sz="4" w:space="0" w:color="auto"/>
            </w:tcBorders>
            <w:shd w:val="clear" w:color="auto" w:fill="auto"/>
            <w:tcMar>
              <w:left w:w="45" w:type="dxa"/>
              <w:right w:w="45" w:type="dxa"/>
            </w:tcMar>
            <w:hideMark/>
          </w:tcPr>
          <w:p w14:paraId="464AB4CF"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No saving identified due to high pressure on service.</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3B074297"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40B6CBD3" w14:textId="77777777" w:rsidTr="00BC26AB">
        <w:trPr>
          <w:trHeight w:val="20"/>
        </w:trPr>
        <w:tc>
          <w:tcPr>
            <w:tcW w:w="2297" w:type="pct"/>
            <w:gridSpan w:val="2"/>
            <w:tcBorders>
              <w:top w:val="single" w:sz="4" w:space="0" w:color="auto"/>
              <w:left w:val="single" w:sz="4" w:space="0" w:color="auto"/>
              <w:bottom w:val="single" w:sz="4" w:space="0" w:color="auto"/>
              <w:right w:val="single" w:sz="4" w:space="0" w:color="auto"/>
            </w:tcBorders>
            <w:shd w:val="clear" w:color="000000" w:fill="A6A6A6"/>
            <w:noWrap/>
            <w:tcMar>
              <w:left w:w="45" w:type="dxa"/>
              <w:right w:w="45" w:type="dxa"/>
            </w:tcMar>
            <w:hideMark/>
          </w:tcPr>
          <w:p w14:paraId="2BD61662"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S75 Sussex Partnership Foundation Trust (SPFT) Total</w:t>
            </w:r>
          </w:p>
        </w:tc>
        <w:tc>
          <w:tcPr>
            <w:tcW w:w="2260" w:type="pct"/>
            <w:tcBorders>
              <w:top w:val="nil"/>
              <w:left w:val="nil"/>
              <w:bottom w:val="single" w:sz="4" w:space="0" w:color="auto"/>
              <w:right w:val="single" w:sz="4" w:space="0" w:color="auto"/>
            </w:tcBorders>
            <w:shd w:val="clear" w:color="000000" w:fill="A6A6A6"/>
            <w:noWrap/>
            <w:tcMar>
              <w:left w:w="45" w:type="dxa"/>
              <w:right w:w="45" w:type="dxa"/>
            </w:tcMar>
            <w:hideMark/>
          </w:tcPr>
          <w:p w14:paraId="4F257994"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w:t>
            </w:r>
          </w:p>
        </w:tc>
        <w:tc>
          <w:tcPr>
            <w:tcW w:w="443" w:type="pct"/>
            <w:tcBorders>
              <w:top w:val="nil"/>
              <w:left w:val="nil"/>
              <w:bottom w:val="single" w:sz="4" w:space="0" w:color="auto"/>
              <w:right w:val="single" w:sz="4" w:space="0" w:color="auto"/>
            </w:tcBorders>
            <w:shd w:val="clear" w:color="000000" w:fill="A6A6A6"/>
            <w:noWrap/>
            <w:tcMar>
              <w:left w:w="45" w:type="dxa"/>
              <w:right w:w="45" w:type="dxa"/>
            </w:tcMar>
            <w:hideMark/>
          </w:tcPr>
          <w:p w14:paraId="6BB603A5"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488 </w:t>
            </w:r>
          </w:p>
        </w:tc>
      </w:tr>
      <w:tr w:rsidR="000729CF" w:rsidRPr="000729CF" w14:paraId="2078FAEE" w14:textId="77777777" w:rsidTr="00BC26AB">
        <w:trPr>
          <w:trHeight w:val="20"/>
        </w:trPr>
        <w:tc>
          <w:tcPr>
            <w:tcW w:w="4557" w:type="pct"/>
            <w:gridSpan w:val="3"/>
            <w:tcBorders>
              <w:top w:val="single" w:sz="4" w:space="0" w:color="auto"/>
              <w:left w:val="single" w:sz="4" w:space="0" w:color="auto"/>
              <w:bottom w:val="single" w:sz="4" w:space="0" w:color="auto"/>
              <w:right w:val="nil"/>
            </w:tcBorders>
            <w:shd w:val="clear" w:color="000000" w:fill="000000"/>
            <w:noWrap/>
            <w:tcMar>
              <w:left w:w="45" w:type="dxa"/>
              <w:right w:w="45" w:type="dxa"/>
            </w:tcMar>
            <w:hideMark/>
          </w:tcPr>
          <w:p w14:paraId="3FB6334C"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Integrated Commissioning</w:t>
            </w:r>
          </w:p>
        </w:tc>
        <w:tc>
          <w:tcPr>
            <w:tcW w:w="443" w:type="pct"/>
            <w:tcBorders>
              <w:top w:val="nil"/>
              <w:left w:val="nil"/>
              <w:bottom w:val="single" w:sz="4" w:space="0" w:color="auto"/>
              <w:right w:val="single" w:sz="4" w:space="0" w:color="auto"/>
            </w:tcBorders>
            <w:shd w:val="clear" w:color="000000" w:fill="000000"/>
            <w:noWrap/>
            <w:tcMar>
              <w:left w:w="45" w:type="dxa"/>
              <w:right w:w="45" w:type="dxa"/>
            </w:tcMar>
            <w:hideMark/>
          </w:tcPr>
          <w:p w14:paraId="4BDAB5B0" w14:textId="77777777" w:rsidR="000729CF" w:rsidRPr="000729CF" w:rsidRDefault="000729CF" w:rsidP="000729CF">
            <w:pPr>
              <w:rPr>
                <w:rFonts w:ascii="Calibri" w:hAnsi="Calibri" w:cs="Calibri"/>
                <w:b/>
                <w:bCs/>
                <w:i/>
                <w:iCs/>
                <w:color w:val="FFFFFF"/>
                <w:sz w:val="22"/>
                <w:szCs w:val="22"/>
                <w:lang w:val="en-GB" w:eastAsia="en-GB"/>
              </w:rPr>
            </w:pPr>
          </w:p>
        </w:tc>
      </w:tr>
      <w:tr w:rsidR="000729CF" w:rsidRPr="000729CF" w14:paraId="509A88CA" w14:textId="77777777" w:rsidTr="00BC26AB">
        <w:trPr>
          <w:trHeight w:val="20"/>
        </w:trPr>
        <w:tc>
          <w:tcPr>
            <w:tcW w:w="1148"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5C3F35B4"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Commissioning &amp; Contracts</w:t>
            </w:r>
          </w:p>
        </w:tc>
        <w:tc>
          <w:tcPr>
            <w:tcW w:w="1149" w:type="pct"/>
            <w:tcBorders>
              <w:top w:val="nil"/>
              <w:left w:val="nil"/>
              <w:bottom w:val="single" w:sz="4" w:space="0" w:color="auto"/>
              <w:right w:val="single" w:sz="4" w:space="0" w:color="auto"/>
            </w:tcBorders>
            <w:shd w:val="clear" w:color="auto" w:fill="auto"/>
            <w:tcMar>
              <w:left w:w="45" w:type="dxa"/>
              <w:right w:w="45" w:type="dxa"/>
            </w:tcMar>
            <w:hideMark/>
          </w:tcPr>
          <w:p w14:paraId="7FFC31E6"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Support to Carers</w:t>
            </w:r>
          </w:p>
        </w:tc>
        <w:tc>
          <w:tcPr>
            <w:tcW w:w="2260" w:type="pct"/>
            <w:tcBorders>
              <w:top w:val="nil"/>
              <w:left w:val="nil"/>
              <w:bottom w:val="single" w:sz="4" w:space="0" w:color="auto"/>
              <w:right w:val="single" w:sz="4" w:space="0" w:color="auto"/>
            </w:tcBorders>
            <w:shd w:val="clear" w:color="auto" w:fill="auto"/>
            <w:tcMar>
              <w:left w:w="45" w:type="dxa"/>
              <w:right w:w="45" w:type="dxa"/>
            </w:tcMar>
            <w:hideMark/>
          </w:tcPr>
          <w:p w14:paraId="091339E5"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No saving identified due to cost avoidance provided by this budget.</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41A0CB0D"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70053DED" w14:textId="77777777" w:rsidTr="00BC26AB">
        <w:trPr>
          <w:trHeight w:val="20"/>
        </w:trPr>
        <w:tc>
          <w:tcPr>
            <w:tcW w:w="1148"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537E89C5"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Commissioning &amp; Contracts</w:t>
            </w:r>
          </w:p>
        </w:tc>
        <w:tc>
          <w:tcPr>
            <w:tcW w:w="1149" w:type="pct"/>
            <w:tcBorders>
              <w:top w:val="nil"/>
              <w:left w:val="nil"/>
              <w:bottom w:val="single" w:sz="4" w:space="0" w:color="auto"/>
              <w:right w:val="single" w:sz="4" w:space="0" w:color="auto"/>
            </w:tcBorders>
            <w:shd w:val="clear" w:color="auto" w:fill="auto"/>
            <w:tcMar>
              <w:left w:w="45" w:type="dxa"/>
              <w:right w:w="45" w:type="dxa"/>
            </w:tcMar>
            <w:hideMark/>
          </w:tcPr>
          <w:p w14:paraId="387822FC"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Adults Commissioning &amp; Performance Team</w:t>
            </w:r>
            <w:r w:rsidRPr="000729CF">
              <w:rPr>
                <w:rFonts w:ascii="Calibri" w:hAnsi="Calibri" w:cs="Calibri"/>
                <w:sz w:val="22"/>
                <w:szCs w:val="22"/>
                <w:lang w:val="en-GB" w:eastAsia="en-GB"/>
              </w:rPr>
              <w:br/>
              <w:t>Executive Director Adult Services</w:t>
            </w:r>
            <w:r w:rsidRPr="000729CF">
              <w:rPr>
                <w:rFonts w:ascii="Calibri" w:hAnsi="Calibri" w:cs="Calibri"/>
                <w:sz w:val="22"/>
                <w:szCs w:val="22"/>
                <w:lang w:val="en-GB" w:eastAsia="en-GB"/>
              </w:rPr>
              <w:br/>
              <w:t>Safeguarding Team</w:t>
            </w:r>
          </w:p>
        </w:tc>
        <w:tc>
          <w:tcPr>
            <w:tcW w:w="2260" w:type="pct"/>
            <w:tcBorders>
              <w:top w:val="nil"/>
              <w:left w:val="nil"/>
              <w:bottom w:val="single" w:sz="4" w:space="0" w:color="auto"/>
              <w:right w:val="single" w:sz="4" w:space="0" w:color="auto"/>
            </w:tcBorders>
            <w:shd w:val="clear" w:color="auto" w:fill="auto"/>
            <w:tcMar>
              <w:left w:w="45" w:type="dxa"/>
              <w:right w:w="45" w:type="dxa"/>
            </w:tcMar>
            <w:hideMark/>
          </w:tcPr>
          <w:p w14:paraId="73E2DDE8"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Alternative delivery of absence management service. See EIA 11</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61680E9B"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28 </w:t>
            </w:r>
          </w:p>
        </w:tc>
      </w:tr>
      <w:tr w:rsidR="000729CF" w:rsidRPr="000729CF" w14:paraId="58F998E4" w14:textId="77777777" w:rsidTr="00BC26AB">
        <w:trPr>
          <w:trHeight w:val="20"/>
        </w:trPr>
        <w:tc>
          <w:tcPr>
            <w:tcW w:w="1148"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1425A356"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Commissioning &amp; Contracts</w:t>
            </w:r>
          </w:p>
        </w:tc>
        <w:tc>
          <w:tcPr>
            <w:tcW w:w="1149" w:type="pct"/>
            <w:tcBorders>
              <w:top w:val="nil"/>
              <w:left w:val="nil"/>
              <w:bottom w:val="single" w:sz="4" w:space="0" w:color="auto"/>
              <w:right w:val="single" w:sz="4" w:space="0" w:color="auto"/>
            </w:tcBorders>
            <w:shd w:val="clear" w:color="auto" w:fill="auto"/>
            <w:tcMar>
              <w:left w:w="45" w:type="dxa"/>
              <w:right w:w="45" w:type="dxa"/>
            </w:tcMar>
            <w:hideMark/>
          </w:tcPr>
          <w:p w14:paraId="02F7E600"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Integrated Commissioning</w:t>
            </w:r>
          </w:p>
        </w:tc>
        <w:tc>
          <w:tcPr>
            <w:tcW w:w="2260" w:type="pct"/>
            <w:tcBorders>
              <w:top w:val="nil"/>
              <w:left w:val="nil"/>
              <w:bottom w:val="single" w:sz="4" w:space="0" w:color="auto"/>
              <w:right w:val="single" w:sz="4" w:space="0" w:color="auto"/>
            </w:tcBorders>
            <w:shd w:val="clear" w:color="auto" w:fill="auto"/>
            <w:tcMar>
              <w:left w:w="45" w:type="dxa"/>
              <w:right w:w="45" w:type="dxa"/>
            </w:tcMar>
            <w:hideMark/>
          </w:tcPr>
          <w:p w14:paraId="7B3F339C"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Savings proposed include:</w:t>
            </w:r>
            <w:r w:rsidRPr="000729CF">
              <w:rPr>
                <w:rFonts w:ascii="Calibri" w:hAnsi="Calibri" w:cs="Calibri"/>
                <w:sz w:val="22"/>
                <w:szCs w:val="22"/>
                <w:lang w:val="en-GB" w:eastAsia="en-GB"/>
              </w:rPr>
              <w:br/>
              <w:t>£140k Public Health funding for UOK contract;</w:t>
            </w:r>
            <w:r w:rsidRPr="000729CF">
              <w:rPr>
                <w:rFonts w:ascii="Calibri" w:hAnsi="Calibri" w:cs="Calibri"/>
                <w:sz w:val="22"/>
                <w:szCs w:val="22"/>
                <w:lang w:val="en-GB" w:eastAsia="en-GB"/>
              </w:rPr>
              <w:br/>
              <w:t>£40k Community Transport contract - end current grant contribution to this service (See EIA 12);</w:t>
            </w:r>
            <w:r w:rsidRPr="000729CF">
              <w:rPr>
                <w:rFonts w:ascii="Calibri" w:hAnsi="Calibri" w:cs="Calibri"/>
                <w:sz w:val="22"/>
                <w:szCs w:val="22"/>
                <w:lang w:val="en-GB" w:eastAsia="en-GB"/>
              </w:rPr>
              <w:br/>
              <w:t>£10k Support with confidence contract - end funding. This is being picked up in the wider Direct Payments review and commissioning work (See EIA 13).</w:t>
            </w:r>
            <w:r w:rsidRPr="000729CF">
              <w:rPr>
                <w:rFonts w:ascii="Calibri" w:hAnsi="Calibri" w:cs="Calibri"/>
                <w:sz w:val="22"/>
                <w:szCs w:val="22"/>
                <w:lang w:val="en-GB" w:eastAsia="en-GB"/>
              </w:rPr>
              <w:br/>
              <w:t>£41k Sensory Support Contracts - end funding for these services (See EIA 14).</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42ABEEEC"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231 </w:t>
            </w:r>
          </w:p>
        </w:tc>
      </w:tr>
      <w:tr w:rsidR="000729CF" w:rsidRPr="000729CF" w14:paraId="44E9F8CD" w14:textId="77777777" w:rsidTr="00BC26AB">
        <w:trPr>
          <w:trHeight w:val="20"/>
        </w:trPr>
        <w:tc>
          <w:tcPr>
            <w:tcW w:w="1148"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7A6B55C4"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Commissioning &amp; Contracts</w:t>
            </w:r>
          </w:p>
        </w:tc>
        <w:tc>
          <w:tcPr>
            <w:tcW w:w="1149" w:type="pct"/>
            <w:tcBorders>
              <w:top w:val="nil"/>
              <w:left w:val="nil"/>
              <w:bottom w:val="single" w:sz="4" w:space="0" w:color="auto"/>
              <w:right w:val="single" w:sz="4" w:space="0" w:color="auto"/>
            </w:tcBorders>
            <w:shd w:val="clear" w:color="auto" w:fill="auto"/>
            <w:tcMar>
              <w:left w:w="45" w:type="dxa"/>
              <w:right w:w="45" w:type="dxa"/>
            </w:tcMar>
            <w:hideMark/>
          </w:tcPr>
          <w:p w14:paraId="02C63279"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Learning Disability Development Fund</w:t>
            </w:r>
          </w:p>
        </w:tc>
        <w:tc>
          <w:tcPr>
            <w:tcW w:w="2260" w:type="pct"/>
            <w:tcBorders>
              <w:top w:val="nil"/>
              <w:left w:val="nil"/>
              <w:bottom w:val="single" w:sz="4" w:space="0" w:color="auto"/>
              <w:right w:val="single" w:sz="4" w:space="0" w:color="auto"/>
            </w:tcBorders>
            <w:shd w:val="clear" w:color="auto" w:fill="auto"/>
            <w:tcMar>
              <w:left w:w="45" w:type="dxa"/>
              <w:right w:w="45" w:type="dxa"/>
            </w:tcMar>
            <w:hideMark/>
          </w:tcPr>
          <w:p w14:paraId="088AFF96"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No saving possible.</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577BD6BD"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309637AE" w14:textId="77777777" w:rsidTr="00BC26AB">
        <w:trPr>
          <w:trHeight w:val="20"/>
        </w:trPr>
        <w:tc>
          <w:tcPr>
            <w:tcW w:w="2297" w:type="pct"/>
            <w:gridSpan w:val="2"/>
            <w:tcBorders>
              <w:top w:val="single" w:sz="4" w:space="0" w:color="auto"/>
              <w:left w:val="single" w:sz="4" w:space="0" w:color="auto"/>
              <w:bottom w:val="single" w:sz="4" w:space="0" w:color="auto"/>
              <w:right w:val="single" w:sz="4" w:space="0" w:color="auto"/>
            </w:tcBorders>
            <w:shd w:val="clear" w:color="000000" w:fill="A6A6A6"/>
            <w:noWrap/>
            <w:tcMar>
              <w:left w:w="45" w:type="dxa"/>
              <w:right w:w="45" w:type="dxa"/>
            </w:tcMar>
            <w:hideMark/>
          </w:tcPr>
          <w:p w14:paraId="5EFAAD75"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Integrated Commissioning Total</w:t>
            </w:r>
          </w:p>
        </w:tc>
        <w:tc>
          <w:tcPr>
            <w:tcW w:w="2260" w:type="pct"/>
            <w:tcBorders>
              <w:top w:val="nil"/>
              <w:left w:val="nil"/>
              <w:bottom w:val="single" w:sz="4" w:space="0" w:color="auto"/>
              <w:right w:val="single" w:sz="4" w:space="0" w:color="auto"/>
            </w:tcBorders>
            <w:shd w:val="clear" w:color="000000" w:fill="A6A6A6"/>
            <w:noWrap/>
            <w:tcMar>
              <w:left w:w="45" w:type="dxa"/>
              <w:right w:w="45" w:type="dxa"/>
            </w:tcMar>
            <w:hideMark/>
          </w:tcPr>
          <w:p w14:paraId="51DD4B4D"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w:t>
            </w:r>
          </w:p>
        </w:tc>
        <w:tc>
          <w:tcPr>
            <w:tcW w:w="443" w:type="pct"/>
            <w:tcBorders>
              <w:top w:val="nil"/>
              <w:left w:val="nil"/>
              <w:bottom w:val="single" w:sz="4" w:space="0" w:color="auto"/>
              <w:right w:val="single" w:sz="4" w:space="0" w:color="auto"/>
            </w:tcBorders>
            <w:shd w:val="clear" w:color="000000" w:fill="A6A6A6"/>
            <w:noWrap/>
            <w:tcMar>
              <w:left w:w="45" w:type="dxa"/>
              <w:right w:w="45" w:type="dxa"/>
            </w:tcMar>
            <w:hideMark/>
          </w:tcPr>
          <w:p w14:paraId="319EB518"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259 </w:t>
            </w:r>
          </w:p>
        </w:tc>
      </w:tr>
      <w:tr w:rsidR="000729CF" w:rsidRPr="000729CF" w14:paraId="09A6308D" w14:textId="77777777" w:rsidTr="00BC26AB">
        <w:trPr>
          <w:trHeight w:val="20"/>
        </w:trPr>
        <w:tc>
          <w:tcPr>
            <w:tcW w:w="4557" w:type="pct"/>
            <w:gridSpan w:val="3"/>
            <w:tcBorders>
              <w:top w:val="single" w:sz="4" w:space="0" w:color="auto"/>
              <w:left w:val="single" w:sz="4" w:space="0" w:color="auto"/>
              <w:bottom w:val="single" w:sz="4" w:space="0" w:color="auto"/>
              <w:right w:val="nil"/>
            </w:tcBorders>
            <w:shd w:val="clear" w:color="000000" w:fill="000000"/>
            <w:noWrap/>
            <w:tcMar>
              <w:left w:w="45" w:type="dxa"/>
              <w:right w:w="45" w:type="dxa"/>
            </w:tcMar>
            <w:hideMark/>
          </w:tcPr>
          <w:p w14:paraId="0DE2DF83"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Life Events</w:t>
            </w:r>
          </w:p>
        </w:tc>
        <w:tc>
          <w:tcPr>
            <w:tcW w:w="443" w:type="pct"/>
            <w:tcBorders>
              <w:top w:val="nil"/>
              <w:left w:val="nil"/>
              <w:bottom w:val="single" w:sz="4" w:space="0" w:color="auto"/>
              <w:right w:val="single" w:sz="4" w:space="0" w:color="auto"/>
            </w:tcBorders>
            <w:shd w:val="clear" w:color="000000" w:fill="000000"/>
            <w:noWrap/>
            <w:tcMar>
              <w:left w:w="45" w:type="dxa"/>
              <w:right w:w="45" w:type="dxa"/>
            </w:tcMar>
            <w:hideMark/>
          </w:tcPr>
          <w:p w14:paraId="53A55B23" w14:textId="77777777" w:rsidR="000729CF" w:rsidRPr="000729CF" w:rsidRDefault="000729CF" w:rsidP="000729CF">
            <w:pPr>
              <w:rPr>
                <w:rFonts w:ascii="Calibri" w:hAnsi="Calibri" w:cs="Calibri"/>
                <w:b/>
                <w:bCs/>
                <w:i/>
                <w:iCs/>
                <w:color w:val="FFFFFF"/>
                <w:sz w:val="22"/>
                <w:szCs w:val="22"/>
                <w:lang w:val="en-GB" w:eastAsia="en-GB"/>
              </w:rPr>
            </w:pPr>
          </w:p>
        </w:tc>
      </w:tr>
      <w:tr w:rsidR="000729CF" w:rsidRPr="000729CF" w14:paraId="31AE383D" w14:textId="77777777" w:rsidTr="00BC26AB">
        <w:trPr>
          <w:trHeight w:val="20"/>
        </w:trPr>
        <w:tc>
          <w:tcPr>
            <w:tcW w:w="1148"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47A134BD"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Life Events</w:t>
            </w:r>
          </w:p>
        </w:tc>
        <w:tc>
          <w:tcPr>
            <w:tcW w:w="1149" w:type="pct"/>
            <w:tcBorders>
              <w:top w:val="nil"/>
              <w:left w:val="nil"/>
              <w:bottom w:val="single" w:sz="4" w:space="0" w:color="auto"/>
              <w:right w:val="single" w:sz="4" w:space="0" w:color="auto"/>
            </w:tcBorders>
            <w:shd w:val="clear" w:color="auto" w:fill="auto"/>
            <w:tcMar>
              <w:left w:w="45" w:type="dxa"/>
              <w:right w:w="45" w:type="dxa"/>
            </w:tcMar>
            <w:hideMark/>
          </w:tcPr>
          <w:p w14:paraId="0E711440"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Bereavement Services</w:t>
            </w:r>
          </w:p>
        </w:tc>
        <w:tc>
          <w:tcPr>
            <w:tcW w:w="2260" w:type="pct"/>
            <w:tcBorders>
              <w:top w:val="nil"/>
              <w:left w:val="nil"/>
              <w:bottom w:val="single" w:sz="4" w:space="0" w:color="auto"/>
              <w:right w:val="single" w:sz="4" w:space="0" w:color="auto"/>
            </w:tcBorders>
            <w:shd w:val="clear" w:color="auto" w:fill="auto"/>
            <w:tcMar>
              <w:left w:w="45" w:type="dxa"/>
              <w:right w:w="45" w:type="dxa"/>
            </w:tcMar>
            <w:hideMark/>
          </w:tcPr>
          <w:p w14:paraId="232289B5"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No saving identified due to pressure on income budgets.</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7F09AFE7"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74F8B58D" w14:textId="77777777" w:rsidTr="00BC26AB">
        <w:trPr>
          <w:trHeight w:val="20"/>
        </w:trPr>
        <w:tc>
          <w:tcPr>
            <w:tcW w:w="1148"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03B057CD"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Life Events</w:t>
            </w:r>
          </w:p>
        </w:tc>
        <w:tc>
          <w:tcPr>
            <w:tcW w:w="1149" w:type="pct"/>
            <w:tcBorders>
              <w:top w:val="nil"/>
              <w:left w:val="nil"/>
              <w:bottom w:val="single" w:sz="4" w:space="0" w:color="auto"/>
              <w:right w:val="single" w:sz="4" w:space="0" w:color="auto"/>
            </w:tcBorders>
            <w:shd w:val="clear" w:color="auto" w:fill="auto"/>
            <w:tcMar>
              <w:left w:w="45" w:type="dxa"/>
              <w:right w:w="45" w:type="dxa"/>
            </w:tcMar>
            <w:hideMark/>
          </w:tcPr>
          <w:p w14:paraId="1F250C92"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Coroner Services</w:t>
            </w:r>
          </w:p>
        </w:tc>
        <w:tc>
          <w:tcPr>
            <w:tcW w:w="2260" w:type="pct"/>
            <w:tcBorders>
              <w:top w:val="nil"/>
              <w:left w:val="nil"/>
              <w:bottom w:val="single" w:sz="4" w:space="0" w:color="auto"/>
              <w:right w:val="single" w:sz="4" w:space="0" w:color="auto"/>
            </w:tcBorders>
            <w:shd w:val="clear" w:color="auto" w:fill="auto"/>
            <w:tcMar>
              <w:left w:w="45" w:type="dxa"/>
              <w:right w:w="45" w:type="dxa"/>
            </w:tcMar>
            <w:hideMark/>
          </w:tcPr>
          <w:p w14:paraId="6B60003F"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No saving identified due to additional costs expected from 2024/25.</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5CF66E77"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437C1E7E" w14:textId="77777777" w:rsidTr="00BC26AB">
        <w:trPr>
          <w:trHeight w:val="20"/>
        </w:trPr>
        <w:tc>
          <w:tcPr>
            <w:tcW w:w="1148"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0459D8C3"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Life Events</w:t>
            </w:r>
          </w:p>
        </w:tc>
        <w:tc>
          <w:tcPr>
            <w:tcW w:w="1149" w:type="pct"/>
            <w:tcBorders>
              <w:top w:val="nil"/>
              <w:left w:val="nil"/>
              <w:bottom w:val="single" w:sz="4" w:space="0" w:color="auto"/>
              <w:right w:val="single" w:sz="4" w:space="0" w:color="auto"/>
            </w:tcBorders>
            <w:shd w:val="clear" w:color="auto" w:fill="auto"/>
            <w:tcMar>
              <w:left w:w="45" w:type="dxa"/>
              <w:right w:w="45" w:type="dxa"/>
            </w:tcMar>
            <w:hideMark/>
          </w:tcPr>
          <w:p w14:paraId="05DD721B"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Registrars</w:t>
            </w:r>
          </w:p>
        </w:tc>
        <w:tc>
          <w:tcPr>
            <w:tcW w:w="2260" w:type="pct"/>
            <w:tcBorders>
              <w:top w:val="nil"/>
              <w:left w:val="nil"/>
              <w:bottom w:val="single" w:sz="4" w:space="0" w:color="auto"/>
              <w:right w:val="single" w:sz="4" w:space="0" w:color="auto"/>
            </w:tcBorders>
            <w:shd w:val="clear" w:color="auto" w:fill="auto"/>
            <w:tcMar>
              <w:left w:w="45" w:type="dxa"/>
              <w:right w:w="45" w:type="dxa"/>
            </w:tcMar>
            <w:hideMark/>
          </w:tcPr>
          <w:p w14:paraId="1B6F314E"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No saving identified due to pressure on income budgets.</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13C3395B"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3BD2B0E7" w14:textId="77777777" w:rsidTr="00BC26AB">
        <w:trPr>
          <w:trHeight w:val="20"/>
        </w:trPr>
        <w:tc>
          <w:tcPr>
            <w:tcW w:w="2297" w:type="pct"/>
            <w:gridSpan w:val="2"/>
            <w:tcBorders>
              <w:top w:val="single" w:sz="4" w:space="0" w:color="auto"/>
              <w:left w:val="single" w:sz="4" w:space="0" w:color="auto"/>
              <w:bottom w:val="single" w:sz="4" w:space="0" w:color="auto"/>
              <w:right w:val="single" w:sz="4" w:space="0" w:color="auto"/>
            </w:tcBorders>
            <w:shd w:val="clear" w:color="000000" w:fill="A6A6A6"/>
            <w:noWrap/>
            <w:tcMar>
              <w:left w:w="45" w:type="dxa"/>
              <w:right w:w="45" w:type="dxa"/>
            </w:tcMar>
            <w:hideMark/>
          </w:tcPr>
          <w:p w14:paraId="0BAA97BA"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Life Events Total</w:t>
            </w:r>
          </w:p>
        </w:tc>
        <w:tc>
          <w:tcPr>
            <w:tcW w:w="2260" w:type="pct"/>
            <w:tcBorders>
              <w:top w:val="nil"/>
              <w:left w:val="nil"/>
              <w:bottom w:val="single" w:sz="4" w:space="0" w:color="auto"/>
              <w:right w:val="single" w:sz="4" w:space="0" w:color="auto"/>
            </w:tcBorders>
            <w:shd w:val="clear" w:color="000000" w:fill="A6A6A6"/>
            <w:noWrap/>
            <w:tcMar>
              <w:left w:w="45" w:type="dxa"/>
              <w:right w:w="45" w:type="dxa"/>
            </w:tcMar>
            <w:hideMark/>
          </w:tcPr>
          <w:p w14:paraId="2A8B66C8"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w:t>
            </w:r>
          </w:p>
        </w:tc>
        <w:tc>
          <w:tcPr>
            <w:tcW w:w="443" w:type="pct"/>
            <w:tcBorders>
              <w:top w:val="nil"/>
              <w:left w:val="nil"/>
              <w:bottom w:val="single" w:sz="4" w:space="0" w:color="auto"/>
              <w:right w:val="single" w:sz="4" w:space="0" w:color="auto"/>
            </w:tcBorders>
            <w:shd w:val="clear" w:color="000000" w:fill="A6A6A6"/>
            <w:noWrap/>
            <w:tcMar>
              <w:left w:w="45" w:type="dxa"/>
              <w:right w:w="45" w:type="dxa"/>
            </w:tcMar>
            <w:hideMark/>
          </w:tcPr>
          <w:p w14:paraId="40F2C093"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0EAA4C31" w14:textId="77777777" w:rsidTr="00BC26AB">
        <w:trPr>
          <w:trHeight w:val="20"/>
        </w:trPr>
        <w:tc>
          <w:tcPr>
            <w:tcW w:w="4557" w:type="pct"/>
            <w:gridSpan w:val="3"/>
            <w:tcBorders>
              <w:top w:val="single" w:sz="4" w:space="0" w:color="auto"/>
              <w:left w:val="single" w:sz="4" w:space="0" w:color="auto"/>
              <w:bottom w:val="single" w:sz="4" w:space="0" w:color="auto"/>
              <w:right w:val="nil"/>
            </w:tcBorders>
            <w:shd w:val="clear" w:color="000000" w:fill="000000"/>
            <w:noWrap/>
            <w:tcMar>
              <w:left w:w="45" w:type="dxa"/>
              <w:right w:w="45" w:type="dxa"/>
            </w:tcMar>
            <w:hideMark/>
          </w:tcPr>
          <w:p w14:paraId="1CD95E2B"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Public Health</w:t>
            </w:r>
          </w:p>
        </w:tc>
        <w:tc>
          <w:tcPr>
            <w:tcW w:w="443" w:type="pct"/>
            <w:tcBorders>
              <w:top w:val="nil"/>
              <w:left w:val="nil"/>
              <w:bottom w:val="single" w:sz="4" w:space="0" w:color="auto"/>
              <w:right w:val="single" w:sz="4" w:space="0" w:color="auto"/>
            </w:tcBorders>
            <w:shd w:val="clear" w:color="000000" w:fill="000000"/>
            <w:noWrap/>
            <w:tcMar>
              <w:left w:w="45" w:type="dxa"/>
              <w:right w:w="45" w:type="dxa"/>
            </w:tcMar>
            <w:hideMark/>
          </w:tcPr>
          <w:p w14:paraId="59FE5FB3" w14:textId="77777777" w:rsidR="000729CF" w:rsidRPr="000729CF" w:rsidRDefault="000729CF" w:rsidP="000729CF">
            <w:pPr>
              <w:rPr>
                <w:rFonts w:ascii="Calibri" w:hAnsi="Calibri" w:cs="Calibri"/>
                <w:b/>
                <w:bCs/>
                <w:i/>
                <w:iCs/>
                <w:color w:val="FFFFFF"/>
                <w:sz w:val="22"/>
                <w:szCs w:val="22"/>
                <w:lang w:val="en-GB" w:eastAsia="en-GB"/>
              </w:rPr>
            </w:pPr>
          </w:p>
        </w:tc>
      </w:tr>
      <w:tr w:rsidR="000729CF" w:rsidRPr="000729CF" w14:paraId="39F4182A" w14:textId="77777777" w:rsidTr="00BC26AB">
        <w:trPr>
          <w:trHeight w:val="20"/>
        </w:trPr>
        <w:tc>
          <w:tcPr>
            <w:tcW w:w="1148"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3639B870"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Public Health</w:t>
            </w:r>
          </w:p>
        </w:tc>
        <w:tc>
          <w:tcPr>
            <w:tcW w:w="1149" w:type="pct"/>
            <w:tcBorders>
              <w:top w:val="nil"/>
              <w:left w:val="nil"/>
              <w:bottom w:val="single" w:sz="4" w:space="0" w:color="auto"/>
              <w:right w:val="single" w:sz="4" w:space="0" w:color="auto"/>
            </w:tcBorders>
            <w:shd w:val="clear" w:color="auto" w:fill="auto"/>
            <w:tcMar>
              <w:left w:w="45" w:type="dxa"/>
              <w:right w:w="45" w:type="dxa"/>
            </w:tcMar>
            <w:hideMark/>
          </w:tcPr>
          <w:p w14:paraId="5F6562D9"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Ring-fenced Public Health Grant</w:t>
            </w:r>
          </w:p>
        </w:tc>
        <w:tc>
          <w:tcPr>
            <w:tcW w:w="2260" w:type="pct"/>
            <w:tcBorders>
              <w:top w:val="nil"/>
              <w:left w:val="nil"/>
              <w:bottom w:val="single" w:sz="4" w:space="0" w:color="auto"/>
              <w:right w:val="single" w:sz="4" w:space="0" w:color="auto"/>
            </w:tcBorders>
            <w:shd w:val="clear" w:color="auto" w:fill="auto"/>
            <w:tcMar>
              <w:left w:w="45" w:type="dxa"/>
              <w:right w:w="45" w:type="dxa"/>
            </w:tcMar>
            <w:hideMark/>
          </w:tcPr>
          <w:p w14:paraId="4F8E0795"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Ring-fenced grant funding deployed as shown below.</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16C5B66C"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6B821336" w14:textId="77777777" w:rsidTr="00BC26AB">
        <w:trPr>
          <w:trHeight w:val="20"/>
        </w:trPr>
        <w:tc>
          <w:tcPr>
            <w:tcW w:w="1148"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644FCF4F"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Substance Misuse</w:t>
            </w:r>
          </w:p>
        </w:tc>
        <w:tc>
          <w:tcPr>
            <w:tcW w:w="1149" w:type="pct"/>
            <w:tcBorders>
              <w:top w:val="nil"/>
              <w:left w:val="nil"/>
              <w:bottom w:val="single" w:sz="4" w:space="0" w:color="auto"/>
              <w:right w:val="single" w:sz="4" w:space="0" w:color="auto"/>
            </w:tcBorders>
            <w:shd w:val="clear" w:color="auto" w:fill="auto"/>
            <w:tcMar>
              <w:left w:w="45" w:type="dxa"/>
              <w:right w:w="45" w:type="dxa"/>
            </w:tcMar>
            <w:hideMark/>
          </w:tcPr>
          <w:p w14:paraId="64D0F18C"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Substance Misuse services</w:t>
            </w:r>
          </w:p>
        </w:tc>
        <w:tc>
          <w:tcPr>
            <w:tcW w:w="2260" w:type="pct"/>
            <w:tcBorders>
              <w:top w:val="nil"/>
              <w:left w:val="nil"/>
              <w:bottom w:val="single" w:sz="4" w:space="0" w:color="auto"/>
              <w:right w:val="single" w:sz="4" w:space="0" w:color="auto"/>
            </w:tcBorders>
            <w:shd w:val="clear" w:color="auto" w:fill="auto"/>
            <w:tcMar>
              <w:left w:w="45" w:type="dxa"/>
              <w:right w:w="45" w:type="dxa"/>
            </w:tcMar>
            <w:hideMark/>
          </w:tcPr>
          <w:p w14:paraId="3ECF7E9F"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39396FC8"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271B34B5" w14:textId="77777777" w:rsidTr="00BC26AB">
        <w:trPr>
          <w:trHeight w:val="20"/>
        </w:trPr>
        <w:tc>
          <w:tcPr>
            <w:tcW w:w="1148"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7827EA5C"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Sexual Health</w:t>
            </w:r>
          </w:p>
        </w:tc>
        <w:tc>
          <w:tcPr>
            <w:tcW w:w="1149" w:type="pct"/>
            <w:tcBorders>
              <w:top w:val="nil"/>
              <w:left w:val="nil"/>
              <w:bottom w:val="single" w:sz="4" w:space="0" w:color="auto"/>
              <w:right w:val="single" w:sz="4" w:space="0" w:color="auto"/>
            </w:tcBorders>
            <w:shd w:val="clear" w:color="auto" w:fill="auto"/>
            <w:tcMar>
              <w:left w:w="45" w:type="dxa"/>
              <w:right w:w="45" w:type="dxa"/>
            </w:tcMar>
            <w:hideMark/>
          </w:tcPr>
          <w:p w14:paraId="2E56D36B"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Commissioning of sexually transmitted infection (STI) prevention and treatment,  contraception,  HIV prevention and advice services.</w:t>
            </w:r>
          </w:p>
        </w:tc>
        <w:tc>
          <w:tcPr>
            <w:tcW w:w="2260" w:type="pct"/>
            <w:tcBorders>
              <w:top w:val="nil"/>
              <w:left w:val="nil"/>
              <w:bottom w:val="single" w:sz="4" w:space="0" w:color="auto"/>
              <w:right w:val="single" w:sz="4" w:space="0" w:color="auto"/>
            </w:tcBorders>
            <w:shd w:val="clear" w:color="auto" w:fill="auto"/>
            <w:tcMar>
              <w:left w:w="45" w:type="dxa"/>
              <w:right w:w="45" w:type="dxa"/>
            </w:tcMar>
            <w:hideMark/>
          </w:tcPr>
          <w:p w14:paraId="53F97D6C"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254D7200"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29E29BB1" w14:textId="77777777" w:rsidTr="00BC26AB">
        <w:trPr>
          <w:trHeight w:val="20"/>
        </w:trPr>
        <w:tc>
          <w:tcPr>
            <w:tcW w:w="1148"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59C1BAE6"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Children 0-19 Public Health Programmes</w:t>
            </w:r>
          </w:p>
        </w:tc>
        <w:tc>
          <w:tcPr>
            <w:tcW w:w="1149" w:type="pct"/>
            <w:tcBorders>
              <w:top w:val="nil"/>
              <w:left w:val="nil"/>
              <w:bottom w:val="single" w:sz="4" w:space="0" w:color="auto"/>
              <w:right w:val="single" w:sz="4" w:space="0" w:color="auto"/>
            </w:tcBorders>
            <w:shd w:val="clear" w:color="auto" w:fill="auto"/>
            <w:tcMar>
              <w:left w:w="45" w:type="dxa"/>
              <w:right w:w="45" w:type="dxa"/>
            </w:tcMar>
            <w:hideMark/>
          </w:tcPr>
          <w:p w14:paraId="782BFDC4"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w:t>
            </w:r>
          </w:p>
        </w:tc>
        <w:tc>
          <w:tcPr>
            <w:tcW w:w="2260" w:type="pct"/>
            <w:tcBorders>
              <w:top w:val="nil"/>
              <w:left w:val="nil"/>
              <w:bottom w:val="single" w:sz="4" w:space="0" w:color="auto"/>
              <w:right w:val="single" w:sz="4" w:space="0" w:color="auto"/>
            </w:tcBorders>
            <w:shd w:val="clear" w:color="auto" w:fill="auto"/>
            <w:tcMar>
              <w:left w:w="45" w:type="dxa"/>
              <w:right w:w="45" w:type="dxa"/>
            </w:tcMar>
            <w:hideMark/>
          </w:tcPr>
          <w:p w14:paraId="4AB33DD7"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Cessation of recurrent Public Health funding for Free Swimming Scheme for 0-18s. Funding for continuing provision in 2024/25 and 2025/26 will be from the one-off Public Health reserve funding and the scheme will be reviewed in 2024/25.</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595841D6"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4884783D" w14:textId="77777777" w:rsidTr="00BC26AB">
        <w:trPr>
          <w:trHeight w:val="20"/>
        </w:trPr>
        <w:tc>
          <w:tcPr>
            <w:tcW w:w="1148"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757B8CD2"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Health Improvement</w:t>
            </w:r>
          </w:p>
        </w:tc>
        <w:tc>
          <w:tcPr>
            <w:tcW w:w="1149" w:type="pct"/>
            <w:tcBorders>
              <w:top w:val="nil"/>
              <w:left w:val="nil"/>
              <w:bottom w:val="single" w:sz="4" w:space="0" w:color="auto"/>
              <w:right w:val="single" w:sz="4" w:space="0" w:color="auto"/>
            </w:tcBorders>
            <w:shd w:val="clear" w:color="auto" w:fill="auto"/>
            <w:tcMar>
              <w:left w:w="45" w:type="dxa"/>
              <w:right w:w="45" w:type="dxa"/>
            </w:tcMar>
            <w:hideMark/>
          </w:tcPr>
          <w:p w14:paraId="1FD644FC"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w:t>
            </w:r>
          </w:p>
        </w:tc>
        <w:tc>
          <w:tcPr>
            <w:tcW w:w="2260" w:type="pct"/>
            <w:tcBorders>
              <w:top w:val="nil"/>
              <w:left w:val="nil"/>
              <w:bottom w:val="single" w:sz="4" w:space="0" w:color="auto"/>
              <w:right w:val="single" w:sz="4" w:space="0" w:color="auto"/>
            </w:tcBorders>
            <w:shd w:val="clear" w:color="auto" w:fill="auto"/>
            <w:tcMar>
              <w:left w:w="45" w:type="dxa"/>
              <w:right w:w="45" w:type="dxa"/>
            </w:tcMar>
            <w:hideMark/>
          </w:tcPr>
          <w:p w14:paraId="7A213236"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General Fund funding provided for Public Health will be discontinued and cost of programmes going forward will be met from Public Health ringfenced grant.</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66904A6F"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171 </w:t>
            </w:r>
          </w:p>
        </w:tc>
      </w:tr>
      <w:tr w:rsidR="000729CF" w:rsidRPr="000729CF" w14:paraId="4A9CED54" w14:textId="77777777" w:rsidTr="00BC26AB">
        <w:trPr>
          <w:trHeight w:val="20"/>
        </w:trPr>
        <w:tc>
          <w:tcPr>
            <w:tcW w:w="1148"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1D0595ED"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w:t>
            </w:r>
          </w:p>
        </w:tc>
        <w:tc>
          <w:tcPr>
            <w:tcW w:w="1149" w:type="pct"/>
            <w:tcBorders>
              <w:top w:val="nil"/>
              <w:left w:val="nil"/>
              <w:bottom w:val="single" w:sz="4" w:space="0" w:color="auto"/>
              <w:right w:val="single" w:sz="4" w:space="0" w:color="auto"/>
            </w:tcBorders>
            <w:shd w:val="clear" w:color="auto" w:fill="auto"/>
            <w:tcMar>
              <w:left w:w="45" w:type="dxa"/>
              <w:right w:w="45" w:type="dxa"/>
            </w:tcMar>
            <w:hideMark/>
          </w:tcPr>
          <w:p w14:paraId="7A556FCC"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w:t>
            </w:r>
          </w:p>
        </w:tc>
        <w:tc>
          <w:tcPr>
            <w:tcW w:w="2260" w:type="pct"/>
            <w:tcBorders>
              <w:top w:val="nil"/>
              <w:left w:val="nil"/>
              <w:bottom w:val="single" w:sz="4" w:space="0" w:color="auto"/>
              <w:right w:val="single" w:sz="4" w:space="0" w:color="auto"/>
            </w:tcBorders>
            <w:shd w:val="clear" w:color="auto" w:fill="auto"/>
            <w:tcMar>
              <w:left w:w="45" w:type="dxa"/>
              <w:right w:w="45" w:type="dxa"/>
            </w:tcMar>
            <w:hideMark/>
          </w:tcPr>
          <w:p w14:paraId="3AAEE8FC"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Cessation of Public Health funding for ASC Prevention contracts including Shopmobility and Disability Advice Centre. See EIA 12.</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632CD965"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7ACA5227" w14:textId="77777777" w:rsidTr="00BC26AB">
        <w:trPr>
          <w:trHeight w:val="20"/>
        </w:trPr>
        <w:tc>
          <w:tcPr>
            <w:tcW w:w="1148"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0149901A"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w:t>
            </w:r>
          </w:p>
        </w:tc>
        <w:tc>
          <w:tcPr>
            <w:tcW w:w="1149" w:type="pct"/>
            <w:tcBorders>
              <w:top w:val="nil"/>
              <w:left w:val="nil"/>
              <w:bottom w:val="single" w:sz="4" w:space="0" w:color="auto"/>
              <w:right w:val="single" w:sz="4" w:space="0" w:color="auto"/>
            </w:tcBorders>
            <w:shd w:val="clear" w:color="auto" w:fill="auto"/>
            <w:tcMar>
              <w:left w:w="45" w:type="dxa"/>
              <w:right w:w="45" w:type="dxa"/>
            </w:tcMar>
            <w:hideMark/>
          </w:tcPr>
          <w:p w14:paraId="7E29EE16"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w:t>
            </w:r>
          </w:p>
        </w:tc>
        <w:tc>
          <w:tcPr>
            <w:tcW w:w="2260" w:type="pct"/>
            <w:tcBorders>
              <w:top w:val="nil"/>
              <w:left w:val="nil"/>
              <w:bottom w:val="single" w:sz="4" w:space="0" w:color="auto"/>
              <w:right w:val="single" w:sz="4" w:space="0" w:color="auto"/>
            </w:tcBorders>
            <w:shd w:val="clear" w:color="auto" w:fill="auto"/>
            <w:tcMar>
              <w:left w:w="45" w:type="dxa"/>
              <w:right w:w="45" w:type="dxa"/>
            </w:tcMar>
            <w:hideMark/>
          </w:tcPr>
          <w:p w14:paraId="299FCE7C"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Reprofiling of demand-led locally commissioned services in NHS budgets to reflect current and future anticipated activity (no impact on current service provision). Recurrent funding for Healthy Pharmacy Scheme will be removed and funded from Public Health ringfenced budget reserve for 2024/25 and 2025/26 (no impact on service delivery during this period).</w:t>
            </w:r>
          </w:p>
        </w:tc>
        <w:tc>
          <w:tcPr>
            <w:tcW w:w="443" w:type="pct"/>
            <w:tcBorders>
              <w:top w:val="nil"/>
              <w:left w:val="nil"/>
              <w:bottom w:val="single" w:sz="4" w:space="0" w:color="auto"/>
              <w:right w:val="single" w:sz="4" w:space="0" w:color="auto"/>
            </w:tcBorders>
            <w:shd w:val="clear" w:color="auto" w:fill="auto"/>
            <w:tcMar>
              <w:left w:w="45" w:type="dxa"/>
              <w:right w:w="45" w:type="dxa"/>
            </w:tcMar>
            <w:hideMark/>
          </w:tcPr>
          <w:p w14:paraId="72C1403D"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63ABA4D9" w14:textId="77777777" w:rsidTr="00BC26AB">
        <w:trPr>
          <w:trHeight w:val="20"/>
        </w:trPr>
        <w:tc>
          <w:tcPr>
            <w:tcW w:w="2297" w:type="pct"/>
            <w:gridSpan w:val="2"/>
            <w:tcBorders>
              <w:top w:val="single" w:sz="4" w:space="0" w:color="auto"/>
              <w:left w:val="single" w:sz="4" w:space="0" w:color="auto"/>
              <w:bottom w:val="single" w:sz="4" w:space="0" w:color="auto"/>
              <w:right w:val="single" w:sz="4" w:space="0" w:color="auto"/>
            </w:tcBorders>
            <w:shd w:val="clear" w:color="000000" w:fill="A6A6A6"/>
            <w:noWrap/>
            <w:tcMar>
              <w:left w:w="45" w:type="dxa"/>
              <w:right w:w="45" w:type="dxa"/>
            </w:tcMar>
            <w:hideMark/>
          </w:tcPr>
          <w:p w14:paraId="3EBE94E2"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Public Health Total</w:t>
            </w:r>
          </w:p>
        </w:tc>
        <w:tc>
          <w:tcPr>
            <w:tcW w:w="2260" w:type="pct"/>
            <w:tcBorders>
              <w:top w:val="nil"/>
              <w:left w:val="nil"/>
              <w:bottom w:val="single" w:sz="4" w:space="0" w:color="auto"/>
              <w:right w:val="single" w:sz="4" w:space="0" w:color="auto"/>
            </w:tcBorders>
            <w:shd w:val="clear" w:color="000000" w:fill="A6A6A6"/>
            <w:noWrap/>
            <w:tcMar>
              <w:left w:w="45" w:type="dxa"/>
              <w:right w:w="45" w:type="dxa"/>
            </w:tcMar>
            <w:hideMark/>
          </w:tcPr>
          <w:p w14:paraId="30627F8A"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w:t>
            </w:r>
          </w:p>
        </w:tc>
        <w:tc>
          <w:tcPr>
            <w:tcW w:w="443" w:type="pct"/>
            <w:tcBorders>
              <w:top w:val="nil"/>
              <w:left w:val="nil"/>
              <w:bottom w:val="single" w:sz="4" w:space="0" w:color="auto"/>
              <w:right w:val="single" w:sz="4" w:space="0" w:color="auto"/>
            </w:tcBorders>
            <w:shd w:val="clear" w:color="000000" w:fill="A6A6A6"/>
            <w:noWrap/>
            <w:tcMar>
              <w:left w:w="45" w:type="dxa"/>
              <w:right w:w="45" w:type="dxa"/>
            </w:tcMar>
            <w:hideMark/>
          </w:tcPr>
          <w:p w14:paraId="4DC39804"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171 </w:t>
            </w:r>
          </w:p>
        </w:tc>
      </w:tr>
      <w:tr w:rsidR="000729CF" w:rsidRPr="000729CF" w14:paraId="6E3DFA31" w14:textId="77777777" w:rsidTr="00BC26AB">
        <w:trPr>
          <w:trHeight w:val="20"/>
        </w:trPr>
        <w:tc>
          <w:tcPr>
            <w:tcW w:w="2297" w:type="pct"/>
            <w:gridSpan w:val="2"/>
            <w:tcBorders>
              <w:top w:val="single" w:sz="4" w:space="0" w:color="auto"/>
              <w:left w:val="single" w:sz="4" w:space="0" w:color="auto"/>
              <w:bottom w:val="single" w:sz="4" w:space="0" w:color="auto"/>
              <w:right w:val="single" w:sz="4" w:space="0" w:color="auto"/>
            </w:tcBorders>
            <w:shd w:val="clear" w:color="000000" w:fill="A6A6A6"/>
            <w:noWrap/>
            <w:tcMar>
              <w:left w:w="45" w:type="dxa"/>
              <w:right w:w="45" w:type="dxa"/>
            </w:tcMar>
            <w:hideMark/>
          </w:tcPr>
          <w:p w14:paraId="4ADFF90A"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Health &amp; Adult Social Care Total</w:t>
            </w:r>
          </w:p>
        </w:tc>
        <w:tc>
          <w:tcPr>
            <w:tcW w:w="2260" w:type="pct"/>
            <w:tcBorders>
              <w:top w:val="nil"/>
              <w:left w:val="nil"/>
              <w:bottom w:val="single" w:sz="4" w:space="0" w:color="auto"/>
              <w:right w:val="single" w:sz="4" w:space="0" w:color="auto"/>
            </w:tcBorders>
            <w:shd w:val="clear" w:color="000000" w:fill="A6A6A6"/>
            <w:noWrap/>
            <w:tcMar>
              <w:left w:w="45" w:type="dxa"/>
              <w:right w:w="45" w:type="dxa"/>
            </w:tcMar>
            <w:hideMark/>
          </w:tcPr>
          <w:p w14:paraId="0D61D72B"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w:t>
            </w:r>
          </w:p>
        </w:tc>
        <w:tc>
          <w:tcPr>
            <w:tcW w:w="443" w:type="pct"/>
            <w:tcBorders>
              <w:top w:val="nil"/>
              <w:left w:val="nil"/>
              <w:bottom w:val="single" w:sz="4" w:space="0" w:color="auto"/>
              <w:right w:val="single" w:sz="4" w:space="0" w:color="auto"/>
            </w:tcBorders>
            <w:shd w:val="clear" w:color="000000" w:fill="A6A6A6"/>
            <w:noWrap/>
            <w:tcMar>
              <w:left w:w="45" w:type="dxa"/>
              <w:right w:w="45" w:type="dxa"/>
            </w:tcMar>
            <w:hideMark/>
          </w:tcPr>
          <w:p w14:paraId="7D883AA0"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4,712 </w:t>
            </w:r>
          </w:p>
        </w:tc>
      </w:tr>
    </w:tbl>
    <w:p w14:paraId="5AB4238F" w14:textId="77777777" w:rsidR="000729CF" w:rsidRPr="000729CF" w:rsidRDefault="000729CF" w:rsidP="000729CF">
      <w:pPr>
        <w:spacing w:after="160" w:line="259" w:lineRule="auto"/>
        <w:rPr>
          <w:rFonts w:ascii="Calibri" w:eastAsia="Calibri" w:hAnsi="Calibri"/>
          <w:sz w:val="22"/>
          <w:szCs w:val="22"/>
          <w:lang w:val="en-GB"/>
        </w:rPr>
      </w:pPr>
    </w:p>
    <w:p w14:paraId="4BC5053B" w14:textId="77777777" w:rsidR="000729CF" w:rsidRPr="000729CF" w:rsidRDefault="000729CF" w:rsidP="000729CF">
      <w:pPr>
        <w:spacing w:after="160" w:line="259" w:lineRule="auto"/>
        <w:rPr>
          <w:rFonts w:ascii="Calibri" w:eastAsia="Calibri" w:hAnsi="Calibri"/>
          <w:sz w:val="22"/>
          <w:szCs w:val="22"/>
          <w:lang w:val="en-GB"/>
        </w:rPr>
      </w:pPr>
    </w:p>
    <w:p w14:paraId="606691EE" w14:textId="77777777" w:rsidR="000729CF" w:rsidRPr="000729CF" w:rsidRDefault="000729CF" w:rsidP="000729CF">
      <w:pPr>
        <w:spacing w:after="160" w:line="259" w:lineRule="auto"/>
        <w:rPr>
          <w:rFonts w:ascii="Calibri" w:eastAsia="Calibri" w:hAnsi="Calibri"/>
          <w:sz w:val="22"/>
          <w:szCs w:val="22"/>
          <w:lang w:val="en-GB"/>
        </w:rPr>
      </w:pPr>
    </w:p>
    <w:p w14:paraId="59F94E12" w14:textId="77777777" w:rsidR="000729CF" w:rsidRPr="000729CF" w:rsidRDefault="000729CF" w:rsidP="000729CF">
      <w:pPr>
        <w:spacing w:after="160" w:line="259" w:lineRule="auto"/>
        <w:rPr>
          <w:rFonts w:ascii="Calibri" w:eastAsia="Calibri" w:hAnsi="Calibri"/>
          <w:sz w:val="22"/>
          <w:szCs w:val="22"/>
          <w:lang w:val="en-GB"/>
        </w:rPr>
        <w:sectPr w:rsidR="000729CF" w:rsidRPr="000729CF" w:rsidSect="001604BB">
          <w:footerReference w:type="default" r:id="rId17"/>
          <w:pgSz w:w="16838" w:h="11906" w:orient="landscape"/>
          <w:pgMar w:top="720" w:right="720" w:bottom="720" w:left="720" w:header="709" w:footer="709" w:gutter="0"/>
          <w:cols w:space="708"/>
          <w:docGrid w:linePitch="360"/>
        </w:sectPr>
      </w:pPr>
    </w:p>
    <w:p w14:paraId="4C34F6FC" w14:textId="77777777" w:rsidR="000729CF" w:rsidRPr="000729CF" w:rsidRDefault="000729CF" w:rsidP="000729CF">
      <w:pPr>
        <w:rPr>
          <w:rFonts w:ascii="Calibri" w:eastAsia="Calibri" w:hAnsi="Calibri"/>
          <w:b/>
          <w:color w:val="7030A0"/>
          <w:sz w:val="44"/>
          <w:szCs w:val="22"/>
          <w:lang w:val="en-GB"/>
        </w:rPr>
      </w:pPr>
      <w:r w:rsidRPr="000729CF">
        <w:rPr>
          <w:rFonts w:ascii="Calibri" w:eastAsia="Calibri" w:hAnsi="Calibri"/>
          <w:b/>
          <w:color w:val="7030A0"/>
          <w:sz w:val="44"/>
          <w:szCs w:val="22"/>
          <w:lang w:val="en-GB"/>
        </w:rPr>
        <w:t>Economy, Environment &amp; Culture</w:t>
      </w:r>
    </w:p>
    <w:p w14:paraId="26F3F159" w14:textId="77777777" w:rsidR="000729CF" w:rsidRPr="000729CF" w:rsidRDefault="000729CF" w:rsidP="000729CF">
      <w:pPr>
        <w:spacing w:after="160"/>
        <w:rPr>
          <w:rFonts w:ascii="Calibri" w:eastAsia="Calibri" w:hAnsi="Calibri"/>
          <w:b/>
          <w:bCs/>
          <w:color w:val="7030A0"/>
          <w:sz w:val="28"/>
          <w:szCs w:val="28"/>
          <w:lang w:val="en-GB"/>
        </w:rPr>
      </w:pPr>
      <w:r w:rsidRPr="000729CF">
        <w:rPr>
          <w:rFonts w:ascii="Calibri" w:eastAsia="Calibri" w:hAnsi="Calibri"/>
          <w:b/>
          <w:bCs/>
          <w:color w:val="7030A0"/>
          <w:sz w:val="28"/>
          <w:szCs w:val="28"/>
          <w:lang w:val="en-GB"/>
        </w:rPr>
        <w:t>Budget Strategy and Savings Proposals 2024/25</w:t>
      </w:r>
    </w:p>
    <w:p w14:paraId="777EA7F7" w14:textId="77777777" w:rsidR="000729CF" w:rsidRPr="000729CF" w:rsidRDefault="000729CF" w:rsidP="000729CF">
      <w:pPr>
        <w:spacing w:before="120" w:after="120"/>
        <w:rPr>
          <w:rFonts w:ascii="Calibri" w:eastAsia="Calibri" w:hAnsi="Calibri" w:cs="Calibri"/>
          <w:b/>
          <w:bCs/>
          <w:sz w:val="22"/>
          <w:szCs w:val="22"/>
          <w:u w:val="single"/>
          <w:lang w:val="en-GB"/>
        </w:rPr>
      </w:pPr>
      <w:r w:rsidRPr="000729CF">
        <w:rPr>
          <w:rFonts w:ascii="Calibri" w:eastAsia="Calibri" w:hAnsi="Calibri" w:cs="Calibri"/>
          <w:b/>
          <w:bCs/>
          <w:sz w:val="22"/>
          <w:szCs w:val="22"/>
          <w:u w:val="single"/>
          <w:lang w:val="en-GB"/>
        </w:rPr>
        <w:t>Service Context</w:t>
      </w:r>
    </w:p>
    <w:p w14:paraId="50FE9741" w14:textId="77777777" w:rsidR="000729CF" w:rsidRPr="000729CF" w:rsidRDefault="000729CF" w:rsidP="000729CF">
      <w:pPr>
        <w:autoSpaceDE w:val="0"/>
        <w:autoSpaceDN w:val="0"/>
        <w:spacing w:before="120" w:after="120"/>
        <w:ind w:right="-1"/>
        <w:rPr>
          <w:rFonts w:ascii="Calibri" w:eastAsia="Calibri" w:hAnsi="Calibri" w:cs="Calibri"/>
          <w:sz w:val="22"/>
          <w:szCs w:val="22"/>
          <w:lang w:val="en-GB"/>
        </w:rPr>
      </w:pPr>
      <w:r w:rsidRPr="000729CF">
        <w:rPr>
          <w:rFonts w:ascii="Calibri" w:eastAsia="Calibri" w:hAnsi="Calibri" w:cs="Calibri"/>
          <w:sz w:val="22"/>
          <w:szCs w:val="22"/>
          <w:lang w:val="en-GB"/>
        </w:rPr>
        <w:t xml:space="preserve">The Economy, Environment &amp; Culture directorate’s focus is on making the city a vibrant place where people want to live, visit and do business, and where the unique character of Brighton and Hove is celebrated and enhanced. This includes making the city an accessible and sustainable place where people are well-connected and can enjoy an attractive, well-maintained built and natural environment. </w:t>
      </w:r>
    </w:p>
    <w:p w14:paraId="51FD8170" w14:textId="77777777" w:rsidR="000729CF" w:rsidRPr="000729CF" w:rsidRDefault="000729CF" w:rsidP="000729CF">
      <w:pPr>
        <w:autoSpaceDE w:val="0"/>
        <w:autoSpaceDN w:val="0"/>
        <w:spacing w:before="120" w:after="120"/>
        <w:ind w:right="-1"/>
        <w:rPr>
          <w:rFonts w:ascii="Calibri" w:eastAsia="Calibri" w:hAnsi="Calibri" w:cs="Calibri"/>
          <w:sz w:val="22"/>
          <w:szCs w:val="22"/>
          <w:lang w:val="en-GB"/>
        </w:rPr>
      </w:pPr>
      <w:r w:rsidRPr="000729CF">
        <w:rPr>
          <w:rFonts w:ascii="Calibri" w:eastAsia="Calibri" w:hAnsi="Calibri" w:cs="Calibri"/>
          <w:sz w:val="22"/>
          <w:szCs w:val="22"/>
          <w:lang w:val="en-GB"/>
        </w:rPr>
        <w:t>The directorate is driving the city’s progress towards achieving net zero carbon by 2030 and working with partners to create the right conditions for a prosperous Brighton and Hove by supporting local innovation, enterprise and investment. With a focus on providing reliable, well-run services to the public, as well as protecting and regenerating key assets, the directorate works to preserve the city’s resources for future generations and promotes pride in place.</w:t>
      </w:r>
    </w:p>
    <w:p w14:paraId="055B83F4" w14:textId="77777777" w:rsidR="000729CF" w:rsidRPr="000729CF" w:rsidRDefault="000729CF" w:rsidP="000729CF">
      <w:pPr>
        <w:autoSpaceDE w:val="0"/>
        <w:autoSpaceDN w:val="0"/>
        <w:spacing w:before="120" w:after="120"/>
        <w:ind w:right="1302"/>
        <w:rPr>
          <w:rFonts w:ascii="Calibri" w:eastAsia="Calibri" w:hAnsi="Calibri" w:cs="Calibri"/>
          <w:sz w:val="22"/>
          <w:szCs w:val="22"/>
          <w:lang w:val="en-GB"/>
        </w:rPr>
      </w:pPr>
      <w:r w:rsidRPr="000729CF">
        <w:rPr>
          <w:rFonts w:ascii="Calibri" w:eastAsia="Calibri" w:hAnsi="Calibri" w:cs="Calibri"/>
          <w:sz w:val="22"/>
          <w:szCs w:val="22"/>
          <w:lang w:val="en-GB"/>
        </w:rPr>
        <w:t xml:space="preserve">This is achieved through delivering the following services: </w:t>
      </w:r>
      <w:bookmarkStart w:id="31" w:name="_Hlk56702874"/>
    </w:p>
    <w:p w14:paraId="22E1C816" w14:textId="77777777" w:rsidR="000729CF" w:rsidRPr="000729CF" w:rsidRDefault="000729CF" w:rsidP="000729CF">
      <w:pPr>
        <w:spacing w:before="120" w:after="120"/>
        <w:rPr>
          <w:rFonts w:ascii="Calibri" w:hAnsi="Calibri" w:cs="Calibri"/>
          <w:b/>
          <w:sz w:val="22"/>
          <w:szCs w:val="22"/>
          <w:lang w:val="en-GB" w:eastAsia="en-GB"/>
        </w:rPr>
      </w:pPr>
      <w:r w:rsidRPr="000729CF">
        <w:rPr>
          <w:rFonts w:ascii="Calibri" w:hAnsi="Calibri" w:cs="Calibri"/>
          <w:b/>
          <w:sz w:val="22"/>
          <w:szCs w:val="22"/>
          <w:lang w:val="en-GB" w:eastAsia="en-GB"/>
        </w:rPr>
        <w:t>City Development &amp; Regeneration</w:t>
      </w:r>
    </w:p>
    <w:p w14:paraId="4AC5C06B" w14:textId="77777777" w:rsidR="000729CF" w:rsidRPr="000729CF" w:rsidRDefault="000729CF" w:rsidP="000729CF">
      <w:pPr>
        <w:spacing w:before="120" w:after="120"/>
        <w:rPr>
          <w:rFonts w:ascii="Calibri" w:hAnsi="Calibri" w:cs="Calibri"/>
          <w:sz w:val="22"/>
          <w:szCs w:val="22"/>
          <w:shd w:val="clear" w:color="auto" w:fill="FFFFFF"/>
          <w:lang w:val="en-GB"/>
        </w:rPr>
      </w:pPr>
      <w:r w:rsidRPr="000729CF">
        <w:rPr>
          <w:rFonts w:ascii="Calibri" w:hAnsi="Calibri" w:cs="Calibri"/>
          <w:sz w:val="22"/>
          <w:szCs w:val="22"/>
          <w:lang w:val="en-GB" w:eastAsia="en-GB"/>
        </w:rPr>
        <w:t>City Development &amp; Regeneration leads on many of the council’s built environment functions. The service shapes development in the city through the statutory plan making process, development management and building control to ensure good urban design and protection of heritage, as well as compliance with building regulations to ensure safety. Driving the city’s progress towards net zero by 2030, the focus is on delivery of high impact projects to address the effects of climate change and sustainable development, as well as major regeneration and investment projects, including development of new affordable homes through the Homes for Brighton &amp; Hove joint venture and New Homes for Neighbourhoods Programme. The team leads on the council’s work with Greater Brighton and city partners to develop a flourishing and inclusive local economy that attracts sustainable investment and nurtures business and innovation.</w:t>
      </w:r>
    </w:p>
    <w:p w14:paraId="1F73AD34" w14:textId="77777777" w:rsidR="000729CF" w:rsidRPr="000729CF" w:rsidRDefault="000729CF" w:rsidP="00CE70A3">
      <w:pPr>
        <w:numPr>
          <w:ilvl w:val="0"/>
          <w:numId w:val="53"/>
        </w:numPr>
        <w:spacing w:before="120" w:after="120" w:line="259" w:lineRule="auto"/>
        <w:contextualSpacing/>
        <w:rPr>
          <w:rFonts w:ascii="Calibri" w:hAnsi="Calibri" w:cs="Calibri"/>
          <w:sz w:val="22"/>
          <w:szCs w:val="22"/>
          <w:shd w:val="clear" w:color="auto" w:fill="FFFFFF"/>
          <w:lang w:val="en-GB"/>
        </w:rPr>
      </w:pPr>
      <w:r w:rsidRPr="000729CF">
        <w:rPr>
          <w:rFonts w:ascii="Calibri" w:hAnsi="Calibri" w:cs="Calibri"/>
          <w:sz w:val="22"/>
          <w:szCs w:val="22"/>
          <w:shd w:val="clear" w:color="auto" w:fill="FFFFFF"/>
          <w:lang w:val="en-GB"/>
        </w:rPr>
        <w:t>One of the top twenty busiest unitary authority Planning services in England, dealing with 3000+ applications and 600+ enforcement case each year</w:t>
      </w:r>
    </w:p>
    <w:p w14:paraId="33C85FAF" w14:textId="77777777" w:rsidR="000729CF" w:rsidRPr="000729CF" w:rsidRDefault="000729CF" w:rsidP="00CE70A3">
      <w:pPr>
        <w:numPr>
          <w:ilvl w:val="0"/>
          <w:numId w:val="53"/>
        </w:numPr>
        <w:spacing w:after="160" w:line="259" w:lineRule="auto"/>
        <w:rPr>
          <w:rFonts w:ascii="Calibri" w:hAnsi="Calibri" w:cs="Calibri"/>
          <w:color w:val="000000"/>
          <w:sz w:val="22"/>
          <w:szCs w:val="22"/>
          <w:shd w:val="clear" w:color="auto" w:fill="FFFFFF"/>
          <w:lang w:val="en-GB"/>
        </w:rPr>
      </w:pPr>
      <w:r w:rsidRPr="000729CF">
        <w:rPr>
          <w:rFonts w:ascii="Calibri" w:hAnsi="Calibri" w:cs="Calibri"/>
          <w:color w:val="000000"/>
          <w:sz w:val="22"/>
          <w:szCs w:val="22"/>
          <w:lang w:val="en-GB"/>
        </w:rPr>
        <w:t>15 projects and 269 n</w:t>
      </w:r>
      <w:r w:rsidRPr="000729CF">
        <w:rPr>
          <w:rFonts w:ascii="Calibri" w:hAnsi="Calibri" w:cs="Calibri"/>
          <w:color w:val="000000"/>
          <w:sz w:val="22"/>
          <w:szCs w:val="22"/>
          <w:shd w:val="clear" w:color="auto" w:fill="FFFFFF"/>
          <w:lang w:val="en-GB"/>
        </w:rPr>
        <w:t>ew council homes via New Homes for Neighbourhoods, with planning approval for 264 more homes and a further 100 homes in the pipeline. </w:t>
      </w:r>
    </w:p>
    <w:p w14:paraId="290B9478" w14:textId="77777777" w:rsidR="000729CF" w:rsidRPr="000729CF" w:rsidRDefault="000729CF" w:rsidP="00CE70A3">
      <w:pPr>
        <w:numPr>
          <w:ilvl w:val="0"/>
          <w:numId w:val="53"/>
        </w:numPr>
        <w:spacing w:after="160" w:line="259" w:lineRule="auto"/>
        <w:rPr>
          <w:rFonts w:ascii="Calibri" w:hAnsi="Calibri" w:cs="Calibri"/>
          <w:color w:val="000000"/>
          <w:sz w:val="22"/>
          <w:szCs w:val="22"/>
          <w:shd w:val="clear" w:color="auto" w:fill="FFFFFF"/>
          <w:lang w:val="en-GB"/>
        </w:rPr>
      </w:pPr>
      <w:r w:rsidRPr="000729CF">
        <w:rPr>
          <w:rFonts w:ascii="Calibri" w:hAnsi="Calibri" w:cs="Calibri"/>
          <w:color w:val="000000"/>
          <w:sz w:val="22"/>
          <w:szCs w:val="22"/>
          <w:shd w:val="clear" w:color="auto" w:fill="FFFFFF"/>
          <w:lang w:val="en-GB"/>
        </w:rPr>
        <w:t xml:space="preserve">Planning consent granted for the Phase 1 restoration of Madeira Terraces as an outdoor visitor destination, including 28 of the historic arches. </w:t>
      </w:r>
    </w:p>
    <w:p w14:paraId="3C4B758B" w14:textId="77777777" w:rsidR="000729CF" w:rsidRPr="000729CF" w:rsidRDefault="000729CF" w:rsidP="00CE70A3">
      <w:pPr>
        <w:numPr>
          <w:ilvl w:val="0"/>
          <w:numId w:val="53"/>
        </w:numPr>
        <w:spacing w:before="120" w:after="120" w:line="259" w:lineRule="auto"/>
        <w:contextualSpacing/>
        <w:rPr>
          <w:rFonts w:ascii="Calibri" w:hAnsi="Calibri" w:cs="Calibri"/>
          <w:sz w:val="22"/>
          <w:szCs w:val="22"/>
          <w:shd w:val="clear" w:color="auto" w:fill="FFFFFF"/>
          <w:lang w:val="en-GB"/>
        </w:rPr>
      </w:pPr>
      <w:r w:rsidRPr="000729CF">
        <w:rPr>
          <w:rFonts w:ascii="Calibri" w:hAnsi="Calibri" w:cs="Calibri"/>
          <w:sz w:val="22"/>
          <w:szCs w:val="22"/>
          <w:shd w:val="clear" w:color="auto" w:fill="FFFFFF"/>
          <w:lang w:val="en-GB"/>
        </w:rPr>
        <w:t xml:space="preserve">Managing the UK’s only urban </w:t>
      </w:r>
      <w:r w:rsidRPr="000729CF">
        <w:rPr>
          <w:rFonts w:ascii="Calibri" w:eastAsia="Calibri" w:hAnsi="Calibri" w:cs="Calibri"/>
          <w:sz w:val="22"/>
          <w:szCs w:val="22"/>
          <w:lang w:val="en-GB"/>
        </w:rPr>
        <w:t>UNESCO Biosphere Region covering 390</w:t>
      </w:r>
      <w:r w:rsidRPr="000729CF">
        <w:rPr>
          <w:rFonts w:ascii="Calibri" w:eastAsia="Calibri" w:hAnsi="Calibri" w:cs="Calibri"/>
          <w:color w:val="000000"/>
          <w:sz w:val="22"/>
          <w:szCs w:val="22"/>
          <w:shd w:val="clear" w:color="auto" w:fill="FFFFFF"/>
          <w:lang w:val="en-GB"/>
        </w:rPr>
        <w:t>km</w:t>
      </w:r>
      <w:r w:rsidRPr="000729CF">
        <w:rPr>
          <w:rFonts w:ascii="Calibri" w:eastAsia="Calibri" w:hAnsi="Calibri" w:cs="Calibri"/>
          <w:color w:val="000000"/>
          <w:sz w:val="22"/>
          <w:szCs w:val="22"/>
          <w:shd w:val="clear" w:color="auto" w:fill="FFFFFF"/>
          <w:vertAlign w:val="superscript"/>
          <w:lang w:val="en-GB"/>
        </w:rPr>
        <w:t>2</w:t>
      </w:r>
      <w:r w:rsidRPr="000729CF">
        <w:rPr>
          <w:rFonts w:ascii="Calibri" w:eastAsia="Calibri" w:hAnsi="Calibri" w:cs="Calibri"/>
          <w:sz w:val="22"/>
          <w:szCs w:val="22"/>
          <w:lang w:val="en-GB"/>
        </w:rPr>
        <w:t xml:space="preserve"> on behalf of the Living Coast Partnership.</w:t>
      </w:r>
    </w:p>
    <w:p w14:paraId="35E926F2" w14:textId="77777777" w:rsidR="000729CF" w:rsidRPr="000729CF" w:rsidRDefault="000729CF" w:rsidP="00CE70A3">
      <w:pPr>
        <w:numPr>
          <w:ilvl w:val="0"/>
          <w:numId w:val="53"/>
        </w:numPr>
        <w:spacing w:before="120" w:after="120" w:line="259" w:lineRule="auto"/>
        <w:contextualSpacing/>
        <w:rPr>
          <w:rFonts w:ascii="Calibri" w:eastAsia="Calibri" w:hAnsi="Calibri" w:cs="Calibri"/>
          <w:sz w:val="22"/>
          <w:szCs w:val="22"/>
          <w:shd w:val="clear" w:color="auto" w:fill="FFFFFF"/>
          <w:lang w:val="en-GB"/>
        </w:rPr>
      </w:pPr>
      <w:r w:rsidRPr="000729CF">
        <w:rPr>
          <w:rFonts w:ascii="Calibri" w:eastAsia="Calibri" w:hAnsi="Calibri" w:cs="Calibri"/>
          <w:sz w:val="22"/>
          <w:szCs w:val="22"/>
          <w:lang w:val="en-GB"/>
        </w:rPr>
        <w:t>Engaging over 200 stakeholders in developing a citywide Economic Strategy for 2024-27 to grow a more thriving and inclusive economy, capitalising on the city’s comparative advantages.</w:t>
      </w:r>
    </w:p>
    <w:p w14:paraId="4C87D666" w14:textId="77777777" w:rsidR="000729CF" w:rsidRPr="000729CF" w:rsidRDefault="000729CF" w:rsidP="00CE70A3">
      <w:pPr>
        <w:numPr>
          <w:ilvl w:val="0"/>
          <w:numId w:val="53"/>
        </w:numPr>
        <w:spacing w:before="120" w:after="120" w:line="259" w:lineRule="auto"/>
        <w:contextualSpacing/>
        <w:rPr>
          <w:rFonts w:ascii="Calibri" w:eastAsia="Calibri" w:hAnsi="Calibri" w:cs="Calibri"/>
          <w:sz w:val="22"/>
          <w:szCs w:val="22"/>
          <w:shd w:val="clear" w:color="auto" w:fill="FFFFFF"/>
          <w:lang w:val="en-GB" w:eastAsia="en-GB"/>
        </w:rPr>
      </w:pPr>
      <w:r w:rsidRPr="000729CF">
        <w:rPr>
          <w:rFonts w:ascii="Calibri" w:eastAsia="Calibri" w:hAnsi="Calibri" w:cs="Calibri"/>
          <w:sz w:val="22"/>
          <w:szCs w:val="22"/>
          <w:lang w:val="en-GB" w:eastAsia="en-GB"/>
        </w:rPr>
        <w:t xml:space="preserve">Supporting more than 1,700 </w:t>
      </w:r>
      <w:r w:rsidRPr="000729CF">
        <w:rPr>
          <w:rFonts w:ascii="Calibri" w:eastAsia="Calibri" w:hAnsi="Calibri" w:cs="Calibri"/>
          <w:sz w:val="22"/>
          <w:szCs w:val="22"/>
          <w:lang w:val="en-GB"/>
        </w:rPr>
        <w:t>entrepreneurs during 2023/24 (against a target of 750)</w:t>
      </w:r>
      <w:r w:rsidRPr="000729CF">
        <w:rPr>
          <w:rFonts w:ascii="Calibri" w:eastAsia="Calibri" w:hAnsi="Calibri" w:cs="Calibri"/>
          <w:sz w:val="22"/>
          <w:szCs w:val="22"/>
          <w:lang w:val="en-GB" w:eastAsia="en-GB"/>
        </w:rPr>
        <w:t xml:space="preserve"> through the </w:t>
      </w:r>
      <w:r w:rsidRPr="000729CF">
        <w:rPr>
          <w:rFonts w:ascii="Calibri" w:eastAsia="Calibri" w:hAnsi="Calibri" w:cs="Calibri"/>
          <w:sz w:val="22"/>
          <w:szCs w:val="22"/>
          <w:lang w:val="en-GB"/>
        </w:rPr>
        <w:t>Business &amp; Intellectual Property Centre (BIPC) Sussex</w:t>
      </w:r>
      <w:r w:rsidRPr="000729CF">
        <w:rPr>
          <w:rFonts w:ascii="Calibri" w:eastAsia="Calibri" w:hAnsi="Calibri" w:cs="Calibri"/>
          <w:sz w:val="22"/>
          <w:szCs w:val="22"/>
          <w:lang w:val="en-GB" w:eastAsia="en-GB"/>
        </w:rPr>
        <w:t>.</w:t>
      </w:r>
    </w:p>
    <w:p w14:paraId="1238E1A5" w14:textId="77777777" w:rsidR="000729CF" w:rsidRPr="000729CF" w:rsidRDefault="000729CF" w:rsidP="000729CF">
      <w:pPr>
        <w:spacing w:before="120" w:after="120"/>
        <w:ind w:left="720"/>
        <w:contextualSpacing/>
        <w:rPr>
          <w:rFonts w:ascii="Calibri" w:eastAsia="Calibri" w:hAnsi="Calibri" w:cs="Calibri"/>
          <w:sz w:val="22"/>
          <w:szCs w:val="22"/>
          <w:shd w:val="clear" w:color="auto" w:fill="FFFFFF"/>
          <w:lang w:val="en-GB" w:eastAsia="en-GB"/>
        </w:rPr>
      </w:pPr>
    </w:p>
    <w:bookmarkEnd w:id="31"/>
    <w:p w14:paraId="2B354192" w14:textId="77777777" w:rsidR="000729CF" w:rsidRPr="000729CF" w:rsidRDefault="000729CF" w:rsidP="000729CF">
      <w:pPr>
        <w:spacing w:before="120" w:after="120" w:line="360" w:lineRule="auto"/>
        <w:contextualSpacing/>
        <w:rPr>
          <w:rFonts w:ascii="Calibri" w:hAnsi="Calibri" w:cs="Calibri"/>
          <w:sz w:val="22"/>
          <w:szCs w:val="22"/>
          <w:lang w:val="en-GB" w:eastAsia="en-GB"/>
        </w:rPr>
      </w:pPr>
      <w:r w:rsidRPr="000729CF">
        <w:rPr>
          <w:rFonts w:ascii="Calibri" w:hAnsi="Calibri" w:cs="Calibri"/>
          <w:b/>
          <w:bCs/>
          <w:sz w:val="22"/>
          <w:szCs w:val="22"/>
          <w:lang w:val="en-GB" w:eastAsia="en-GB"/>
        </w:rPr>
        <w:t>City Transport</w:t>
      </w:r>
      <w:r w:rsidRPr="000729CF">
        <w:rPr>
          <w:rFonts w:ascii="Calibri" w:hAnsi="Calibri" w:cs="Calibri"/>
          <w:sz w:val="22"/>
          <w:szCs w:val="22"/>
          <w:lang w:val="en-GB" w:eastAsia="en-GB"/>
        </w:rPr>
        <w:t xml:space="preserve"> </w:t>
      </w:r>
    </w:p>
    <w:p w14:paraId="35215495" w14:textId="77777777" w:rsidR="000729CF" w:rsidRPr="000729CF" w:rsidRDefault="000729CF" w:rsidP="000729CF">
      <w:pPr>
        <w:spacing w:before="120" w:after="120"/>
        <w:rPr>
          <w:rFonts w:ascii="Calibri" w:hAnsi="Calibri" w:cs="Calibri"/>
          <w:sz w:val="22"/>
          <w:szCs w:val="22"/>
          <w:lang w:val="en-GB" w:eastAsia="en-GB"/>
        </w:rPr>
      </w:pPr>
      <w:r w:rsidRPr="000729CF">
        <w:rPr>
          <w:rFonts w:ascii="Calibri" w:hAnsi="Calibri" w:cs="Calibri"/>
          <w:sz w:val="22"/>
          <w:szCs w:val="22"/>
          <w:lang w:val="en-GB" w:eastAsia="en-GB"/>
        </w:rPr>
        <w:t xml:space="preserve">City Transport develops clear plans to address the city’s current and future transport needs, working closely with Transport for The South East (TfSE) and other transport partners to delivers major highway infrastructure projects on key travel routes, such as Valley Gardens. A key priority is to maintain and improve the city’s transport network to transform user experience, increase resilience and extend the life of key highway assets, including managing the risks posed by flooding and protecting coastal highway structures. </w:t>
      </w:r>
      <w:r w:rsidRPr="000729CF">
        <w:rPr>
          <w:rFonts w:ascii="Calibri" w:eastAsia="Calibri" w:hAnsi="Calibri" w:cs="Calibri"/>
          <w:sz w:val="22"/>
          <w:szCs w:val="22"/>
          <w:lang w:val="en-GB"/>
        </w:rPr>
        <w:t xml:space="preserve">The service also ensures the city keeps moving though regulating road use, managing on-street and off-street parking and ensuring that all works are coordinated on the highway. </w:t>
      </w:r>
      <w:r w:rsidRPr="000729CF">
        <w:rPr>
          <w:rFonts w:ascii="Calibri" w:hAnsi="Calibri" w:cs="Calibri"/>
          <w:sz w:val="22"/>
          <w:szCs w:val="22"/>
          <w:lang w:val="en-GB" w:eastAsia="en-GB"/>
        </w:rPr>
        <w:t xml:space="preserve">Influencing people’s travel choices to reduce congestion and support improvements in air quality is also an important focus, providing sustainable transport options including enhancements in public transport, walking and cycling schemes, concessionary travel and an electric vehicle charging network. </w:t>
      </w:r>
    </w:p>
    <w:p w14:paraId="5AB6AA19" w14:textId="77777777" w:rsidR="000729CF" w:rsidRPr="000729CF" w:rsidRDefault="000729CF" w:rsidP="00CE70A3">
      <w:pPr>
        <w:numPr>
          <w:ilvl w:val="0"/>
          <w:numId w:val="52"/>
        </w:numPr>
        <w:spacing w:after="160" w:line="259" w:lineRule="auto"/>
        <w:contextualSpacing/>
        <w:rPr>
          <w:rFonts w:ascii="Calibri" w:hAnsi="Calibri" w:cs="Calibri"/>
          <w:sz w:val="22"/>
          <w:szCs w:val="22"/>
          <w:lang w:val="en-GB" w:eastAsia="en-GB"/>
        </w:rPr>
      </w:pPr>
      <w:r w:rsidRPr="000729CF">
        <w:rPr>
          <w:rFonts w:ascii="Calibri" w:eastAsia="Calibri" w:hAnsi="Calibri" w:cs="Calibri"/>
          <w:color w:val="000000"/>
          <w:sz w:val="22"/>
          <w:szCs w:val="22"/>
          <w:shd w:val="clear" w:color="auto" w:fill="FFFFFF"/>
          <w:lang w:val="en-GB"/>
        </w:rPr>
        <w:t>Managing highway infrastructure worth £4bn, including 624km of carriageway, 38km of cycle lanes and 1,200km of footways.</w:t>
      </w:r>
    </w:p>
    <w:p w14:paraId="2CA87659" w14:textId="77777777" w:rsidR="000729CF" w:rsidRPr="000729CF" w:rsidRDefault="000729CF" w:rsidP="00CE70A3">
      <w:pPr>
        <w:numPr>
          <w:ilvl w:val="0"/>
          <w:numId w:val="52"/>
        </w:numPr>
        <w:spacing w:after="160" w:line="259" w:lineRule="auto"/>
        <w:contextualSpacing/>
        <w:rPr>
          <w:rFonts w:ascii="Calibri" w:hAnsi="Calibri" w:cs="Calibri"/>
          <w:sz w:val="22"/>
          <w:szCs w:val="22"/>
          <w:lang w:val="en-GB" w:eastAsia="en-GB"/>
        </w:rPr>
      </w:pPr>
      <w:r w:rsidRPr="000729CF">
        <w:rPr>
          <w:rFonts w:ascii="Calibri" w:eastAsia="Calibri" w:hAnsi="Calibri" w:cs="Calibri"/>
          <w:color w:val="000000"/>
          <w:sz w:val="22"/>
          <w:szCs w:val="22"/>
          <w:shd w:val="clear" w:color="auto" w:fill="FFFFFF"/>
          <w:lang w:val="en-GB"/>
        </w:rPr>
        <w:t>Delivering a £28m Bus Service Improvement Programme.  </w:t>
      </w:r>
    </w:p>
    <w:p w14:paraId="55D0F212" w14:textId="77777777" w:rsidR="000729CF" w:rsidRPr="000729CF" w:rsidRDefault="000729CF" w:rsidP="00CE70A3">
      <w:pPr>
        <w:numPr>
          <w:ilvl w:val="0"/>
          <w:numId w:val="52"/>
        </w:numPr>
        <w:spacing w:after="160" w:line="259" w:lineRule="auto"/>
        <w:contextualSpacing/>
        <w:rPr>
          <w:rFonts w:ascii="Calibri" w:hAnsi="Calibri" w:cs="Calibri"/>
          <w:sz w:val="22"/>
          <w:szCs w:val="22"/>
          <w:lang w:val="en-GB" w:eastAsia="en-GB"/>
        </w:rPr>
      </w:pPr>
      <w:r w:rsidRPr="000729CF">
        <w:rPr>
          <w:rFonts w:ascii="Calibri" w:eastAsia="Calibri" w:hAnsi="Calibri" w:cs="Calibri"/>
          <w:color w:val="000000"/>
          <w:sz w:val="22"/>
          <w:szCs w:val="22"/>
          <w:shd w:val="clear" w:color="auto" w:fill="FFFFFF"/>
          <w:lang w:val="en-GB"/>
        </w:rPr>
        <w:t>Issuing and enforcing approximately 4,000 skips, scaffold and tables &amp; chairs licences on the highway.</w:t>
      </w:r>
    </w:p>
    <w:p w14:paraId="4BE39027" w14:textId="77777777" w:rsidR="000729CF" w:rsidRPr="000729CF" w:rsidRDefault="000729CF" w:rsidP="00CE70A3">
      <w:pPr>
        <w:numPr>
          <w:ilvl w:val="0"/>
          <w:numId w:val="52"/>
        </w:numPr>
        <w:spacing w:after="160" w:line="259" w:lineRule="auto"/>
        <w:textAlignment w:val="baseline"/>
        <w:rPr>
          <w:rFonts w:ascii="Calibri" w:hAnsi="Calibri" w:cs="Calibri"/>
          <w:sz w:val="22"/>
          <w:szCs w:val="22"/>
          <w:lang w:val="en-GB" w:eastAsia="en-GB"/>
        </w:rPr>
      </w:pPr>
      <w:r w:rsidRPr="000729CF">
        <w:rPr>
          <w:rFonts w:ascii="Calibri" w:hAnsi="Calibri" w:cs="Calibri"/>
          <w:sz w:val="22"/>
          <w:szCs w:val="22"/>
          <w:lang w:val="en-GB" w:eastAsia="en-GB"/>
        </w:rPr>
        <w:t>Monitoring air quality in 6 areas across the city where levels of nitrogen dioxide are too high.</w:t>
      </w:r>
    </w:p>
    <w:p w14:paraId="741E0C6B" w14:textId="77777777" w:rsidR="000729CF" w:rsidRPr="000729CF" w:rsidRDefault="000729CF" w:rsidP="00CE70A3">
      <w:pPr>
        <w:numPr>
          <w:ilvl w:val="0"/>
          <w:numId w:val="52"/>
        </w:numPr>
        <w:spacing w:after="160" w:line="259" w:lineRule="auto"/>
        <w:textAlignment w:val="baseline"/>
        <w:rPr>
          <w:rFonts w:ascii="Calibri" w:hAnsi="Calibri" w:cs="Calibri"/>
          <w:sz w:val="22"/>
          <w:szCs w:val="22"/>
          <w:lang w:val="en-GB" w:eastAsia="en-GB"/>
        </w:rPr>
      </w:pPr>
      <w:r w:rsidRPr="000729CF">
        <w:rPr>
          <w:rFonts w:ascii="Calibri" w:hAnsi="Calibri" w:cs="Calibri"/>
          <w:color w:val="000000"/>
          <w:sz w:val="22"/>
          <w:szCs w:val="22"/>
          <w:shd w:val="clear" w:color="auto" w:fill="FFFFFF"/>
          <w:lang w:val="en-GB" w:eastAsia="en-GB"/>
        </w:rPr>
        <w:t>350+ on-street electric vehicle charging points installed and 3 rapid charging hubs across the city.</w:t>
      </w:r>
    </w:p>
    <w:p w14:paraId="3FCF666C" w14:textId="77777777" w:rsidR="000729CF" w:rsidRPr="000729CF" w:rsidRDefault="000729CF" w:rsidP="00CE70A3">
      <w:pPr>
        <w:numPr>
          <w:ilvl w:val="0"/>
          <w:numId w:val="52"/>
        </w:numPr>
        <w:spacing w:after="160" w:line="259" w:lineRule="auto"/>
        <w:textAlignment w:val="baseline"/>
        <w:rPr>
          <w:rFonts w:ascii="Calibri" w:hAnsi="Calibri" w:cs="Calibri"/>
          <w:sz w:val="22"/>
          <w:szCs w:val="22"/>
          <w:lang w:val="en-GB" w:eastAsia="en-GB"/>
        </w:rPr>
      </w:pPr>
      <w:r w:rsidRPr="000729CF">
        <w:rPr>
          <w:rFonts w:ascii="Calibri" w:hAnsi="Calibri" w:cs="Calibri"/>
          <w:sz w:val="22"/>
          <w:szCs w:val="22"/>
          <w:lang w:val="en-GB" w:eastAsia="en-GB"/>
        </w:rPr>
        <w:t>Monitoring 240+ CCTV cameras to manage traffic throughout the city. </w:t>
      </w:r>
    </w:p>
    <w:p w14:paraId="12991953" w14:textId="77777777" w:rsidR="000729CF" w:rsidRPr="000729CF" w:rsidRDefault="000729CF" w:rsidP="00CE70A3">
      <w:pPr>
        <w:numPr>
          <w:ilvl w:val="0"/>
          <w:numId w:val="52"/>
        </w:numPr>
        <w:spacing w:after="160" w:line="259" w:lineRule="auto"/>
        <w:contextualSpacing/>
        <w:rPr>
          <w:rFonts w:ascii="Calibri" w:hAnsi="Calibri" w:cs="Calibri"/>
          <w:sz w:val="22"/>
          <w:szCs w:val="22"/>
          <w:lang w:val="en-GB" w:eastAsia="en-GB"/>
        </w:rPr>
      </w:pPr>
      <w:r w:rsidRPr="000729CF">
        <w:rPr>
          <w:rFonts w:ascii="Calibri" w:eastAsia="Calibri" w:hAnsi="Calibri" w:cs="Calibri"/>
          <w:color w:val="000000"/>
          <w:sz w:val="22"/>
          <w:szCs w:val="22"/>
          <w:shd w:val="clear" w:color="auto" w:fill="FFFFFF"/>
          <w:lang w:val="en-GB"/>
        </w:rPr>
        <w:t>£9m+ invested in concessionary travel each year and 10,000+ concessionary bus passes issued. </w:t>
      </w:r>
    </w:p>
    <w:p w14:paraId="166D41B3" w14:textId="77777777" w:rsidR="000729CF" w:rsidRPr="000729CF" w:rsidRDefault="000729CF" w:rsidP="00CE70A3">
      <w:pPr>
        <w:numPr>
          <w:ilvl w:val="0"/>
          <w:numId w:val="52"/>
        </w:numPr>
        <w:spacing w:after="160" w:line="259" w:lineRule="auto"/>
        <w:contextualSpacing/>
        <w:rPr>
          <w:rFonts w:ascii="Calibri" w:hAnsi="Calibri" w:cs="Calibri"/>
          <w:sz w:val="22"/>
          <w:szCs w:val="22"/>
          <w:lang w:val="en-GB" w:eastAsia="en-GB"/>
        </w:rPr>
      </w:pPr>
      <w:r w:rsidRPr="000729CF">
        <w:rPr>
          <w:rFonts w:ascii="Calibri" w:eastAsia="Calibri" w:hAnsi="Calibri" w:cs="Calibri"/>
          <w:color w:val="000000"/>
          <w:sz w:val="22"/>
          <w:szCs w:val="22"/>
          <w:shd w:val="clear" w:color="auto" w:fill="FFFFFF"/>
          <w:lang w:val="en-GB"/>
        </w:rPr>
        <w:t>Managing 37,000+ resident parking permit accounts and 44,000+ on and off-street car park spaces.</w:t>
      </w:r>
    </w:p>
    <w:p w14:paraId="787E1A82" w14:textId="77777777" w:rsidR="000729CF" w:rsidRPr="000729CF" w:rsidRDefault="000729CF" w:rsidP="000729CF">
      <w:pPr>
        <w:ind w:left="720"/>
        <w:textAlignment w:val="baseline"/>
        <w:rPr>
          <w:rFonts w:ascii="Calibri" w:hAnsi="Calibri" w:cs="Calibri"/>
          <w:sz w:val="22"/>
          <w:szCs w:val="22"/>
          <w:lang w:val="en-GB" w:eastAsia="en-GB"/>
        </w:rPr>
      </w:pPr>
    </w:p>
    <w:p w14:paraId="18CBED0F" w14:textId="77777777" w:rsidR="000729CF" w:rsidRPr="000729CF" w:rsidRDefault="000729CF" w:rsidP="000729CF">
      <w:pPr>
        <w:spacing w:before="120" w:after="120"/>
        <w:rPr>
          <w:rFonts w:ascii="Calibri" w:hAnsi="Calibri" w:cs="Calibri"/>
          <w:sz w:val="22"/>
          <w:szCs w:val="22"/>
          <w:lang w:val="en-GB" w:eastAsia="en-GB"/>
        </w:rPr>
      </w:pPr>
      <w:r w:rsidRPr="000729CF">
        <w:rPr>
          <w:rFonts w:ascii="Calibri" w:hAnsi="Calibri" w:cs="Calibri"/>
          <w:b/>
          <w:bCs/>
          <w:sz w:val="22"/>
          <w:szCs w:val="22"/>
          <w:lang w:val="en-GB" w:eastAsia="en-GB"/>
        </w:rPr>
        <w:t>City Environmental Management</w:t>
      </w:r>
      <w:r w:rsidRPr="000729CF">
        <w:rPr>
          <w:rFonts w:ascii="Calibri" w:hAnsi="Calibri" w:cs="Calibri"/>
          <w:sz w:val="22"/>
          <w:szCs w:val="22"/>
          <w:lang w:val="en-GB" w:eastAsia="en-GB"/>
        </w:rPr>
        <w:t xml:space="preserve"> </w:t>
      </w:r>
    </w:p>
    <w:p w14:paraId="6252076D" w14:textId="77777777" w:rsidR="000729CF" w:rsidRPr="000729CF" w:rsidRDefault="000729CF" w:rsidP="000729CF">
      <w:pPr>
        <w:spacing w:before="120" w:after="120"/>
        <w:rPr>
          <w:rFonts w:ascii="Calibri" w:hAnsi="Calibri" w:cs="Calibri"/>
          <w:sz w:val="22"/>
          <w:szCs w:val="22"/>
          <w:lang w:val="en-GB" w:eastAsia="en-GB"/>
        </w:rPr>
      </w:pPr>
      <w:r w:rsidRPr="000729CF">
        <w:rPr>
          <w:rFonts w:ascii="Calibri" w:hAnsi="Calibri" w:cs="Calibri"/>
          <w:sz w:val="22"/>
          <w:szCs w:val="22"/>
          <w:lang w:val="en-GB" w:eastAsia="en-GB"/>
        </w:rPr>
        <w:t>City Environmental Management delivers recycling, refuse and street cleaning services to improve the cleanliness of the city and meet the council’s environmental obligations. This includes traded commercial, bulky and garden waste services to residents and businesses across the city. Through delivery of the Fleet Strategy the service is leading the decarbonisation of council vehicles and ensures they are well maintained and legally compliant. The service also manages and conserves the city’s parks and open spaces, including the delivery of the Stanmer Park Masterplan, and management of the city’s tree stock.</w:t>
      </w:r>
    </w:p>
    <w:p w14:paraId="7FF3DC87" w14:textId="77777777" w:rsidR="000729CF" w:rsidRPr="000729CF" w:rsidRDefault="000729CF" w:rsidP="00CE70A3">
      <w:pPr>
        <w:numPr>
          <w:ilvl w:val="0"/>
          <w:numId w:val="52"/>
        </w:numPr>
        <w:spacing w:after="160" w:line="259" w:lineRule="auto"/>
        <w:contextualSpacing/>
        <w:rPr>
          <w:rFonts w:ascii="Calibri" w:hAnsi="Calibri" w:cs="Calibri"/>
          <w:sz w:val="22"/>
          <w:szCs w:val="22"/>
          <w:lang w:val="en-GB" w:eastAsia="en-GB"/>
        </w:rPr>
      </w:pPr>
      <w:r w:rsidRPr="000729CF">
        <w:rPr>
          <w:rFonts w:ascii="Calibri" w:eastAsia="Calibri" w:hAnsi="Calibri" w:cs="Calibri"/>
          <w:color w:val="000000"/>
          <w:sz w:val="22"/>
          <w:szCs w:val="22"/>
          <w:shd w:val="clear" w:color="auto" w:fill="FFFFFF"/>
          <w:lang w:val="en-GB"/>
        </w:rPr>
        <w:t>Carrying out 5 million refuse collections and 2.5 million recycling collections each year. </w:t>
      </w:r>
    </w:p>
    <w:p w14:paraId="49601184" w14:textId="77777777" w:rsidR="000729CF" w:rsidRPr="000729CF" w:rsidRDefault="000729CF" w:rsidP="00CE70A3">
      <w:pPr>
        <w:widowControl w:val="0"/>
        <w:numPr>
          <w:ilvl w:val="0"/>
          <w:numId w:val="52"/>
        </w:numPr>
        <w:autoSpaceDE w:val="0"/>
        <w:autoSpaceDN w:val="0"/>
        <w:spacing w:after="160" w:line="259" w:lineRule="auto"/>
        <w:rPr>
          <w:rFonts w:ascii="Calibri" w:eastAsia="Calibri" w:hAnsi="Calibri" w:cs="Calibri"/>
          <w:sz w:val="22"/>
          <w:szCs w:val="22"/>
          <w:lang w:val="en-GB"/>
        </w:rPr>
      </w:pPr>
      <w:r w:rsidRPr="000729CF">
        <w:rPr>
          <w:rFonts w:ascii="Calibri" w:eastAsia="Calibri" w:hAnsi="Calibri" w:cs="Calibri"/>
          <w:sz w:val="22"/>
          <w:szCs w:val="22"/>
          <w:lang w:val="en-GB"/>
        </w:rPr>
        <w:t>Providing power to fuel 25,000 homes a year from incineration of waste.</w:t>
      </w:r>
    </w:p>
    <w:p w14:paraId="058CD324" w14:textId="77777777" w:rsidR="000729CF" w:rsidRPr="000729CF" w:rsidRDefault="000729CF" w:rsidP="00CE70A3">
      <w:pPr>
        <w:widowControl w:val="0"/>
        <w:numPr>
          <w:ilvl w:val="0"/>
          <w:numId w:val="52"/>
        </w:numPr>
        <w:autoSpaceDE w:val="0"/>
        <w:autoSpaceDN w:val="0"/>
        <w:spacing w:after="160" w:line="259" w:lineRule="auto"/>
        <w:rPr>
          <w:rFonts w:ascii="Calibri" w:eastAsia="Calibri" w:hAnsi="Calibri" w:cs="Calibri"/>
          <w:sz w:val="22"/>
          <w:szCs w:val="22"/>
          <w:lang w:val="en-GB"/>
        </w:rPr>
      </w:pPr>
      <w:r w:rsidRPr="000729CF">
        <w:rPr>
          <w:rFonts w:ascii="Calibri" w:eastAsia="Calibri" w:hAnsi="Calibri" w:cs="Calibri"/>
          <w:sz w:val="22"/>
          <w:szCs w:val="22"/>
          <w:lang w:val="en-GB"/>
        </w:rPr>
        <w:t>Management and maintenance of 500+ council vehicles, including 66 electric vehicles.</w:t>
      </w:r>
    </w:p>
    <w:p w14:paraId="068CCBEC" w14:textId="77777777" w:rsidR="000729CF" w:rsidRPr="000729CF" w:rsidRDefault="000729CF" w:rsidP="00CE70A3">
      <w:pPr>
        <w:numPr>
          <w:ilvl w:val="0"/>
          <w:numId w:val="52"/>
        </w:numPr>
        <w:spacing w:after="160" w:line="259" w:lineRule="auto"/>
        <w:contextualSpacing/>
        <w:rPr>
          <w:rFonts w:ascii="Calibri" w:hAnsi="Calibri" w:cs="Calibri"/>
          <w:sz w:val="22"/>
          <w:szCs w:val="22"/>
          <w:lang w:val="en-GB" w:eastAsia="en-GB"/>
        </w:rPr>
      </w:pPr>
      <w:r w:rsidRPr="000729CF">
        <w:rPr>
          <w:rFonts w:ascii="Calibri" w:eastAsia="Calibri" w:hAnsi="Calibri" w:cs="Calibri"/>
          <w:color w:val="000000"/>
          <w:sz w:val="22"/>
          <w:szCs w:val="22"/>
          <w:shd w:val="clear" w:color="auto" w:fill="FFFFFF"/>
          <w:lang w:val="en-GB"/>
        </w:rPr>
        <w:t>Maintaining and cleaning 700 miles of pavement.</w:t>
      </w:r>
    </w:p>
    <w:p w14:paraId="6277C6EB" w14:textId="77777777" w:rsidR="000729CF" w:rsidRPr="000729CF" w:rsidRDefault="000729CF" w:rsidP="00CE70A3">
      <w:pPr>
        <w:numPr>
          <w:ilvl w:val="0"/>
          <w:numId w:val="52"/>
        </w:numPr>
        <w:spacing w:after="160" w:line="259" w:lineRule="auto"/>
        <w:contextualSpacing/>
        <w:rPr>
          <w:rFonts w:ascii="Calibri" w:hAnsi="Calibri" w:cs="Calibri"/>
          <w:sz w:val="22"/>
          <w:szCs w:val="22"/>
          <w:lang w:val="en-GB" w:eastAsia="en-GB"/>
        </w:rPr>
      </w:pPr>
      <w:r w:rsidRPr="000729CF">
        <w:rPr>
          <w:rFonts w:ascii="Calibri" w:eastAsia="Calibri" w:hAnsi="Calibri" w:cs="Calibri"/>
          <w:color w:val="000000"/>
          <w:sz w:val="22"/>
          <w:szCs w:val="22"/>
          <w:shd w:val="clear" w:color="auto" w:fill="FFFFFF"/>
          <w:lang w:val="en-GB"/>
        </w:rPr>
        <w:t>Maintaining 34 public toilet sites and delivering a £4.5m refurbishment programme.</w:t>
      </w:r>
    </w:p>
    <w:p w14:paraId="28170954" w14:textId="77777777" w:rsidR="000729CF" w:rsidRPr="000729CF" w:rsidRDefault="000729CF" w:rsidP="00CE70A3">
      <w:pPr>
        <w:numPr>
          <w:ilvl w:val="0"/>
          <w:numId w:val="52"/>
        </w:numPr>
        <w:spacing w:after="160" w:line="259" w:lineRule="auto"/>
        <w:textAlignment w:val="baseline"/>
        <w:rPr>
          <w:rFonts w:ascii="Calibri" w:hAnsi="Calibri" w:cs="Calibri"/>
          <w:sz w:val="22"/>
          <w:szCs w:val="22"/>
          <w:lang w:val="en-GB" w:eastAsia="en-GB"/>
        </w:rPr>
      </w:pPr>
      <w:r w:rsidRPr="000729CF">
        <w:rPr>
          <w:rFonts w:ascii="Calibri" w:hAnsi="Calibri" w:cs="Calibri"/>
          <w:sz w:val="22"/>
          <w:szCs w:val="22"/>
          <w:lang w:val="en-GB" w:eastAsia="en-GB"/>
        </w:rPr>
        <w:t>Issuing around 4,000 fixed penalty notices each year for environmental offences </w:t>
      </w:r>
    </w:p>
    <w:p w14:paraId="16CD9AD5" w14:textId="77777777" w:rsidR="000729CF" w:rsidRPr="000729CF" w:rsidRDefault="000729CF" w:rsidP="00CE70A3">
      <w:pPr>
        <w:numPr>
          <w:ilvl w:val="0"/>
          <w:numId w:val="52"/>
        </w:numPr>
        <w:spacing w:after="160" w:line="259" w:lineRule="auto"/>
        <w:contextualSpacing/>
        <w:rPr>
          <w:rFonts w:ascii="Calibri" w:hAnsi="Calibri" w:cs="Calibri"/>
          <w:sz w:val="22"/>
          <w:szCs w:val="22"/>
          <w:lang w:val="en-GB" w:eastAsia="en-GB"/>
        </w:rPr>
      </w:pPr>
      <w:r w:rsidRPr="000729CF">
        <w:rPr>
          <w:rFonts w:ascii="Calibri" w:eastAsia="Calibri" w:hAnsi="Calibri" w:cs="Calibri"/>
          <w:color w:val="000000"/>
          <w:sz w:val="22"/>
          <w:szCs w:val="22"/>
          <w:shd w:val="clear" w:color="auto" w:fill="FFFFFF"/>
          <w:lang w:val="en-GB"/>
        </w:rPr>
        <w:t>Managing 147 parks and gardens, 74 outdoor spaces, 8 cemeteries and more than 3,000 allotments.</w:t>
      </w:r>
    </w:p>
    <w:p w14:paraId="68B9A382" w14:textId="77777777" w:rsidR="000729CF" w:rsidRPr="000729CF" w:rsidRDefault="000729CF" w:rsidP="00CE70A3">
      <w:pPr>
        <w:numPr>
          <w:ilvl w:val="0"/>
          <w:numId w:val="52"/>
        </w:numPr>
        <w:spacing w:after="160" w:line="259" w:lineRule="auto"/>
        <w:contextualSpacing/>
        <w:rPr>
          <w:rFonts w:ascii="Calibri" w:hAnsi="Calibri" w:cs="Calibri"/>
          <w:sz w:val="22"/>
          <w:szCs w:val="22"/>
          <w:lang w:val="en-GB" w:eastAsia="en-GB"/>
        </w:rPr>
      </w:pPr>
      <w:r w:rsidRPr="000729CF">
        <w:rPr>
          <w:rFonts w:ascii="Calibri" w:eastAsia="Calibri" w:hAnsi="Calibri" w:cs="Calibri"/>
          <w:color w:val="000000"/>
          <w:sz w:val="22"/>
          <w:szCs w:val="22"/>
          <w:shd w:val="clear" w:color="auto" w:fill="FFFFFF"/>
          <w:lang w:val="en-GB"/>
        </w:rPr>
        <w:t>Maintaining 53 playgrounds and delivering a £3m playground refurbishment programme  </w:t>
      </w:r>
    </w:p>
    <w:p w14:paraId="34C2B308" w14:textId="77777777" w:rsidR="000729CF" w:rsidRPr="000729CF" w:rsidRDefault="000729CF" w:rsidP="00CE70A3">
      <w:pPr>
        <w:numPr>
          <w:ilvl w:val="0"/>
          <w:numId w:val="52"/>
        </w:numPr>
        <w:spacing w:after="160" w:line="259" w:lineRule="auto"/>
        <w:textAlignment w:val="baseline"/>
        <w:rPr>
          <w:rFonts w:ascii="Calibri" w:hAnsi="Calibri" w:cs="Calibri"/>
          <w:sz w:val="22"/>
          <w:szCs w:val="22"/>
          <w:lang w:val="en-GB" w:eastAsia="en-GB"/>
        </w:rPr>
      </w:pPr>
      <w:r w:rsidRPr="000729CF">
        <w:rPr>
          <w:rFonts w:ascii="Calibri" w:hAnsi="Calibri" w:cs="Calibri"/>
          <w:sz w:val="22"/>
          <w:szCs w:val="22"/>
          <w:lang w:val="en-GB" w:eastAsia="en-GB"/>
        </w:rPr>
        <w:t>Managing more than 12,000 street trees and over 500 hectares of woodland.</w:t>
      </w:r>
    </w:p>
    <w:p w14:paraId="2C5AF69A" w14:textId="77777777" w:rsidR="000729CF" w:rsidRPr="000729CF" w:rsidRDefault="000729CF" w:rsidP="000729CF">
      <w:pPr>
        <w:ind w:left="720"/>
        <w:textAlignment w:val="baseline"/>
        <w:rPr>
          <w:rFonts w:ascii="Calibri" w:hAnsi="Calibri" w:cs="Calibri"/>
          <w:sz w:val="22"/>
          <w:szCs w:val="22"/>
          <w:lang w:val="en-GB" w:eastAsia="en-GB"/>
        </w:rPr>
      </w:pPr>
    </w:p>
    <w:p w14:paraId="38B32A5E" w14:textId="77777777" w:rsidR="000729CF" w:rsidRPr="000729CF" w:rsidRDefault="000729CF" w:rsidP="000729CF">
      <w:pPr>
        <w:spacing w:before="120" w:after="120"/>
        <w:rPr>
          <w:rFonts w:ascii="Calibri" w:hAnsi="Calibri" w:cs="Calibri"/>
          <w:b/>
          <w:sz w:val="22"/>
          <w:szCs w:val="22"/>
          <w:lang w:val="en-GB" w:eastAsia="en-GB"/>
        </w:rPr>
      </w:pPr>
      <w:r w:rsidRPr="000729CF">
        <w:rPr>
          <w:rFonts w:ascii="Calibri" w:hAnsi="Calibri" w:cs="Calibri"/>
          <w:b/>
          <w:sz w:val="22"/>
          <w:szCs w:val="22"/>
          <w:lang w:val="en-GB" w:eastAsia="en-GB"/>
        </w:rPr>
        <w:t>Property &amp; Design</w:t>
      </w:r>
    </w:p>
    <w:p w14:paraId="4C6D295F" w14:textId="77777777" w:rsidR="000729CF" w:rsidRPr="000729CF" w:rsidRDefault="000729CF" w:rsidP="000729CF">
      <w:pPr>
        <w:spacing w:before="120" w:after="120"/>
        <w:rPr>
          <w:rFonts w:ascii="Calibri" w:hAnsi="Calibri" w:cs="Calibri"/>
          <w:sz w:val="22"/>
          <w:szCs w:val="22"/>
          <w:lang w:val="en-GB" w:eastAsia="en-GB"/>
        </w:rPr>
      </w:pPr>
      <w:r w:rsidRPr="000729CF">
        <w:rPr>
          <w:rFonts w:ascii="Calibri" w:hAnsi="Calibri" w:cs="Calibri"/>
          <w:sz w:val="22"/>
          <w:szCs w:val="22"/>
          <w:lang w:val="en-GB" w:eastAsia="en-GB"/>
        </w:rPr>
        <w:t xml:space="preserve">Property &amp; Design leads the council’s property strategy with an emphasis on investment that delivers new revenue streams from council assets, supports local businesses and enables city regeneration. It also supports the overall budget strategy through a corporate programme of operational and commercial disposals. The service manages the council’s property and land portfolio which includes operational assets such as council offices, town halls, heritage, schools and leisure centres, commercial properties, and agricultural farmlands. Maintaining operational buildings to ensure they remain safe and fit for purpose is a key function, as well as designing and delivering major capital re-development projects and programmes with a focus on sustainability and affordability. The team leads on the delivery of the City Downland Estate Plan to promote natural capital investment, support biodiversity and tackle climate change. </w:t>
      </w:r>
    </w:p>
    <w:p w14:paraId="12D8F775" w14:textId="77777777" w:rsidR="000729CF" w:rsidRPr="000729CF" w:rsidRDefault="000729CF" w:rsidP="00CE70A3">
      <w:pPr>
        <w:numPr>
          <w:ilvl w:val="0"/>
          <w:numId w:val="43"/>
        </w:numPr>
        <w:spacing w:after="160" w:line="259" w:lineRule="auto"/>
        <w:ind w:left="567" w:hanging="284"/>
        <w:contextualSpacing/>
        <w:rPr>
          <w:rFonts w:ascii="Calibri" w:hAnsi="Calibri" w:cs="Calibri"/>
          <w:sz w:val="22"/>
          <w:szCs w:val="22"/>
          <w:lang w:val="en-GB" w:eastAsia="en-GB"/>
        </w:rPr>
      </w:pPr>
      <w:r w:rsidRPr="000729CF">
        <w:rPr>
          <w:rFonts w:ascii="Calibri" w:hAnsi="Calibri" w:cs="Calibri"/>
          <w:sz w:val="22"/>
          <w:szCs w:val="22"/>
          <w:lang w:val="en-GB" w:eastAsia="en-GB"/>
        </w:rPr>
        <w:t>Landlord to over 650 commercial urban buildings and over 1000 tenants.</w:t>
      </w:r>
    </w:p>
    <w:p w14:paraId="289A0418" w14:textId="77777777" w:rsidR="000729CF" w:rsidRPr="000729CF" w:rsidRDefault="000729CF" w:rsidP="00CE70A3">
      <w:pPr>
        <w:numPr>
          <w:ilvl w:val="0"/>
          <w:numId w:val="43"/>
        </w:numPr>
        <w:spacing w:after="160" w:line="259" w:lineRule="auto"/>
        <w:ind w:left="567" w:hanging="284"/>
        <w:contextualSpacing/>
        <w:rPr>
          <w:rFonts w:ascii="Calibri" w:hAnsi="Calibri" w:cs="Calibri"/>
          <w:sz w:val="22"/>
          <w:szCs w:val="22"/>
          <w:lang w:val="en-GB" w:eastAsia="en-GB"/>
        </w:rPr>
      </w:pPr>
      <w:r w:rsidRPr="000729CF">
        <w:rPr>
          <w:rFonts w:ascii="Calibri" w:hAnsi="Calibri" w:cs="Calibri"/>
          <w:sz w:val="22"/>
          <w:szCs w:val="22"/>
          <w:lang w:val="en-GB" w:eastAsia="en-GB"/>
        </w:rPr>
        <w:t>Managing 13,500 acres of City Downland Estate, including 78% farmland.</w:t>
      </w:r>
    </w:p>
    <w:p w14:paraId="379BD639" w14:textId="77777777" w:rsidR="000729CF" w:rsidRPr="000729CF" w:rsidRDefault="000729CF" w:rsidP="00CE70A3">
      <w:pPr>
        <w:numPr>
          <w:ilvl w:val="0"/>
          <w:numId w:val="43"/>
        </w:numPr>
        <w:spacing w:after="160" w:line="259" w:lineRule="auto"/>
        <w:ind w:left="567" w:hanging="284"/>
        <w:contextualSpacing/>
        <w:rPr>
          <w:rFonts w:ascii="Calibri" w:hAnsi="Calibri" w:cs="Calibri"/>
          <w:sz w:val="22"/>
          <w:szCs w:val="22"/>
          <w:lang w:val="en-GB" w:eastAsia="en-GB"/>
        </w:rPr>
      </w:pPr>
      <w:r w:rsidRPr="000729CF">
        <w:rPr>
          <w:rFonts w:ascii="Calibri" w:hAnsi="Calibri" w:cs="Calibri"/>
          <w:sz w:val="22"/>
          <w:szCs w:val="22"/>
          <w:lang w:val="en-GB" w:eastAsia="en-GB"/>
        </w:rPr>
        <w:t>Responding to over 11,000 repair requests each year on the council’s operational estate.</w:t>
      </w:r>
    </w:p>
    <w:p w14:paraId="707629D0" w14:textId="77777777" w:rsidR="000729CF" w:rsidRPr="000729CF" w:rsidRDefault="000729CF" w:rsidP="00CE70A3">
      <w:pPr>
        <w:numPr>
          <w:ilvl w:val="0"/>
          <w:numId w:val="43"/>
        </w:numPr>
        <w:spacing w:after="160" w:line="259" w:lineRule="auto"/>
        <w:ind w:left="567" w:hanging="284"/>
        <w:contextualSpacing/>
        <w:rPr>
          <w:rFonts w:ascii="Calibri" w:hAnsi="Calibri" w:cs="Calibri"/>
          <w:sz w:val="22"/>
          <w:szCs w:val="22"/>
          <w:lang w:val="en-GB" w:eastAsia="en-GB"/>
        </w:rPr>
      </w:pPr>
      <w:r w:rsidRPr="000729CF">
        <w:rPr>
          <w:rFonts w:ascii="Calibri" w:hAnsi="Calibri" w:cs="Calibri"/>
          <w:sz w:val="22"/>
          <w:szCs w:val="22"/>
          <w:lang w:val="en-GB" w:eastAsia="en-GB"/>
        </w:rPr>
        <w:t>Corporate Landlord to over 550 operational buildings.</w:t>
      </w:r>
    </w:p>
    <w:p w14:paraId="002EF9FE" w14:textId="77777777" w:rsidR="000729CF" w:rsidRPr="000729CF" w:rsidRDefault="000729CF" w:rsidP="00CE70A3">
      <w:pPr>
        <w:numPr>
          <w:ilvl w:val="0"/>
          <w:numId w:val="43"/>
        </w:numPr>
        <w:spacing w:after="160" w:line="259" w:lineRule="auto"/>
        <w:ind w:left="567" w:hanging="284"/>
        <w:contextualSpacing/>
        <w:rPr>
          <w:rFonts w:ascii="Calibri" w:hAnsi="Calibri" w:cs="Calibri"/>
          <w:sz w:val="22"/>
          <w:szCs w:val="22"/>
          <w:lang w:val="en-GB" w:eastAsia="en-GB"/>
        </w:rPr>
      </w:pPr>
      <w:r w:rsidRPr="000729CF">
        <w:rPr>
          <w:rFonts w:ascii="Calibri" w:hAnsi="Calibri" w:cs="Calibri"/>
          <w:sz w:val="22"/>
          <w:szCs w:val="22"/>
          <w:lang w:val="en-GB" w:eastAsia="en-GB"/>
        </w:rPr>
        <w:t>Delivering c.£6.5m of capital receipts per annum to contribute to the council’s Capital Investment Strategy and programme.</w:t>
      </w:r>
    </w:p>
    <w:p w14:paraId="25392844" w14:textId="77777777" w:rsidR="000729CF" w:rsidRPr="000729CF" w:rsidRDefault="000729CF" w:rsidP="00CE70A3">
      <w:pPr>
        <w:numPr>
          <w:ilvl w:val="0"/>
          <w:numId w:val="43"/>
        </w:numPr>
        <w:spacing w:after="160" w:line="259" w:lineRule="auto"/>
        <w:ind w:left="567" w:hanging="284"/>
        <w:contextualSpacing/>
        <w:rPr>
          <w:rFonts w:ascii="Calibri" w:hAnsi="Calibri" w:cs="Calibri"/>
          <w:sz w:val="22"/>
          <w:szCs w:val="22"/>
          <w:lang w:val="en-GB" w:eastAsia="en-GB"/>
        </w:rPr>
      </w:pPr>
      <w:r w:rsidRPr="000729CF">
        <w:rPr>
          <w:rFonts w:ascii="Calibri" w:hAnsi="Calibri" w:cs="Calibri"/>
          <w:sz w:val="22"/>
          <w:szCs w:val="22"/>
          <w:lang w:val="en-GB" w:eastAsia="en-GB"/>
        </w:rPr>
        <w:t xml:space="preserve">Reduced co2 emissions on council’s corporate portfolio by </w:t>
      </w:r>
      <w:r w:rsidRPr="000729CF">
        <w:rPr>
          <w:rFonts w:ascii="Calibri" w:eastAsia="Calibri" w:hAnsi="Calibri" w:cs="Calibri"/>
          <w:sz w:val="22"/>
          <w:szCs w:val="22"/>
          <w:lang w:val="en-GB"/>
        </w:rPr>
        <w:t>17.9% in 22/23</w:t>
      </w:r>
      <w:r w:rsidRPr="000729CF">
        <w:rPr>
          <w:rFonts w:ascii="Calibri" w:hAnsi="Calibri" w:cs="Calibri"/>
          <w:sz w:val="22"/>
          <w:szCs w:val="22"/>
          <w:lang w:val="en-GB" w:eastAsia="en-GB"/>
        </w:rPr>
        <w:t>.</w:t>
      </w:r>
    </w:p>
    <w:p w14:paraId="1CCA8BE1" w14:textId="77777777" w:rsidR="000729CF" w:rsidRPr="000729CF" w:rsidRDefault="000729CF" w:rsidP="00CE70A3">
      <w:pPr>
        <w:numPr>
          <w:ilvl w:val="0"/>
          <w:numId w:val="43"/>
        </w:numPr>
        <w:spacing w:after="160" w:line="259" w:lineRule="auto"/>
        <w:ind w:left="567" w:hanging="284"/>
        <w:contextualSpacing/>
        <w:rPr>
          <w:rFonts w:ascii="Calibri" w:hAnsi="Calibri" w:cs="Calibri"/>
          <w:sz w:val="22"/>
          <w:szCs w:val="22"/>
          <w:lang w:val="en-GB" w:eastAsia="en-GB"/>
        </w:rPr>
      </w:pPr>
      <w:r w:rsidRPr="000729CF">
        <w:rPr>
          <w:rFonts w:ascii="Calibri" w:eastAsia="Calibri" w:hAnsi="Calibri" w:cs="Calibri"/>
          <w:color w:val="000000"/>
          <w:sz w:val="22"/>
          <w:szCs w:val="22"/>
          <w:shd w:val="clear" w:color="auto" w:fill="FFFFFF"/>
          <w:lang w:val="en-GB"/>
        </w:rPr>
        <w:t>Ensuring that a school place is available in the city for every child that needs one. </w:t>
      </w:r>
    </w:p>
    <w:p w14:paraId="2164EA11" w14:textId="77777777" w:rsidR="000729CF" w:rsidRPr="000729CF" w:rsidRDefault="000729CF" w:rsidP="000729CF">
      <w:pPr>
        <w:spacing w:before="120" w:after="120"/>
        <w:rPr>
          <w:rFonts w:ascii="Calibri" w:hAnsi="Calibri" w:cs="Calibri"/>
          <w:sz w:val="22"/>
          <w:szCs w:val="22"/>
          <w:lang w:val="en-GB" w:eastAsia="en-GB"/>
        </w:rPr>
      </w:pPr>
    </w:p>
    <w:p w14:paraId="377451E9" w14:textId="77777777" w:rsidR="000729CF" w:rsidRPr="000729CF" w:rsidRDefault="000729CF" w:rsidP="000729CF">
      <w:pPr>
        <w:spacing w:before="120" w:after="120" w:line="360" w:lineRule="auto"/>
        <w:contextualSpacing/>
        <w:rPr>
          <w:rFonts w:ascii="Calibri" w:hAnsi="Calibri" w:cs="Calibri"/>
          <w:sz w:val="22"/>
          <w:szCs w:val="22"/>
          <w:lang w:val="en-GB" w:eastAsia="en-GB"/>
        </w:rPr>
      </w:pPr>
      <w:r w:rsidRPr="000729CF">
        <w:rPr>
          <w:rFonts w:ascii="Calibri" w:hAnsi="Calibri" w:cs="Calibri"/>
          <w:b/>
          <w:bCs/>
          <w:sz w:val="22"/>
          <w:szCs w:val="22"/>
          <w:lang w:val="en-GB" w:eastAsia="en-GB"/>
        </w:rPr>
        <w:t>Culture, Tourism &amp; Sport</w:t>
      </w:r>
    </w:p>
    <w:p w14:paraId="04773948" w14:textId="77777777" w:rsidR="000729CF" w:rsidRPr="000729CF" w:rsidRDefault="000729CF" w:rsidP="000729CF">
      <w:pPr>
        <w:spacing w:before="120" w:after="120"/>
        <w:rPr>
          <w:rFonts w:ascii="Calibri" w:hAnsi="Calibri" w:cs="Calibri"/>
          <w:sz w:val="22"/>
          <w:szCs w:val="22"/>
          <w:lang w:val="en-GB" w:eastAsia="en-GB"/>
        </w:rPr>
      </w:pPr>
      <w:r w:rsidRPr="000729CF">
        <w:rPr>
          <w:rFonts w:ascii="Calibri" w:hAnsi="Calibri" w:cs="Calibri"/>
          <w:sz w:val="22"/>
          <w:szCs w:val="22"/>
          <w:lang w:val="en-GB"/>
        </w:rPr>
        <w:t>Culture, Tourism &amp; Sport m</w:t>
      </w:r>
      <w:r w:rsidRPr="000729CF">
        <w:rPr>
          <w:rFonts w:ascii="Calibri" w:hAnsi="Calibri" w:cs="Calibri"/>
          <w:sz w:val="22"/>
          <w:szCs w:val="22"/>
          <w:lang w:val="en-GB" w:eastAsia="en-GB"/>
        </w:rPr>
        <w:t>anages the city’s visitor economy assets including the Brighton Centre, seafront and the destination marketing service Visit Brighton to ensure the city remains a leading national and international visitor destination. It delivers an annual programme of varied and inclusive outdoor events to promote the city and manages partnerships with key culture providers, including the Royal Pavilion Museums Trust, Brighton Dome Brighton Festival, and the Keep, to ensure they have a diverse reach and contribute to the city’s economic ambitions. The service also leads the delivery of the council’s ten-year plan for revitalised sports facilities and manages investments in key leisure assets, including Kingsway to the Sea</w:t>
      </w:r>
      <w:r w:rsidRPr="000729CF">
        <w:rPr>
          <w:rFonts w:ascii="Calibri" w:hAnsi="Calibri" w:cs="Calibri"/>
          <w:sz w:val="22"/>
          <w:szCs w:val="22"/>
          <w:lang w:val="en-GB"/>
        </w:rPr>
        <w:t>. Supporting artists and creative business in the city to flourish is also a key role of the service, facilitating inclusive communication, collaborative planning, and driving investment in cultural and creative industries.</w:t>
      </w:r>
    </w:p>
    <w:p w14:paraId="6CDD2644" w14:textId="77777777" w:rsidR="000729CF" w:rsidRPr="000729CF" w:rsidRDefault="000729CF" w:rsidP="00CE70A3">
      <w:pPr>
        <w:widowControl w:val="0"/>
        <w:numPr>
          <w:ilvl w:val="0"/>
          <w:numId w:val="42"/>
        </w:numPr>
        <w:autoSpaceDE w:val="0"/>
        <w:autoSpaceDN w:val="0"/>
        <w:spacing w:after="160" w:line="259" w:lineRule="auto"/>
        <w:ind w:left="567" w:hanging="284"/>
        <w:rPr>
          <w:rFonts w:ascii="Calibri" w:eastAsia="Calibri" w:hAnsi="Calibri" w:cs="Calibri"/>
          <w:sz w:val="22"/>
          <w:szCs w:val="22"/>
          <w:lang w:val="en-GB"/>
        </w:rPr>
      </w:pPr>
      <w:r w:rsidRPr="000729CF">
        <w:rPr>
          <w:rFonts w:ascii="Calibri" w:eastAsia="Calibri" w:hAnsi="Calibri" w:cs="Calibri"/>
          <w:sz w:val="22"/>
          <w:szCs w:val="22"/>
          <w:lang w:val="en-GB"/>
        </w:rPr>
        <w:t>Sports facilities with over 1.5 million attendances in the city each year.</w:t>
      </w:r>
    </w:p>
    <w:p w14:paraId="7B11F7DC" w14:textId="77777777" w:rsidR="000729CF" w:rsidRPr="000729CF" w:rsidRDefault="000729CF" w:rsidP="00CE70A3">
      <w:pPr>
        <w:widowControl w:val="0"/>
        <w:numPr>
          <w:ilvl w:val="0"/>
          <w:numId w:val="42"/>
        </w:numPr>
        <w:autoSpaceDE w:val="0"/>
        <w:autoSpaceDN w:val="0"/>
        <w:spacing w:after="160" w:line="259" w:lineRule="auto"/>
        <w:ind w:left="567" w:hanging="284"/>
        <w:rPr>
          <w:rFonts w:ascii="Calibri" w:eastAsia="Calibri" w:hAnsi="Calibri" w:cs="Calibri"/>
          <w:sz w:val="22"/>
          <w:szCs w:val="22"/>
          <w:lang w:val="en-GB"/>
        </w:rPr>
      </w:pPr>
      <w:r w:rsidRPr="000729CF">
        <w:rPr>
          <w:rFonts w:ascii="Calibri" w:eastAsia="Calibri" w:hAnsi="Calibri" w:cs="Calibri"/>
          <w:sz w:val="22"/>
          <w:szCs w:val="22"/>
          <w:lang w:val="en-GB"/>
        </w:rPr>
        <w:t>Co-ordinating approx. 250 outdoor events each year, with over 1m attendees.</w:t>
      </w:r>
    </w:p>
    <w:p w14:paraId="7B5EA82E" w14:textId="77777777" w:rsidR="000729CF" w:rsidRPr="000729CF" w:rsidRDefault="000729CF" w:rsidP="00CE70A3">
      <w:pPr>
        <w:widowControl w:val="0"/>
        <w:numPr>
          <w:ilvl w:val="0"/>
          <w:numId w:val="42"/>
        </w:numPr>
        <w:autoSpaceDE w:val="0"/>
        <w:autoSpaceDN w:val="0"/>
        <w:spacing w:after="160" w:line="259" w:lineRule="auto"/>
        <w:ind w:left="567" w:hanging="284"/>
        <w:rPr>
          <w:rFonts w:ascii="Calibri" w:eastAsia="Calibri" w:hAnsi="Calibri" w:cs="Calibri"/>
          <w:sz w:val="22"/>
          <w:szCs w:val="22"/>
          <w:lang w:val="en-GB"/>
        </w:rPr>
      </w:pPr>
      <w:r w:rsidRPr="000729CF">
        <w:rPr>
          <w:rFonts w:ascii="Calibri" w:eastAsia="Calibri" w:hAnsi="Calibri" w:cs="Calibri"/>
          <w:sz w:val="22"/>
          <w:szCs w:val="22"/>
          <w:lang w:val="en-GB"/>
        </w:rPr>
        <w:t>Approx. 70,000 resident visits to the Royal Pavilion and Museums equating to 24% of the city’s population.</w:t>
      </w:r>
    </w:p>
    <w:p w14:paraId="7966F740" w14:textId="77777777" w:rsidR="000729CF" w:rsidRPr="000729CF" w:rsidRDefault="000729CF" w:rsidP="00CE70A3">
      <w:pPr>
        <w:widowControl w:val="0"/>
        <w:numPr>
          <w:ilvl w:val="0"/>
          <w:numId w:val="42"/>
        </w:numPr>
        <w:autoSpaceDE w:val="0"/>
        <w:autoSpaceDN w:val="0"/>
        <w:spacing w:after="160" w:line="259" w:lineRule="auto"/>
        <w:ind w:left="567" w:hanging="284"/>
        <w:rPr>
          <w:rFonts w:ascii="Calibri" w:eastAsia="Calibri" w:hAnsi="Calibri" w:cs="Calibri"/>
          <w:sz w:val="22"/>
          <w:szCs w:val="22"/>
          <w:lang w:val="en-GB"/>
        </w:rPr>
      </w:pPr>
      <w:r w:rsidRPr="000729CF">
        <w:rPr>
          <w:rFonts w:ascii="Calibri" w:hAnsi="Calibri" w:cs="Calibri"/>
          <w:sz w:val="22"/>
          <w:szCs w:val="22"/>
          <w:lang w:val="en-GB"/>
        </w:rPr>
        <w:t>Sharing resources and information with more than 1,600 creative businesses and artists in the city, and funding local creatives through grant schemes such as Exhale,</w:t>
      </w:r>
      <w:r w:rsidRPr="000729CF">
        <w:rPr>
          <w:rFonts w:ascii="Calibri" w:hAnsi="Calibri" w:cs="Calibri"/>
          <w:color w:val="000000"/>
          <w:sz w:val="22"/>
          <w:szCs w:val="22"/>
          <w:shd w:val="clear" w:color="auto" w:fill="FFFFFF"/>
        </w:rPr>
        <w:t xml:space="preserve"> as part of Brighton &amp; Hove’s commitment to being an anti-racist city</w:t>
      </w:r>
      <w:r w:rsidRPr="000729CF">
        <w:rPr>
          <w:rFonts w:ascii="Calibri" w:hAnsi="Calibri" w:cs="Calibri"/>
          <w:sz w:val="22"/>
          <w:szCs w:val="22"/>
          <w:lang w:val="en-GB"/>
        </w:rPr>
        <w:t xml:space="preserve">. </w:t>
      </w:r>
    </w:p>
    <w:p w14:paraId="7E284CE7" w14:textId="77777777" w:rsidR="000729CF" w:rsidRPr="000729CF" w:rsidRDefault="000729CF" w:rsidP="00CE70A3">
      <w:pPr>
        <w:widowControl w:val="0"/>
        <w:numPr>
          <w:ilvl w:val="0"/>
          <w:numId w:val="42"/>
        </w:numPr>
        <w:autoSpaceDE w:val="0"/>
        <w:autoSpaceDN w:val="0"/>
        <w:spacing w:after="160" w:line="259" w:lineRule="auto"/>
        <w:ind w:left="567" w:hanging="284"/>
        <w:rPr>
          <w:rFonts w:ascii="Calibri" w:eastAsia="Calibri" w:hAnsi="Calibri" w:cs="Calibri"/>
          <w:sz w:val="22"/>
          <w:szCs w:val="22"/>
          <w:lang w:val="en-GB"/>
        </w:rPr>
      </w:pPr>
      <w:r w:rsidRPr="000729CF">
        <w:rPr>
          <w:rFonts w:ascii="Calibri" w:eastAsia="Calibri" w:hAnsi="Calibri" w:cs="Calibri"/>
          <w:sz w:val="22"/>
          <w:szCs w:val="22"/>
          <w:lang w:val="en-GB"/>
        </w:rPr>
        <w:t>13 km of seafront, working 365 days per year with 200 properties under management.</w:t>
      </w:r>
    </w:p>
    <w:p w14:paraId="6B1B4775" w14:textId="77777777" w:rsidR="000729CF" w:rsidRPr="000729CF" w:rsidRDefault="000729CF" w:rsidP="00CE70A3">
      <w:pPr>
        <w:widowControl w:val="0"/>
        <w:numPr>
          <w:ilvl w:val="0"/>
          <w:numId w:val="42"/>
        </w:numPr>
        <w:autoSpaceDE w:val="0"/>
        <w:autoSpaceDN w:val="0"/>
        <w:spacing w:after="160" w:line="259" w:lineRule="auto"/>
        <w:ind w:left="567" w:hanging="284"/>
        <w:rPr>
          <w:rFonts w:ascii="Calibri" w:eastAsia="Calibri" w:hAnsi="Calibri" w:cs="Calibri"/>
          <w:sz w:val="22"/>
          <w:szCs w:val="22"/>
          <w:lang w:val="en-GB"/>
        </w:rPr>
      </w:pPr>
      <w:r w:rsidRPr="000729CF">
        <w:rPr>
          <w:rFonts w:ascii="Calibri" w:eastAsia="Calibri" w:hAnsi="Calibri" w:cs="Calibri"/>
          <w:sz w:val="22"/>
          <w:szCs w:val="22"/>
          <w:lang w:val="en-GB"/>
        </w:rPr>
        <w:t xml:space="preserve">Brighton Centre delivering </w:t>
      </w:r>
      <w:r w:rsidRPr="000729CF">
        <w:rPr>
          <w:rFonts w:ascii="Calibri" w:hAnsi="Calibri" w:cs="Calibri"/>
          <w:sz w:val="22"/>
          <w:szCs w:val="22"/>
          <w:lang w:val="en-GB"/>
        </w:rPr>
        <w:t>£50-£60m of economic impact for the city per annum</w:t>
      </w:r>
      <w:r w:rsidRPr="000729CF">
        <w:rPr>
          <w:rFonts w:ascii="Calibri" w:eastAsia="Calibri" w:hAnsi="Calibri" w:cs="Calibri"/>
          <w:sz w:val="22"/>
          <w:szCs w:val="22"/>
          <w:lang w:val="en-GB"/>
        </w:rPr>
        <w:t xml:space="preserve"> and sells 250,000 tickets each year.</w:t>
      </w:r>
    </w:p>
    <w:p w14:paraId="109131FE" w14:textId="77777777" w:rsidR="000729CF" w:rsidRPr="000729CF" w:rsidRDefault="000729CF" w:rsidP="00CE70A3">
      <w:pPr>
        <w:widowControl w:val="0"/>
        <w:numPr>
          <w:ilvl w:val="0"/>
          <w:numId w:val="42"/>
        </w:numPr>
        <w:autoSpaceDE w:val="0"/>
        <w:autoSpaceDN w:val="0"/>
        <w:spacing w:after="160" w:line="259" w:lineRule="auto"/>
        <w:ind w:left="567" w:hanging="284"/>
        <w:rPr>
          <w:rFonts w:ascii="Calibri" w:eastAsia="Calibri" w:hAnsi="Calibri" w:cs="Calibri"/>
          <w:sz w:val="22"/>
          <w:szCs w:val="22"/>
          <w:lang w:val="en-GB"/>
        </w:rPr>
      </w:pPr>
      <w:r w:rsidRPr="000729CF">
        <w:rPr>
          <w:rFonts w:ascii="Calibri" w:eastAsia="Calibri" w:hAnsi="Calibri" w:cs="Calibri"/>
          <w:sz w:val="22"/>
          <w:szCs w:val="22"/>
          <w:lang w:val="en-GB"/>
        </w:rPr>
        <w:t>Visit Brighton has 375 business partners, promoting the city to visitors and attracting high value conferencing.</w:t>
      </w:r>
    </w:p>
    <w:p w14:paraId="2D3792B3" w14:textId="77777777" w:rsidR="000729CF" w:rsidRPr="000729CF" w:rsidRDefault="000729CF" w:rsidP="00CE70A3">
      <w:pPr>
        <w:widowControl w:val="0"/>
        <w:numPr>
          <w:ilvl w:val="0"/>
          <w:numId w:val="42"/>
        </w:numPr>
        <w:autoSpaceDE w:val="0"/>
        <w:autoSpaceDN w:val="0"/>
        <w:spacing w:after="160" w:line="259" w:lineRule="auto"/>
        <w:ind w:left="567" w:hanging="284"/>
        <w:rPr>
          <w:rFonts w:ascii="Calibri" w:eastAsia="Calibri" w:hAnsi="Calibri" w:cs="Calibri"/>
          <w:sz w:val="22"/>
          <w:szCs w:val="22"/>
          <w:lang w:val="en-GB"/>
        </w:rPr>
      </w:pPr>
      <w:r w:rsidRPr="000729CF">
        <w:rPr>
          <w:rFonts w:ascii="Calibri" w:hAnsi="Calibri" w:cs="Calibri"/>
          <w:sz w:val="22"/>
          <w:szCs w:val="22"/>
          <w:lang w:val="en-GB"/>
        </w:rPr>
        <w:t>Tourism worth nearly £1bn economic benefit and supporting 17.5% of city jobs</w:t>
      </w:r>
      <w:r w:rsidRPr="000729CF">
        <w:rPr>
          <w:rFonts w:ascii="Calibri" w:eastAsia="Calibri" w:hAnsi="Calibri" w:cs="Calibri"/>
          <w:sz w:val="22"/>
          <w:szCs w:val="22"/>
          <w:lang w:val="en-GB"/>
        </w:rPr>
        <w:t>.</w:t>
      </w:r>
    </w:p>
    <w:p w14:paraId="4803A40F" w14:textId="77777777" w:rsidR="000729CF" w:rsidRPr="000729CF" w:rsidRDefault="000729CF" w:rsidP="000729CF">
      <w:pPr>
        <w:spacing w:before="120" w:after="120"/>
        <w:rPr>
          <w:rFonts w:ascii="Calibri" w:eastAsia="Calibri" w:hAnsi="Calibri" w:cs="Calibri"/>
          <w:b/>
          <w:bCs/>
          <w:sz w:val="22"/>
          <w:szCs w:val="22"/>
          <w:u w:val="single"/>
          <w:lang w:val="en-GB"/>
        </w:rPr>
      </w:pPr>
    </w:p>
    <w:p w14:paraId="4EB9B4C8" w14:textId="77777777" w:rsidR="000729CF" w:rsidRPr="000729CF" w:rsidRDefault="000729CF" w:rsidP="000729CF">
      <w:pPr>
        <w:spacing w:before="120" w:after="120"/>
        <w:rPr>
          <w:rFonts w:ascii="Calibri" w:eastAsia="Calibri" w:hAnsi="Calibri" w:cs="Calibri"/>
          <w:b/>
          <w:bCs/>
          <w:sz w:val="22"/>
          <w:szCs w:val="22"/>
          <w:u w:val="single"/>
          <w:lang w:val="en-GB"/>
        </w:rPr>
      </w:pPr>
      <w:r w:rsidRPr="000729CF">
        <w:rPr>
          <w:rFonts w:ascii="Calibri" w:eastAsia="Calibri" w:hAnsi="Calibri" w:cs="Calibri"/>
          <w:b/>
          <w:bCs/>
          <w:sz w:val="22"/>
          <w:szCs w:val="22"/>
          <w:u w:val="single"/>
          <w:lang w:val="en-GB"/>
        </w:rPr>
        <w:t>Budget Strategy</w:t>
      </w:r>
    </w:p>
    <w:p w14:paraId="4559349F" w14:textId="77777777" w:rsidR="000729CF" w:rsidRPr="000729CF" w:rsidRDefault="000729CF" w:rsidP="000729CF">
      <w:pPr>
        <w:spacing w:before="120" w:after="120"/>
        <w:rPr>
          <w:rFonts w:ascii="Calibri" w:eastAsia="Calibri" w:hAnsi="Calibri" w:cs="Calibri"/>
          <w:b/>
          <w:bCs/>
          <w:sz w:val="22"/>
          <w:szCs w:val="22"/>
          <w:lang w:val="en-GB"/>
        </w:rPr>
      </w:pPr>
      <w:r w:rsidRPr="000729CF">
        <w:rPr>
          <w:rFonts w:ascii="Calibri" w:eastAsia="Calibri" w:hAnsi="Calibri" w:cs="Calibri"/>
          <w:b/>
          <w:bCs/>
          <w:sz w:val="22"/>
          <w:szCs w:val="22"/>
          <w:lang w:val="en-GB"/>
        </w:rPr>
        <w:t>Direction of travel</w:t>
      </w:r>
    </w:p>
    <w:p w14:paraId="0A449B0C" w14:textId="77777777" w:rsidR="000729CF" w:rsidRPr="000729CF" w:rsidRDefault="000729CF" w:rsidP="000729CF">
      <w:pPr>
        <w:spacing w:before="120" w:after="120"/>
        <w:rPr>
          <w:rFonts w:ascii="Calibri" w:eastAsia="Calibri" w:hAnsi="Calibri" w:cs="Calibri"/>
          <w:sz w:val="22"/>
          <w:szCs w:val="22"/>
          <w:lang w:val="en-GB"/>
        </w:rPr>
      </w:pPr>
      <w:r w:rsidRPr="000729CF">
        <w:rPr>
          <w:rFonts w:ascii="Calibri" w:eastAsia="Calibri" w:hAnsi="Calibri" w:cs="Calibri"/>
          <w:sz w:val="22"/>
          <w:szCs w:val="22"/>
          <w:lang w:val="en-GB"/>
        </w:rPr>
        <w:t>The directorate fulfils a specific place making role for Brighton and Hove, leading the city towards achieving net zero carbon, building people’s pride in place and supporting the growth of a diverse and resilient economy. Key directorate objectives for 2024/25 include:</w:t>
      </w:r>
    </w:p>
    <w:p w14:paraId="04FCC253" w14:textId="77777777" w:rsidR="000729CF" w:rsidRPr="000729CF" w:rsidRDefault="000729CF" w:rsidP="00CE70A3">
      <w:pPr>
        <w:widowControl w:val="0"/>
        <w:numPr>
          <w:ilvl w:val="0"/>
          <w:numId w:val="40"/>
        </w:numPr>
        <w:autoSpaceDE w:val="0"/>
        <w:autoSpaceDN w:val="0"/>
        <w:spacing w:before="20" w:after="20" w:line="259" w:lineRule="auto"/>
        <w:ind w:left="567" w:hanging="284"/>
        <w:rPr>
          <w:rFonts w:ascii="Calibri" w:hAnsi="Calibri" w:cs="Calibri"/>
          <w:sz w:val="22"/>
          <w:szCs w:val="22"/>
          <w:lang w:val="en-GB" w:eastAsia="en-GB"/>
        </w:rPr>
      </w:pPr>
      <w:r w:rsidRPr="000729CF">
        <w:rPr>
          <w:rFonts w:ascii="Calibri" w:hAnsi="Calibri" w:cs="Calibri"/>
          <w:sz w:val="22"/>
          <w:szCs w:val="22"/>
          <w:lang w:val="en-GB" w:eastAsia="en-GB"/>
        </w:rPr>
        <w:t>Investing in a programme of high impact projects that will increase the city’s resilience to, and address, climate change.</w:t>
      </w:r>
    </w:p>
    <w:p w14:paraId="6FB7AF02" w14:textId="77777777" w:rsidR="000729CF" w:rsidRPr="000729CF" w:rsidRDefault="000729CF" w:rsidP="00CE70A3">
      <w:pPr>
        <w:widowControl w:val="0"/>
        <w:numPr>
          <w:ilvl w:val="0"/>
          <w:numId w:val="40"/>
        </w:numPr>
        <w:autoSpaceDE w:val="0"/>
        <w:autoSpaceDN w:val="0"/>
        <w:spacing w:before="20" w:after="20" w:line="259" w:lineRule="auto"/>
        <w:ind w:left="567" w:right="948" w:hanging="284"/>
        <w:contextualSpacing/>
        <w:rPr>
          <w:rFonts w:ascii="Calibri" w:hAnsi="Calibri" w:cs="Calibri"/>
          <w:sz w:val="22"/>
          <w:szCs w:val="22"/>
          <w:lang w:val="en-GB" w:eastAsia="en-GB"/>
        </w:rPr>
      </w:pPr>
      <w:r w:rsidRPr="000729CF">
        <w:rPr>
          <w:rFonts w:ascii="Calibri" w:hAnsi="Calibri" w:cs="Calibri"/>
          <w:sz w:val="22"/>
          <w:szCs w:val="22"/>
          <w:lang w:val="en-GB" w:eastAsia="en-GB"/>
        </w:rPr>
        <w:t>Working</w:t>
      </w:r>
      <w:r w:rsidRPr="000729CF">
        <w:rPr>
          <w:rFonts w:ascii="Calibri" w:hAnsi="Calibri" w:cs="Calibri"/>
          <w:spacing w:val="-4"/>
          <w:sz w:val="22"/>
          <w:szCs w:val="22"/>
          <w:lang w:val="en-GB" w:eastAsia="en-GB"/>
        </w:rPr>
        <w:t xml:space="preserve"> </w:t>
      </w:r>
      <w:r w:rsidRPr="000729CF">
        <w:rPr>
          <w:rFonts w:ascii="Calibri" w:hAnsi="Calibri" w:cs="Calibri"/>
          <w:sz w:val="22"/>
          <w:szCs w:val="22"/>
          <w:lang w:val="en-GB" w:eastAsia="en-GB"/>
        </w:rPr>
        <w:t>across</w:t>
      </w:r>
      <w:r w:rsidRPr="000729CF">
        <w:rPr>
          <w:rFonts w:ascii="Calibri" w:hAnsi="Calibri" w:cs="Calibri"/>
          <w:spacing w:val="-3"/>
          <w:sz w:val="22"/>
          <w:szCs w:val="22"/>
          <w:lang w:val="en-GB" w:eastAsia="en-GB"/>
        </w:rPr>
        <w:t xml:space="preserve"> </w:t>
      </w:r>
      <w:r w:rsidRPr="000729CF">
        <w:rPr>
          <w:rFonts w:ascii="Calibri" w:hAnsi="Calibri" w:cs="Calibri"/>
          <w:sz w:val="22"/>
          <w:szCs w:val="22"/>
          <w:lang w:val="en-GB" w:eastAsia="en-GB"/>
        </w:rPr>
        <w:t>the</w:t>
      </w:r>
      <w:r w:rsidRPr="000729CF">
        <w:rPr>
          <w:rFonts w:ascii="Calibri" w:hAnsi="Calibri" w:cs="Calibri"/>
          <w:spacing w:val="-3"/>
          <w:sz w:val="22"/>
          <w:szCs w:val="22"/>
          <w:lang w:val="en-GB" w:eastAsia="en-GB"/>
        </w:rPr>
        <w:t xml:space="preserve"> </w:t>
      </w:r>
      <w:r w:rsidRPr="000729CF">
        <w:rPr>
          <w:rFonts w:ascii="Calibri" w:hAnsi="Calibri" w:cs="Calibri"/>
          <w:sz w:val="22"/>
          <w:szCs w:val="22"/>
          <w:lang w:val="en-GB" w:eastAsia="en-GB"/>
        </w:rPr>
        <w:t>council</w:t>
      </w:r>
      <w:r w:rsidRPr="000729CF">
        <w:rPr>
          <w:rFonts w:ascii="Calibri" w:hAnsi="Calibri" w:cs="Calibri"/>
          <w:spacing w:val="-3"/>
          <w:sz w:val="22"/>
          <w:szCs w:val="22"/>
          <w:lang w:val="en-GB" w:eastAsia="en-GB"/>
        </w:rPr>
        <w:t xml:space="preserve"> </w:t>
      </w:r>
      <w:r w:rsidRPr="000729CF">
        <w:rPr>
          <w:rFonts w:ascii="Calibri" w:hAnsi="Calibri" w:cs="Calibri"/>
          <w:sz w:val="22"/>
          <w:szCs w:val="22"/>
          <w:lang w:val="en-GB" w:eastAsia="en-GB"/>
        </w:rPr>
        <w:t>and</w:t>
      </w:r>
      <w:r w:rsidRPr="000729CF">
        <w:rPr>
          <w:rFonts w:ascii="Calibri" w:hAnsi="Calibri" w:cs="Calibri"/>
          <w:spacing w:val="-3"/>
          <w:sz w:val="22"/>
          <w:szCs w:val="22"/>
          <w:lang w:val="en-GB" w:eastAsia="en-GB"/>
        </w:rPr>
        <w:t xml:space="preserve"> </w:t>
      </w:r>
      <w:r w:rsidRPr="000729CF">
        <w:rPr>
          <w:rFonts w:ascii="Calibri" w:hAnsi="Calibri" w:cs="Calibri"/>
          <w:sz w:val="22"/>
          <w:szCs w:val="22"/>
          <w:lang w:val="en-GB" w:eastAsia="en-GB"/>
        </w:rPr>
        <w:t>the</w:t>
      </w:r>
      <w:r w:rsidRPr="000729CF">
        <w:rPr>
          <w:rFonts w:ascii="Calibri" w:hAnsi="Calibri" w:cs="Calibri"/>
          <w:spacing w:val="-3"/>
          <w:sz w:val="22"/>
          <w:szCs w:val="22"/>
          <w:lang w:val="en-GB" w:eastAsia="en-GB"/>
        </w:rPr>
        <w:t xml:space="preserve"> </w:t>
      </w:r>
      <w:r w:rsidRPr="000729CF">
        <w:rPr>
          <w:rFonts w:ascii="Calibri" w:hAnsi="Calibri" w:cs="Calibri"/>
          <w:sz w:val="22"/>
          <w:szCs w:val="22"/>
          <w:lang w:val="en-GB" w:eastAsia="en-GB"/>
        </w:rPr>
        <w:t>city</w:t>
      </w:r>
      <w:r w:rsidRPr="000729CF">
        <w:rPr>
          <w:rFonts w:ascii="Calibri" w:hAnsi="Calibri" w:cs="Calibri"/>
          <w:spacing w:val="-4"/>
          <w:sz w:val="22"/>
          <w:szCs w:val="22"/>
          <w:lang w:val="en-GB" w:eastAsia="en-GB"/>
        </w:rPr>
        <w:t xml:space="preserve"> to support </w:t>
      </w:r>
      <w:r w:rsidRPr="000729CF">
        <w:rPr>
          <w:rFonts w:ascii="Calibri" w:hAnsi="Calibri" w:cs="Calibri"/>
          <w:sz w:val="22"/>
          <w:szCs w:val="22"/>
          <w:lang w:val="en-GB" w:eastAsia="en-GB"/>
        </w:rPr>
        <w:t>the</w:t>
      </w:r>
      <w:r w:rsidRPr="000729CF">
        <w:rPr>
          <w:rFonts w:ascii="Calibri" w:hAnsi="Calibri" w:cs="Calibri"/>
          <w:spacing w:val="-3"/>
          <w:sz w:val="22"/>
          <w:szCs w:val="22"/>
          <w:lang w:val="en-GB" w:eastAsia="en-GB"/>
        </w:rPr>
        <w:t xml:space="preserve"> </w:t>
      </w:r>
      <w:r w:rsidRPr="000729CF">
        <w:rPr>
          <w:rFonts w:ascii="Calibri" w:hAnsi="Calibri" w:cs="Calibri"/>
          <w:sz w:val="22"/>
          <w:szCs w:val="22"/>
          <w:lang w:val="en-GB" w:eastAsia="en-GB"/>
        </w:rPr>
        <w:t>transition</w:t>
      </w:r>
      <w:r w:rsidRPr="000729CF">
        <w:rPr>
          <w:rFonts w:ascii="Calibri" w:hAnsi="Calibri" w:cs="Calibri"/>
          <w:spacing w:val="-3"/>
          <w:sz w:val="22"/>
          <w:szCs w:val="22"/>
          <w:lang w:val="en-GB" w:eastAsia="en-GB"/>
        </w:rPr>
        <w:t xml:space="preserve"> </w:t>
      </w:r>
      <w:r w:rsidRPr="000729CF">
        <w:rPr>
          <w:rFonts w:ascii="Calibri" w:hAnsi="Calibri" w:cs="Calibri"/>
          <w:sz w:val="22"/>
          <w:szCs w:val="22"/>
          <w:lang w:val="en-GB" w:eastAsia="en-GB"/>
        </w:rPr>
        <w:t>to a circular and more equitable</w:t>
      </w:r>
      <w:r w:rsidRPr="000729CF">
        <w:rPr>
          <w:rFonts w:ascii="Calibri" w:hAnsi="Calibri" w:cs="Calibri"/>
          <w:spacing w:val="-1"/>
          <w:sz w:val="22"/>
          <w:szCs w:val="22"/>
          <w:lang w:val="en-GB" w:eastAsia="en-GB"/>
        </w:rPr>
        <w:t xml:space="preserve"> </w:t>
      </w:r>
      <w:r w:rsidRPr="000729CF">
        <w:rPr>
          <w:rFonts w:ascii="Calibri" w:hAnsi="Calibri" w:cs="Calibri"/>
          <w:sz w:val="22"/>
          <w:szCs w:val="22"/>
          <w:lang w:val="en-GB" w:eastAsia="en-GB"/>
        </w:rPr>
        <w:t>economy.</w:t>
      </w:r>
    </w:p>
    <w:p w14:paraId="74C1DD27" w14:textId="77777777" w:rsidR="000729CF" w:rsidRPr="000729CF" w:rsidRDefault="000729CF" w:rsidP="00CE70A3">
      <w:pPr>
        <w:widowControl w:val="0"/>
        <w:numPr>
          <w:ilvl w:val="0"/>
          <w:numId w:val="40"/>
        </w:numPr>
        <w:autoSpaceDE w:val="0"/>
        <w:autoSpaceDN w:val="0"/>
        <w:spacing w:before="20" w:after="20" w:line="259" w:lineRule="auto"/>
        <w:ind w:left="567" w:hanging="284"/>
        <w:rPr>
          <w:rFonts w:ascii="Calibri" w:hAnsi="Calibri" w:cs="Calibri"/>
          <w:sz w:val="22"/>
          <w:szCs w:val="22"/>
          <w:lang w:val="en-GB" w:eastAsia="en-GB"/>
        </w:rPr>
      </w:pPr>
      <w:r w:rsidRPr="000729CF">
        <w:rPr>
          <w:rFonts w:ascii="Calibri" w:hAnsi="Calibri" w:cs="Calibri"/>
          <w:sz w:val="22"/>
          <w:szCs w:val="22"/>
          <w:lang w:val="en-GB" w:eastAsia="en-GB"/>
        </w:rPr>
        <w:t>Delivering key improvements to the council’s sports facilities in line with the Sports Facilities and Investment Plan.</w:t>
      </w:r>
    </w:p>
    <w:p w14:paraId="4C4E2411" w14:textId="77777777" w:rsidR="000729CF" w:rsidRPr="000729CF" w:rsidRDefault="000729CF" w:rsidP="00CE70A3">
      <w:pPr>
        <w:widowControl w:val="0"/>
        <w:numPr>
          <w:ilvl w:val="0"/>
          <w:numId w:val="40"/>
        </w:numPr>
        <w:autoSpaceDE w:val="0"/>
        <w:autoSpaceDN w:val="0"/>
        <w:spacing w:before="20" w:after="20" w:line="259" w:lineRule="auto"/>
        <w:ind w:left="567" w:hanging="284"/>
        <w:rPr>
          <w:rFonts w:ascii="Calibri" w:hAnsi="Calibri" w:cs="Calibri"/>
          <w:sz w:val="22"/>
          <w:szCs w:val="22"/>
          <w:lang w:val="en-GB" w:eastAsia="en-GB"/>
        </w:rPr>
      </w:pPr>
      <w:r w:rsidRPr="000729CF">
        <w:rPr>
          <w:rFonts w:ascii="Calibri" w:hAnsi="Calibri" w:cs="Calibri"/>
          <w:sz w:val="22"/>
          <w:szCs w:val="22"/>
          <w:lang w:val="en-GB" w:eastAsia="en-GB"/>
        </w:rPr>
        <w:t>Developing a new sustainable local Transport Plan for the city.</w:t>
      </w:r>
    </w:p>
    <w:p w14:paraId="6CCA869A" w14:textId="77777777" w:rsidR="000729CF" w:rsidRPr="000729CF" w:rsidRDefault="000729CF" w:rsidP="00CE70A3">
      <w:pPr>
        <w:widowControl w:val="0"/>
        <w:numPr>
          <w:ilvl w:val="0"/>
          <w:numId w:val="40"/>
        </w:numPr>
        <w:autoSpaceDE w:val="0"/>
        <w:autoSpaceDN w:val="0"/>
        <w:spacing w:before="20" w:after="20" w:line="259" w:lineRule="auto"/>
        <w:ind w:left="567" w:hanging="284"/>
        <w:contextualSpacing/>
        <w:rPr>
          <w:rFonts w:ascii="Calibri" w:hAnsi="Calibri" w:cs="Calibri"/>
          <w:sz w:val="22"/>
          <w:szCs w:val="22"/>
          <w:lang w:val="en-GB" w:eastAsia="en-GB"/>
        </w:rPr>
      </w:pPr>
      <w:r w:rsidRPr="000729CF">
        <w:rPr>
          <w:rFonts w:ascii="Calibri" w:hAnsi="Calibri" w:cs="Calibri"/>
          <w:sz w:val="22"/>
          <w:szCs w:val="22"/>
          <w:lang w:val="en-GB" w:eastAsia="en-GB"/>
        </w:rPr>
        <w:t xml:space="preserve">Implementing progressive service changes as part of the City Environmental Improvement Programme. </w:t>
      </w:r>
    </w:p>
    <w:p w14:paraId="309AA766" w14:textId="77777777" w:rsidR="000729CF" w:rsidRPr="000729CF" w:rsidRDefault="000729CF" w:rsidP="00CE70A3">
      <w:pPr>
        <w:widowControl w:val="0"/>
        <w:numPr>
          <w:ilvl w:val="0"/>
          <w:numId w:val="40"/>
        </w:numPr>
        <w:autoSpaceDE w:val="0"/>
        <w:autoSpaceDN w:val="0"/>
        <w:spacing w:before="20" w:after="20" w:line="259" w:lineRule="auto"/>
        <w:ind w:left="567" w:hanging="284"/>
        <w:contextualSpacing/>
        <w:rPr>
          <w:rFonts w:ascii="Calibri" w:hAnsi="Calibri" w:cs="Calibri"/>
          <w:sz w:val="22"/>
          <w:szCs w:val="22"/>
          <w:lang w:val="en-GB" w:eastAsia="en-GB"/>
        </w:rPr>
      </w:pPr>
      <w:r w:rsidRPr="000729CF">
        <w:rPr>
          <w:rFonts w:ascii="Calibri" w:hAnsi="Calibri" w:cs="Calibri"/>
          <w:sz w:val="22"/>
          <w:szCs w:val="22"/>
          <w:lang w:val="en-GB" w:eastAsia="en-GB"/>
        </w:rPr>
        <w:t>Developing a new Cultural Strategy for the city.</w:t>
      </w:r>
    </w:p>
    <w:p w14:paraId="3814CBCC" w14:textId="77777777" w:rsidR="000729CF" w:rsidRPr="000729CF" w:rsidRDefault="000729CF" w:rsidP="00CE70A3">
      <w:pPr>
        <w:widowControl w:val="0"/>
        <w:numPr>
          <w:ilvl w:val="0"/>
          <w:numId w:val="40"/>
        </w:numPr>
        <w:autoSpaceDE w:val="0"/>
        <w:autoSpaceDN w:val="0"/>
        <w:spacing w:before="20" w:after="20" w:line="259" w:lineRule="auto"/>
        <w:ind w:left="567" w:hanging="284"/>
        <w:contextualSpacing/>
        <w:rPr>
          <w:rFonts w:ascii="Calibri" w:hAnsi="Calibri" w:cs="Calibri"/>
          <w:sz w:val="22"/>
          <w:szCs w:val="22"/>
          <w:lang w:val="en-GB" w:eastAsia="en-GB"/>
        </w:rPr>
      </w:pPr>
      <w:r w:rsidRPr="000729CF">
        <w:rPr>
          <w:rFonts w:ascii="Calibri" w:hAnsi="Calibri" w:cs="Calibri"/>
          <w:sz w:val="22"/>
          <w:szCs w:val="22"/>
          <w:lang w:val="en-GB" w:eastAsia="en-GB"/>
        </w:rPr>
        <w:t>Embedding a new Economic Strategy for the city.</w:t>
      </w:r>
    </w:p>
    <w:p w14:paraId="10DB1F7D" w14:textId="77777777" w:rsidR="000729CF" w:rsidRPr="000729CF" w:rsidRDefault="000729CF" w:rsidP="00CE70A3">
      <w:pPr>
        <w:widowControl w:val="0"/>
        <w:numPr>
          <w:ilvl w:val="0"/>
          <w:numId w:val="40"/>
        </w:numPr>
        <w:autoSpaceDE w:val="0"/>
        <w:autoSpaceDN w:val="0"/>
        <w:spacing w:before="20" w:after="20" w:line="259" w:lineRule="auto"/>
        <w:ind w:left="567" w:hanging="284"/>
        <w:rPr>
          <w:rFonts w:ascii="Calibri" w:hAnsi="Calibri" w:cs="Calibri"/>
          <w:sz w:val="22"/>
          <w:szCs w:val="22"/>
          <w:lang w:val="en-GB" w:eastAsia="en-GB"/>
        </w:rPr>
      </w:pPr>
      <w:r w:rsidRPr="000729CF">
        <w:rPr>
          <w:rFonts w:ascii="Calibri" w:hAnsi="Calibri" w:cs="Calibri"/>
          <w:sz w:val="22"/>
          <w:szCs w:val="22"/>
          <w:lang w:val="en-GB" w:eastAsia="en-GB"/>
        </w:rPr>
        <w:t>Progressing the city’s major regeneration and infrastructure</w:t>
      </w:r>
      <w:r w:rsidRPr="000729CF">
        <w:rPr>
          <w:rFonts w:ascii="Calibri" w:hAnsi="Calibri" w:cs="Calibri"/>
          <w:spacing w:val="-4"/>
          <w:sz w:val="22"/>
          <w:szCs w:val="22"/>
          <w:lang w:val="en-GB" w:eastAsia="en-GB"/>
        </w:rPr>
        <w:t xml:space="preserve"> </w:t>
      </w:r>
      <w:r w:rsidRPr="000729CF">
        <w:rPr>
          <w:rFonts w:ascii="Calibri" w:hAnsi="Calibri" w:cs="Calibri"/>
          <w:sz w:val="22"/>
          <w:szCs w:val="22"/>
          <w:lang w:val="en-GB" w:eastAsia="en-GB"/>
        </w:rPr>
        <w:t>projects.</w:t>
      </w:r>
    </w:p>
    <w:p w14:paraId="4153B1BC" w14:textId="77777777" w:rsidR="000729CF" w:rsidRPr="000729CF" w:rsidRDefault="000729CF" w:rsidP="00CE70A3">
      <w:pPr>
        <w:widowControl w:val="0"/>
        <w:numPr>
          <w:ilvl w:val="0"/>
          <w:numId w:val="40"/>
        </w:numPr>
        <w:autoSpaceDE w:val="0"/>
        <w:autoSpaceDN w:val="0"/>
        <w:spacing w:before="20" w:after="20" w:line="259" w:lineRule="auto"/>
        <w:ind w:left="567" w:right="972" w:hanging="284"/>
        <w:contextualSpacing/>
        <w:rPr>
          <w:rFonts w:ascii="Calibri" w:hAnsi="Calibri" w:cs="Calibri"/>
          <w:sz w:val="22"/>
          <w:szCs w:val="22"/>
          <w:lang w:val="en-GB" w:eastAsia="en-GB"/>
        </w:rPr>
      </w:pPr>
      <w:r w:rsidRPr="000729CF">
        <w:rPr>
          <w:rFonts w:ascii="Calibri" w:hAnsi="Calibri" w:cs="Calibri"/>
          <w:sz w:val="22"/>
          <w:szCs w:val="22"/>
          <w:lang w:val="en-GB" w:eastAsia="en-GB"/>
        </w:rPr>
        <w:t>Delivering new council homes and affordable homes through the New Homes for Neighbourhood Programme and Homes for Brighton &amp; Hove joint</w:t>
      </w:r>
      <w:r w:rsidRPr="000729CF">
        <w:rPr>
          <w:rFonts w:ascii="Calibri" w:hAnsi="Calibri" w:cs="Calibri"/>
          <w:spacing w:val="-1"/>
          <w:sz w:val="22"/>
          <w:szCs w:val="22"/>
          <w:lang w:val="en-GB" w:eastAsia="en-GB"/>
        </w:rPr>
        <w:t xml:space="preserve"> </w:t>
      </w:r>
      <w:r w:rsidRPr="000729CF">
        <w:rPr>
          <w:rFonts w:ascii="Calibri" w:hAnsi="Calibri" w:cs="Calibri"/>
          <w:sz w:val="22"/>
          <w:szCs w:val="22"/>
          <w:lang w:val="en-GB" w:eastAsia="en-GB"/>
        </w:rPr>
        <w:t>venture.</w:t>
      </w:r>
    </w:p>
    <w:p w14:paraId="42D66365" w14:textId="77777777" w:rsidR="000729CF" w:rsidRPr="000729CF" w:rsidRDefault="000729CF" w:rsidP="000729CF">
      <w:pPr>
        <w:spacing w:before="120" w:after="120"/>
        <w:rPr>
          <w:rFonts w:ascii="Calibri" w:eastAsia="Calibri" w:hAnsi="Calibri" w:cs="Calibri"/>
          <w:sz w:val="22"/>
          <w:szCs w:val="22"/>
          <w:lang w:val="en-GB"/>
        </w:rPr>
      </w:pPr>
      <w:r w:rsidRPr="000729CF">
        <w:rPr>
          <w:rFonts w:ascii="Calibri" w:eastAsia="Calibri" w:hAnsi="Calibri" w:cs="Calibri"/>
          <w:sz w:val="22"/>
          <w:szCs w:val="22"/>
          <w:lang w:val="en-GB"/>
        </w:rPr>
        <w:t>To ensure the directorate can achieve its objectives the budget strategy focuses on reducing costs, maximising income and exploring alternative service delivery models, in particular:</w:t>
      </w:r>
    </w:p>
    <w:p w14:paraId="35AFFB53" w14:textId="77777777" w:rsidR="000729CF" w:rsidRPr="000729CF" w:rsidRDefault="000729CF" w:rsidP="00CE70A3">
      <w:pPr>
        <w:numPr>
          <w:ilvl w:val="0"/>
          <w:numId w:val="54"/>
        </w:numPr>
        <w:spacing w:before="120" w:after="120" w:line="259" w:lineRule="auto"/>
        <w:ind w:left="567" w:hanging="283"/>
        <w:contextualSpacing/>
        <w:rPr>
          <w:rFonts w:ascii="Calibri" w:eastAsia="Calibri" w:hAnsi="Calibri" w:cs="Calibri"/>
          <w:sz w:val="22"/>
          <w:szCs w:val="22"/>
          <w:lang w:val="en-GB"/>
        </w:rPr>
      </w:pPr>
      <w:r w:rsidRPr="000729CF">
        <w:rPr>
          <w:rFonts w:ascii="Calibri" w:eastAsia="Calibri" w:hAnsi="Calibri" w:cs="Calibri"/>
          <w:sz w:val="22"/>
          <w:szCs w:val="22"/>
          <w:lang w:val="en-GB"/>
        </w:rPr>
        <w:t>Delivering core services effectively and efficiently, pursuing all opportunities for collaboration, innovation and streamlining through improved use of technology, or bringing together areas of work, skills and expertise.</w:t>
      </w:r>
    </w:p>
    <w:p w14:paraId="3B496CA1" w14:textId="77777777" w:rsidR="000729CF" w:rsidRPr="000729CF" w:rsidRDefault="000729CF" w:rsidP="00CE70A3">
      <w:pPr>
        <w:numPr>
          <w:ilvl w:val="0"/>
          <w:numId w:val="54"/>
        </w:numPr>
        <w:spacing w:before="120" w:after="120" w:line="259" w:lineRule="auto"/>
        <w:ind w:left="567" w:hanging="283"/>
        <w:contextualSpacing/>
        <w:rPr>
          <w:rFonts w:ascii="Calibri" w:eastAsia="Calibri" w:hAnsi="Calibri" w:cs="Calibri"/>
          <w:sz w:val="22"/>
          <w:szCs w:val="22"/>
          <w:lang w:val="en-GB"/>
        </w:rPr>
      </w:pPr>
      <w:r w:rsidRPr="000729CF">
        <w:rPr>
          <w:rFonts w:ascii="Calibri" w:eastAsia="Calibri" w:hAnsi="Calibri" w:cs="Calibri"/>
          <w:sz w:val="22"/>
          <w:szCs w:val="22"/>
          <w:lang w:val="en-GB"/>
        </w:rPr>
        <w:t>Investing in services to modernise them for the future and ensuring we continue delivering the best for our customers whilst reducing running costs and lowering our carbon footprint.</w:t>
      </w:r>
    </w:p>
    <w:p w14:paraId="0AD92F4A" w14:textId="77777777" w:rsidR="000729CF" w:rsidRPr="000729CF" w:rsidRDefault="000729CF" w:rsidP="00CE70A3">
      <w:pPr>
        <w:numPr>
          <w:ilvl w:val="0"/>
          <w:numId w:val="54"/>
        </w:numPr>
        <w:spacing w:before="120" w:after="120" w:line="259" w:lineRule="auto"/>
        <w:ind w:left="567" w:hanging="283"/>
        <w:contextualSpacing/>
        <w:rPr>
          <w:rFonts w:ascii="Calibri" w:eastAsia="Calibri" w:hAnsi="Calibri" w:cs="Calibri"/>
          <w:sz w:val="22"/>
          <w:szCs w:val="22"/>
          <w:lang w:val="en-GB"/>
        </w:rPr>
      </w:pPr>
      <w:r w:rsidRPr="000729CF">
        <w:rPr>
          <w:rFonts w:ascii="Calibri" w:eastAsia="Calibri" w:hAnsi="Calibri" w:cs="Calibri"/>
          <w:sz w:val="22"/>
          <w:szCs w:val="22"/>
          <w:lang w:val="en-GB"/>
        </w:rPr>
        <w:t xml:space="preserve">Adopting a more entrepreneurial approach to secure new sources of funding and maximise existing income streams. </w:t>
      </w:r>
    </w:p>
    <w:p w14:paraId="48F7D258" w14:textId="77777777" w:rsidR="000729CF" w:rsidRPr="000729CF" w:rsidRDefault="000729CF" w:rsidP="00CE70A3">
      <w:pPr>
        <w:numPr>
          <w:ilvl w:val="0"/>
          <w:numId w:val="54"/>
        </w:numPr>
        <w:spacing w:before="120" w:after="120" w:line="259" w:lineRule="auto"/>
        <w:ind w:left="567" w:hanging="283"/>
        <w:contextualSpacing/>
        <w:rPr>
          <w:rFonts w:ascii="Calibri" w:eastAsia="Calibri" w:hAnsi="Calibri" w:cs="Calibri"/>
          <w:sz w:val="22"/>
          <w:szCs w:val="22"/>
          <w:lang w:val="en-GB"/>
        </w:rPr>
      </w:pPr>
      <w:r w:rsidRPr="000729CF">
        <w:rPr>
          <w:rFonts w:ascii="Calibri" w:eastAsia="Calibri" w:hAnsi="Calibri" w:cs="Calibri"/>
          <w:sz w:val="22"/>
          <w:szCs w:val="22"/>
          <w:lang w:val="en-GB"/>
        </w:rPr>
        <w:t>Making the best use of council assets, including disposing of premises where this is a viable option.</w:t>
      </w:r>
    </w:p>
    <w:p w14:paraId="664D571A" w14:textId="77777777" w:rsidR="000729CF" w:rsidRPr="000729CF" w:rsidRDefault="000729CF" w:rsidP="00CE70A3">
      <w:pPr>
        <w:numPr>
          <w:ilvl w:val="0"/>
          <w:numId w:val="54"/>
        </w:numPr>
        <w:spacing w:before="120" w:after="120" w:line="259" w:lineRule="auto"/>
        <w:ind w:left="567" w:hanging="283"/>
        <w:contextualSpacing/>
        <w:rPr>
          <w:rFonts w:ascii="Calibri" w:eastAsia="Calibri" w:hAnsi="Calibri" w:cs="Calibri"/>
          <w:sz w:val="22"/>
          <w:szCs w:val="22"/>
          <w:lang w:val="en-GB"/>
        </w:rPr>
      </w:pPr>
      <w:r w:rsidRPr="000729CF">
        <w:rPr>
          <w:rFonts w:ascii="Calibri" w:eastAsia="Calibri" w:hAnsi="Calibri" w:cs="Calibri"/>
          <w:sz w:val="22"/>
          <w:szCs w:val="22"/>
          <w:lang w:val="en-GB"/>
        </w:rPr>
        <w:t>Reviewing standards of service and exploring new partnerships or contractual arrangements to support service delivery, as well as opportunities to have community-le services.</w:t>
      </w:r>
    </w:p>
    <w:p w14:paraId="4013782E" w14:textId="77777777" w:rsidR="000729CF" w:rsidRPr="000729CF" w:rsidRDefault="000729CF" w:rsidP="00CE70A3">
      <w:pPr>
        <w:numPr>
          <w:ilvl w:val="0"/>
          <w:numId w:val="54"/>
        </w:numPr>
        <w:spacing w:before="120" w:after="120" w:line="259" w:lineRule="auto"/>
        <w:ind w:left="567" w:hanging="283"/>
        <w:contextualSpacing/>
        <w:rPr>
          <w:rFonts w:ascii="Calibri" w:eastAsia="Calibri" w:hAnsi="Calibri" w:cs="Calibri"/>
          <w:sz w:val="22"/>
          <w:szCs w:val="22"/>
          <w:lang w:val="en-GB"/>
        </w:rPr>
      </w:pPr>
      <w:r w:rsidRPr="000729CF">
        <w:rPr>
          <w:rFonts w:ascii="Calibri" w:eastAsia="Calibri" w:hAnsi="Calibri" w:cs="Calibri"/>
          <w:sz w:val="22"/>
          <w:szCs w:val="22"/>
          <w:lang w:val="en-GB"/>
        </w:rPr>
        <w:t>Supporting staff and their professional development to ensure the directorate has a diverse, resilient workforce and one with the relevant skills, knowledge and expertise to deliver its core objectives.</w:t>
      </w:r>
    </w:p>
    <w:p w14:paraId="45F66097" w14:textId="77777777" w:rsidR="000729CF" w:rsidRPr="000729CF" w:rsidRDefault="000729CF" w:rsidP="000729CF">
      <w:pPr>
        <w:spacing w:before="120" w:after="200" w:line="276" w:lineRule="auto"/>
        <w:rPr>
          <w:rFonts w:ascii="Calibri" w:eastAsia="Calibri" w:hAnsi="Calibri" w:cs="Calibri"/>
          <w:b/>
          <w:bCs/>
          <w:sz w:val="22"/>
          <w:szCs w:val="22"/>
          <w:lang w:val="en-GB"/>
        </w:rPr>
      </w:pPr>
    </w:p>
    <w:p w14:paraId="17E45F91" w14:textId="77777777" w:rsidR="000729CF" w:rsidRPr="000729CF" w:rsidRDefault="000729CF" w:rsidP="000729CF">
      <w:pPr>
        <w:spacing w:before="120" w:after="200" w:line="276" w:lineRule="auto"/>
        <w:rPr>
          <w:rFonts w:ascii="Calibri" w:eastAsia="Calibri" w:hAnsi="Calibri" w:cs="Calibri"/>
          <w:b/>
          <w:bCs/>
          <w:sz w:val="22"/>
          <w:szCs w:val="22"/>
          <w:lang w:val="en-GB"/>
        </w:rPr>
      </w:pPr>
      <w:r w:rsidRPr="000729CF">
        <w:rPr>
          <w:rFonts w:ascii="Calibri" w:eastAsia="Calibri" w:hAnsi="Calibri" w:cs="Calibri"/>
          <w:b/>
          <w:bCs/>
          <w:sz w:val="22"/>
          <w:szCs w:val="22"/>
          <w:lang w:val="en-GB"/>
        </w:rPr>
        <w:t>Areas of Focus for Savings</w:t>
      </w:r>
    </w:p>
    <w:p w14:paraId="2F3307EE" w14:textId="77777777" w:rsidR="000729CF" w:rsidRPr="000729CF" w:rsidRDefault="000729CF" w:rsidP="000729CF">
      <w:pPr>
        <w:contextualSpacing/>
        <w:rPr>
          <w:rFonts w:ascii="Calibri" w:hAnsi="Calibri" w:cs="Calibri"/>
          <w:sz w:val="22"/>
          <w:szCs w:val="22"/>
          <w:lang w:val="en-GB" w:eastAsia="en-GB"/>
        </w:rPr>
      </w:pPr>
      <w:r w:rsidRPr="000729CF">
        <w:rPr>
          <w:rFonts w:ascii="Calibri" w:hAnsi="Calibri" w:cs="Calibri"/>
          <w:sz w:val="22"/>
          <w:szCs w:val="22"/>
          <w:lang w:val="en-GB" w:eastAsia="en-GB"/>
        </w:rPr>
        <w:t xml:space="preserve">Savings for the directorate will be achieved through a mixture of commercial approaches to generating income, service redesigns and efficiencies, and changes in contractual arrangements. </w:t>
      </w:r>
    </w:p>
    <w:p w14:paraId="53C40F86" w14:textId="77777777" w:rsidR="000729CF" w:rsidRPr="000729CF" w:rsidRDefault="000729CF" w:rsidP="000729CF">
      <w:pPr>
        <w:contextualSpacing/>
        <w:rPr>
          <w:rFonts w:ascii="Calibri" w:hAnsi="Calibri" w:cs="Calibri"/>
          <w:sz w:val="22"/>
          <w:szCs w:val="22"/>
          <w:lang w:val="en-GB" w:eastAsia="en-GB"/>
        </w:rPr>
      </w:pPr>
    </w:p>
    <w:p w14:paraId="23946E42" w14:textId="77777777" w:rsidR="000729CF" w:rsidRPr="000729CF" w:rsidRDefault="000729CF" w:rsidP="000729CF">
      <w:pPr>
        <w:spacing w:before="20" w:after="20"/>
        <w:rPr>
          <w:rFonts w:ascii="Calibri" w:hAnsi="Calibri" w:cs="Calibri"/>
          <w:sz w:val="22"/>
          <w:szCs w:val="22"/>
          <w:lang w:val="en-GB" w:eastAsia="en-GB"/>
        </w:rPr>
      </w:pPr>
      <w:r w:rsidRPr="000729CF">
        <w:rPr>
          <w:rFonts w:ascii="Calibri" w:hAnsi="Calibri" w:cs="Calibri"/>
          <w:sz w:val="22"/>
          <w:szCs w:val="22"/>
          <w:lang w:val="en-GB" w:eastAsia="en-GB"/>
        </w:rPr>
        <w:t xml:space="preserve">Redesigning and increasing efficiencies in key business areas, including </w:t>
      </w:r>
      <w:proofErr w:type="spellStart"/>
      <w:r w:rsidRPr="000729CF">
        <w:rPr>
          <w:rFonts w:ascii="Calibri" w:hAnsi="Calibri" w:cs="Calibri"/>
          <w:sz w:val="22"/>
          <w:szCs w:val="22"/>
          <w:lang w:val="en-GB" w:eastAsia="en-GB"/>
        </w:rPr>
        <w:t>cityclean</w:t>
      </w:r>
      <w:proofErr w:type="spellEnd"/>
      <w:r w:rsidRPr="000729CF">
        <w:rPr>
          <w:rFonts w:ascii="Calibri" w:hAnsi="Calibri" w:cs="Calibri"/>
          <w:sz w:val="22"/>
          <w:szCs w:val="22"/>
          <w:lang w:val="en-GB" w:eastAsia="en-GB"/>
        </w:rPr>
        <w:t>, parking, planning and sustainability.  This involves reorganising staffing structures to streamline decision making. Further savings from the removal of vacant posts across transport, city parks, and property and design will enable these service areas to continue operating within a reduced budget, whilst meeting council priorities.</w:t>
      </w:r>
    </w:p>
    <w:p w14:paraId="1056A702" w14:textId="77777777" w:rsidR="000729CF" w:rsidRPr="000729CF" w:rsidRDefault="000729CF" w:rsidP="000729CF">
      <w:pPr>
        <w:spacing w:before="20" w:after="20"/>
        <w:rPr>
          <w:rFonts w:ascii="Calibri" w:hAnsi="Calibri" w:cs="Calibri"/>
          <w:sz w:val="22"/>
          <w:szCs w:val="22"/>
          <w:lang w:val="en-GB" w:eastAsia="en-GB"/>
        </w:rPr>
      </w:pPr>
    </w:p>
    <w:p w14:paraId="6751A0B6" w14:textId="77777777" w:rsidR="000729CF" w:rsidRPr="000729CF" w:rsidRDefault="000729CF" w:rsidP="000729CF">
      <w:pPr>
        <w:contextualSpacing/>
        <w:rPr>
          <w:rFonts w:ascii="Calibri" w:hAnsi="Calibri" w:cs="Calibri"/>
          <w:sz w:val="22"/>
          <w:szCs w:val="22"/>
          <w:lang w:val="en-GB" w:eastAsia="en-GB"/>
        </w:rPr>
      </w:pPr>
      <w:r w:rsidRPr="000729CF">
        <w:rPr>
          <w:rFonts w:ascii="Calibri" w:hAnsi="Calibri" w:cs="Calibri"/>
          <w:sz w:val="22"/>
          <w:szCs w:val="22"/>
          <w:lang w:val="en-GB" w:eastAsia="en-GB"/>
        </w:rPr>
        <w:t>An uplift in parking fees and charges will help to maximise income whilst</w:t>
      </w:r>
      <w:r w:rsidRPr="000729CF">
        <w:rPr>
          <w:rFonts w:ascii="Calibri" w:eastAsia="Calibri" w:hAnsi="Calibri" w:cs="Calibri"/>
          <w:color w:val="000000"/>
          <w:sz w:val="22"/>
          <w:szCs w:val="22"/>
          <w:shd w:val="clear" w:color="auto" w:fill="FFFFFF"/>
          <w:lang w:val="en-GB"/>
        </w:rPr>
        <w:t xml:space="preserve"> meeting traffic management objectives, including improving air quality, reducing demand and congestion, as well as achieving a higher turnover of spaces and supporting the local economy.</w:t>
      </w:r>
      <w:r w:rsidRPr="000729CF">
        <w:rPr>
          <w:rFonts w:ascii="Calibri" w:hAnsi="Calibri" w:cs="Calibri"/>
          <w:sz w:val="22"/>
          <w:szCs w:val="22"/>
          <w:lang w:val="en-GB" w:eastAsia="en-GB"/>
        </w:rPr>
        <w:t xml:space="preserve"> Reviewing charges for traded waste services alongside marketing and extending these will also generate further income.</w:t>
      </w:r>
    </w:p>
    <w:p w14:paraId="418F4DAB" w14:textId="77777777" w:rsidR="000729CF" w:rsidRPr="000729CF" w:rsidRDefault="000729CF" w:rsidP="000729CF">
      <w:pPr>
        <w:spacing w:before="20" w:after="20"/>
        <w:rPr>
          <w:rFonts w:ascii="Calibri" w:hAnsi="Calibri" w:cs="Calibri"/>
          <w:sz w:val="22"/>
          <w:szCs w:val="22"/>
          <w:lang w:val="en-GB" w:eastAsia="en-GB"/>
        </w:rPr>
      </w:pPr>
    </w:p>
    <w:p w14:paraId="31A37403" w14:textId="77777777" w:rsidR="000729CF" w:rsidRPr="000729CF" w:rsidRDefault="000729CF" w:rsidP="000729CF">
      <w:pPr>
        <w:spacing w:before="20" w:after="20"/>
        <w:rPr>
          <w:rFonts w:ascii="Calibri" w:hAnsi="Calibri" w:cs="Calibri"/>
          <w:sz w:val="22"/>
          <w:szCs w:val="22"/>
          <w:lang w:val="en-GB" w:eastAsia="en-GB"/>
        </w:rPr>
      </w:pPr>
      <w:r w:rsidRPr="000729CF">
        <w:rPr>
          <w:rFonts w:ascii="Calibri" w:hAnsi="Calibri" w:cs="Calibri"/>
          <w:sz w:val="22"/>
          <w:szCs w:val="22"/>
          <w:lang w:val="en-GB" w:eastAsia="en-GB"/>
        </w:rPr>
        <w:t xml:space="preserve">Taking a more entrepreneurial approach to leisure and tourism facilities and the sale of event/ commercial activity space in the city will increase revenues. Coupled with a review of the council’s agreements with its cultural partners and options to generate income from cultural consultancy in the planning process, income will be bolstered. </w:t>
      </w:r>
    </w:p>
    <w:p w14:paraId="66A6573A" w14:textId="77777777" w:rsidR="000729CF" w:rsidRPr="000729CF" w:rsidRDefault="000729CF" w:rsidP="000729CF">
      <w:pPr>
        <w:spacing w:before="20" w:after="20"/>
        <w:rPr>
          <w:rFonts w:ascii="Calibri" w:hAnsi="Calibri" w:cs="Calibri"/>
          <w:sz w:val="22"/>
          <w:szCs w:val="22"/>
          <w:lang w:val="en-GB" w:eastAsia="en-GB"/>
        </w:rPr>
      </w:pPr>
    </w:p>
    <w:p w14:paraId="166D387F" w14:textId="77777777" w:rsidR="000729CF" w:rsidRPr="000729CF" w:rsidRDefault="000729CF" w:rsidP="000729CF">
      <w:pPr>
        <w:spacing w:before="20" w:after="20"/>
        <w:rPr>
          <w:rFonts w:ascii="Calibri" w:hAnsi="Calibri" w:cs="Calibri"/>
          <w:sz w:val="22"/>
          <w:szCs w:val="22"/>
          <w:lang w:val="en-GB" w:eastAsia="en-GB"/>
        </w:rPr>
      </w:pPr>
      <w:r w:rsidRPr="000729CF">
        <w:rPr>
          <w:rFonts w:ascii="Calibri" w:hAnsi="Calibri" w:cs="Calibri"/>
          <w:sz w:val="22"/>
          <w:szCs w:val="22"/>
          <w:lang w:val="en-GB" w:eastAsia="en-GB"/>
        </w:rPr>
        <w:t>Savings will also be made from ending services that are no longer delivering a sufficient return and looking at opportunities to transfer assets out of the council to partners or communities.</w:t>
      </w:r>
    </w:p>
    <w:p w14:paraId="771D0D3E" w14:textId="77777777" w:rsidR="000729CF" w:rsidRPr="000729CF" w:rsidRDefault="000729CF" w:rsidP="000729CF">
      <w:pPr>
        <w:contextualSpacing/>
        <w:rPr>
          <w:rFonts w:ascii="Calibri" w:hAnsi="Calibri" w:cs="Calibri"/>
          <w:sz w:val="22"/>
          <w:szCs w:val="22"/>
          <w:lang w:val="en-GB" w:eastAsia="en-GB"/>
        </w:rPr>
      </w:pPr>
    </w:p>
    <w:p w14:paraId="3091EAB3"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rPr>
        <w:t xml:space="preserve">A corporate disposal programme of operational and commercial assets will also support the budget strategy. </w:t>
      </w:r>
      <w:r w:rsidRPr="000729CF">
        <w:rPr>
          <w:rFonts w:ascii="Calibri" w:hAnsi="Calibri" w:cs="Calibri"/>
          <w:sz w:val="22"/>
          <w:szCs w:val="22"/>
          <w:lang w:val="en-GB" w:eastAsia="en-GB"/>
        </w:rPr>
        <w:t>Reviewing the council’s operational assets will continue to support changes in service delivery across the council, reducing spend on running costs, delivering potential capital receipts through the sale of vacant properties, and rationalising the council’s corporate offices. A review of commercial assets in conjunction with the One Public Estate agenda, working with other public sector organisations, will also release sites for regeneration or comprehensive redevelopment.</w:t>
      </w:r>
    </w:p>
    <w:p w14:paraId="68E5B382" w14:textId="77777777" w:rsidR="000729CF" w:rsidRPr="000729CF" w:rsidRDefault="000729CF" w:rsidP="000729CF">
      <w:pPr>
        <w:contextualSpacing/>
        <w:rPr>
          <w:rFonts w:ascii="Calibri" w:hAnsi="Calibri" w:cs="Calibri"/>
          <w:sz w:val="22"/>
          <w:szCs w:val="22"/>
          <w:lang w:val="en-GB" w:eastAsia="en-GB"/>
        </w:rPr>
      </w:pPr>
    </w:p>
    <w:p w14:paraId="4F24844D" w14:textId="77777777" w:rsidR="000729CF" w:rsidRPr="000729CF" w:rsidRDefault="000729CF" w:rsidP="000729CF">
      <w:pPr>
        <w:contextualSpacing/>
        <w:rPr>
          <w:rFonts w:ascii="Calibri" w:hAnsi="Calibri" w:cs="Calibri"/>
          <w:sz w:val="22"/>
          <w:szCs w:val="22"/>
          <w:lang w:val="en-GB" w:eastAsia="en-GB"/>
        </w:rPr>
      </w:pPr>
      <w:r w:rsidRPr="000729CF">
        <w:rPr>
          <w:rFonts w:ascii="Calibri" w:hAnsi="Calibri" w:cs="Calibri"/>
          <w:sz w:val="22"/>
          <w:szCs w:val="22"/>
          <w:lang w:val="en-GB" w:eastAsia="en-GB"/>
        </w:rPr>
        <w:t>As a result of decommitted and delayed spend on capital projects the council’s capital programme will diminish, and budget savings on consultancy and professional fees will follow.</w:t>
      </w:r>
    </w:p>
    <w:p w14:paraId="46F46466" w14:textId="77777777" w:rsidR="000729CF" w:rsidRPr="000729CF" w:rsidRDefault="000729CF" w:rsidP="000729CF">
      <w:pPr>
        <w:contextualSpacing/>
        <w:rPr>
          <w:rFonts w:ascii="Calibri" w:hAnsi="Calibri" w:cs="Calibri"/>
          <w:sz w:val="22"/>
          <w:szCs w:val="22"/>
          <w:lang w:val="en-GB" w:eastAsia="en-GB"/>
        </w:rPr>
      </w:pPr>
    </w:p>
    <w:p w14:paraId="28BC8282" w14:textId="77777777" w:rsidR="000729CF" w:rsidRPr="000729CF" w:rsidRDefault="000729CF" w:rsidP="000729CF">
      <w:pPr>
        <w:spacing w:before="120" w:after="200" w:line="276" w:lineRule="auto"/>
        <w:rPr>
          <w:rFonts w:ascii="Calibri" w:eastAsia="Calibri" w:hAnsi="Calibri" w:cs="Calibri"/>
          <w:b/>
          <w:bCs/>
          <w:sz w:val="22"/>
          <w:szCs w:val="22"/>
          <w:lang w:val="en-GB"/>
        </w:rPr>
      </w:pPr>
      <w:r w:rsidRPr="000729CF">
        <w:rPr>
          <w:rFonts w:ascii="Calibri" w:eastAsia="Calibri" w:hAnsi="Calibri" w:cs="Calibri"/>
          <w:b/>
          <w:bCs/>
          <w:sz w:val="22"/>
          <w:szCs w:val="22"/>
          <w:lang w:val="en-GB"/>
        </w:rPr>
        <w:t>Areas for investment</w:t>
      </w:r>
    </w:p>
    <w:p w14:paraId="62E78CD1" w14:textId="77777777" w:rsidR="000729CF" w:rsidRPr="000729CF" w:rsidRDefault="000729CF" w:rsidP="00CE70A3">
      <w:pPr>
        <w:numPr>
          <w:ilvl w:val="0"/>
          <w:numId w:val="39"/>
        </w:numPr>
        <w:spacing w:after="160" w:line="259" w:lineRule="auto"/>
        <w:ind w:left="426" w:hanging="284"/>
        <w:contextualSpacing/>
        <w:rPr>
          <w:rFonts w:ascii="Calibri" w:hAnsi="Calibri" w:cs="Calibri"/>
          <w:sz w:val="22"/>
          <w:szCs w:val="22"/>
          <w:lang w:val="en-GB" w:eastAsia="en-GB"/>
        </w:rPr>
      </w:pPr>
      <w:r w:rsidRPr="000729CF">
        <w:rPr>
          <w:rFonts w:ascii="Calibri" w:hAnsi="Calibri" w:cs="Calibri"/>
          <w:sz w:val="22"/>
          <w:szCs w:val="22"/>
          <w:lang w:val="en-GB" w:eastAsia="en-GB"/>
        </w:rPr>
        <w:t>Long term capital investment to renew and strengthen the infrastructure of the city will continue, to ensure effective management of the highway network and improve air quality, along with the delivery of major regeneration projects to bring about quality new affordable housing and business space whilst generating income from land and property assets and increasing business rate and council tax returns.</w:t>
      </w:r>
    </w:p>
    <w:p w14:paraId="681214BA" w14:textId="77777777" w:rsidR="000729CF" w:rsidRPr="000729CF" w:rsidRDefault="000729CF" w:rsidP="00CE70A3">
      <w:pPr>
        <w:numPr>
          <w:ilvl w:val="0"/>
          <w:numId w:val="39"/>
        </w:numPr>
        <w:spacing w:after="160" w:line="259" w:lineRule="auto"/>
        <w:ind w:left="426" w:hanging="284"/>
        <w:contextualSpacing/>
        <w:rPr>
          <w:rFonts w:ascii="Calibri" w:hAnsi="Calibri" w:cs="Calibri"/>
          <w:sz w:val="22"/>
          <w:szCs w:val="22"/>
          <w:lang w:val="en-GB" w:eastAsia="en-GB"/>
        </w:rPr>
      </w:pPr>
      <w:r w:rsidRPr="000729CF">
        <w:rPr>
          <w:rFonts w:ascii="Calibri" w:hAnsi="Calibri" w:cs="Calibri"/>
          <w:sz w:val="22"/>
          <w:szCs w:val="22"/>
          <w:lang w:val="en-GB" w:eastAsia="en-GB"/>
        </w:rPr>
        <w:t>Continued investment in the development of new Council housing through the New Homes for Neighbourhood Programme and new living wage rent housing through the Homes for Brighton &amp; Hove joint venture.</w:t>
      </w:r>
    </w:p>
    <w:p w14:paraId="18B20581" w14:textId="77777777" w:rsidR="000729CF" w:rsidRPr="000729CF" w:rsidRDefault="000729CF" w:rsidP="00CE70A3">
      <w:pPr>
        <w:numPr>
          <w:ilvl w:val="0"/>
          <w:numId w:val="39"/>
        </w:numPr>
        <w:spacing w:after="160" w:line="259" w:lineRule="auto"/>
        <w:ind w:left="426" w:hanging="284"/>
        <w:contextualSpacing/>
        <w:rPr>
          <w:rFonts w:ascii="Calibri" w:hAnsi="Calibri" w:cs="Calibri"/>
          <w:sz w:val="22"/>
          <w:szCs w:val="22"/>
          <w:lang w:val="en-GB" w:eastAsia="en-GB"/>
        </w:rPr>
      </w:pPr>
      <w:r w:rsidRPr="000729CF">
        <w:rPr>
          <w:rFonts w:ascii="Calibri" w:hAnsi="Calibri" w:cs="Calibri"/>
          <w:sz w:val="22"/>
          <w:szCs w:val="22"/>
          <w:lang w:val="en-GB" w:eastAsia="en-GB"/>
        </w:rPr>
        <w:t>Delivering major regeneration programmes to generate further revenues each year in new council tax and business rates.</w:t>
      </w:r>
    </w:p>
    <w:p w14:paraId="0089E8DA" w14:textId="77777777" w:rsidR="000729CF" w:rsidRPr="000729CF" w:rsidRDefault="000729CF" w:rsidP="00CE70A3">
      <w:pPr>
        <w:numPr>
          <w:ilvl w:val="0"/>
          <w:numId w:val="39"/>
        </w:numPr>
        <w:spacing w:after="160" w:line="259" w:lineRule="auto"/>
        <w:ind w:left="426" w:hanging="284"/>
        <w:contextualSpacing/>
        <w:rPr>
          <w:rFonts w:ascii="Calibri" w:hAnsi="Calibri" w:cs="Calibri"/>
          <w:sz w:val="22"/>
          <w:szCs w:val="22"/>
          <w:lang w:val="en-GB" w:eastAsia="en-GB"/>
        </w:rPr>
      </w:pPr>
      <w:r w:rsidRPr="000729CF">
        <w:rPr>
          <w:rFonts w:ascii="Calibri" w:hAnsi="Calibri" w:cs="Calibri"/>
          <w:sz w:val="22"/>
          <w:szCs w:val="22"/>
          <w:lang w:val="en-GB" w:eastAsia="en-GB"/>
        </w:rPr>
        <w:t>Investment in Seafront Infrastructure, including £12m investment in the eastern seafront at Black Rock and progressing the restoration of Madeira Terraces.</w:t>
      </w:r>
    </w:p>
    <w:p w14:paraId="45B6B582" w14:textId="77777777" w:rsidR="000729CF" w:rsidRPr="000729CF" w:rsidRDefault="000729CF" w:rsidP="00CE70A3">
      <w:pPr>
        <w:numPr>
          <w:ilvl w:val="0"/>
          <w:numId w:val="39"/>
        </w:numPr>
        <w:spacing w:after="160" w:line="259" w:lineRule="auto"/>
        <w:ind w:left="426" w:hanging="284"/>
        <w:contextualSpacing/>
        <w:rPr>
          <w:rFonts w:ascii="Calibri" w:hAnsi="Calibri" w:cs="Calibri"/>
          <w:sz w:val="22"/>
          <w:szCs w:val="22"/>
          <w:lang w:val="en-GB" w:eastAsia="en-GB"/>
        </w:rPr>
      </w:pPr>
      <w:r w:rsidRPr="000729CF">
        <w:rPr>
          <w:rFonts w:ascii="Calibri" w:hAnsi="Calibri" w:cs="Calibri"/>
          <w:sz w:val="22"/>
          <w:szCs w:val="22"/>
          <w:lang w:val="en-GB" w:eastAsia="en-GB"/>
        </w:rPr>
        <w:t>Implementation of the new 10-year Sports Facilities Investment Plan, including progressing the delivery of a new Leisure Centre to replace the King Alfred.</w:t>
      </w:r>
    </w:p>
    <w:p w14:paraId="0D5E0C8E" w14:textId="77777777" w:rsidR="000729CF" w:rsidRPr="000729CF" w:rsidRDefault="000729CF" w:rsidP="00CE70A3">
      <w:pPr>
        <w:numPr>
          <w:ilvl w:val="0"/>
          <w:numId w:val="39"/>
        </w:numPr>
        <w:spacing w:after="160" w:line="259" w:lineRule="auto"/>
        <w:ind w:left="426" w:hanging="284"/>
        <w:contextualSpacing/>
        <w:rPr>
          <w:rFonts w:ascii="Calibri" w:hAnsi="Calibri" w:cs="Calibri"/>
          <w:sz w:val="22"/>
          <w:szCs w:val="22"/>
          <w:lang w:val="en-GB" w:eastAsia="en-GB"/>
        </w:rPr>
      </w:pPr>
      <w:r w:rsidRPr="000729CF">
        <w:rPr>
          <w:rFonts w:ascii="Calibri" w:hAnsi="Calibri" w:cs="Calibri"/>
          <w:color w:val="000000"/>
          <w:sz w:val="22"/>
          <w:szCs w:val="22"/>
          <w:shd w:val="clear" w:color="auto" w:fill="FFFFFF"/>
          <w:lang w:val="en-GB" w:eastAsia="en-GB"/>
        </w:rPr>
        <w:t>Delivery of £1.76m Shared Prosperity Funding to eligible local businesses or communities to improve pride in place and level up people's life chances.</w:t>
      </w:r>
    </w:p>
    <w:p w14:paraId="6C1457BC" w14:textId="77777777" w:rsidR="000729CF" w:rsidRPr="000729CF" w:rsidRDefault="000729CF" w:rsidP="00CE70A3">
      <w:pPr>
        <w:numPr>
          <w:ilvl w:val="0"/>
          <w:numId w:val="39"/>
        </w:numPr>
        <w:spacing w:after="160" w:line="259" w:lineRule="auto"/>
        <w:ind w:left="426" w:hanging="284"/>
        <w:contextualSpacing/>
        <w:rPr>
          <w:rFonts w:ascii="Calibri" w:hAnsi="Calibri" w:cs="Calibri"/>
          <w:sz w:val="22"/>
          <w:szCs w:val="22"/>
          <w:lang w:val="en-GB" w:eastAsia="en-GB"/>
        </w:rPr>
      </w:pPr>
      <w:r w:rsidRPr="000729CF">
        <w:rPr>
          <w:rFonts w:ascii="Calibri" w:hAnsi="Calibri" w:cs="Calibri"/>
          <w:color w:val="000000"/>
          <w:sz w:val="22"/>
          <w:szCs w:val="22"/>
          <w:shd w:val="clear" w:color="auto" w:fill="FFFFFF"/>
          <w:lang w:val="en-GB" w:eastAsia="en-GB"/>
        </w:rPr>
        <w:t>Implementing £9.5m of government Levelling Up funding for the £13 million regeneration of Kingsway to the Sea. </w:t>
      </w:r>
    </w:p>
    <w:p w14:paraId="6376B152" w14:textId="77777777" w:rsidR="000729CF" w:rsidRPr="000729CF" w:rsidRDefault="000729CF" w:rsidP="00CE70A3">
      <w:pPr>
        <w:numPr>
          <w:ilvl w:val="0"/>
          <w:numId w:val="39"/>
        </w:numPr>
        <w:spacing w:after="160" w:line="259" w:lineRule="auto"/>
        <w:ind w:left="426" w:hanging="284"/>
        <w:contextualSpacing/>
        <w:rPr>
          <w:rFonts w:ascii="Calibri" w:hAnsi="Calibri" w:cs="Calibri"/>
          <w:sz w:val="22"/>
          <w:szCs w:val="22"/>
          <w:lang w:val="en-GB" w:eastAsia="en-GB"/>
        </w:rPr>
      </w:pPr>
      <w:r w:rsidRPr="000729CF">
        <w:rPr>
          <w:rFonts w:ascii="Calibri" w:hAnsi="Calibri" w:cs="Calibri"/>
          <w:sz w:val="22"/>
          <w:szCs w:val="22"/>
          <w:lang w:val="en-GB" w:eastAsia="en-GB"/>
        </w:rPr>
        <w:t>Implementation of the City Downland Estate Plan with over 60 actions prioritised into a short-, medium- and long-term programme of projects, using natural capital and generating income.</w:t>
      </w:r>
    </w:p>
    <w:p w14:paraId="5B7D7187" w14:textId="77777777" w:rsidR="000729CF" w:rsidRPr="000729CF" w:rsidRDefault="000729CF" w:rsidP="00CE70A3">
      <w:pPr>
        <w:numPr>
          <w:ilvl w:val="0"/>
          <w:numId w:val="39"/>
        </w:numPr>
        <w:spacing w:after="160" w:line="259" w:lineRule="auto"/>
        <w:ind w:left="426" w:hanging="284"/>
        <w:contextualSpacing/>
        <w:rPr>
          <w:rFonts w:ascii="Calibri" w:hAnsi="Calibri" w:cs="Calibri"/>
          <w:sz w:val="22"/>
          <w:szCs w:val="22"/>
          <w:lang w:val="en-GB" w:eastAsia="en-GB"/>
        </w:rPr>
      </w:pPr>
      <w:r w:rsidRPr="000729CF">
        <w:rPr>
          <w:rFonts w:ascii="Calibri" w:hAnsi="Calibri" w:cs="Calibri"/>
          <w:sz w:val="22"/>
          <w:szCs w:val="22"/>
          <w:lang w:val="en-GB" w:eastAsia="en-GB"/>
        </w:rPr>
        <w:t>Continued investment in the city’s cultural assets.</w:t>
      </w:r>
    </w:p>
    <w:p w14:paraId="7679209B" w14:textId="77777777" w:rsidR="000729CF" w:rsidRPr="000729CF" w:rsidRDefault="000729CF" w:rsidP="00CE70A3">
      <w:pPr>
        <w:numPr>
          <w:ilvl w:val="0"/>
          <w:numId w:val="39"/>
        </w:numPr>
        <w:spacing w:after="160" w:line="259" w:lineRule="auto"/>
        <w:ind w:left="426" w:hanging="284"/>
        <w:contextualSpacing/>
        <w:rPr>
          <w:rFonts w:ascii="Calibri" w:hAnsi="Calibri" w:cs="Calibri"/>
          <w:sz w:val="22"/>
          <w:szCs w:val="22"/>
          <w:lang w:val="en-GB" w:eastAsia="en-GB"/>
        </w:rPr>
      </w:pPr>
      <w:r w:rsidRPr="000729CF">
        <w:rPr>
          <w:rFonts w:ascii="Calibri" w:hAnsi="Calibri" w:cs="Calibri"/>
          <w:color w:val="000000"/>
          <w:sz w:val="22"/>
          <w:szCs w:val="22"/>
          <w:lang w:val="en-GB" w:eastAsia="en-GB"/>
        </w:rPr>
        <w:t>Delivery of the Royal Pavilion Estate Masterplan and £35m capital investment programme. </w:t>
      </w:r>
    </w:p>
    <w:p w14:paraId="1FE4CEF9" w14:textId="77777777" w:rsidR="000729CF" w:rsidRPr="000729CF" w:rsidRDefault="000729CF" w:rsidP="00CE70A3">
      <w:pPr>
        <w:numPr>
          <w:ilvl w:val="0"/>
          <w:numId w:val="39"/>
        </w:numPr>
        <w:spacing w:after="160" w:line="259" w:lineRule="auto"/>
        <w:ind w:left="426" w:hanging="284"/>
        <w:contextualSpacing/>
        <w:rPr>
          <w:rFonts w:ascii="Calibri" w:hAnsi="Calibri" w:cs="Calibri"/>
          <w:sz w:val="22"/>
          <w:szCs w:val="22"/>
          <w:lang w:val="en-GB" w:eastAsia="en-GB"/>
        </w:rPr>
      </w:pPr>
      <w:r w:rsidRPr="000729CF">
        <w:rPr>
          <w:rFonts w:ascii="Calibri" w:hAnsi="Calibri" w:cs="Calibri"/>
          <w:sz w:val="22"/>
          <w:szCs w:val="22"/>
          <w:lang w:val="en-GB" w:eastAsia="en-GB"/>
        </w:rPr>
        <w:t>Delivery of in the Local Transport Plan capital programme to deliver integrated transport projects and a maintenance programme of carriage and footway resurfacing works on the transport network.</w:t>
      </w:r>
    </w:p>
    <w:p w14:paraId="27E4F941" w14:textId="77777777" w:rsidR="000729CF" w:rsidRPr="000729CF" w:rsidRDefault="000729CF" w:rsidP="00CE70A3">
      <w:pPr>
        <w:numPr>
          <w:ilvl w:val="0"/>
          <w:numId w:val="39"/>
        </w:numPr>
        <w:spacing w:after="160" w:line="259" w:lineRule="auto"/>
        <w:ind w:left="426" w:hanging="284"/>
        <w:contextualSpacing/>
        <w:rPr>
          <w:rFonts w:ascii="Calibri" w:hAnsi="Calibri" w:cs="Calibri"/>
          <w:sz w:val="22"/>
          <w:szCs w:val="22"/>
          <w:lang w:val="en-GB" w:eastAsia="en-GB"/>
        </w:rPr>
      </w:pPr>
      <w:r w:rsidRPr="000729CF">
        <w:rPr>
          <w:rFonts w:ascii="Calibri" w:hAnsi="Calibri" w:cs="Calibri"/>
          <w:sz w:val="22"/>
          <w:szCs w:val="22"/>
          <w:lang w:val="en-GB" w:eastAsia="en-GB"/>
        </w:rPr>
        <w:t>Continued investment in the city’s electric vehicle charging network utilising government grant funding.</w:t>
      </w:r>
    </w:p>
    <w:p w14:paraId="163B0171" w14:textId="77777777" w:rsidR="000729CF" w:rsidRPr="000729CF" w:rsidRDefault="000729CF" w:rsidP="00CE70A3">
      <w:pPr>
        <w:numPr>
          <w:ilvl w:val="0"/>
          <w:numId w:val="39"/>
        </w:numPr>
        <w:spacing w:after="160" w:line="259" w:lineRule="auto"/>
        <w:ind w:left="426" w:hanging="284"/>
        <w:contextualSpacing/>
        <w:rPr>
          <w:rFonts w:ascii="Calibri" w:hAnsi="Calibri" w:cs="Calibri"/>
          <w:sz w:val="22"/>
          <w:szCs w:val="22"/>
          <w:lang w:val="en-GB" w:eastAsia="en-GB"/>
        </w:rPr>
      </w:pPr>
      <w:r w:rsidRPr="000729CF">
        <w:rPr>
          <w:rFonts w:ascii="Calibri" w:hAnsi="Calibri" w:cs="Calibri"/>
          <w:sz w:val="22"/>
          <w:szCs w:val="22"/>
          <w:lang w:val="en-GB" w:eastAsia="en-GB"/>
        </w:rPr>
        <w:t>Continued investment in the Brighton Marina to River Adur coastal protection scheme in partnership with other Authorities and with significant investment from the Environment Agency.</w:t>
      </w:r>
    </w:p>
    <w:p w14:paraId="70B302D2" w14:textId="77777777" w:rsidR="000729CF" w:rsidRPr="000729CF" w:rsidRDefault="000729CF" w:rsidP="00CE70A3">
      <w:pPr>
        <w:numPr>
          <w:ilvl w:val="0"/>
          <w:numId w:val="39"/>
        </w:numPr>
        <w:spacing w:after="160" w:line="259" w:lineRule="auto"/>
        <w:ind w:left="426" w:hanging="284"/>
        <w:contextualSpacing/>
        <w:rPr>
          <w:rFonts w:ascii="Calibri" w:hAnsi="Calibri" w:cs="Calibri"/>
          <w:sz w:val="22"/>
          <w:szCs w:val="22"/>
          <w:lang w:val="en-GB" w:eastAsia="en-GB"/>
        </w:rPr>
      </w:pPr>
      <w:r w:rsidRPr="000729CF">
        <w:rPr>
          <w:rFonts w:ascii="Calibri" w:hAnsi="Calibri" w:cs="Calibri"/>
          <w:sz w:val="22"/>
          <w:szCs w:val="22"/>
          <w:lang w:val="en-GB" w:eastAsia="en-GB"/>
        </w:rPr>
        <w:t>Investment in the city’s playgrounds, parks and open spaces including the Stanmer Park Master Plan restoration project.</w:t>
      </w:r>
    </w:p>
    <w:p w14:paraId="1E802A07" w14:textId="77777777" w:rsidR="000729CF" w:rsidRPr="000729CF" w:rsidRDefault="000729CF" w:rsidP="00CE70A3">
      <w:pPr>
        <w:numPr>
          <w:ilvl w:val="0"/>
          <w:numId w:val="39"/>
        </w:numPr>
        <w:spacing w:after="160" w:line="259" w:lineRule="auto"/>
        <w:ind w:left="426" w:hanging="284"/>
        <w:contextualSpacing/>
        <w:rPr>
          <w:rFonts w:ascii="Calibri" w:hAnsi="Calibri" w:cs="Calibri"/>
          <w:sz w:val="22"/>
          <w:szCs w:val="22"/>
          <w:lang w:val="en-GB" w:eastAsia="en-GB"/>
        </w:rPr>
      </w:pPr>
      <w:r w:rsidRPr="000729CF">
        <w:rPr>
          <w:rFonts w:ascii="Calibri" w:hAnsi="Calibri" w:cs="Calibri"/>
          <w:sz w:val="22"/>
          <w:szCs w:val="22"/>
          <w:lang w:val="en-GB" w:eastAsia="en-GB"/>
        </w:rPr>
        <w:t>Investment into commercial asset to optimise income.</w:t>
      </w:r>
    </w:p>
    <w:p w14:paraId="35D90C36" w14:textId="77777777" w:rsidR="000729CF" w:rsidRPr="000729CF" w:rsidRDefault="000729CF" w:rsidP="00CE70A3">
      <w:pPr>
        <w:numPr>
          <w:ilvl w:val="0"/>
          <w:numId w:val="39"/>
        </w:numPr>
        <w:spacing w:after="160" w:line="259" w:lineRule="auto"/>
        <w:ind w:left="426" w:hanging="284"/>
        <w:contextualSpacing/>
        <w:rPr>
          <w:rFonts w:ascii="Calibri" w:hAnsi="Calibri" w:cs="Calibri"/>
          <w:sz w:val="22"/>
          <w:szCs w:val="22"/>
          <w:lang w:val="en-GB" w:eastAsia="en-GB"/>
        </w:rPr>
      </w:pPr>
      <w:r w:rsidRPr="000729CF">
        <w:rPr>
          <w:rFonts w:ascii="Calibri" w:hAnsi="Calibri" w:cs="Calibri"/>
          <w:sz w:val="22"/>
          <w:szCs w:val="22"/>
          <w:lang w:val="en-GB" w:eastAsia="en-GB"/>
        </w:rPr>
        <w:t>Investment in energy efficiency measures for the council’s operational estate with further phases of the Solar PV and decarbonisation programmes on the council’s corporate buildings.</w:t>
      </w:r>
    </w:p>
    <w:p w14:paraId="62B639E6" w14:textId="77777777" w:rsidR="000729CF" w:rsidRPr="000729CF" w:rsidRDefault="000729CF" w:rsidP="00CE70A3">
      <w:pPr>
        <w:numPr>
          <w:ilvl w:val="0"/>
          <w:numId w:val="39"/>
        </w:numPr>
        <w:spacing w:after="160" w:line="259" w:lineRule="auto"/>
        <w:ind w:left="426" w:hanging="284"/>
        <w:contextualSpacing/>
        <w:rPr>
          <w:rFonts w:ascii="Calibri" w:hAnsi="Calibri" w:cs="Calibri"/>
          <w:sz w:val="22"/>
          <w:szCs w:val="22"/>
          <w:lang w:val="en-GB" w:eastAsia="en-GB"/>
        </w:rPr>
      </w:pPr>
      <w:r w:rsidRPr="000729CF">
        <w:rPr>
          <w:rFonts w:ascii="Calibri" w:hAnsi="Calibri" w:cs="Calibri"/>
          <w:sz w:val="22"/>
          <w:szCs w:val="22"/>
          <w:lang w:val="en-GB" w:eastAsia="en-GB"/>
        </w:rPr>
        <w:t>Investment in the Fleet Strategy to progress the decarbonisation of the council’s fleet.</w:t>
      </w:r>
    </w:p>
    <w:p w14:paraId="03D814EF" w14:textId="77777777" w:rsidR="000729CF" w:rsidRPr="000729CF" w:rsidRDefault="000729CF" w:rsidP="00CE70A3">
      <w:pPr>
        <w:numPr>
          <w:ilvl w:val="0"/>
          <w:numId w:val="39"/>
        </w:numPr>
        <w:spacing w:after="160" w:line="259" w:lineRule="auto"/>
        <w:ind w:left="426" w:hanging="284"/>
        <w:contextualSpacing/>
        <w:rPr>
          <w:rFonts w:ascii="Calibri" w:hAnsi="Calibri" w:cs="Calibri"/>
          <w:sz w:val="22"/>
          <w:szCs w:val="22"/>
          <w:lang w:val="en-GB" w:eastAsia="en-GB"/>
        </w:rPr>
      </w:pPr>
      <w:r w:rsidRPr="000729CF">
        <w:rPr>
          <w:rFonts w:ascii="Calibri" w:hAnsi="Calibri" w:cs="Calibri"/>
          <w:sz w:val="22"/>
          <w:szCs w:val="22"/>
          <w:lang w:val="en-GB" w:eastAsia="en-GB"/>
        </w:rPr>
        <w:t xml:space="preserve">Investment in the city’s tree collection to tackle the impacts of elm disease and ash dieback. </w:t>
      </w:r>
    </w:p>
    <w:p w14:paraId="13A7C947" w14:textId="77777777" w:rsidR="000729CF" w:rsidRPr="000729CF" w:rsidRDefault="000729CF" w:rsidP="00CE70A3">
      <w:pPr>
        <w:numPr>
          <w:ilvl w:val="0"/>
          <w:numId w:val="39"/>
        </w:numPr>
        <w:spacing w:after="160" w:line="259" w:lineRule="auto"/>
        <w:ind w:left="426" w:hanging="284"/>
        <w:contextualSpacing/>
        <w:rPr>
          <w:rFonts w:ascii="Calibri" w:hAnsi="Calibri" w:cs="Calibri"/>
          <w:sz w:val="22"/>
          <w:szCs w:val="22"/>
          <w:lang w:val="en-GB" w:eastAsia="en-GB"/>
        </w:rPr>
      </w:pPr>
      <w:r w:rsidRPr="000729CF">
        <w:rPr>
          <w:rFonts w:ascii="Calibri" w:hAnsi="Calibri" w:cs="Calibri"/>
          <w:sz w:val="22"/>
          <w:szCs w:val="22"/>
          <w:lang w:val="en-GB" w:eastAsia="en-GB"/>
        </w:rPr>
        <w:t>£3m capital investment in the city’s public toilets.</w:t>
      </w:r>
    </w:p>
    <w:p w14:paraId="26E161F7" w14:textId="77777777" w:rsidR="000729CF" w:rsidRPr="000729CF" w:rsidRDefault="000729CF" w:rsidP="00CE70A3">
      <w:pPr>
        <w:numPr>
          <w:ilvl w:val="0"/>
          <w:numId w:val="39"/>
        </w:numPr>
        <w:spacing w:after="160" w:line="259" w:lineRule="auto"/>
        <w:ind w:left="426" w:hanging="284"/>
        <w:contextualSpacing/>
        <w:rPr>
          <w:rFonts w:ascii="Calibri" w:hAnsi="Calibri" w:cs="Calibri"/>
          <w:sz w:val="22"/>
          <w:szCs w:val="22"/>
          <w:lang w:val="en-GB" w:eastAsia="en-GB"/>
        </w:rPr>
      </w:pPr>
      <w:r w:rsidRPr="000729CF">
        <w:rPr>
          <w:rFonts w:ascii="Calibri" w:hAnsi="Calibri" w:cs="Calibri"/>
          <w:sz w:val="22"/>
          <w:szCs w:val="22"/>
          <w:lang w:val="en-GB" w:eastAsia="en-GB"/>
        </w:rPr>
        <w:t>Continued investment in City Environment infrastructure and operational sites to improve the working environment and impact on the service’s carbon footprint.</w:t>
      </w:r>
    </w:p>
    <w:p w14:paraId="2F780AE9" w14:textId="77777777" w:rsidR="000729CF" w:rsidRPr="000729CF" w:rsidRDefault="000729CF" w:rsidP="00CE70A3">
      <w:pPr>
        <w:numPr>
          <w:ilvl w:val="0"/>
          <w:numId w:val="39"/>
        </w:numPr>
        <w:spacing w:after="160" w:line="259" w:lineRule="auto"/>
        <w:ind w:left="426" w:hanging="284"/>
        <w:contextualSpacing/>
        <w:rPr>
          <w:rFonts w:ascii="Calibri" w:hAnsi="Calibri" w:cs="Calibri"/>
          <w:sz w:val="22"/>
          <w:szCs w:val="22"/>
          <w:lang w:val="en-GB" w:eastAsia="en-GB"/>
        </w:rPr>
      </w:pPr>
      <w:r w:rsidRPr="000729CF">
        <w:rPr>
          <w:rFonts w:ascii="Calibri" w:hAnsi="Calibri" w:cs="Calibri"/>
          <w:sz w:val="22"/>
          <w:szCs w:val="22"/>
          <w:lang w:val="en-GB" w:eastAsia="en-GB"/>
        </w:rPr>
        <w:t>Investment in business systems to improve service performance and customer experience.</w:t>
      </w:r>
    </w:p>
    <w:p w14:paraId="2B475FBE" w14:textId="77777777" w:rsidR="000729CF" w:rsidRPr="000729CF" w:rsidRDefault="000729CF" w:rsidP="000729CF">
      <w:pPr>
        <w:rPr>
          <w:rFonts w:ascii="Calibri" w:eastAsia="Calibri" w:hAnsi="Calibri" w:cs="Calibri"/>
          <w:b/>
          <w:bCs/>
          <w:sz w:val="22"/>
          <w:szCs w:val="22"/>
          <w:lang w:val="en-GB"/>
        </w:rPr>
      </w:pPr>
    </w:p>
    <w:p w14:paraId="6C30C05B" w14:textId="77777777" w:rsidR="000729CF" w:rsidRPr="000729CF" w:rsidRDefault="000729CF" w:rsidP="000729CF">
      <w:pPr>
        <w:spacing w:before="120" w:after="120"/>
        <w:rPr>
          <w:rFonts w:ascii="Calibri" w:eastAsia="Calibri" w:hAnsi="Calibri" w:cs="Calibri"/>
          <w:b/>
          <w:sz w:val="22"/>
          <w:szCs w:val="22"/>
          <w:u w:val="single"/>
          <w:lang w:val="en-GB"/>
        </w:rPr>
      </w:pPr>
      <w:r w:rsidRPr="000729CF">
        <w:rPr>
          <w:rFonts w:ascii="Calibri" w:eastAsia="Calibri" w:hAnsi="Calibri" w:cs="Calibri"/>
          <w:b/>
          <w:sz w:val="22"/>
          <w:szCs w:val="22"/>
          <w:u w:val="single"/>
          <w:lang w:val="en-GB"/>
        </w:rPr>
        <w:t>Supporting the Council’s Priorities</w:t>
      </w:r>
    </w:p>
    <w:p w14:paraId="25505613" w14:textId="77777777" w:rsidR="000729CF" w:rsidRPr="000729CF" w:rsidRDefault="000729CF" w:rsidP="000729CF">
      <w:pPr>
        <w:spacing w:before="120" w:after="120"/>
        <w:rPr>
          <w:rFonts w:ascii="Calibri" w:eastAsia="Calibri" w:hAnsi="Calibri" w:cs="Calibri"/>
          <w:sz w:val="22"/>
          <w:szCs w:val="22"/>
          <w:lang w:val="en-GB"/>
        </w:rPr>
      </w:pPr>
      <w:r w:rsidRPr="000729CF">
        <w:rPr>
          <w:rFonts w:ascii="Calibri" w:eastAsia="Calibri" w:hAnsi="Calibri" w:cs="Calibri"/>
          <w:sz w:val="22"/>
          <w:szCs w:val="22"/>
          <w:lang w:val="en-GB"/>
        </w:rPr>
        <w:t>The directorate’s action plan and budget strategy can support the Council Plan priorities as follows:</w:t>
      </w:r>
    </w:p>
    <w:p w14:paraId="1602E9DA" w14:textId="77777777" w:rsidR="000729CF" w:rsidRPr="000729CF" w:rsidRDefault="000729CF" w:rsidP="000729CF">
      <w:pPr>
        <w:shd w:val="clear" w:color="auto" w:fill="C5E0B3"/>
        <w:spacing w:before="120" w:after="120"/>
        <w:rPr>
          <w:rFonts w:ascii="Calibri" w:eastAsia="Calibri" w:hAnsi="Calibri" w:cs="Calibri"/>
          <w:b/>
          <w:bCs/>
          <w:sz w:val="22"/>
          <w:szCs w:val="22"/>
          <w:lang w:val="en-GB"/>
        </w:rPr>
      </w:pPr>
      <w:r w:rsidRPr="000729CF">
        <w:rPr>
          <w:rFonts w:ascii="Calibri" w:eastAsia="Calibri" w:hAnsi="Calibri" w:cs="Calibri"/>
          <w:b/>
          <w:bCs/>
          <w:sz w:val="22"/>
          <w:szCs w:val="22"/>
          <w:lang w:val="en-GB"/>
        </w:rPr>
        <w:t>A city to be proud of: Investing in our city</w:t>
      </w:r>
    </w:p>
    <w:p w14:paraId="08D20699" w14:textId="77777777" w:rsidR="000729CF" w:rsidRPr="000729CF" w:rsidRDefault="000729CF" w:rsidP="00CE70A3">
      <w:pPr>
        <w:numPr>
          <w:ilvl w:val="0"/>
          <w:numId w:val="39"/>
        </w:numPr>
        <w:spacing w:before="20" w:after="20" w:line="259" w:lineRule="auto"/>
        <w:ind w:left="357" w:hanging="357"/>
        <w:rPr>
          <w:rFonts w:ascii="Calibri" w:hAnsi="Calibri" w:cs="Calibri"/>
          <w:sz w:val="22"/>
          <w:szCs w:val="22"/>
          <w:lang w:val="en-GB" w:eastAsia="en-GB"/>
        </w:rPr>
      </w:pPr>
      <w:r w:rsidRPr="000729CF">
        <w:rPr>
          <w:rFonts w:ascii="Calibri" w:hAnsi="Calibri" w:cs="Calibri"/>
          <w:sz w:val="22"/>
          <w:szCs w:val="22"/>
          <w:lang w:val="en-GB" w:eastAsia="en-GB"/>
        </w:rPr>
        <w:t>Develop Brighton &amp; Hove as a place where people want to live, work, and learn.</w:t>
      </w:r>
    </w:p>
    <w:p w14:paraId="7C53CA1C" w14:textId="77777777" w:rsidR="000729CF" w:rsidRPr="000729CF" w:rsidRDefault="000729CF" w:rsidP="00CE70A3">
      <w:pPr>
        <w:numPr>
          <w:ilvl w:val="0"/>
          <w:numId w:val="39"/>
        </w:numPr>
        <w:spacing w:before="20" w:after="20" w:line="259" w:lineRule="auto"/>
        <w:ind w:left="357" w:hanging="357"/>
        <w:rPr>
          <w:rFonts w:ascii="Calibri" w:hAnsi="Calibri" w:cs="Calibri"/>
          <w:sz w:val="22"/>
          <w:szCs w:val="22"/>
          <w:lang w:val="en-GB" w:eastAsia="en-GB"/>
        </w:rPr>
      </w:pPr>
      <w:r w:rsidRPr="000729CF">
        <w:rPr>
          <w:rFonts w:ascii="Calibri" w:hAnsi="Calibri" w:cs="Calibri"/>
          <w:sz w:val="22"/>
          <w:szCs w:val="22"/>
          <w:lang w:val="en-GB" w:eastAsia="en-GB"/>
        </w:rPr>
        <w:t>Grow a diverse and sustainable city economy.</w:t>
      </w:r>
    </w:p>
    <w:p w14:paraId="357D8CA8" w14:textId="77777777" w:rsidR="000729CF" w:rsidRPr="000729CF" w:rsidRDefault="000729CF" w:rsidP="00CE70A3">
      <w:pPr>
        <w:numPr>
          <w:ilvl w:val="0"/>
          <w:numId w:val="39"/>
        </w:numPr>
        <w:spacing w:before="20" w:after="20" w:line="259" w:lineRule="auto"/>
        <w:ind w:left="357" w:hanging="357"/>
        <w:rPr>
          <w:rFonts w:ascii="Calibri" w:hAnsi="Calibri" w:cs="Calibri"/>
          <w:sz w:val="22"/>
          <w:szCs w:val="22"/>
          <w:lang w:val="en-GB" w:eastAsia="en-GB"/>
        </w:rPr>
      </w:pPr>
      <w:r w:rsidRPr="000729CF">
        <w:rPr>
          <w:rFonts w:ascii="Calibri" w:hAnsi="Calibri" w:cs="Calibri"/>
          <w:sz w:val="22"/>
          <w:szCs w:val="22"/>
          <w:lang w:val="en-GB" w:eastAsia="en-GB"/>
        </w:rPr>
        <w:t>Promote and protect what makes Brighton &amp; Hove unique.</w:t>
      </w:r>
    </w:p>
    <w:p w14:paraId="2C89E5DE" w14:textId="77777777" w:rsidR="000729CF" w:rsidRPr="000729CF" w:rsidRDefault="000729CF" w:rsidP="000729CF">
      <w:pPr>
        <w:shd w:val="clear" w:color="auto" w:fill="C5E0B3"/>
        <w:spacing w:before="120" w:after="120"/>
        <w:rPr>
          <w:rFonts w:ascii="Calibri" w:eastAsia="Calibri" w:hAnsi="Calibri" w:cs="Calibri"/>
          <w:b/>
          <w:bCs/>
          <w:sz w:val="22"/>
          <w:szCs w:val="22"/>
          <w:lang w:val="en-GB"/>
        </w:rPr>
      </w:pPr>
      <w:r w:rsidRPr="000729CF">
        <w:rPr>
          <w:rFonts w:ascii="Calibri" w:eastAsia="Calibri" w:hAnsi="Calibri" w:cs="Calibri"/>
          <w:b/>
          <w:bCs/>
          <w:sz w:val="22"/>
          <w:szCs w:val="22"/>
          <w:lang w:val="en-GB"/>
        </w:rPr>
        <w:t>A city to be proud of: An accessible, clean and sustainable city</w:t>
      </w:r>
    </w:p>
    <w:p w14:paraId="41445183" w14:textId="77777777" w:rsidR="000729CF" w:rsidRPr="000729CF" w:rsidRDefault="000729CF" w:rsidP="00CE70A3">
      <w:pPr>
        <w:numPr>
          <w:ilvl w:val="0"/>
          <w:numId w:val="39"/>
        </w:numPr>
        <w:spacing w:before="20" w:after="20" w:line="259" w:lineRule="auto"/>
        <w:ind w:left="357" w:hanging="357"/>
        <w:rPr>
          <w:rFonts w:ascii="Calibri" w:hAnsi="Calibri" w:cs="Calibri"/>
          <w:sz w:val="22"/>
          <w:szCs w:val="22"/>
          <w:lang w:val="en-GB" w:eastAsia="en-GB"/>
        </w:rPr>
      </w:pPr>
      <w:r w:rsidRPr="000729CF">
        <w:rPr>
          <w:rFonts w:ascii="Calibri" w:hAnsi="Calibri" w:cs="Calibri"/>
          <w:sz w:val="22"/>
          <w:szCs w:val="22"/>
          <w:lang w:val="en-GB" w:eastAsia="en-GB"/>
        </w:rPr>
        <w:t>Keep our city clean and manage waste.</w:t>
      </w:r>
    </w:p>
    <w:p w14:paraId="74F7DC96" w14:textId="77777777" w:rsidR="000729CF" w:rsidRPr="000729CF" w:rsidRDefault="000729CF" w:rsidP="00CE70A3">
      <w:pPr>
        <w:numPr>
          <w:ilvl w:val="0"/>
          <w:numId w:val="39"/>
        </w:numPr>
        <w:spacing w:before="20" w:after="20" w:line="259" w:lineRule="auto"/>
        <w:ind w:left="357" w:hanging="357"/>
        <w:rPr>
          <w:rFonts w:ascii="Calibri" w:hAnsi="Calibri" w:cs="Calibri"/>
          <w:sz w:val="22"/>
          <w:szCs w:val="22"/>
          <w:lang w:val="en-GB" w:eastAsia="en-GB"/>
        </w:rPr>
      </w:pPr>
      <w:r w:rsidRPr="000729CF">
        <w:rPr>
          <w:rFonts w:ascii="Calibri" w:hAnsi="Calibri" w:cs="Calibri"/>
          <w:sz w:val="22"/>
          <w:szCs w:val="22"/>
          <w:lang w:val="en-GB" w:eastAsia="en-GB"/>
        </w:rPr>
        <w:t>Work towards carbon net zero.</w:t>
      </w:r>
    </w:p>
    <w:p w14:paraId="63D66A10" w14:textId="77777777" w:rsidR="000729CF" w:rsidRPr="000729CF" w:rsidRDefault="000729CF" w:rsidP="00CE70A3">
      <w:pPr>
        <w:numPr>
          <w:ilvl w:val="0"/>
          <w:numId w:val="39"/>
        </w:numPr>
        <w:spacing w:before="20" w:after="20" w:line="259" w:lineRule="auto"/>
        <w:ind w:left="357" w:hanging="357"/>
        <w:rPr>
          <w:rFonts w:ascii="Calibri" w:hAnsi="Calibri" w:cs="Calibri"/>
          <w:sz w:val="22"/>
          <w:szCs w:val="22"/>
          <w:lang w:val="en-GB" w:eastAsia="en-GB"/>
        </w:rPr>
      </w:pPr>
      <w:r w:rsidRPr="000729CF">
        <w:rPr>
          <w:rFonts w:ascii="Calibri" w:hAnsi="Calibri" w:cs="Calibri"/>
          <w:sz w:val="22"/>
          <w:szCs w:val="22"/>
          <w:lang w:val="en-GB" w:eastAsia="en-GB"/>
        </w:rPr>
        <w:t>Protect and enhance the city’s natural environment.</w:t>
      </w:r>
    </w:p>
    <w:p w14:paraId="33AFE684" w14:textId="77777777" w:rsidR="000729CF" w:rsidRPr="000729CF" w:rsidRDefault="000729CF" w:rsidP="00CE70A3">
      <w:pPr>
        <w:numPr>
          <w:ilvl w:val="0"/>
          <w:numId w:val="39"/>
        </w:numPr>
        <w:spacing w:before="20" w:after="20" w:line="259" w:lineRule="auto"/>
        <w:ind w:left="357" w:hanging="357"/>
        <w:rPr>
          <w:rFonts w:ascii="Calibri" w:hAnsi="Calibri" w:cs="Calibri"/>
          <w:sz w:val="22"/>
          <w:szCs w:val="22"/>
          <w:lang w:val="en-GB" w:eastAsia="en-GB"/>
        </w:rPr>
      </w:pPr>
      <w:r w:rsidRPr="000729CF">
        <w:rPr>
          <w:rFonts w:ascii="Calibri" w:hAnsi="Calibri" w:cs="Calibri"/>
          <w:sz w:val="22"/>
          <w:szCs w:val="22"/>
          <w:lang w:val="en-GB" w:eastAsia="en-GB"/>
        </w:rPr>
        <w:t>Make it easier for people to move around the city.</w:t>
      </w:r>
    </w:p>
    <w:p w14:paraId="7E2B35B5" w14:textId="77777777" w:rsidR="000729CF" w:rsidRPr="000729CF" w:rsidRDefault="000729CF" w:rsidP="000729CF">
      <w:pPr>
        <w:shd w:val="clear" w:color="auto" w:fill="C5E0B3"/>
        <w:spacing w:before="120" w:after="120"/>
        <w:rPr>
          <w:rFonts w:ascii="Calibri" w:eastAsia="Calibri" w:hAnsi="Calibri" w:cs="Calibri"/>
          <w:b/>
          <w:bCs/>
          <w:sz w:val="22"/>
          <w:szCs w:val="22"/>
          <w:lang w:val="en-GB"/>
        </w:rPr>
      </w:pPr>
      <w:r w:rsidRPr="000729CF">
        <w:rPr>
          <w:rFonts w:ascii="Calibri" w:eastAsia="Calibri" w:hAnsi="Calibri" w:cs="Calibri"/>
          <w:b/>
          <w:bCs/>
          <w:sz w:val="22"/>
          <w:szCs w:val="22"/>
          <w:lang w:val="en-GB"/>
        </w:rPr>
        <w:t>A fair and inclusive city: A city where people feel safe and welcome</w:t>
      </w:r>
    </w:p>
    <w:p w14:paraId="5AB86633" w14:textId="77777777" w:rsidR="000729CF" w:rsidRPr="000729CF" w:rsidRDefault="000729CF" w:rsidP="00CE70A3">
      <w:pPr>
        <w:numPr>
          <w:ilvl w:val="0"/>
          <w:numId w:val="41"/>
        </w:numPr>
        <w:spacing w:before="20" w:after="20" w:line="259" w:lineRule="auto"/>
        <w:ind w:left="357" w:hanging="357"/>
        <w:rPr>
          <w:rFonts w:ascii="Calibri" w:hAnsi="Calibri" w:cs="Calibri"/>
          <w:sz w:val="22"/>
          <w:szCs w:val="22"/>
          <w:lang w:val="en-GB" w:eastAsia="en-GB"/>
        </w:rPr>
      </w:pPr>
      <w:r w:rsidRPr="000729CF">
        <w:rPr>
          <w:rFonts w:ascii="Calibri" w:hAnsi="Calibri" w:cs="Calibri"/>
          <w:sz w:val="22"/>
          <w:szCs w:val="22"/>
          <w:lang w:val="en-GB" w:eastAsia="en-GB"/>
        </w:rPr>
        <w:t>Create safe public spaces that are accessible for all.</w:t>
      </w:r>
    </w:p>
    <w:p w14:paraId="6F359FB2" w14:textId="77777777" w:rsidR="000729CF" w:rsidRPr="000729CF" w:rsidRDefault="000729CF" w:rsidP="00CE70A3">
      <w:pPr>
        <w:numPr>
          <w:ilvl w:val="0"/>
          <w:numId w:val="41"/>
        </w:numPr>
        <w:spacing w:before="20" w:after="20" w:line="259" w:lineRule="auto"/>
        <w:ind w:left="357" w:hanging="357"/>
        <w:rPr>
          <w:rFonts w:ascii="Calibri" w:hAnsi="Calibri" w:cs="Calibri"/>
          <w:sz w:val="22"/>
          <w:szCs w:val="22"/>
          <w:lang w:val="en-GB" w:eastAsia="en-GB"/>
        </w:rPr>
      </w:pPr>
      <w:r w:rsidRPr="000729CF">
        <w:rPr>
          <w:rFonts w:ascii="Calibri" w:hAnsi="Calibri" w:cs="Calibri"/>
          <w:sz w:val="22"/>
          <w:szCs w:val="22"/>
          <w:lang w:val="en-GB" w:eastAsia="en-GB"/>
        </w:rPr>
        <w:t>Homes for everyone.</w:t>
      </w:r>
    </w:p>
    <w:p w14:paraId="773C6273" w14:textId="77777777" w:rsidR="000729CF" w:rsidRPr="000729CF" w:rsidRDefault="000729CF" w:rsidP="00CE70A3">
      <w:pPr>
        <w:numPr>
          <w:ilvl w:val="0"/>
          <w:numId w:val="41"/>
        </w:numPr>
        <w:spacing w:before="20" w:after="20" w:line="259" w:lineRule="auto"/>
        <w:contextualSpacing/>
        <w:rPr>
          <w:rFonts w:ascii="Calibri" w:hAnsi="Calibri" w:cs="Calibri"/>
          <w:sz w:val="22"/>
          <w:szCs w:val="22"/>
          <w:lang w:val="en-GB" w:eastAsia="en-GB"/>
        </w:rPr>
      </w:pPr>
      <w:r w:rsidRPr="000729CF">
        <w:rPr>
          <w:rFonts w:ascii="Calibri" w:hAnsi="Calibri" w:cs="Calibri"/>
          <w:sz w:val="22"/>
          <w:szCs w:val="22"/>
          <w:lang w:val="en-GB" w:eastAsia="en-GB"/>
        </w:rPr>
        <w:t>Increase housing supply.</w:t>
      </w:r>
    </w:p>
    <w:p w14:paraId="6299E078" w14:textId="77777777" w:rsidR="000729CF" w:rsidRPr="000729CF" w:rsidRDefault="000729CF" w:rsidP="000729CF">
      <w:pPr>
        <w:shd w:val="clear" w:color="auto" w:fill="C5E0B3"/>
        <w:spacing w:before="120" w:after="120"/>
        <w:rPr>
          <w:rFonts w:ascii="Calibri" w:eastAsia="Calibri" w:hAnsi="Calibri" w:cs="Calibri"/>
          <w:b/>
          <w:bCs/>
          <w:sz w:val="22"/>
          <w:szCs w:val="22"/>
          <w:lang w:val="en-GB"/>
        </w:rPr>
      </w:pPr>
      <w:r w:rsidRPr="000729CF">
        <w:rPr>
          <w:rFonts w:ascii="Calibri" w:eastAsia="Calibri" w:hAnsi="Calibri" w:cs="Calibri"/>
          <w:b/>
          <w:bCs/>
          <w:sz w:val="22"/>
          <w:szCs w:val="22"/>
          <w:lang w:val="en-GB"/>
        </w:rPr>
        <w:t>A city that helps people to thrive: A better future for children and young people</w:t>
      </w:r>
    </w:p>
    <w:p w14:paraId="44453DD3" w14:textId="77777777" w:rsidR="000729CF" w:rsidRPr="000729CF" w:rsidRDefault="000729CF" w:rsidP="00CE70A3">
      <w:pPr>
        <w:numPr>
          <w:ilvl w:val="0"/>
          <w:numId w:val="38"/>
        </w:numPr>
        <w:spacing w:before="20" w:after="20" w:line="259" w:lineRule="auto"/>
        <w:ind w:left="357" w:hanging="357"/>
        <w:contextualSpacing/>
        <w:rPr>
          <w:rFonts w:ascii="Calibri" w:eastAsia="Calibri" w:hAnsi="Calibri" w:cs="Calibri"/>
          <w:sz w:val="22"/>
          <w:szCs w:val="22"/>
          <w:lang w:val="en-GB"/>
        </w:rPr>
      </w:pPr>
      <w:r w:rsidRPr="000729CF">
        <w:rPr>
          <w:rFonts w:ascii="Calibri" w:hAnsi="Calibri" w:cs="Calibri"/>
          <w:sz w:val="22"/>
          <w:szCs w:val="22"/>
          <w:lang w:val="en-GB" w:eastAsia="en-GB"/>
        </w:rPr>
        <w:t>Support the provision of high quality and inclusive education from early years through to adult learning.</w:t>
      </w:r>
    </w:p>
    <w:p w14:paraId="2F61A683" w14:textId="77777777" w:rsidR="000729CF" w:rsidRPr="000729CF" w:rsidRDefault="000729CF" w:rsidP="000729CF">
      <w:pPr>
        <w:shd w:val="clear" w:color="auto" w:fill="C5E0B3"/>
        <w:spacing w:before="120" w:after="120"/>
        <w:rPr>
          <w:rFonts w:ascii="Calibri" w:eastAsia="Calibri" w:hAnsi="Calibri" w:cs="Calibri"/>
          <w:b/>
          <w:bCs/>
          <w:sz w:val="22"/>
          <w:szCs w:val="22"/>
          <w:lang w:val="en-GB"/>
        </w:rPr>
      </w:pPr>
      <w:r w:rsidRPr="000729CF">
        <w:rPr>
          <w:rFonts w:ascii="Calibri" w:eastAsia="Calibri" w:hAnsi="Calibri" w:cs="Calibri"/>
          <w:b/>
          <w:bCs/>
          <w:sz w:val="22"/>
          <w:szCs w:val="22"/>
          <w:lang w:val="en-GB"/>
        </w:rPr>
        <w:t>A responsive council with well-run services: Good governance and financial resilience</w:t>
      </w:r>
    </w:p>
    <w:p w14:paraId="503DC7C8" w14:textId="77777777" w:rsidR="000729CF" w:rsidRPr="000729CF" w:rsidRDefault="000729CF" w:rsidP="00CE70A3">
      <w:pPr>
        <w:numPr>
          <w:ilvl w:val="0"/>
          <w:numId w:val="55"/>
        </w:numPr>
        <w:spacing w:after="160" w:line="259" w:lineRule="auto"/>
        <w:contextualSpacing/>
        <w:rPr>
          <w:rFonts w:ascii="Calibri" w:eastAsia="Calibri" w:hAnsi="Calibri" w:cs="Calibri"/>
          <w:sz w:val="22"/>
          <w:szCs w:val="22"/>
          <w:lang w:val="en-GB"/>
        </w:rPr>
      </w:pPr>
      <w:r w:rsidRPr="000729CF">
        <w:rPr>
          <w:rFonts w:ascii="Calibri" w:hAnsi="Calibri" w:cs="Calibri"/>
          <w:sz w:val="22"/>
          <w:szCs w:val="22"/>
          <w:lang w:val="en-GB" w:eastAsia="en-GB"/>
        </w:rPr>
        <w:t>Good governance and financial resilience.</w:t>
      </w:r>
    </w:p>
    <w:p w14:paraId="6D26157A" w14:textId="77777777" w:rsidR="000729CF" w:rsidRPr="000729CF" w:rsidRDefault="000729CF" w:rsidP="000729CF">
      <w:pPr>
        <w:spacing w:after="160" w:line="259" w:lineRule="auto"/>
        <w:rPr>
          <w:rFonts w:ascii="Calibri" w:eastAsia="Calibri" w:hAnsi="Calibri"/>
          <w:sz w:val="22"/>
          <w:szCs w:val="22"/>
          <w:lang w:val="en-GB"/>
        </w:rPr>
      </w:pPr>
    </w:p>
    <w:p w14:paraId="6912D0A5" w14:textId="77777777" w:rsidR="000729CF" w:rsidRPr="000729CF" w:rsidRDefault="000729CF" w:rsidP="000729CF">
      <w:pPr>
        <w:spacing w:after="160" w:line="259" w:lineRule="auto"/>
        <w:rPr>
          <w:rFonts w:ascii="Calibri" w:eastAsia="Calibri" w:hAnsi="Calibri"/>
          <w:sz w:val="22"/>
          <w:szCs w:val="22"/>
          <w:lang w:val="en-GB"/>
        </w:rPr>
      </w:pPr>
    </w:p>
    <w:p w14:paraId="11DB365E" w14:textId="77777777" w:rsidR="000729CF" w:rsidRPr="000729CF" w:rsidRDefault="000729CF" w:rsidP="000729CF">
      <w:pPr>
        <w:spacing w:after="160" w:line="259" w:lineRule="auto"/>
        <w:rPr>
          <w:rFonts w:ascii="Calibri" w:eastAsia="Calibri" w:hAnsi="Calibri"/>
          <w:sz w:val="22"/>
          <w:szCs w:val="22"/>
          <w:lang w:val="en-GB"/>
        </w:rPr>
        <w:sectPr w:rsidR="000729CF" w:rsidRPr="000729CF" w:rsidSect="001604BB">
          <w:pgSz w:w="16838" w:h="11906" w:orient="landscape"/>
          <w:pgMar w:top="720" w:right="720" w:bottom="720" w:left="720" w:header="709" w:footer="709" w:gutter="0"/>
          <w:cols w:space="708"/>
          <w:docGrid w:linePitch="360"/>
        </w:sectPr>
      </w:pPr>
    </w:p>
    <w:tbl>
      <w:tblPr>
        <w:tblW w:w="5000" w:type="pct"/>
        <w:tblLook w:val="04A0" w:firstRow="1" w:lastRow="0" w:firstColumn="1" w:lastColumn="0" w:noHBand="0" w:noVBand="1"/>
      </w:tblPr>
      <w:tblGrid>
        <w:gridCol w:w="3117"/>
        <w:gridCol w:w="3115"/>
        <w:gridCol w:w="7737"/>
        <w:gridCol w:w="1419"/>
      </w:tblGrid>
      <w:tr w:rsidR="000729CF" w:rsidRPr="000729CF" w14:paraId="1083C609" w14:textId="77777777" w:rsidTr="00BC26AB">
        <w:trPr>
          <w:trHeight w:val="20"/>
          <w:tblHeader/>
        </w:trPr>
        <w:tc>
          <w:tcPr>
            <w:tcW w:w="1013" w:type="pct"/>
            <w:vMerge w:val="restart"/>
            <w:tcBorders>
              <w:top w:val="single" w:sz="4" w:space="0" w:color="auto"/>
              <w:left w:val="single" w:sz="4" w:space="0" w:color="auto"/>
              <w:bottom w:val="single" w:sz="4" w:space="0" w:color="auto"/>
              <w:right w:val="single" w:sz="4" w:space="0" w:color="auto"/>
            </w:tcBorders>
            <w:shd w:val="clear" w:color="000000" w:fill="A6A6A6"/>
            <w:tcMar>
              <w:left w:w="45" w:type="dxa"/>
              <w:right w:w="45" w:type="dxa"/>
            </w:tcMar>
            <w:vAlign w:val="bottom"/>
            <w:hideMark/>
          </w:tcPr>
          <w:p w14:paraId="21C16142" w14:textId="77777777" w:rsidR="000729CF" w:rsidRPr="000729CF" w:rsidRDefault="000729CF" w:rsidP="000729CF">
            <w:pPr>
              <w:jc w:val="cente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Section</w:t>
            </w:r>
          </w:p>
        </w:tc>
        <w:tc>
          <w:tcPr>
            <w:tcW w:w="1012" w:type="pct"/>
            <w:vMerge w:val="restart"/>
            <w:tcBorders>
              <w:top w:val="single" w:sz="4" w:space="0" w:color="auto"/>
              <w:left w:val="single" w:sz="4" w:space="0" w:color="auto"/>
              <w:bottom w:val="single" w:sz="4" w:space="0" w:color="auto"/>
              <w:right w:val="single" w:sz="4" w:space="0" w:color="auto"/>
            </w:tcBorders>
            <w:shd w:val="clear" w:color="000000" w:fill="A6A6A6"/>
            <w:tcMar>
              <w:left w:w="45" w:type="dxa"/>
              <w:right w:w="45" w:type="dxa"/>
            </w:tcMar>
            <w:vAlign w:val="bottom"/>
            <w:hideMark/>
          </w:tcPr>
          <w:p w14:paraId="12BCE1CB" w14:textId="77777777" w:rsidR="000729CF" w:rsidRPr="000729CF" w:rsidRDefault="000729CF" w:rsidP="000729CF">
            <w:pPr>
              <w:jc w:val="cente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Service Area</w:t>
            </w:r>
          </w:p>
        </w:tc>
        <w:tc>
          <w:tcPr>
            <w:tcW w:w="2514" w:type="pct"/>
            <w:vMerge w:val="restart"/>
            <w:tcBorders>
              <w:top w:val="single" w:sz="4" w:space="0" w:color="auto"/>
              <w:left w:val="single" w:sz="4" w:space="0" w:color="auto"/>
              <w:bottom w:val="single" w:sz="4" w:space="0" w:color="auto"/>
              <w:right w:val="single" w:sz="4" w:space="0" w:color="auto"/>
            </w:tcBorders>
            <w:shd w:val="clear" w:color="000000" w:fill="A6A6A6"/>
            <w:tcMar>
              <w:left w:w="45" w:type="dxa"/>
              <w:right w:w="45" w:type="dxa"/>
            </w:tcMar>
            <w:vAlign w:val="bottom"/>
            <w:hideMark/>
          </w:tcPr>
          <w:p w14:paraId="732EE0CA" w14:textId="77777777" w:rsidR="000729CF" w:rsidRPr="000729CF" w:rsidRDefault="000729CF" w:rsidP="000729CF">
            <w:pPr>
              <w:jc w:val="cente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Brief Summary of Budget Proposal/Strategy and Risks</w:t>
            </w:r>
          </w:p>
        </w:tc>
        <w:tc>
          <w:tcPr>
            <w:tcW w:w="461" w:type="pct"/>
            <w:tcBorders>
              <w:top w:val="single" w:sz="4" w:space="0" w:color="auto"/>
              <w:left w:val="nil"/>
              <w:bottom w:val="single" w:sz="4" w:space="0" w:color="auto"/>
              <w:right w:val="single" w:sz="4" w:space="0" w:color="auto"/>
            </w:tcBorders>
            <w:shd w:val="clear" w:color="000000" w:fill="A6A6A6"/>
            <w:tcMar>
              <w:left w:w="45" w:type="dxa"/>
              <w:right w:w="45" w:type="dxa"/>
            </w:tcMar>
            <w:vAlign w:val="bottom"/>
            <w:hideMark/>
          </w:tcPr>
          <w:p w14:paraId="6872A07D" w14:textId="77777777" w:rsidR="000729CF" w:rsidRPr="000729CF" w:rsidRDefault="000729CF" w:rsidP="000729CF">
            <w:pPr>
              <w:jc w:val="cente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Total Savings Proposed 2024/25</w:t>
            </w:r>
          </w:p>
        </w:tc>
      </w:tr>
      <w:tr w:rsidR="000729CF" w:rsidRPr="000729CF" w14:paraId="2B60634D" w14:textId="77777777" w:rsidTr="00BC26AB">
        <w:trPr>
          <w:trHeight w:val="20"/>
          <w:tblHeader/>
        </w:trPr>
        <w:tc>
          <w:tcPr>
            <w:tcW w:w="1013" w:type="pct"/>
            <w:vMerge/>
            <w:tcBorders>
              <w:top w:val="single" w:sz="4" w:space="0" w:color="auto"/>
              <w:left w:val="single" w:sz="4" w:space="0" w:color="auto"/>
              <w:bottom w:val="single" w:sz="4" w:space="0" w:color="auto"/>
              <w:right w:val="single" w:sz="4" w:space="0" w:color="auto"/>
            </w:tcBorders>
            <w:tcMar>
              <w:left w:w="45" w:type="dxa"/>
              <w:right w:w="45" w:type="dxa"/>
            </w:tcMar>
            <w:vAlign w:val="center"/>
            <w:hideMark/>
          </w:tcPr>
          <w:p w14:paraId="2A510CF4" w14:textId="77777777" w:rsidR="000729CF" w:rsidRPr="000729CF" w:rsidRDefault="000729CF" w:rsidP="000729CF">
            <w:pPr>
              <w:rPr>
                <w:rFonts w:ascii="Calibri" w:hAnsi="Calibri" w:cs="Calibri"/>
                <w:b/>
                <w:bCs/>
                <w:color w:val="000000"/>
                <w:sz w:val="22"/>
                <w:szCs w:val="22"/>
                <w:lang w:val="en-GB" w:eastAsia="en-GB"/>
              </w:rPr>
            </w:pPr>
          </w:p>
        </w:tc>
        <w:tc>
          <w:tcPr>
            <w:tcW w:w="1012" w:type="pct"/>
            <w:vMerge/>
            <w:tcBorders>
              <w:top w:val="single" w:sz="4" w:space="0" w:color="auto"/>
              <w:left w:val="single" w:sz="4" w:space="0" w:color="auto"/>
              <w:bottom w:val="single" w:sz="4" w:space="0" w:color="auto"/>
              <w:right w:val="single" w:sz="4" w:space="0" w:color="auto"/>
            </w:tcBorders>
            <w:tcMar>
              <w:left w:w="45" w:type="dxa"/>
              <w:right w:w="45" w:type="dxa"/>
            </w:tcMar>
            <w:vAlign w:val="center"/>
            <w:hideMark/>
          </w:tcPr>
          <w:p w14:paraId="026AC3A3" w14:textId="77777777" w:rsidR="000729CF" w:rsidRPr="000729CF" w:rsidRDefault="000729CF" w:rsidP="000729CF">
            <w:pPr>
              <w:rPr>
                <w:rFonts w:ascii="Calibri" w:hAnsi="Calibri" w:cs="Calibri"/>
                <w:b/>
                <w:bCs/>
                <w:color w:val="000000"/>
                <w:sz w:val="22"/>
                <w:szCs w:val="22"/>
                <w:lang w:val="en-GB" w:eastAsia="en-GB"/>
              </w:rPr>
            </w:pPr>
          </w:p>
        </w:tc>
        <w:tc>
          <w:tcPr>
            <w:tcW w:w="2514" w:type="pct"/>
            <w:vMerge/>
            <w:tcBorders>
              <w:top w:val="single" w:sz="4" w:space="0" w:color="auto"/>
              <w:left w:val="single" w:sz="4" w:space="0" w:color="auto"/>
              <w:bottom w:val="single" w:sz="4" w:space="0" w:color="auto"/>
              <w:right w:val="single" w:sz="4" w:space="0" w:color="auto"/>
            </w:tcBorders>
            <w:tcMar>
              <w:left w:w="45" w:type="dxa"/>
              <w:right w:w="45" w:type="dxa"/>
            </w:tcMar>
            <w:vAlign w:val="center"/>
            <w:hideMark/>
          </w:tcPr>
          <w:p w14:paraId="54DFF345" w14:textId="77777777" w:rsidR="000729CF" w:rsidRPr="000729CF" w:rsidRDefault="000729CF" w:rsidP="000729CF">
            <w:pPr>
              <w:rPr>
                <w:rFonts w:ascii="Calibri" w:hAnsi="Calibri" w:cs="Calibri"/>
                <w:b/>
                <w:bCs/>
                <w:color w:val="000000"/>
                <w:sz w:val="22"/>
                <w:szCs w:val="22"/>
                <w:lang w:val="en-GB" w:eastAsia="en-GB"/>
              </w:rPr>
            </w:pPr>
          </w:p>
        </w:tc>
        <w:tc>
          <w:tcPr>
            <w:tcW w:w="461" w:type="pct"/>
            <w:tcBorders>
              <w:top w:val="single" w:sz="4" w:space="0" w:color="auto"/>
              <w:left w:val="nil"/>
              <w:bottom w:val="single" w:sz="4" w:space="0" w:color="auto"/>
              <w:right w:val="single" w:sz="4" w:space="0" w:color="auto"/>
            </w:tcBorders>
            <w:shd w:val="clear" w:color="000000" w:fill="A6A6A6"/>
            <w:tcMar>
              <w:left w:w="45" w:type="dxa"/>
              <w:right w:w="45" w:type="dxa"/>
            </w:tcMar>
            <w:vAlign w:val="bottom"/>
            <w:hideMark/>
          </w:tcPr>
          <w:p w14:paraId="2E847A9B" w14:textId="77777777" w:rsidR="000729CF" w:rsidRPr="000729CF" w:rsidRDefault="000729CF" w:rsidP="000729CF">
            <w:pPr>
              <w:jc w:val="cente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£'000</w:t>
            </w:r>
          </w:p>
        </w:tc>
      </w:tr>
      <w:tr w:rsidR="000729CF" w:rsidRPr="000729CF" w14:paraId="7ADB02A2" w14:textId="77777777" w:rsidTr="00BC26AB">
        <w:trPr>
          <w:trHeight w:val="20"/>
        </w:trPr>
        <w:tc>
          <w:tcPr>
            <w:tcW w:w="4539" w:type="pct"/>
            <w:gridSpan w:val="3"/>
            <w:tcBorders>
              <w:top w:val="single" w:sz="4" w:space="0" w:color="auto"/>
              <w:left w:val="single" w:sz="4" w:space="0" w:color="auto"/>
              <w:bottom w:val="single" w:sz="4" w:space="0" w:color="auto"/>
              <w:right w:val="nil"/>
            </w:tcBorders>
            <w:shd w:val="clear" w:color="000000" w:fill="000000"/>
            <w:noWrap/>
            <w:tcMar>
              <w:left w:w="45" w:type="dxa"/>
              <w:right w:w="45" w:type="dxa"/>
            </w:tcMar>
            <w:hideMark/>
          </w:tcPr>
          <w:p w14:paraId="2BCE5664"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Economy, Environment &amp; Culture</w:t>
            </w:r>
          </w:p>
        </w:tc>
        <w:tc>
          <w:tcPr>
            <w:tcW w:w="461" w:type="pct"/>
            <w:tcBorders>
              <w:top w:val="single" w:sz="4" w:space="0" w:color="auto"/>
              <w:left w:val="nil"/>
              <w:bottom w:val="single" w:sz="4" w:space="0" w:color="auto"/>
              <w:right w:val="single" w:sz="4" w:space="0" w:color="auto"/>
            </w:tcBorders>
            <w:shd w:val="clear" w:color="000000" w:fill="000000"/>
            <w:noWrap/>
            <w:tcMar>
              <w:left w:w="45" w:type="dxa"/>
              <w:right w:w="45" w:type="dxa"/>
            </w:tcMar>
            <w:hideMark/>
          </w:tcPr>
          <w:p w14:paraId="25D516DE"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 </w:t>
            </w:r>
          </w:p>
        </w:tc>
      </w:tr>
      <w:tr w:rsidR="000729CF" w:rsidRPr="000729CF" w14:paraId="4FE83BF5" w14:textId="77777777" w:rsidTr="00BC26AB">
        <w:trPr>
          <w:trHeight w:val="20"/>
        </w:trPr>
        <w:tc>
          <w:tcPr>
            <w:tcW w:w="4539" w:type="pct"/>
            <w:gridSpan w:val="3"/>
            <w:tcBorders>
              <w:top w:val="single" w:sz="4" w:space="0" w:color="auto"/>
              <w:left w:val="single" w:sz="4" w:space="0" w:color="auto"/>
              <w:bottom w:val="single" w:sz="4" w:space="0" w:color="auto"/>
              <w:right w:val="nil"/>
            </w:tcBorders>
            <w:shd w:val="clear" w:color="000000" w:fill="000000"/>
            <w:noWrap/>
            <w:tcMar>
              <w:left w:w="45" w:type="dxa"/>
              <w:right w:w="45" w:type="dxa"/>
            </w:tcMar>
            <w:hideMark/>
          </w:tcPr>
          <w:p w14:paraId="3F0105B3"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Transport</w:t>
            </w:r>
          </w:p>
        </w:tc>
        <w:tc>
          <w:tcPr>
            <w:tcW w:w="461" w:type="pct"/>
            <w:tcBorders>
              <w:top w:val="single" w:sz="4" w:space="0" w:color="auto"/>
              <w:left w:val="nil"/>
              <w:bottom w:val="single" w:sz="4" w:space="0" w:color="auto"/>
              <w:right w:val="single" w:sz="4" w:space="0" w:color="auto"/>
            </w:tcBorders>
            <w:shd w:val="clear" w:color="000000" w:fill="000000"/>
            <w:noWrap/>
            <w:tcMar>
              <w:left w:w="45" w:type="dxa"/>
              <w:right w:w="45" w:type="dxa"/>
            </w:tcMar>
            <w:hideMark/>
          </w:tcPr>
          <w:p w14:paraId="25447FD1"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 </w:t>
            </w:r>
          </w:p>
        </w:tc>
      </w:tr>
      <w:tr w:rsidR="000729CF" w:rsidRPr="000729CF" w14:paraId="423936F1"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1B510757"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Head of City Transport</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0E934636"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Head of City Transport</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42F94289"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No saving identified but service will be reviewed as part of overall 'Organisational Redesign' principles.</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6F7A4F18"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1D58380F"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27FD92B2"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Policy &amp; Strategy</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45F173A8"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Policy &amp; Strategy</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5AEEC853"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Deletion of vacant Transport &amp; Highway Development Manager post. Duties of the post will be redistributed within Traffic Management. The function is important for fulfilling the statutory highway authority role in the planning and development process.</w:t>
            </w:r>
            <w:r w:rsidRPr="000729CF">
              <w:rPr>
                <w:rFonts w:ascii="Calibri" w:hAnsi="Calibri" w:cs="Calibri"/>
                <w:sz w:val="22"/>
                <w:szCs w:val="22"/>
                <w:lang w:val="en-GB" w:eastAsia="en-GB"/>
              </w:rPr>
              <w:br/>
              <w:t>RISK: Will reduce technical capacity within the service.</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1587FF42"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70 </w:t>
            </w:r>
          </w:p>
        </w:tc>
      </w:tr>
      <w:tr w:rsidR="000729CF" w:rsidRPr="000729CF" w14:paraId="7506E563"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5C6B49F3"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Policy &amp; Strategy</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1B00D974"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Policy &amp; Strategy</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0AA2F961"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Public Health contribution for active travel and road safety.</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2945C798"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2 </w:t>
            </w:r>
          </w:p>
        </w:tc>
      </w:tr>
      <w:tr w:rsidR="000729CF" w:rsidRPr="000729CF" w14:paraId="6310906B"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249AF8A2"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Policy &amp; Strategy</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68412774"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Policy &amp; Strategy</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26938DB8"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Delete a vacant SO1/2 Transport Monitoring &amp; Research Officer post.</w:t>
            </w:r>
            <w:r w:rsidRPr="000729CF">
              <w:rPr>
                <w:rFonts w:ascii="Calibri" w:hAnsi="Calibri" w:cs="Calibri"/>
                <w:sz w:val="22"/>
                <w:szCs w:val="22"/>
                <w:lang w:val="en-GB" w:eastAsia="en-GB"/>
              </w:rPr>
              <w:br/>
              <w:t>RISK: Impact on the delivery and analysis of Parking and wider Transport consultations that is likely to affect the timetable for delivering projects/ service changes.</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05B099FF"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47 </w:t>
            </w:r>
          </w:p>
        </w:tc>
      </w:tr>
      <w:tr w:rsidR="000729CF" w:rsidRPr="000729CF" w14:paraId="47F74E3D"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0D814F56"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xml:space="preserve">Transport Projects &amp; Engineering </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34CD5063"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xml:space="preserve">Transport Projects &amp; Engineering </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4391BE01"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Capitalise the costs of the Streetlighting Manager.</w:t>
            </w:r>
            <w:r w:rsidRPr="000729CF">
              <w:rPr>
                <w:rFonts w:ascii="Calibri" w:hAnsi="Calibri" w:cs="Calibri"/>
                <w:sz w:val="22"/>
                <w:szCs w:val="22"/>
                <w:lang w:val="en-GB" w:eastAsia="en-GB"/>
              </w:rPr>
              <w:br/>
              <w:t>RISK: The council's capital programme is diminishing. Will create an in-year budget pressure if there are not projects to capitalise against.</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4933169D"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58 </w:t>
            </w:r>
          </w:p>
        </w:tc>
      </w:tr>
      <w:tr w:rsidR="000729CF" w:rsidRPr="000729CF" w14:paraId="28E3BD6E"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758165C1"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xml:space="preserve">Transport Projects &amp; Engineering </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00299707"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xml:space="preserve">Transport Projects &amp; Engineering </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56938909"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Reduce support for extended bus services. Exploring funding from the Bus Service Improvement Plan to support the reduction.</w:t>
            </w:r>
            <w:r w:rsidRPr="000729CF">
              <w:rPr>
                <w:rFonts w:ascii="Calibri" w:hAnsi="Calibri" w:cs="Calibri"/>
                <w:sz w:val="22"/>
                <w:szCs w:val="22"/>
                <w:lang w:val="en-GB" w:eastAsia="en-GB"/>
              </w:rPr>
              <w:br/>
              <w:t>RISK: No Bus Service Improvement Plan funding guaranteed after 2026/27. See EIA 15.</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74FCFF86"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58 </w:t>
            </w:r>
          </w:p>
        </w:tc>
      </w:tr>
      <w:tr w:rsidR="000729CF" w:rsidRPr="000729CF" w14:paraId="450357AD"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43E6E147"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xml:space="preserve">Transport Projects &amp; Engineering </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0B5D431A"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xml:space="preserve">Transport Projects &amp; Engineering </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13E3FBEA"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Review and restructure resources focused on modal shift initiatives to deliver an efficiency. This will involve the deletion of a vacant Senior Project Manager post.</w:t>
            </w:r>
            <w:r w:rsidRPr="000729CF">
              <w:rPr>
                <w:rFonts w:ascii="Calibri" w:hAnsi="Calibri" w:cs="Calibri"/>
                <w:sz w:val="22"/>
                <w:szCs w:val="22"/>
                <w:lang w:val="en-GB" w:eastAsia="en-GB"/>
              </w:rPr>
              <w:br/>
              <w:t>RISK: Impact on ability to successfully access and deliver Capability grant funding.</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2C43EDB7"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40 </w:t>
            </w:r>
          </w:p>
        </w:tc>
      </w:tr>
      <w:tr w:rsidR="000729CF" w:rsidRPr="000729CF" w14:paraId="7E78C375"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2C476BA7"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Traffic Management</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4AF9BD69"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Traffic Management</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69E43384"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Delete two vacant posts - Highway Enforcement Officer and Highway Inspector.</w:t>
            </w:r>
            <w:r w:rsidRPr="000729CF">
              <w:rPr>
                <w:rFonts w:ascii="Calibri" w:hAnsi="Calibri" w:cs="Calibri"/>
                <w:sz w:val="22"/>
                <w:szCs w:val="22"/>
                <w:lang w:val="en-GB" w:eastAsia="en-GB"/>
              </w:rPr>
              <w:br/>
              <w:t>RISK: Will reduce technical capacity in the service.</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72994F01"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86 </w:t>
            </w:r>
          </w:p>
        </w:tc>
      </w:tr>
      <w:tr w:rsidR="000729CF" w:rsidRPr="000729CF" w14:paraId="68505CCE"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79EF677F"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Parking</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7062670C"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Parking</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0A183791"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Increase all parking permits, on-street, and off street paid parking by on average 5% to maintain income in real terms. Allowing for impacts on demand, this provides £1.33m which meets the council's assumed inflationary target of 3.5%.</w:t>
            </w:r>
            <w:r w:rsidRPr="000729CF">
              <w:rPr>
                <w:rFonts w:ascii="Calibri" w:hAnsi="Calibri" w:cs="Calibri"/>
                <w:color w:val="000000"/>
                <w:sz w:val="22"/>
                <w:szCs w:val="22"/>
                <w:lang w:val="en-GB" w:eastAsia="en-GB"/>
              </w:rPr>
              <w:br/>
              <w:t>RISK: Demand loss could be higher than projected which may lead to a budget pressure. A 5% increase reflects the level of demand loss in previous years following increased charges.</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5E18610F"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n/a</w:t>
            </w:r>
          </w:p>
        </w:tc>
      </w:tr>
      <w:tr w:rsidR="000729CF" w:rsidRPr="000729CF" w14:paraId="7A26EC5F"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6E053B4D"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Parking</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59C0EB76"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Parking</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5915FCAF"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Increase all parking permits, on-street, and off-street paid parking by an additional 1% to increase on average by 6% overall. This accounts for £1.33m which is the 3.5% inflationary increase required, and also additional income of £190k. </w:t>
            </w:r>
            <w:r w:rsidRPr="000729CF">
              <w:rPr>
                <w:rFonts w:ascii="Calibri" w:hAnsi="Calibri" w:cs="Calibri"/>
                <w:color w:val="000000"/>
                <w:sz w:val="22"/>
                <w:szCs w:val="22"/>
                <w:lang w:val="en-GB" w:eastAsia="en-GB"/>
              </w:rPr>
              <w:br/>
              <w:t>RISK: Demand loss could be higher which may lead to a budget pressure. See EIA 16.</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3B8BB837"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190 </w:t>
            </w:r>
          </w:p>
        </w:tc>
      </w:tr>
      <w:tr w:rsidR="000729CF" w:rsidRPr="000729CF" w14:paraId="5BE22CB9"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4246E2E9"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Parking</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347BDBCA"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Parking</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0EAB9161"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Parking permits - Remove Norton Road staff passes, increase dispensations from £100 to £150,and increase the price of a car club bay for companies to reflect the resident permit cost.</w:t>
            </w:r>
            <w:r w:rsidRPr="000729CF">
              <w:rPr>
                <w:rFonts w:ascii="Calibri" w:hAnsi="Calibri" w:cs="Calibri"/>
                <w:sz w:val="22"/>
                <w:szCs w:val="22"/>
                <w:lang w:val="en-GB" w:eastAsia="en-GB"/>
              </w:rPr>
              <w:br/>
              <w:t>RISK: Operational or financial impact on services that rely on dispensations to deliver an effective response. Complaints from residents, staff and car club company. See EIA 16.</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66F4E42B"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30 </w:t>
            </w:r>
          </w:p>
        </w:tc>
      </w:tr>
      <w:tr w:rsidR="000729CF" w:rsidRPr="000729CF" w14:paraId="63B8DF8E"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0EDA8CA7"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Parking</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7152952B"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Parking</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08317CCC" w14:textId="77777777" w:rsidR="000729CF" w:rsidRPr="000729CF" w:rsidRDefault="000729CF" w:rsidP="000729CF">
            <w:pPr>
              <w:spacing w:after="160" w:line="259" w:lineRule="auto"/>
              <w:rPr>
                <w:rFonts w:ascii="Calibri" w:eastAsia="Calibri" w:hAnsi="Calibri"/>
                <w:sz w:val="22"/>
                <w:szCs w:val="22"/>
                <w:lang w:val="en-GB"/>
              </w:rPr>
            </w:pPr>
            <w:r w:rsidRPr="000729CF">
              <w:rPr>
                <w:rFonts w:ascii="Calibri" w:eastAsia="Calibri" w:hAnsi="Calibri"/>
                <w:sz w:val="22"/>
                <w:szCs w:val="22"/>
                <w:lang w:val="en-GB"/>
              </w:rPr>
              <w:t>Increase light touch parking schemes to a price nearer to full schemes (which will be frozen for 2024/25) to reflect the utilisation of parking spaces and generate £60k income per annum taking into account demand loss. Changes will require a notice of intention so could not be implemented until May. See EIA 16.</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6D8D606B"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60 </w:t>
            </w:r>
          </w:p>
        </w:tc>
      </w:tr>
      <w:tr w:rsidR="000729CF" w:rsidRPr="000729CF" w14:paraId="4DE47E7A"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46654000"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Parking</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35550BAE"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Parking</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1AADD739"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Introduce penalties for unauthorised bay suspensions.</w:t>
            </w:r>
            <w:r w:rsidRPr="000729CF">
              <w:rPr>
                <w:rFonts w:ascii="Calibri" w:hAnsi="Calibri" w:cs="Calibri"/>
                <w:sz w:val="22"/>
                <w:szCs w:val="22"/>
                <w:lang w:val="en-GB" w:eastAsia="en-GB"/>
              </w:rPr>
              <w:br/>
              <w:t>RISK: Further modelling of income deliverability required. May be difficulties in practically enforcing the penalty. See EIA 16.</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1A26645A"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60 </w:t>
            </w:r>
          </w:p>
        </w:tc>
      </w:tr>
      <w:tr w:rsidR="000729CF" w:rsidRPr="000729CF" w14:paraId="4E86C4D9"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51D4E77C"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Parking</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6FC15FBA"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Parking</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6882610C"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Review of localised parking to generate additional revenues. </w:t>
            </w:r>
            <w:r w:rsidRPr="000729CF">
              <w:rPr>
                <w:rFonts w:ascii="Calibri" w:hAnsi="Calibri" w:cs="Calibri"/>
                <w:color w:val="000000"/>
                <w:sz w:val="22"/>
                <w:szCs w:val="22"/>
                <w:lang w:val="en-GB" w:eastAsia="en-GB"/>
              </w:rPr>
              <w:br/>
              <w:t>RISK: Could impact businesses, and resident and visitor patronage. See EIA 16.</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6CD1FA93"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77 </w:t>
            </w:r>
          </w:p>
        </w:tc>
      </w:tr>
      <w:tr w:rsidR="000729CF" w:rsidRPr="000729CF" w14:paraId="10F68728"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233AA4F5"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Parking</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1BD7029A"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Parking</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228B9F3F"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Restructure Parking Services to ensure the structure and resource is in place to protect and maximise existing revenue streams, and explore new, innovative revenue areas to meet budgetary demands. This will reduce net staffing within the service with the aim of "delivering more with less" through improved workflow and processing.</w:t>
            </w:r>
            <w:r w:rsidRPr="000729CF">
              <w:rPr>
                <w:rFonts w:ascii="Calibri" w:hAnsi="Calibri" w:cs="Calibri"/>
                <w:sz w:val="22"/>
                <w:szCs w:val="22"/>
                <w:lang w:val="en-GB" w:eastAsia="en-GB"/>
              </w:rPr>
              <w:br/>
              <w:t>RISK: This may have some effect on customer service performance.</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6168EA6F"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200 </w:t>
            </w:r>
          </w:p>
        </w:tc>
      </w:tr>
      <w:tr w:rsidR="000729CF" w:rsidRPr="000729CF" w14:paraId="0BF92945" w14:textId="77777777" w:rsidTr="00BC26AB">
        <w:trPr>
          <w:trHeight w:val="20"/>
        </w:trPr>
        <w:tc>
          <w:tcPr>
            <w:tcW w:w="2025" w:type="pct"/>
            <w:gridSpan w:val="2"/>
            <w:tcBorders>
              <w:top w:val="single" w:sz="4" w:space="0" w:color="auto"/>
              <w:left w:val="single" w:sz="4" w:space="0" w:color="auto"/>
              <w:bottom w:val="single" w:sz="4" w:space="0" w:color="auto"/>
              <w:right w:val="single" w:sz="4" w:space="0" w:color="auto"/>
            </w:tcBorders>
            <w:shd w:val="clear" w:color="000000" w:fill="A6A6A6"/>
            <w:noWrap/>
            <w:tcMar>
              <w:left w:w="45" w:type="dxa"/>
              <w:right w:w="45" w:type="dxa"/>
            </w:tcMar>
            <w:hideMark/>
          </w:tcPr>
          <w:p w14:paraId="5CABD369"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Transport Total</w:t>
            </w:r>
          </w:p>
        </w:tc>
        <w:tc>
          <w:tcPr>
            <w:tcW w:w="2514" w:type="pct"/>
            <w:tcBorders>
              <w:top w:val="nil"/>
              <w:left w:val="nil"/>
              <w:bottom w:val="single" w:sz="4" w:space="0" w:color="auto"/>
              <w:right w:val="single" w:sz="4" w:space="0" w:color="auto"/>
            </w:tcBorders>
            <w:shd w:val="clear" w:color="000000" w:fill="A6A6A6"/>
            <w:noWrap/>
            <w:tcMar>
              <w:left w:w="45" w:type="dxa"/>
              <w:right w:w="45" w:type="dxa"/>
            </w:tcMar>
            <w:hideMark/>
          </w:tcPr>
          <w:p w14:paraId="46DA40BB"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w:t>
            </w:r>
          </w:p>
        </w:tc>
        <w:tc>
          <w:tcPr>
            <w:tcW w:w="461" w:type="pct"/>
            <w:tcBorders>
              <w:top w:val="nil"/>
              <w:left w:val="nil"/>
              <w:bottom w:val="single" w:sz="4" w:space="0" w:color="auto"/>
              <w:right w:val="single" w:sz="4" w:space="0" w:color="auto"/>
            </w:tcBorders>
            <w:shd w:val="clear" w:color="000000" w:fill="A6A6A6"/>
            <w:noWrap/>
            <w:tcMar>
              <w:left w:w="45" w:type="dxa"/>
              <w:right w:w="45" w:type="dxa"/>
            </w:tcMar>
            <w:hideMark/>
          </w:tcPr>
          <w:p w14:paraId="3DF21AC1"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978 </w:t>
            </w:r>
          </w:p>
        </w:tc>
      </w:tr>
      <w:tr w:rsidR="000729CF" w:rsidRPr="000729CF" w14:paraId="73FF221F" w14:textId="77777777" w:rsidTr="00BC26AB">
        <w:trPr>
          <w:trHeight w:val="20"/>
        </w:trPr>
        <w:tc>
          <w:tcPr>
            <w:tcW w:w="1013" w:type="pct"/>
            <w:tcBorders>
              <w:top w:val="nil"/>
              <w:left w:val="single" w:sz="4" w:space="0" w:color="auto"/>
              <w:bottom w:val="single" w:sz="4" w:space="0" w:color="auto"/>
              <w:right w:val="single" w:sz="4" w:space="0" w:color="auto"/>
            </w:tcBorders>
            <w:shd w:val="clear" w:color="000000" w:fill="000000"/>
            <w:noWrap/>
            <w:tcMar>
              <w:left w:w="45" w:type="dxa"/>
              <w:right w:w="45" w:type="dxa"/>
            </w:tcMar>
            <w:hideMark/>
          </w:tcPr>
          <w:p w14:paraId="70B0F6A8"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City Environmental Management</w:t>
            </w:r>
          </w:p>
        </w:tc>
        <w:tc>
          <w:tcPr>
            <w:tcW w:w="1012" w:type="pct"/>
            <w:tcBorders>
              <w:top w:val="nil"/>
              <w:left w:val="nil"/>
              <w:bottom w:val="single" w:sz="4" w:space="0" w:color="auto"/>
              <w:right w:val="single" w:sz="4" w:space="0" w:color="auto"/>
            </w:tcBorders>
            <w:shd w:val="clear" w:color="000000" w:fill="000000"/>
            <w:noWrap/>
            <w:tcMar>
              <w:left w:w="45" w:type="dxa"/>
              <w:right w:w="45" w:type="dxa"/>
            </w:tcMar>
            <w:hideMark/>
          </w:tcPr>
          <w:p w14:paraId="4FF38CE2"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 </w:t>
            </w:r>
          </w:p>
        </w:tc>
        <w:tc>
          <w:tcPr>
            <w:tcW w:w="2514" w:type="pct"/>
            <w:tcBorders>
              <w:top w:val="nil"/>
              <w:left w:val="nil"/>
              <w:bottom w:val="single" w:sz="4" w:space="0" w:color="auto"/>
              <w:right w:val="single" w:sz="4" w:space="0" w:color="auto"/>
            </w:tcBorders>
            <w:shd w:val="clear" w:color="000000" w:fill="000000"/>
            <w:noWrap/>
            <w:tcMar>
              <w:left w:w="45" w:type="dxa"/>
              <w:right w:w="45" w:type="dxa"/>
            </w:tcMar>
            <w:hideMark/>
          </w:tcPr>
          <w:p w14:paraId="4D708BB3"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 </w:t>
            </w:r>
          </w:p>
        </w:tc>
        <w:tc>
          <w:tcPr>
            <w:tcW w:w="461" w:type="pct"/>
            <w:tcBorders>
              <w:top w:val="nil"/>
              <w:left w:val="nil"/>
              <w:bottom w:val="single" w:sz="4" w:space="0" w:color="auto"/>
              <w:right w:val="single" w:sz="4" w:space="0" w:color="auto"/>
            </w:tcBorders>
            <w:shd w:val="clear" w:color="000000" w:fill="000000"/>
            <w:noWrap/>
            <w:tcMar>
              <w:left w:w="45" w:type="dxa"/>
              <w:right w:w="45" w:type="dxa"/>
            </w:tcMar>
            <w:hideMark/>
          </w:tcPr>
          <w:p w14:paraId="71AC2472" w14:textId="77777777" w:rsidR="000729CF" w:rsidRPr="000729CF" w:rsidRDefault="000729CF" w:rsidP="000729CF">
            <w:pPr>
              <w:jc w:val="right"/>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 </w:t>
            </w:r>
          </w:p>
        </w:tc>
      </w:tr>
      <w:tr w:rsidR="000729CF" w:rsidRPr="000729CF" w14:paraId="4C848935"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1DCCF115"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Head of City Environmental Management</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5A4962CE"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4C60712C"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No saving opportunity identified.</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2AE273E3"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38C6444D"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13908382"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City Clean</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2A11D01E"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Collections</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0869EA17"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Service redesign in </w:t>
            </w:r>
            <w:proofErr w:type="spellStart"/>
            <w:r w:rsidRPr="000729CF">
              <w:rPr>
                <w:rFonts w:ascii="Calibri" w:hAnsi="Calibri" w:cs="Calibri"/>
                <w:color w:val="000000"/>
                <w:sz w:val="22"/>
                <w:szCs w:val="22"/>
                <w:lang w:val="en-GB" w:eastAsia="en-GB"/>
              </w:rPr>
              <w:t>Cityclean</w:t>
            </w:r>
            <w:proofErr w:type="spellEnd"/>
            <w:r w:rsidRPr="000729CF">
              <w:rPr>
                <w:rFonts w:ascii="Calibri" w:hAnsi="Calibri" w:cs="Calibri"/>
                <w:color w:val="000000"/>
                <w:sz w:val="22"/>
                <w:szCs w:val="22"/>
                <w:lang w:val="en-GB" w:eastAsia="en-GB"/>
              </w:rPr>
              <w:t xml:space="preserve"> collections as per below.</w:t>
            </w:r>
            <w:r w:rsidRPr="000729CF">
              <w:rPr>
                <w:rFonts w:ascii="Calibri" w:hAnsi="Calibri" w:cs="Calibri"/>
                <w:color w:val="000000"/>
                <w:sz w:val="22"/>
                <w:szCs w:val="22"/>
                <w:lang w:val="en-GB" w:eastAsia="en-GB"/>
              </w:rPr>
              <w:br/>
              <w:t>RISK: Managing industrial relations through effective consultation and engagement is key to delivery.</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62462A01"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240CC087"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293712F1"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City Clean</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40DE80A4"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Collections</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32F9EC4B"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xml:space="preserve">Efficiencies in </w:t>
            </w:r>
            <w:proofErr w:type="spellStart"/>
            <w:r w:rsidRPr="000729CF">
              <w:rPr>
                <w:rFonts w:ascii="Calibri" w:hAnsi="Calibri" w:cs="Calibri"/>
                <w:sz w:val="22"/>
                <w:szCs w:val="22"/>
                <w:lang w:val="en-GB" w:eastAsia="en-GB"/>
              </w:rPr>
              <w:t>Cityclean</w:t>
            </w:r>
            <w:proofErr w:type="spellEnd"/>
            <w:r w:rsidRPr="000729CF">
              <w:rPr>
                <w:rFonts w:ascii="Calibri" w:hAnsi="Calibri" w:cs="Calibri"/>
                <w:sz w:val="22"/>
                <w:szCs w:val="22"/>
                <w:lang w:val="en-GB" w:eastAsia="en-GB"/>
              </w:rPr>
              <w:t xml:space="preserve"> operations leading to a reduction in the use of agency staff.</w:t>
            </w:r>
            <w:r w:rsidRPr="000729CF">
              <w:rPr>
                <w:rFonts w:ascii="Calibri" w:hAnsi="Calibri" w:cs="Calibri"/>
                <w:sz w:val="22"/>
                <w:szCs w:val="22"/>
                <w:lang w:val="en-GB" w:eastAsia="en-GB"/>
              </w:rPr>
              <w:br/>
              <w:t>RISK: Reduced contingency resource to cover unplanned absence and other service disruptions.</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38EAD57C"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225 </w:t>
            </w:r>
          </w:p>
        </w:tc>
      </w:tr>
      <w:tr w:rsidR="000729CF" w:rsidRPr="000729CF" w14:paraId="1B498A57"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1842C3A7"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City Clean</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54589184"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Collections</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64D36977"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Management redesign in Operations. Includes a review of facility time staffing at the depot.</w:t>
            </w:r>
            <w:r w:rsidRPr="000729CF">
              <w:rPr>
                <w:rFonts w:ascii="Calibri" w:hAnsi="Calibri" w:cs="Calibri"/>
                <w:sz w:val="22"/>
                <w:szCs w:val="22"/>
                <w:lang w:val="en-GB" w:eastAsia="en-GB"/>
              </w:rPr>
              <w:br/>
              <w:t>RISK: Requires effective consultation and engagement with recognised unions.</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1D81E561"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103 </w:t>
            </w:r>
          </w:p>
        </w:tc>
      </w:tr>
      <w:tr w:rsidR="000729CF" w:rsidRPr="000729CF" w14:paraId="0D2C0B73"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6F4CE5BF"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City Clean</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7416CECA"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Collections</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2A0805B5"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xml:space="preserve">Delete vacant Driver Supervisor posts in </w:t>
            </w:r>
            <w:proofErr w:type="spellStart"/>
            <w:r w:rsidRPr="000729CF">
              <w:rPr>
                <w:rFonts w:ascii="Calibri" w:hAnsi="Calibri" w:cs="Calibri"/>
                <w:sz w:val="22"/>
                <w:szCs w:val="22"/>
                <w:lang w:val="en-GB" w:eastAsia="en-GB"/>
              </w:rPr>
              <w:t>Cityclean</w:t>
            </w:r>
            <w:proofErr w:type="spellEnd"/>
            <w:r w:rsidRPr="000729CF">
              <w:rPr>
                <w:rFonts w:ascii="Calibri" w:hAnsi="Calibri" w:cs="Calibri"/>
                <w:sz w:val="22"/>
                <w:szCs w:val="22"/>
                <w:lang w:val="en-GB" w:eastAsia="en-GB"/>
              </w:rPr>
              <w:t xml:space="preserve"> collections.</w:t>
            </w:r>
            <w:r w:rsidRPr="000729CF">
              <w:rPr>
                <w:rFonts w:ascii="Calibri" w:hAnsi="Calibri" w:cs="Calibri"/>
                <w:sz w:val="22"/>
                <w:szCs w:val="22"/>
                <w:lang w:val="en-GB" w:eastAsia="en-GB"/>
              </w:rPr>
              <w:br/>
              <w:t>RISK: Increased pressure on remaining resources.</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10CFC101"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100 </w:t>
            </w:r>
          </w:p>
        </w:tc>
      </w:tr>
      <w:tr w:rsidR="000729CF" w:rsidRPr="000729CF" w14:paraId="7B541D30"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6DBFE436"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City Clean</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75A2D69D"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Public Toilets</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03102D90"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Change public toilets opening hours to end early opening and enable single, daytime staff shifts. A service redesign will be required. This saving is based on alternative investment for Royal Pavilion Garden toilets pending the garden redevelopment and new facility. It also does not include opening the Level toilets, as these are to be part of The </w:t>
            </w:r>
            <w:proofErr w:type="spellStart"/>
            <w:r w:rsidRPr="000729CF">
              <w:rPr>
                <w:rFonts w:ascii="Calibri" w:hAnsi="Calibri" w:cs="Calibri"/>
                <w:color w:val="000000"/>
                <w:sz w:val="22"/>
                <w:szCs w:val="22"/>
                <w:lang w:val="en-GB" w:eastAsia="en-GB"/>
              </w:rPr>
              <w:t>MacLaren</w:t>
            </w:r>
            <w:proofErr w:type="spellEnd"/>
            <w:r w:rsidRPr="000729CF">
              <w:rPr>
                <w:rFonts w:ascii="Calibri" w:hAnsi="Calibri" w:cs="Calibri"/>
                <w:color w:val="000000"/>
                <w:sz w:val="22"/>
                <w:szCs w:val="22"/>
                <w:lang w:val="en-GB" w:eastAsia="en-GB"/>
              </w:rPr>
              <w:t xml:space="preserve"> Pavilion and operated by the cafe tenant.</w:t>
            </w:r>
            <w:r w:rsidRPr="000729CF">
              <w:rPr>
                <w:rFonts w:ascii="Calibri" w:hAnsi="Calibri" w:cs="Calibri"/>
                <w:color w:val="000000"/>
                <w:sz w:val="22"/>
                <w:szCs w:val="22"/>
                <w:lang w:val="en-GB" w:eastAsia="en-GB"/>
              </w:rPr>
              <w:br/>
              <w:t>RISK: Impact on events in some public spaces near public toilets. See EIA 17.</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1EB0AFC7"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 xml:space="preserve">178 </w:t>
            </w:r>
          </w:p>
        </w:tc>
      </w:tr>
      <w:tr w:rsidR="000729CF" w:rsidRPr="000729CF" w14:paraId="49C15826"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64F0BE9C"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City Clean</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02CD5066"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xml:space="preserve">Trade Waste </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199217D9"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Increase trade waste collection charges to deliver additional income. </w:t>
            </w:r>
            <w:r w:rsidRPr="000729CF">
              <w:rPr>
                <w:rFonts w:ascii="Calibri" w:hAnsi="Calibri" w:cs="Calibri"/>
                <w:color w:val="000000"/>
                <w:sz w:val="22"/>
                <w:szCs w:val="22"/>
                <w:lang w:val="en-GB" w:eastAsia="en-GB"/>
              </w:rPr>
              <w:br/>
              <w:t>RISK: May risk impacting existing customers and is dependent on market conditions.</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14A99B8E"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75 </w:t>
            </w:r>
          </w:p>
        </w:tc>
      </w:tr>
      <w:tr w:rsidR="000729CF" w:rsidRPr="000729CF" w14:paraId="29AA683B"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195F812C"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City Clean</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7FEB46E1"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Garden Waste</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000B1409"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Market and extend the garden waste collection service to expand the customer base and deliver additional income.</w:t>
            </w:r>
            <w:r w:rsidRPr="000729CF">
              <w:rPr>
                <w:rFonts w:ascii="Calibri" w:hAnsi="Calibri" w:cs="Calibri"/>
                <w:color w:val="000000"/>
                <w:sz w:val="22"/>
                <w:szCs w:val="22"/>
                <w:lang w:val="en-GB" w:eastAsia="en-GB"/>
              </w:rPr>
              <w:br/>
              <w:t>RISK: Dependent on levels of demand.</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440C5F22"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 xml:space="preserve">75 </w:t>
            </w:r>
          </w:p>
        </w:tc>
      </w:tr>
      <w:tr w:rsidR="000729CF" w:rsidRPr="000729CF" w14:paraId="7FC655B5"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096D6E7D"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City Clean</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463456B9"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Street Cleansing</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60EFE294"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No saving opportunity identified.</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6DD42CC4"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55A6A902"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76D3005B"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City Parks</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17C189CA"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Operations</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76CFBF0E"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xml:space="preserve">End school grounds maintenance contract. This would reduce the staffing costs by the equivalent of 2 </w:t>
            </w:r>
            <w:proofErr w:type="spellStart"/>
            <w:r w:rsidRPr="000729CF">
              <w:rPr>
                <w:rFonts w:ascii="Calibri" w:hAnsi="Calibri" w:cs="Calibri"/>
                <w:sz w:val="22"/>
                <w:szCs w:val="22"/>
                <w:lang w:val="en-GB" w:eastAsia="en-GB"/>
              </w:rPr>
              <w:t>fte</w:t>
            </w:r>
            <w:proofErr w:type="spellEnd"/>
            <w:r w:rsidRPr="000729CF">
              <w:rPr>
                <w:rFonts w:ascii="Calibri" w:hAnsi="Calibri" w:cs="Calibri"/>
                <w:sz w:val="22"/>
                <w:szCs w:val="22"/>
                <w:lang w:val="en-GB" w:eastAsia="en-GB"/>
              </w:rPr>
              <w:t xml:space="preserve"> gardeners. </w:t>
            </w:r>
            <w:r w:rsidRPr="000729CF">
              <w:rPr>
                <w:rFonts w:ascii="Calibri" w:hAnsi="Calibri" w:cs="Calibri"/>
                <w:sz w:val="22"/>
                <w:szCs w:val="22"/>
                <w:lang w:val="en-GB" w:eastAsia="en-GB"/>
              </w:rPr>
              <w:br/>
              <w:t>RISK: Could increase costs for schools.</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1AE17087"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30 </w:t>
            </w:r>
          </w:p>
        </w:tc>
      </w:tr>
      <w:tr w:rsidR="000729CF" w:rsidRPr="000729CF" w14:paraId="0E9F62EE"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75AE93E1"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City Parks</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456C1CFE"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Operations</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5FA118A9"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No saving opportunity identified in 2024/25.</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423BE3CF"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138EE82C"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13A2F910"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City Parks</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6E39A1EB"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Operations</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34059CAC"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Charge allowable staffing expenditure to Stanmer Park parking income. This will reduce the gardener resource that is funded from core staffing budgets.</w:t>
            </w:r>
            <w:r w:rsidRPr="000729CF">
              <w:rPr>
                <w:rFonts w:ascii="Calibri" w:hAnsi="Calibri" w:cs="Calibri"/>
                <w:color w:val="000000"/>
                <w:sz w:val="22"/>
                <w:szCs w:val="22"/>
                <w:lang w:val="en-GB" w:eastAsia="en-GB"/>
              </w:rPr>
              <w:br/>
              <w:t>RISK: Reduces overall annual surplus for further investment at Stanmer Park.</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56584654"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44 </w:t>
            </w:r>
          </w:p>
        </w:tc>
      </w:tr>
      <w:tr w:rsidR="000729CF" w:rsidRPr="000729CF" w14:paraId="2D18DFFF"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6C6DA9C9"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City Parks</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46178100"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Operations</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0EBCB5F1"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Transfer of Bowling Greens to clubs (or closure) to save maintenance costs.</w:t>
            </w:r>
            <w:r w:rsidRPr="000729CF">
              <w:rPr>
                <w:rFonts w:ascii="Calibri" w:hAnsi="Calibri" w:cs="Calibri"/>
                <w:color w:val="000000"/>
                <w:sz w:val="22"/>
                <w:szCs w:val="22"/>
                <w:lang w:val="en-GB" w:eastAsia="en-GB"/>
              </w:rPr>
              <w:br/>
              <w:t>RISK: Subsequent loss of income from bowling greens. See EIA 18.</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789CA953"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 xml:space="preserve">10 </w:t>
            </w:r>
          </w:p>
        </w:tc>
      </w:tr>
      <w:tr w:rsidR="000729CF" w:rsidRPr="000729CF" w14:paraId="283C427C"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2E560371"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Fleet</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34CEDCAB"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Fleet</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7EF4650F"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Introduce an accident reduction policy and training to limit accident damage to the council's fleet, aiming to reduce wear and tear and driver error.</w:t>
            </w:r>
            <w:r w:rsidRPr="000729CF">
              <w:rPr>
                <w:rFonts w:ascii="Calibri" w:hAnsi="Calibri" w:cs="Calibri"/>
                <w:color w:val="000000"/>
                <w:sz w:val="22"/>
                <w:szCs w:val="22"/>
                <w:lang w:val="en-GB" w:eastAsia="en-GB"/>
              </w:rPr>
              <w:br/>
              <w:t>RISK: Dependent on resource to develop the policy and support changes to driver behaviour.</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00D5E198"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10 </w:t>
            </w:r>
          </w:p>
        </w:tc>
      </w:tr>
      <w:tr w:rsidR="000729CF" w:rsidRPr="000729CF" w14:paraId="56C76661"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2ACF66B7"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Fleet</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71A44D63"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Fleet</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4739BB6C"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Reduction in fleet maintenance costs through use of an in-house brake and calibration machine and provision of commercial brake testing service.</w:t>
            </w:r>
            <w:r w:rsidRPr="000729CF">
              <w:rPr>
                <w:rFonts w:ascii="Calibri" w:hAnsi="Calibri" w:cs="Calibri"/>
                <w:color w:val="000000"/>
                <w:sz w:val="22"/>
                <w:szCs w:val="22"/>
                <w:lang w:val="en-GB" w:eastAsia="en-GB"/>
              </w:rPr>
              <w:br/>
              <w:t>RISK: Dependent on demand and market conditions.</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0CD80869"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25 </w:t>
            </w:r>
          </w:p>
        </w:tc>
      </w:tr>
      <w:tr w:rsidR="000729CF" w:rsidRPr="000729CF" w14:paraId="3C0733B8"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3AAF86F5"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CEM Strategy and Service Improvement</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7AD9382C"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CEM Strategy and Service Improvement</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7A4CE1A6"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Deletion of a vacant Assistant Business Support Manager post. This saving is to offset a service pressure from introducing a new team which is essential to managing digital CityClean.</w:t>
            </w:r>
            <w:r w:rsidRPr="000729CF">
              <w:rPr>
                <w:rFonts w:ascii="Calibri" w:hAnsi="Calibri" w:cs="Calibri"/>
                <w:sz w:val="22"/>
                <w:szCs w:val="22"/>
                <w:lang w:val="en-GB" w:eastAsia="en-GB"/>
              </w:rPr>
              <w:br/>
              <w:t>RISK: Increased pressure on remaining business support resource and customer service levels.</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72798C45"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46 </w:t>
            </w:r>
          </w:p>
        </w:tc>
      </w:tr>
      <w:tr w:rsidR="000729CF" w:rsidRPr="000729CF" w14:paraId="509C6090"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7B57EF09"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CEM Strategy and Service Improvement</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777A1A43"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CEM Strategy and Service Improvement</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224E6F0F"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xml:space="preserve">Deletion of vacant posts in the </w:t>
            </w:r>
            <w:proofErr w:type="spellStart"/>
            <w:r w:rsidRPr="000729CF">
              <w:rPr>
                <w:rFonts w:ascii="Calibri" w:hAnsi="Calibri" w:cs="Calibri"/>
                <w:sz w:val="22"/>
                <w:szCs w:val="22"/>
                <w:lang w:val="en-GB" w:eastAsia="en-GB"/>
              </w:rPr>
              <w:t>CityParks</w:t>
            </w:r>
            <w:proofErr w:type="spellEnd"/>
            <w:r w:rsidRPr="000729CF">
              <w:rPr>
                <w:rFonts w:ascii="Calibri" w:hAnsi="Calibri" w:cs="Calibri"/>
                <w:sz w:val="22"/>
                <w:szCs w:val="22"/>
                <w:lang w:val="en-GB" w:eastAsia="en-GB"/>
              </w:rPr>
              <w:t xml:space="preserve"> Project Team.</w:t>
            </w:r>
            <w:r w:rsidRPr="000729CF">
              <w:rPr>
                <w:rFonts w:ascii="Calibri" w:hAnsi="Calibri" w:cs="Calibri"/>
                <w:sz w:val="22"/>
                <w:szCs w:val="22"/>
                <w:lang w:val="en-GB" w:eastAsia="en-GB"/>
              </w:rPr>
              <w:br/>
              <w:t>RISK: Increased pressure on remaining resources to deliver City Parks projects.</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36074986"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80 </w:t>
            </w:r>
          </w:p>
        </w:tc>
      </w:tr>
      <w:tr w:rsidR="000729CF" w:rsidRPr="000729CF" w14:paraId="1F6153AD"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1A3147B6"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Waste PFI</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6F98CAF6"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Waste PFI (saving will be shown in Waste PFI and not revenue budgets)</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53AF21E6"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Reduce household waste through circular economy and increasing recycling initiatives to reduce overall disposal costs.</w:t>
            </w:r>
            <w:r w:rsidRPr="000729CF">
              <w:rPr>
                <w:rFonts w:ascii="Calibri" w:hAnsi="Calibri" w:cs="Calibri"/>
                <w:sz w:val="22"/>
                <w:szCs w:val="22"/>
                <w:lang w:val="en-GB" w:eastAsia="en-GB"/>
              </w:rPr>
              <w:br/>
              <w:t>RISK: Dependent on a number of investment streams, national legislation and resident behaviour. Difficult to calculate potential savings due to a variety of external factors such as global recycling markets; success of behaviour change; inflation etc.</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00B44901"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100 </w:t>
            </w:r>
          </w:p>
        </w:tc>
      </w:tr>
      <w:tr w:rsidR="000729CF" w:rsidRPr="000729CF" w14:paraId="4729010F"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73D3E30C"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Waste PFI</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22BA287A"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Waste PFI (saving will be shown in Waste PFI and not revenue budgets)</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5AAF9BC6"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Increase in energy income from the Waste PFI contract. £500k is assumed to be one-off at this stage but will be kept under review during 2024/25.</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1DF7D166"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1,200 </w:t>
            </w:r>
          </w:p>
        </w:tc>
      </w:tr>
      <w:tr w:rsidR="000729CF" w:rsidRPr="000729CF" w14:paraId="04F8D899" w14:textId="77777777" w:rsidTr="00BC26AB">
        <w:trPr>
          <w:trHeight w:val="20"/>
        </w:trPr>
        <w:tc>
          <w:tcPr>
            <w:tcW w:w="2025" w:type="pct"/>
            <w:gridSpan w:val="2"/>
            <w:tcBorders>
              <w:top w:val="single" w:sz="4" w:space="0" w:color="auto"/>
              <w:left w:val="single" w:sz="4" w:space="0" w:color="auto"/>
              <w:bottom w:val="single" w:sz="4" w:space="0" w:color="auto"/>
              <w:right w:val="single" w:sz="4" w:space="0" w:color="auto"/>
            </w:tcBorders>
            <w:shd w:val="clear" w:color="000000" w:fill="A6A6A6"/>
            <w:noWrap/>
            <w:tcMar>
              <w:left w:w="45" w:type="dxa"/>
              <w:right w:w="45" w:type="dxa"/>
            </w:tcMar>
            <w:hideMark/>
          </w:tcPr>
          <w:p w14:paraId="0B1A6F79"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City Environmental Management Total</w:t>
            </w:r>
          </w:p>
        </w:tc>
        <w:tc>
          <w:tcPr>
            <w:tcW w:w="2514" w:type="pct"/>
            <w:tcBorders>
              <w:top w:val="nil"/>
              <w:left w:val="nil"/>
              <w:bottom w:val="single" w:sz="4" w:space="0" w:color="auto"/>
              <w:right w:val="single" w:sz="4" w:space="0" w:color="auto"/>
            </w:tcBorders>
            <w:shd w:val="clear" w:color="000000" w:fill="A6A6A6"/>
            <w:noWrap/>
            <w:tcMar>
              <w:left w:w="45" w:type="dxa"/>
              <w:right w:w="45" w:type="dxa"/>
            </w:tcMar>
            <w:hideMark/>
          </w:tcPr>
          <w:p w14:paraId="10333254"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w:t>
            </w:r>
          </w:p>
        </w:tc>
        <w:tc>
          <w:tcPr>
            <w:tcW w:w="461" w:type="pct"/>
            <w:tcBorders>
              <w:top w:val="nil"/>
              <w:left w:val="nil"/>
              <w:bottom w:val="single" w:sz="4" w:space="0" w:color="auto"/>
              <w:right w:val="single" w:sz="4" w:space="0" w:color="auto"/>
            </w:tcBorders>
            <w:shd w:val="clear" w:color="000000" w:fill="A6A6A6"/>
            <w:noWrap/>
            <w:tcMar>
              <w:left w:w="45" w:type="dxa"/>
              <w:right w:w="45" w:type="dxa"/>
            </w:tcMar>
            <w:hideMark/>
          </w:tcPr>
          <w:p w14:paraId="171E6AEE"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2,301 </w:t>
            </w:r>
          </w:p>
        </w:tc>
      </w:tr>
      <w:tr w:rsidR="000729CF" w:rsidRPr="000729CF" w14:paraId="6D96676A" w14:textId="77777777" w:rsidTr="00BC26AB">
        <w:trPr>
          <w:trHeight w:val="20"/>
        </w:trPr>
        <w:tc>
          <w:tcPr>
            <w:tcW w:w="4539" w:type="pct"/>
            <w:gridSpan w:val="3"/>
            <w:tcBorders>
              <w:top w:val="single" w:sz="4" w:space="0" w:color="auto"/>
              <w:left w:val="single" w:sz="4" w:space="0" w:color="auto"/>
              <w:bottom w:val="single" w:sz="4" w:space="0" w:color="auto"/>
              <w:right w:val="single" w:sz="4" w:space="0" w:color="auto"/>
            </w:tcBorders>
            <w:shd w:val="clear" w:color="000000" w:fill="000000"/>
            <w:noWrap/>
            <w:tcMar>
              <w:left w:w="45" w:type="dxa"/>
              <w:right w:w="45" w:type="dxa"/>
            </w:tcMar>
            <w:hideMark/>
          </w:tcPr>
          <w:p w14:paraId="599A1888"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City Development &amp; Regeneration</w:t>
            </w:r>
          </w:p>
        </w:tc>
        <w:tc>
          <w:tcPr>
            <w:tcW w:w="461" w:type="pct"/>
            <w:tcBorders>
              <w:top w:val="nil"/>
              <w:left w:val="nil"/>
              <w:bottom w:val="single" w:sz="4" w:space="0" w:color="auto"/>
              <w:right w:val="single" w:sz="4" w:space="0" w:color="auto"/>
            </w:tcBorders>
            <w:shd w:val="clear" w:color="000000" w:fill="000000"/>
            <w:noWrap/>
            <w:tcMar>
              <w:left w:w="45" w:type="dxa"/>
              <w:right w:w="45" w:type="dxa"/>
            </w:tcMar>
            <w:hideMark/>
          </w:tcPr>
          <w:p w14:paraId="07AC0708"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 </w:t>
            </w:r>
          </w:p>
        </w:tc>
      </w:tr>
      <w:tr w:rsidR="000729CF" w:rsidRPr="000729CF" w14:paraId="25AE7261"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3E0A3F79"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Regen and Major Projects</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2A31E970"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Regen and Major Projects</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57D5376A"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Increase target for capitalisation of project support.</w:t>
            </w:r>
            <w:r w:rsidRPr="000729CF">
              <w:rPr>
                <w:rFonts w:ascii="Calibri" w:hAnsi="Calibri" w:cs="Calibri"/>
                <w:color w:val="000000"/>
                <w:sz w:val="22"/>
                <w:szCs w:val="22"/>
                <w:lang w:val="en-GB" w:eastAsia="en-GB"/>
              </w:rPr>
              <w:br/>
              <w:t>RISK: Will create an in-year budget pressure if there are not sufficient projects to capitalise against.</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29BBD386"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70 </w:t>
            </w:r>
          </w:p>
        </w:tc>
      </w:tr>
      <w:tr w:rsidR="000729CF" w:rsidRPr="000729CF" w14:paraId="37DA59E2"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3066BDA5"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International &amp; Sustainability</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70862493"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International &amp; Sustainability</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65362019"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Redesign the council's sustainability function to focus on achieving Net Zero by 2030 and prioritise the delivery of transformational projects. Also protect the unique natural environment of the UNESCO Biosphere.</w:t>
            </w:r>
            <w:r w:rsidRPr="000729CF">
              <w:rPr>
                <w:rFonts w:ascii="Calibri" w:hAnsi="Calibri" w:cs="Calibri"/>
                <w:color w:val="000000"/>
                <w:sz w:val="22"/>
                <w:szCs w:val="22"/>
                <w:lang w:val="en-GB" w:eastAsia="en-GB"/>
              </w:rPr>
              <w:br/>
              <w:t>RISK: The Carbon Neutral Programme will be redesigned and biodiversity and climate adaptation work will reduce due to affordability constraints. Some staff will potentially be at risk of redundancy.</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687A534B"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 xml:space="preserve">200 </w:t>
            </w:r>
          </w:p>
        </w:tc>
      </w:tr>
      <w:tr w:rsidR="000729CF" w:rsidRPr="000729CF" w14:paraId="0D268DAA"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4EB713AF"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xml:space="preserve">Planning </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607AFF95"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xml:space="preserve">Planning </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69ABDD41"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Restructure the Planning service to meet future needs.</w:t>
            </w:r>
            <w:r w:rsidRPr="000729CF">
              <w:rPr>
                <w:rFonts w:ascii="Calibri" w:hAnsi="Calibri" w:cs="Calibri"/>
                <w:color w:val="000000"/>
                <w:sz w:val="22"/>
                <w:szCs w:val="22"/>
                <w:lang w:val="en-GB" w:eastAsia="en-GB"/>
              </w:rPr>
              <w:br/>
              <w:t>RISK: May result in impacts on performance in the short term and could affect investors' and developers' confidence in the city's planning system. This might see the service standards reduce and become 'just-acceptable'. Some staff will potentially be at risk of redundancy.</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0153F68F"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380 </w:t>
            </w:r>
          </w:p>
        </w:tc>
      </w:tr>
      <w:tr w:rsidR="000729CF" w:rsidRPr="000729CF" w14:paraId="0ED1B84E"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1B1571B4"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xml:space="preserve">Planning </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20B7B530"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xml:space="preserve">Planning </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42AEA367"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Increase planning fees by 25% in line with additional regulatory powers.</w:t>
            </w:r>
            <w:r w:rsidRPr="000729CF">
              <w:rPr>
                <w:rFonts w:ascii="Calibri" w:hAnsi="Calibri" w:cs="Calibri"/>
                <w:sz w:val="22"/>
                <w:szCs w:val="22"/>
                <w:lang w:val="en-GB" w:eastAsia="en-GB"/>
              </w:rPr>
              <w:br/>
              <w:t>RISK: Continuing fall in demand is likely to affect ability to achieve income, as reflected in service pressures.</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40BF8803"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300 </w:t>
            </w:r>
          </w:p>
        </w:tc>
      </w:tr>
      <w:tr w:rsidR="000729CF" w:rsidRPr="000729CF" w14:paraId="381D0022"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1E983A51"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Business Development &amp; Customer Services</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5101EED2"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Business Development &amp; Customer Services</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5233CD5F"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No saving identified but service will be reviewed as part of overall 'Organisational Redesign' principles.</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285AA29C"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72BB0FBA"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4B9ADA70"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Economic Development</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0EBADC79"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Economic Development</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31A8C302"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No saving opportunity identified for 2024/25. Service also needs to understand the implications of Local Enterprise Partnerships ending.</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324DEE48"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2A8ECC1A"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0D574F08"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Director EEC</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697F8E24"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Director EEC</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5D7CE9AC"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No saving identified but service will be reviewed as part of overall 'Organisational Redesign' principles.</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1C1D4939"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498DAE0E" w14:textId="77777777" w:rsidTr="00BC26AB">
        <w:trPr>
          <w:trHeight w:val="20"/>
        </w:trPr>
        <w:tc>
          <w:tcPr>
            <w:tcW w:w="2025" w:type="pct"/>
            <w:gridSpan w:val="2"/>
            <w:tcBorders>
              <w:top w:val="single" w:sz="4" w:space="0" w:color="auto"/>
              <w:left w:val="single" w:sz="4" w:space="0" w:color="auto"/>
              <w:bottom w:val="single" w:sz="4" w:space="0" w:color="auto"/>
              <w:right w:val="single" w:sz="4" w:space="0" w:color="auto"/>
            </w:tcBorders>
            <w:shd w:val="clear" w:color="000000" w:fill="A6A6A6"/>
            <w:noWrap/>
            <w:tcMar>
              <w:left w:w="45" w:type="dxa"/>
              <w:right w:w="45" w:type="dxa"/>
            </w:tcMar>
            <w:hideMark/>
          </w:tcPr>
          <w:p w14:paraId="4338C45B"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City Development &amp; Regeneration Total</w:t>
            </w:r>
          </w:p>
        </w:tc>
        <w:tc>
          <w:tcPr>
            <w:tcW w:w="2514" w:type="pct"/>
            <w:tcBorders>
              <w:top w:val="nil"/>
              <w:left w:val="nil"/>
              <w:bottom w:val="single" w:sz="4" w:space="0" w:color="auto"/>
              <w:right w:val="single" w:sz="4" w:space="0" w:color="auto"/>
            </w:tcBorders>
            <w:shd w:val="clear" w:color="000000" w:fill="A6A6A6"/>
            <w:noWrap/>
            <w:tcMar>
              <w:left w:w="45" w:type="dxa"/>
              <w:right w:w="45" w:type="dxa"/>
            </w:tcMar>
            <w:hideMark/>
          </w:tcPr>
          <w:p w14:paraId="73D1B8C3"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w:t>
            </w:r>
          </w:p>
        </w:tc>
        <w:tc>
          <w:tcPr>
            <w:tcW w:w="461" w:type="pct"/>
            <w:tcBorders>
              <w:top w:val="nil"/>
              <w:left w:val="nil"/>
              <w:bottom w:val="single" w:sz="4" w:space="0" w:color="auto"/>
              <w:right w:val="single" w:sz="4" w:space="0" w:color="auto"/>
            </w:tcBorders>
            <w:shd w:val="clear" w:color="000000" w:fill="A6A6A6"/>
            <w:noWrap/>
            <w:tcMar>
              <w:left w:w="45" w:type="dxa"/>
              <w:right w:w="45" w:type="dxa"/>
            </w:tcMar>
            <w:hideMark/>
          </w:tcPr>
          <w:p w14:paraId="4FAA0BA6"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950 </w:t>
            </w:r>
          </w:p>
        </w:tc>
      </w:tr>
      <w:tr w:rsidR="000729CF" w:rsidRPr="000729CF" w14:paraId="6BF76350" w14:textId="77777777" w:rsidTr="00BC26AB">
        <w:trPr>
          <w:trHeight w:val="20"/>
        </w:trPr>
        <w:tc>
          <w:tcPr>
            <w:tcW w:w="4539" w:type="pct"/>
            <w:gridSpan w:val="3"/>
            <w:tcBorders>
              <w:top w:val="single" w:sz="4" w:space="0" w:color="auto"/>
              <w:left w:val="single" w:sz="4" w:space="0" w:color="auto"/>
              <w:bottom w:val="single" w:sz="4" w:space="0" w:color="auto"/>
              <w:right w:val="single" w:sz="4" w:space="0" w:color="auto"/>
            </w:tcBorders>
            <w:shd w:val="clear" w:color="000000" w:fill="000000"/>
            <w:noWrap/>
            <w:tcMar>
              <w:left w:w="45" w:type="dxa"/>
              <w:right w:w="45" w:type="dxa"/>
            </w:tcMar>
            <w:hideMark/>
          </w:tcPr>
          <w:p w14:paraId="5B5B2541"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Culture, Tourism &amp; Sport</w:t>
            </w:r>
          </w:p>
        </w:tc>
        <w:tc>
          <w:tcPr>
            <w:tcW w:w="461" w:type="pct"/>
            <w:tcBorders>
              <w:top w:val="nil"/>
              <w:left w:val="nil"/>
              <w:bottom w:val="single" w:sz="4" w:space="0" w:color="auto"/>
              <w:right w:val="single" w:sz="4" w:space="0" w:color="auto"/>
            </w:tcBorders>
            <w:shd w:val="clear" w:color="000000" w:fill="000000"/>
            <w:noWrap/>
            <w:tcMar>
              <w:left w:w="45" w:type="dxa"/>
              <w:right w:w="45" w:type="dxa"/>
            </w:tcMar>
            <w:hideMark/>
          </w:tcPr>
          <w:p w14:paraId="52B1041B"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 </w:t>
            </w:r>
          </w:p>
        </w:tc>
      </w:tr>
      <w:tr w:rsidR="000729CF" w:rsidRPr="000729CF" w14:paraId="0AD7E2D2"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0CA9D64C"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Head of Culture, Tourism &amp; Sport</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6A8EDA2E"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Head of Culture, Tourism &amp; Sport</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0554F5E0"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No saving identified but service will be reviewed as part of overall 'Organisational Redesign' principles.</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276939B7"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2CFC6184"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172554C1"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Arts Development</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0E312803"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Arts Development</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0ED8C1E7"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Restructure Arts Development team to provide a focus on Culture &amp; Planning to oversee public art consultancy with developers, making a case for and managing S106/CIL culture investments in new developments, and leading work on Culture at Risk with Property/Regeneration/Planning. </w:t>
            </w:r>
            <w:r w:rsidRPr="000729CF">
              <w:rPr>
                <w:rFonts w:ascii="Calibri" w:hAnsi="Calibri" w:cs="Calibri"/>
                <w:color w:val="000000"/>
                <w:sz w:val="22"/>
                <w:szCs w:val="22"/>
                <w:lang w:val="en-GB" w:eastAsia="en-GB"/>
              </w:rPr>
              <w:br/>
              <w:t>RISK: Income not realised.</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2C9360FC"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15 </w:t>
            </w:r>
          </w:p>
        </w:tc>
      </w:tr>
      <w:tr w:rsidR="000729CF" w:rsidRPr="000729CF" w14:paraId="16E18477"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6935C0BE"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Museums and Culture</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4E303747"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Museums and Culture</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2AC57B1B"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No saving in 2024/25 but potential savings in annual contributions to Royal Pavilion &amp; Museums Trust due to a renegotiation of the service fee may be possible from 2026/27. </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75108C41"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49A6E9C4"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64A37D9A"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Museums and Culture</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6F167BDF"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Museums and Culture</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4C9B0EAD"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5% reduction in the Council's contributions to the Keep</w:t>
            </w:r>
            <w:r w:rsidRPr="000729CF">
              <w:rPr>
                <w:rFonts w:ascii="Calibri" w:hAnsi="Calibri" w:cs="Calibri"/>
                <w:sz w:val="22"/>
                <w:szCs w:val="22"/>
                <w:lang w:val="en-GB" w:eastAsia="en-GB"/>
              </w:rPr>
              <w:br/>
              <w:t>RISK: Potential impact on scale / breadth of offer. The Keep would need to find other sources of funding. Saving is subject to negotiating a revised agreement.</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738ED5A4"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15 </w:t>
            </w:r>
          </w:p>
        </w:tc>
      </w:tr>
      <w:tr w:rsidR="000729CF" w:rsidRPr="000729CF" w14:paraId="3DE706EA"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2362E157"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Museums and Culture</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236B97FB"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Museums and Culture</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71B235B2"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Release of heritage legacy funds.</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5CC2F2BC"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355 </w:t>
            </w:r>
          </w:p>
        </w:tc>
      </w:tr>
      <w:tr w:rsidR="000729CF" w:rsidRPr="000729CF" w14:paraId="58BB6D0A"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63011912"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Tourism &amp; Venues</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3C2BAE1E"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Tourism &amp; Venues</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72C381EC"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xml:space="preserve">Increase Brighton Centre ticket levy from £1.50 to £2.00 (extra 50p on every ticket).  </w:t>
            </w:r>
            <w:r w:rsidRPr="000729CF">
              <w:rPr>
                <w:rFonts w:ascii="Calibri" w:hAnsi="Calibri" w:cs="Calibri"/>
                <w:sz w:val="22"/>
                <w:szCs w:val="22"/>
                <w:lang w:val="en-GB" w:eastAsia="en-GB"/>
              </w:rPr>
              <w:br/>
              <w:t>RISK: Facility fee cannot be increased beyond 2024/25 for at least 3 years to ensure it is well established and there is no negative impact on ticket sales. See EIA 19.</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515C3072"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25 </w:t>
            </w:r>
          </w:p>
        </w:tc>
      </w:tr>
      <w:tr w:rsidR="000729CF" w:rsidRPr="000729CF" w14:paraId="6574F6F7"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2952FA7E"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Tourism &amp; Venues</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6F606FCA"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Tourism &amp; Venues</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61AD852D"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Reduction in subvention to the Brighton Centre. Shortfall will need to be made up through additional commercial activity or savings on expenditure budgets.</w:t>
            </w:r>
            <w:r w:rsidRPr="000729CF">
              <w:rPr>
                <w:rFonts w:ascii="Calibri" w:hAnsi="Calibri" w:cs="Calibri"/>
                <w:sz w:val="22"/>
                <w:szCs w:val="22"/>
                <w:lang w:val="en-GB" w:eastAsia="en-GB"/>
              </w:rPr>
              <w:br/>
              <w:t>RISK: Potential reduction in service quality and impact on the relationship with city partners and businesses. Need to ensure competitive rates and review this again in 2026/27.</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58DB05A9"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100 </w:t>
            </w:r>
          </w:p>
        </w:tc>
      </w:tr>
      <w:tr w:rsidR="000729CF" w:rsidRPr="000729CF" w14:paraId="4F6AE87F"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53334203"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Tourism &amp; Venues</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70785696"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Tourism &amp; Venues</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539EAF1A"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Review longer term options for future delivery model of the Brighton Centre. Savings cannot be determined until full options appraisal is undertaken. Commercially sensitive and requires significant resources to undertake review and timelines/feasibility.</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09B066F8"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7F328C00"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53663703"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Tourism &amp; Venues</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135956FE"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Tourism &amp; Venues</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656B0D23"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No saving opportunity identified for 2024/25.</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56E3E0C3"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62905578"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5131E32B"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Tourism &amp; Venues</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01E4DC8A"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Tourism &amp; Venues</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43ED4D89"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No saving opportunity identified for 2024/25.</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01C44B7B"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6D716CCE"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562BC7BE"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Tourism &amp; Venues</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689AAB1F"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Tourism &amp; Venues</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10A3C212"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No saving opportunity identified for 2024/25 but a review of the Visit Brighton operating model is planned to consider future options.</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7558DF0A"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33778E33"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33680383"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Events</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385B88FD"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Events</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2AA327EE"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Increase fees for filming in the city and explore an increase in targets for filming.</w:t>
            </w:r>
            <w:r w:rsidRPr="000729CF">
              <w:rPr>
                <w:rFonts w:ascii="Calibri" w:hAnsi="Calibri" w:cs="Calibri"/>
                <w:color w:val="000000"/>
                <w:sz w:val="22"/>
                <w:szCs w:val="22"/>
                <w:lang w:val="en-GB" w:eastAsia="en-GB"/>
              </w:rPr>
              <w:br/>
              <w:t>RISK: Fees need to be competitive to attract film producers.</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503F9D04"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35 </w:t>
            </w:r>
          </w:p>
        </w:tc>
      </w:tr>
      <w:tr w:rsidR="000729CF" w:rsidRPr="000729CF" w14:paraId="5FB39113"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0C971C03"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Events</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1C1A5EA2"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Events</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3AAD2187"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xml:space="preserve">Increase income from brand activations across the city. </w:t>
            </w:r>
            <w:r w:rsidRPr="000729CF">
              <w:rPr>
                <w:rFonts w:ascii="Calibri" w:hAnsi="Calibri" w:cs="Calibri"/>
                <w:sz w:val="22"/>
                <w:szCs w:val="22"/>
                <w:lang w:val="en-GB" w:eastAsia="en-GB"/>
              </w:rPr>
              <w:br/>
              <w:t>RISK: Demand for activation space does not meet projections.</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1EEC061F"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28 </w:t>
            </w:r>
          </w:p>
        </w:tc>
      </w:tr>
      <w:tr w:rsidR="000729CF" w:rsidRPr="000729CF" w14:paraId="66188F10"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06D1807D"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Sport &amp; Leisure</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2E3AF52E"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Sport &amp; Leisure</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26DCC146"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Income from the introduction of a transfer fee as part of the new, standardised licence for beach hut owners payable to the council upon the sale of their beach hut. The new standardised licence arrangements, including the transfer fee, were agreed by the Culture, Heritage, Sport, Tourism and Economic Development Committee on 9 November 2023, following a period of consultation with beach hut owners.</w:t>
            </w:r>
            <w:r w:rsidRPr="000729CF">
              <w:rPr>
                <w:rFonts w:ascii="Calibri" w:hAnsi="Calibri" w:cs="Calibri"/>
                <w:sz w:val="22"/>
                <w:szCs w:val="22"/>
                <w:lang w:val="en-GB" w:eastAsia="en-GB"/>
              </w:rPr>
              <w:br/>
              <w:t>RISK: Anticipated income from the transfer fee is jeopardised by a reduction in the number beach hut sales See EIA 20.</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7DEF72EB"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20 </w:t>
            </w:r>
          </w:p>
        </w:tc>
      </w:tr>
      <w:tr w:rsidR="000729CF" w:rsidRPr="000729CF" w14:paraId="4310F034"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57355604"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Sport &amp; Leisure</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3431C54D"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Sport &amp; Leisure</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746AD963"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Increased income from new lettings on the seafront from Sea Lanes and food beverage concessions.</w:t>
            </w:r>
            <w:r w:rsidRPr="000729CF">
              <w:rPr>
                <w:rFonts w:ascii="Calibri" w:hAnsi="Calibri" w:cs="Calibri"/>
                <w:color w:val="000000"/>
                <w:sz w:val="22"/>
                <w:szCs w:val="22"/>
                <w:lang w:val="en-GB" w:eastAsia="en-GB"/>
              </w:rPr>
              <w:br/>
              <w:t>RISK: Fall in demand for concessions.</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42229091"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40 </w:t>
            </w:r>
          </w:p>
        </w:tc>
      </w:tr>
      <w:tr w:rsidR="000729CF" w:rsidRPr="000729CF" w14:paraId="3E1FA281"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7BDBD972"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Sport &amp; Leisure</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3C31F375"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Sport &amp; Leisure</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6355B1E2"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Introduce parking charges at Withdean Sports Complex car park. Income is shared with the leisure provider, Freedom Leisure.</w:t>
            </w:r>
            <w:r w:rsidRPr="000729CF">
              <w:rPr>
                <w:rFonts w:ascii="Calibri" w:hAnsi="Calibri" w:cs="Calibri"/>
                <w:color w:val="000000"/>
                <w:sz w:val="22"/>
                <w:szCs w:val="22"/>
                <w:lang w:val="en-GB" w:eastAsia="en-GB"/>
              </w:rPr>
              <w:br/>
              <w:t>RISK: May impact resident and visitor patronage. May push car parking to on-street.</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699617E5"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20 </w:t>
            </w:r>
          </w:p>
        </w:tc>
      </w:tr>
      <w:tr w:rsidR="000729CF" w:rsidRPr="000729CF" w14:paraId="62BDA372" w14:textId="77777777" w:rsidTr="00BC26AB">
        <w:trPr>
          <w:trHeight w:val="20"/>
        </w:trPr>
        <w:tc>
          <w:tcPr>
            <w:tcW w:w="2025" w:type="pct"/>
            <w:gridSpan w:val="2"/>
            <w:tcBorders>
              <w:top w:val="single" w:sz="4" w:space="0" w:color="auto"/>
              <w:left w:val="single" w:sz="4" w:space="0" w:color="auto"/>
              <w:bottom w:val="single" w:sz="4" w:space="0" w:color="auto"/>
              <w:right w:val="single" w:sz="4" w:space="0" w:color="auto"/>
            </w:tcBorders>
            <w:shd w:val="clear" w:color="000000" w:fill="A6A6A6"/>
            <w:noWrap/>
            <w:tcMar>
              <w:left w:w="45" w:type="dxa"/>
              <w:right w:w="45" w:type="dxa"/>
            </w:tcMar>
            <w:hideMark/>
          </w:tcPr>
          <w:p w14:paraId="5EAA016F"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Culture, Tourism &amp; Sport Total</w:t>
            </w:r>
          </w:p>
        </w:tc>
        <w:tc>
          <w:tcPr>
            <w:tcW w:w="2514" w:type="pct"/>
            <w:tcBorders>
              <w:top w:val="nil"/>
              <w:left w:val="nil"/>
              <w:bottom w:val="single" w:sz="4" w:space="0" w:color="auto"/>
              <w:right w:val="single" w:sz="4" w:space="0" w:color="auto"/>
            </w:tcBorders>
            <w:shd w:val="clear" w:color="000000" w:fill="A6A6A6"/>
            <w:noWrap/>
            <w:tcMar>
              <w:left w:w="45" w:type="dxa"/>
              <w:right w:w="45" w:type="dxa"/>
            </w:tcMar>
            <w:hideMark/>
          </w:tcPr>
          <w:p w14:paraId="3B05DF9C"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w:t>
            </w:r>
          </w:p>
        </w:tc>
        <w:tc>
          <w:tcPr>
            <w:tcW w:w="461" w:type="pct"/>
            <w:tcBorders>
              <w:top w:val="nil"/>
              <w:left w:val="nil"/>
              <w:bottom w:val="single" w:sz="4" w:space="0" w:color="auto"/>
              <w:right w:val="single" w:sz="4" w:space="0" w:color="auto"/>
            </w:tcBorders>
            <w:shd w:val="clear" w:color="000000" w:fill="A6A6A6"/>
            <w:noWrap/>
            <w:tcMar>
              <w:left w:w="45" w:type="dxa"/>
              <w:right w:w="45" w:type="dxa"/>
            </w:tcMar>
            <w:hideMark/>
          </w:tcPr>
          <w:p w14:paraId="6B6026CE"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653 </w:t>
            </w:r>
          </w:p>
        </w:tc>
      </w:tr>
      <w:tr w:rsidR="000729CF" w:rsidRPr="000729CF" w14:paraId="526DBCBB" w14:textId="77777777" w:rsidTr="00BC26AB">
        <w:trPr>
          <w:trHeight w:val="20"/>
        </w:trPr>
        <w:tc>
          <w:tcPr>
            <w:tcW w:w="4539" w:type="pct"/>
            <w:gridSpan w:val="3"/>
            <w:tcBorders>
              <w:top w:val="single" w:sz="4" w:space="0" w:color="auto"/>
              <w:left w:val="single" w:sz="4" w:space="0" w:color="auto"/>
              <w:bottom w:val="single" w:sz="4" w:space="0" w:color="auto"/>
              <w:right w:val="single" w:sz="4" w:space="0" w:color="auto"/>
            </w:tcBorders>
            <w:shd w:val="clear" w:color="000000" w:fill="000000"/>
            <w:noWrap/>
            <w:tcMar>
              <w:left w:w="45" w:type="dxa"/>
              <w:right w:w="45" w:type="dxa"/>
            </w:tcMar>
            <w:hideMark/>
          </w:tcPr>
          <w:p w14:paraId="20343AF0" w14:textId="77777777" w:rsidR="000729CF" w:rsidRPr="000729CF" w:rsidRDefault="000729CF" w:rsidP="000729CF">
            <w:pPr>
              <w:keepNext/>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Property</w:t>
            </w:r>
          </w:p>
        </w:tc>
        <w:tc>
          <w:tcPr>
            <w:tcW w:w="461" w:type="pct"/>
            <w:tcBorders>
              <w:top w:val="nil"/>
              <w:left w:val="nil"/>
              <w:bottom w:val="single" w:sz="4" w:space="0" w:color="auto"/>
              <w:right w:val="nil"/>
            </w:tcBorders>
            <w:shd w:val="clear" w:color="000000" w:fill="000000"/>
            <w:noWrap/>
            <w:tcMar>
              <w:left w:w="45" w:type="dxa"/>
              <w:right w:w="45" w:type="dxa"/>
            </w:tcMar>
            <w:hideMark/>
          </w:tcPr>
          <w:p w14:paraId="0EC5B998"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 </w:t>
            </w:r>
          </w:p>
        </w:tc>
      </w:tr>
      <w:tr w:rsidR="000729CF" w:rsidRPr="000729CF" w14:paraId="0C6BCE85"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56EE3AD5"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Property &amp; Design</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0C53E29C"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Property &amp; Design</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09293D5D"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Review of staffing and administrative support in line with 'Organisational Design' principles.</w:t>
            </w:r>
            <w:r w:rsidRPr="000729CF">
              <w:rPr>
                <w:rFonts w:ascii="Calibri" w:hAnsi="Calibri" w:cs="Calibri"/>
                <w:color w:val="000000"/>
                <w:sz w:val="22"/>
                <w:szCs w:val="22"/>
                <w:lang w:val="en-GB" w:eastAsia="en-GB"/>
              </w:rPr>
              <w:br/>
              <w:t>RISK: Increased pressure on remaining resources.</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0E23BF3A"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32 </w:t>
            </w:r>
          </w:p>
        </w:tc>
      </w:tr>
      <w:tr w:rsidR="000729CF" w:rsidRPr="000729CF" w14:paraId="7DFCCFE9"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1EDE6B82"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Estates </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55CF0DA0"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Estates &amp; Premises</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034AA432"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Beech Cottage: Service-led relocation of Health &amp; Adult Social Care team in occupation, which also delivers building-related savings on this budget line. Once vacant possession is obtained, options to relet or sell the property will be explored.</w:t>
            </w:r>
            <w:r w:rsidRPr="000729CF">
              <w:rPr>
                <w:rFonts w:ascii="Calibri" w:hAnsi="Calibri" w:cs="Calibri"/>
                <w:color w:val="000000"/>
                <w:sz w:val="22"/>
                <w:szCs w:val="22"/>
                <w:lang w:val="en-GB" w:eastAsia="en-GB"/>
              </w:rPr>
              <w:br/>
              <w:t>RISK: Service-led dependency leading to delays obtaining vacant possession, delays in disposal, costs incurred in achieving both.</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6189C94F"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10 </w:t>
            </w:r>
          </w:p>
        </w:tc>
      </w:tr>
      <w:tr w:rsidR="000729CF" w:rsidRPr="000729CF" w14:paraId="0637F351"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66C12A48"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Estates </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1B800A1D"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Estates</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1A10BAFA"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Bartholomew House: new tenant and heads of terms have been agreed for leasing of 3rd &amp; 4th Floor Barts House. 2023/24 savings have been reprofiled for 2024/25 onwards.  Savings are a combination of rent and occupational costs and will occur at start of 2024/25.  </w:t>
            </w:r>
            <w:r w:rsidRPr="000729CF">
              <w:rPr>
                <w:rFonts w:ascii="Calibri" w:hAnsi="Calibri" w:cs="Calibri"/>
                <w:color w:val="000000"/>
                <w:sz w:val="22"/>
                <w:szCs w:val="22"/>
                <w:lang w:val="en-GB" w:eastAsia="en-GB"/>
              </w:rPr>
              <w:br/>
              <w:t>RISK: Turnover rent is based on 80% occupancy but may be lower and the service charge costs estimated, may be higher.  Capital costs for building reconfigurations (shared with new tenant) may increase.</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0EE1C464"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310 </w:t>
            </w:r>
          </w:p>
        </w:tc>
      </w:tr>
      <w:tr w:rsidR="000729CF" w:rsidRPr="000729CF" w14:paraId="59193C59"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2B7E2CBD"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Facilities &amp; Building Services</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22871EFC"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Print &amp; Courier</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34BC7899"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Deletion of vacant Post &amp; Courier hours. </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3D6B5143"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20 </w:t>
            </w:r>
          </w:p>
        </w:tc>
      </w:tr>
      <w:tr w:rsidR="000729CF" w:rsidRPr="000729CF" w14:paraId="2DA13C9A"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382D0756"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Corporate Landlord</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327F4263"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Corporate Landlord</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5722A921"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Increased charge to Public Health for Corporate Landlord support.</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67BF36AB"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2 </w:t>
            </w:r>
          </w:p>
        </w:tc>
      </w:tr>
      <w:tr w:rsidR="000729CF" w:rsidRPr="000729CF" w14:paraId="73A478DD"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1D9EAACD"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Building Surveying &amp; Utilities Management</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6B0B3F8E"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Building Surveying - Planned Maintenance Budget</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2992168F"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Capitalise £0.7m of the revenue Planned Maintenance Budget for one year using cash balances in lieu of borrowing until rates are favourable.</w:t>
            </w:r>
            <w:r w:rsidRPr="000729CF">
              <w:rPr>
                <w:rFonts w:ascii="Calibri" w:hAnsi="Calibri" w:cs="Calibri"/>
                <w:color w:val="000000"/>
                <w:sz w:val="22"/>
                <w:szCs w:val="22"/>
                <w:lang w:val="en-GB" w:eastAsia="en-GB"/>
              </w:rPr>
              <w:br/>
              <w:t>RISK: An overspend on the capital budget will have an impact on the revenue Planned Maintenance Budget.</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64783C0C"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700 </w:t>
            </w:r>
          </w:p>
        </w:tc>
      </w:tr>
      <w:tr w:rsidR="000729CF" w:rsidRPr="000729CF" w14:paraId="70FAB518"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07BDB4B1"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Building Surveying &amp; Utilities Management</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13C9AE44"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Fee income PPT269</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3B2F1084"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Reduce Building Surveying expenditure budget on consultancy including associated savings on Norton Road car park passes.</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17995912"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168 </w:t>
            </w:r>
          </w:p>
        </w:tc>
      </w:tr>
      <w:tr w:rsidR="000729CF" w:rsidRPr="000729CF" w14:paraId="6347B24D"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5D024457"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Building Surveying &amp; Utilities Management</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3B04A9BA"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Fee income PPT269</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3CF02288"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Reduce Building Surveying &amp; Utilities Management team including deleting two vacant Building Surveyor posts and 1vacant Graduate Building Surveyor post. This will enable the team to cover their operational costs, subject to the removal of the current £323k income target service pressure that drives fee generation over and above the operating costs from internal clients. There are currently annual programmes of essential maintenance for all non-housing properties and statutory property requirements that will persist. </w:t>
            </w:r>
            <w:r w:rsidRPr="000729CF">
              <w:rPr>
                <w:rFonts w:ascii="Calibri" w:hAnsi="Calibri" w:cs="Calibri"/>
                <w:color w:val="000000"/>
                <w:sz w:val="22"/>
                <w:szCs w:val="22"/>
                <w:lang w:val="en-GB" w:eastAsia="en-GB"/>
              </w:rPr>
              <w:br/>
              <w:t>RISK: loss of fee earning potential due to possible reduction of central government funding for the educational capital programme. Saving dependent on service pressure funding.</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63698CB4"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150 </w:t>
            </w:r>
          </w:p>
        </w:tc>
      </w:tr>
      <w:tr w:rsidR="000729CF" w:rsidRPr="000729CF" w14:paraId="18E339CB"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509016CD"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Architecture &amp; Design</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42C7A6B7"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Fee income PPT075</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00539812"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Reduce the Architecture and Design team in line with a diminishing capital programme (incl. deletion of 2 vacant Architects and 3 vacant Architectural Technician posts) and establish the principle that all council departments shall seek to use the internal service as the first port of call before options to procure architecture and design services externally are explored. There is recognition that the Architecture &amp; Design service represents cost avoidance for the council and added value. This will enable the remaining team to cover their operational costs, subject to the removal of the current £578k income pressure that drives fee generation over and above the operating costs.</w:t>
            </w:r>
            <w:r w:rsidRPr="000729CF">
              <w:rPr>
                <w:rFonts w:ascii="Calibri" w:hAnsi="Calibri" w:cs="Calibri"/>
                <w:color w:val="000000"/>
                <w:sz w:val="22"/>
                <w:szCs w:val="22"/>
                <w:lang w:val="en-GB" w:eastAsia="en-GB"/>
              </w:rPr>
              <w:br/>
              <w:t>RISK: loss of fee earning potential, further reductions in capital programme and government grants. Reduction of in-house professional expertise. Saving dependent on service pressure funding.</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21FD98FF"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222 </w:t>
            </w:r>
          </w:p>
        </w:tc>
      </w:tr>
      <w:tr w:rsidR="000729CF" w:rsidRPr="000729CF" w14:paraId="1841F323"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602CE9BA"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Architecture &amp; Design</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360F5B43"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Fee income PPT075</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062CF940"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Reduce Architecture and Design expenditure on professional fees. The need for consultancy should reduce as the council's capital programme diminishes and different construction procurement routes are explored and used. The costs largely relate to the Strategic Partnership which runs until September 2024.  </w:t>
            </w:r>
            <w:r w:rsidRPr="000729CF">
              <w:rPr>
                <w:rFonts w:ascii="Calibri" w:hAnsi="Calibri" w:cs="Calibri"/>
                <w:color w:val="000000"/>
                <w:sz w:val="22"/>
                <w:szCs w:val="22"/>
                <w:lang w:val="en-GB" w:eastAsia="en-GB"/>
              </w:rPr>
              <w:br/>
              <w:t>RISK: Diminishing programmes and reduction in professional expertise.</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0662D2E9"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260 </w:t>
            </w:r>
          </w:p>
        </w:tc>
      </w:tr>
      <w:tr w:rsidR="000729CF" w:rsidRPr="000729CF" w14:paraId="6FA10919" w14:textId="77777777" w:rsidTr="00BC26AB">
        <w:trPr>
          <w:trHeight w:val="20"/>
        </w:trPr>
        <w:tc>
          <w:tcPr>
            <w:tcW w:w="1013"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35194BEC"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Education Capital </w:t>
            </w:r>
          </w:p>
        </w:tc>
        <w:tc>
          <w:tcPr>
            <w:tcW w:w="1012" w:type="pct"/>
            <w:tcBorders>
              <w:top w:val="nil"/>
              <w:left w:val="nil"/>
              <w:bottom w:val="single" w:sz="4" w:space="0" w:color="auto"/>
              <w:right w:val="single" w:sz="4" w:space="0" w:color="auto"/>
            </w:tcBorders>
            <w:shd w:val="clear" w:color="auto" w:fill="auto"/>
            <w:tcMar>
              <w:left w:w="45" w:type="dxa"/>
              <w:right w:w="45" w:type="dxa"/>
            </w:tcMar>
            <w:hideMark/>
          </w:tcPr>
          <w:p w14:paraId="26827E25"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In-house maintenance budget</w:t>
            </w:r>
          </w:p>
        </w:tc>
        <w:tc>
          <w:tcPr>
            <w:tcW w:w="2514" w:type="pct"/>
            <w:tcBorders>
              <w:top w:val="nil"/>
              <w:left w:val="nil"/>
              <w:bottom w:val="single" w:sz="4" w:space="0" w:color="auto"/>
              <w:right w:val="single" w:sz="4" w:space="0" w:color="auto"/>
            </w:tcBorders>
            <w:shd w:val="clear" w:color="auto" w:fill="auto"/>
            <w:tcMar>
              <w:left w:w="45" w:type="dxa"/>
              <w:right w:w="45" w:type="dxa"/>
            </w:tcMar>
            <w:hideMark/>
          </w:tcPr>
          <w:p w14:paraId="772E0A02"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Reduce the in-house maintenance budget for education capital.</w:t>
            </w:r>
            <w:r w:rsidRPr="000729CF">
              <w:rPr>
                <w:rFonts w:ascii="Calibri" w:hAnsi="Calibri" w:cs="Calibri"/>
                <w:color w:val="000000"/>
                <w:sz w:val="22"/>
                <w:szCs w:val="22"/>
                <w:lang w:val="en-GB" w:eastAsia="en-GB"/>
              </w:rPr>
              <w:br/>
              <w:t xml:space="preserve">RISK: Will impact on statutory maintenance requirements. </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3C42F440"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45 </w:t>
            </w:r>
          </w:p>
        </w:tc>
      </w:tr>
      <w:tr w:rsidR="000729CF" w:rsidRPr="000729CF" w14:paraId="20B90038" w14:textId="77777777" w:rsidTr="00BC26AB">
        <w:trPr>
          <w:trHeight w:val="20"/>
        </w:trPr>
        <w:tc>
          <w:tcPr>
            <w:tcW w:w="2025" w:type="pct"/>
            <w:gridSpan w:val="2"/>
            <w:tcBorders>
              <w:top w:val="single" w:sz="4" w:space="0" w:color="auto"/>
              <w:left w:val="single" w:sz="4" w:space="0" w:color="auto"/>
              <w:bottom w:val="single" w:sz="4" w:space="0" w:color="auto"/>
              <w:right w:val="single" w:sz="4" w:space="0" w:color="auto"/>
            </w:tcBorders>
            <w:shd w:val="clear" w:color="000000" w:fill="A6A6A6"/>
            <w:noWrap/>
            <w:tcMar>
              <w:left w:w="45" w:type="dxa"/>
              <w:right w:w="45" w:type="dxa"/>
            </w:tcMar>
            <w:hideMark/>
          </w:tcPr>
          <w:p w14:paraId="0FE6F9B9"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Property Total</w:t>
            </w:r>
          </w:p>
        </w:tc>
        <w:tc>
          <w:tcPr>
            <w:tcW w:w="2514" w:type="pct"/>
            <w:tcBorders>
              <w:top w:val="nil"/>
              <w:left w:val="nil"/>
              <w:bottom w:val="single" w:sz="4" w:space="0" w:color="auto"/>
              <w:right w:val="single" w:sz="4" w:space="0" w:color="auto"/>
            </w:tcBorders>
            <w:shd w:val="clear" w:color="000000" w:fill="A6A6A6"/>
            <w:noWrap/>
            <w:tcMar>
              <w:left w:w="45" w:type="dxa"/>
              <w:right w:w="45" w:type="dxa"/>
            </w:tcMar>
            <w:hideMark/>
          </w:tcPr>
          <w:p w14:paraId="2B06E894"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w:t>
            </w:r>
          </w:p>
        </w:tc>
        <w:tc>
          <w:tcPr>
            <w:tcW w:w="461" w:type="pct"/>
            <w:tcBorders>
              <w:top w:val="nil"/>
              <w:left w:val="nil"/>
              <w:bottom w:val="single" w:sz="4" w:space="0" w:color="auto"/>
              <w:right w:val="single" w:sz="4" w:space="0" w:color="auto"/>
            </w:tcBorders>
            <w:shd w:val="clear" w:color="000000" w:fill="A6A6A6"/>
            <w:noWrap/>
            <w:tcMar>
              <w:left w:w="45" w:type="dxa"/>
              <w:right w:w="45" w:type="dxa"/>
            </w:tcMar>
            <w:hideMark/>
          </w:tcPr>
          <w:p w14:paraId="43153C59"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1,919 </w:t>
            </w:r>
          </w:p>
        </w:tc>
      </w:tr>
      <w:tr w:rsidR="000729CF" w:rsidRPr="000729CF" w14:paraId="6640306A" w14:textId="77777777" w:rsidTr="00BC26AB">
        <w:trPr>
          <w:trHeight w:val="20"/>
        </w:trPr>
        <w:tc>
          <w:tcPr>
            <w:tcW w:w="2025" w:type="pct"/>
            <w:gridSpan w:val="2"/>
            <w:tcBorders>
              <w:top w:val="single" w:sz="4" w:space="0" w:color="auto"/>
              <w:left w:val="single" w:sz="4" w:space="0" w:color="auto"/>
              <w:bottom w:val="single" w:sz="4" w:space="0" w:color="auto"/>
              <w:right w:val="single" w:sz="4" w:space="0" w:color="auto"/>
            </w:tcBorders>
            <w:shd w:val="clear" w:color="000000" w:fill="A6A6A6"/>
            <w:noWrap/>
            <w:tcMar>
              <w:left w:w="45" w:type="dxa"/>
              <w:right w:w="45" w:type="dxa"/>
            </w:tcMar>
            <w:hideMark/>
          </w:tcPr>
          <w:p w14:paraId="744A2EAB"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Economy, Environment &amp; Culture Total</w:t>
            </w:r>
          </w:p>
        </w:tc>
        <w:tc>
          <w:tcPr>
            <w:tcW w:w="2514" w:type="pct"/>
            <w:tcBorders>
              <w:top w:val="nil"/>
              <w:left w:val="nil"/>
              <w:bottom w:val="single" w:sz="4" w:space="0" w:color="auto"/>
              <w:right w:val="single" w:sz="4" w:space="0" w:color="auto"/>
            </w:tcBorders>
            <w:shd w:val="clear" w:color="000000" w:fill="A6A6A6"/>
            <w:noWrap/>
            <w:tcMar>
              <w:left w:w="45" w:type="dxa"/>
              <w:right w:w="45" w:type="dxa"/>
            </w:tcMar>
            <w:hideMark/>
          </w:tcPr>
          <w:p w14:paraId="5CED5D84"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w:t>
            </w:r>
          </w:p>
        </w:tc>
        <w:tc>
          <w:tcPr>
            <w:tcW w:w="461" w:type="pct"/>
            <w:tcBorders>
              <w:top w:val="nil"/>
              <w:left w:val="nil"/>
              <w:bottom w:val="single" w:sz="4" w:space="0" w:color="auto"/>
              <w:right w:val="single" w:sz="4" w:space="0" w:color="auto"/>
            </w:tcBorders>
            <w:shd w:val="clear" w:color="000000" w:fill="A6A6A6"/>
            <w:noWrap/>
            <w:tcMar>
              <w:left w:w="45" w:type="dxa"/>
              <w:right w:w="45" w:type="dxa"/>
            </w:tcMar>
            <w:hideMark/>
          </w:tcPr>
          <w:p w14:paraId="1929737D"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6,801 </w:t>
            </w:r>
          </w:p>
        </w:tc>
      </w:tr>
    </w:tbl>
    <w:p w14:paraId="478E4094" w14:textId="77777777" w:rsidR="000729CF" w:rsidRPr="000729CF" w:rsidRDefault="000729CF" w:rsidP="000729CF">
      <w:pPr>
        <w:spacing w:after="160" w:line="259" w:lineRule="auto"/>
        <w:rPr>
          <w:rFonts w:ascii="Calibri" w:eastAsia="Calibri" w:hAnsi="Calibri"/>
          <w:sz w:val="22"/>
          <w:szCs w:val="22"/>
          <w:lang w:val="en-GB"/>
        </w:rPr>
      </w:pPr>
    </w:p>
    <w:p w14:paraId="37504116" w14:textId="77777777" w:rsidR="000729CF" w:rsidRPr="000729CF" w:rsidRDefault="000729CF" w:rsidP="000729CF">
      <w:pPr>
        <w:spacing w:after="160" w:line="259" w:lineRule="auto"/>
        <w:rPr>
          <w:rFonts w:ascii="Calibri" w:eastAsia="Calibri" w:hAnsi="Calibri"/>
          <w:sz w:val="22"/>
          <w:szCs w:val="22"/>
          <w:lang w:val="en-GB"/>
        </w:rPr>
      </w:pPr>
    </w:p>
    <w:p w14:paraId="1CDDC23C" w14:textId="77777777" w:rsidR="000729CF" w:rsidRPr="000729CF" w:rsidRDefault="000729CF" w:rsidP="000729CF">
      <w:pPr>
        <w:spacing w:after="160" w:line="259" w:lineRule="auto"/>
        <w:rPr>
          <w:rFonts w:ascii="Calibri" w:eastAsia="Calibri" w:hAnsi="Calibri"/>
          <w:sz w:val="22"/>
          <w:szCs w:val="22"/>
          <w:lang w:val="en-GB"/>
        </w:rPr>
        <w:sectPr w:rsidR="000729CF" w:rsidRPr="000729CF" w:rsidSect="001604BB">
          <w:pgSz w:w="16838" w:h="11906" w:orient="landscape"/>
          <w:pgMar w:top="720" w:right="720" w:bottom="720" w:left="720" w:header="709" w:footer="709" w:gutter="0"/>
          <w:cols w:space="708"/>
          <w:docGrid w:linePitch="360"/>
        </w:sectPr>
      </w:pPr>
    </w:p>
    <w:p w14:paraId="02713817" w14:textId="77777777" w:rsidR="000729CF" w:rsidRPr="000729CF" w:rsidRDefault="000729CF" w:rsidP="000729CF">
      <w:pPr>
        <w:outlineLvl w:val="0"/>
        <w:rPr>
          <w:rFonts w:ascii="Calibri" w:hAnsi="Calibri" w:cs="Calibri"/>
          <w:b/>
          <w:bCs/>
          <w:color w:val="7030A0"/>
          <w:sz w:val="56"/>
          <w:szCs w:val="56"/>
          <w:lang w:val="en-GB" w:eastAsia="en-GB"/>
        </w:rPr>
      </w:pPr>
      <w:bookmarkStart w:id="32" w:name="_Toc66792561"/>
      <w:r w:rsidRPr="000729CF">
        <w:rPr>
          <w:rFonts w:ascii="Calibri" w:hAnsi="Calibri" w:cs="Calibri"/>
          <w:b/>
          <w:bCs/>
          <w:color w:val="7030A0"/>
          <w:sz w:val="56"/>
          <w:szCs w:val="56"/>
          <w:lang w:val="en-GB" w:eastAsia="en-GB"/>
        </w:rPr>
        <w:t>Housing, Neighbourhoods &amp; Communities Directorate</w:t>
      </w:r>
      <w:bookmarkEnd w:id="32"/>
    </w:p>
    <w:p w14:paraId="4C8177FD" w14:textId="77777777" w:rsidR="000729CF" w:rsidRPr="000729CF" w:rsidRDefault="000729CF" w:rsidP="000729CF">
      <w:pPr>
        <w:spacing w:after="160"/>
        <w:rPr>
          <w:rFonts w:ascii="Calibri" w:eastAsia="Calibri" w:hAnsi="Calibri"/>
          <w:b/>
          <w:bCs/>
          <w:color w:val="7030A0"/>
          <w:sz w:val="28"/>
          <w:szCs w:val="28"/>
          <w:lang w:val="en-GB"/>
        </w:rPr>
      </w:pPr>
      <w:r w:rsidRPr="000729CF">
        <w:rPr>
          <w:rFonts w:ascii="Calibri" w:eastAsia="Calibri" w:hAnsi="Calibri"/>
          <w:b/>
          <w:bCs/>
          <w:color w:val="7030A0"/>
          <w:sz w:val="28"/>
          <w:szCs w:val="28"/>
          <w:lang w:val="en-GB"/>
        </w:rPr>
        <w:t>Budget Strategy and Savings Proposals 2024/25</w:t>
      </w:r>
    </w:p>
    <w:p w14:paraId="1DE4F025" w14:textId="77777777" w:rsidR="000729CF" w:rsidRPr="000729CF" w:rsidRDefault="000729CF" w:rsidP="000729CF">
      <w:pPr>
        <w:spacing w:after="200" w:line="276" w:lineRule="auto"/>
        <w:rPr>
          <w:rFonts w:ascii="Calibri" w:eastAsia="Calibri" w:hAnsi="Calibri" w:cs="Calibri"/>
          <w:b/>
          <w:bCs/>
          <w:sz w:val="22"/>
          <w:szCs w:val="22"/>
          <w:u w:val="single"/>
          <w:lang w:val="en-GB"/>
        </w:rPr>
      </w:pPr>
      <w:bookmarkStart w:id="33" w:name="_Toc34309031"/>
      <w:r w:rsidRPr="000729CF">
        <w:rPr>
          <w:rFonts w:ascii="Calibri" w:eastAsia="Calibri" w:hAnsi="Calibri" w:cs="Calibri"/>
          <w:b/>
          <w:bCs/>
          <w:sz w:val="22"/>
          <w:szCs w:val="22"/>
          <w:u w:val="single"/>
          <w:lang w:val="en-GB"/>
        </w:rPr>
        <w:t>Services and Responsibilities</w:t>
      </w:r>
      <w:bookmarkEnd w:id="33"/>
    </w:p>
    <w:p w14:paraId="72DD6DA4" w14:textId="77777777" w:rsidR="000729CF" w:rsidRPr="000729CF" w:rsidRDefault="000729CF" w:rsidP="000729CF">
      <w:pPr>
        <w:spacing w:before="120" w:after="120" w:line="276" w:lineRule="auto"/>
        <w:rPr>
          <w:rFonts w:ascii="Calibri" w:eastAsia="Calibri" w:hAnsi="Calibri" w:cs="Calibri"/>
          <w:sz w:val="22"/>
          <w:szCs w:val="22"/>
          <w:lang w:val="en-GB"/>
        </w:rPr>
      </w:pPr>
      <w:r w:rsidRPr="000729CF">
        <w:rPr>
          <w:rFonts w:ascii="Calibri" w:eastAsia="Calibri" w:hAnsi="Calibri" w:cs="Calibri"/>
          <w:sz w:val="22"/>
          <w:szCs w:val="22"/>
          <w:lang w:val="en-GB"/>
        </w:rPr>
        <w:t>The HNC Directorate includes the following services:</w:t>
      </w:r>
    </w:p>
    <w:p w14:paraId="33C4213E" w14:textId="77777777" w:rsidR="000729CF" w:rsidRPr="000729CF" w:rsidRDefault="000729CF" w:rsidP="00CE70A3">
      <w:pPr>
        <w:numPr>
          <w:ilvl w:val="0"/>
          <w:numId w:val="31"/>
        </w:numPr>
        <w:spacing w:after="160" w:line="276" w:lineRule="auto"/>
        <w:ind w:left="709" w:hanging="426"/>
        <w:contextualSpacing/>
        <w:rPr>
          <w:rFonts w:ascii="Calibri" w:hAnsi="Calibri" w:cs="Calibri"/>
          <w:sz w:val="22"/>
          <w:szCs w:val="22"/>
          <w:lang w:val="en-GB" w:eastAsia="en-GB"/>
        </w:rPr>
      </w:pPr>
      <w:r w:rsidRPr="000729CF">
        <w:rPr>
          <w:rFonts w:ascii="Calibri" w:hAnsi="Calibri" w:cs="Calibri"/>
          <w:sz w:val="22"/>
          <w:szCs w:val="22"/>
          <w:lang w:val="en-GB" w:eastAsia="en-GB"/>
        </w:rPr>
        <w:t xml:space="preserve">Housing Management, the council housing landlord service comprising :  Tenancy Services, including the Travellers Service; Housing Repairs &amp; Maintenance; Housing Investment &amp; Asset Management; </w:t>
      </w:r>
    </w:p>
    <w:p w14:paraId="063C1A53" w14:textId="77777777" w:rsidR="000729CF" w:rsidRPr="000729CF" w:rsidRDefault="000729CF" w:rsidP="00CE70A3">
      <w:pPr>
        <w:numPr>
          <w:ilvl w:val="0"/>
          <w:numId w:val="31"/>
        </w:numPr>
        <w:spacing w:after="160" w:line="276" w:lineRule="auto"/>
        <w:ind w:left="709" w:hanging="426"/>
        <w:contextualSpacing/>
        <w:rPr>
          <w:rFonts w:ascii="Calibri" w:hAnsi="Calibri" w:cs="Calibri"/>
          <w:sz w:val="22"/>
          <w:szCs w:val="22"/>
          <w:lang w:val="en-GB" w:eastAsia="en-GB"/>
        </w:rPr>
      </w:pPr>
      <w:r w:rsidRPr="000729CF">
        <w:rPr>
          <w:rFonts w:ascii="Calibri" w:hAnsi="Calibri" w:cs="Calibri"/>
          <w:sz w:val="22"/>
          <w:szCs w:val="22"/>
          <w:lang w:val="en-GB" w:eastAsia="en-GB"/>
        </w:rPr>
        <w:t>Housing Needs &amp; Supply (New Homes, Private Sector Housing, Temporary Accommodation, Supported [Commissioned] Accommodation, Homelessness and the Housing Register);</w:t>
      </w:r>
    </w:p>
    <w:p w14:paraId="4ACA8A9D" w14:textId="77777777" w:rsidR="000729CF" w:rsidRPr="000729CF" w:rsidRDefault="000729CF" w:rsidP="00CE70A3">
      <w:pPr>
        <w:numPr>
          <w:ilvl w:val="0"/>
          <w:numId w:val="31"/>
        </w:numPr>
        <w:spacing w:after="160" w:line="276" w:lineRule="auto"/>
        <w:ind w:left="709" w:hanging="426"/>
        <w:contextualSpacing/>
        <w:rPr>
          <w:rFonts w:ascii="Calibri" w:hAnsi="Calibri" w:cs="Calibri"/>
          <w:sz w:val="22"/>
          <w:szCs w:val="22"/>
          <w:lang w:val="en-GB" w:eastAsia="en-GB"/>
        </w:rPr>
      </w:pPr>
      <w:r w:rsidRPr="000729CF">
        <w:rPr>
          <w:rFonts w:ascii="Calibri" w:hAnsi="Calibri" w:cs="Calibri"/>
          <w:sz w:val="22"/>
          <w:szCs w:val="22"/>
          <w:lang w:val="en-GB" w:eastAsia="en-GB"/>
        </w:rPr>
        <w:t>Libraries and Information services, including the Business Intellectual Property Centre (BIPC);</w:t>
      </w:r>
    </w:p>
    <w:p w14:paraId="5734862C" w14:textId="77777777" w:rsidR="000729CF" w:rsidRPr="000729CF" w:rsidRDefault="000729CF" w:rsidP="00CE70A3">
      <w:pPr>
        <w:numPr>
          <w:ilvl w:val="0"/>
          <w:numId w:val="31"/>
        </w:numPr>
        <w:spacing w:after="160" w:line="276" w:lineRule="auto"/>
        <w:ind w:left="709" w:hanging="426"/>
        <w:contextualSpacing/>
        <w:rPr>
          <w:rFonts w:ascii="Calibri" w:hAnsi="Calibri" w:cs="Calibri"/>
          <w:sz w:val="22"/>
          <w:szCs w:val="22"/>
          <w:lang w:val="en-GB" w:eastAsia="en-GB"/>
        </w:rPr>
      </w:pPr>
      <w:r w:rsidRPr="000729CF">
        <w:rPr>
          <w:rFonts w:ascii="Calibri" w:hAnsi="Calibri" w:cs="Calibri"/>
          <w:sz w:val="22"/>
          <w:szCs w:val="22"/>
          <w:lang w:val="en-GB" w:eastAsia="en-GB"/>
        </w:rPr>
        <w:t>Safer Communities (Environmental Health, Licensing, Trading Standards, Emergency Planning, Prevent, ASB and Casework team and Domestic Violence services);</w:t>
      </w:r>
    </w:p>
    <w:p w14:paraId="150C175C" w14:textId="77777777" w:rsidR="000729CF" w:rsidRPr="000729CF" w:rsidRDefault="000729CF" w:rsidP="00CE70A3">
      <w:pPr>
        <w:numPr>
          <w:ilvl w:val="0"/>
          <w:numId w:val="31"/>
        </w:numPr>
        <w:spacing w:after="160" w:line="276" w:lineRule="auto"/>
        <w:ind w:left="709" w:hanging="426"/>
        <w:contextualSpacing/>
        <w:rPr>
          <w:rFonts w:ascii="Calibri" w:hAnsi="Calibri" w:cs="Calibri"/>
          <w:sz w:val="22"/>
          <w:szCs w:val="22"/>
          <w:lang w:val="en-GB" w:eastAsia="en-GB"/>
        </w:rPr>
      </w:pPr>
      <w:r w:rsidRPr="000729CF">
        <w:rPr>
          <w:rFonts w:ascii="Calibri" w:hAnsi="Calibri" w:cs="Calibri"/>
          <w:sz w:val="22"/>
          <w:szCs w:val="22"/>
          <w:lang w:val="en-GB" w:eastAsia="en-GB"/>
        </w:rPr>
        <w:t>Communities, Equalities &amp; Third Sector.</w:t>
      </w:r>
    </w:p>
    <w:p w14:paraId="0BE8E1F1" w14:textId="77777777" w:rsidR="000729CF" w:rsidRPr="000729CF" w:rsidRDefault="000729CF" w:rsidP="000729CF">
      <w:pPr>
        <w:autoSpaceDE w:val="0"/>
        <w:autoSpaceDN w:val="0"/>
        <w:adjustRightInd w:val="0"/>
        <w:spacing w:before="120" w:after="120"/>
        <w:rPr>
          <w:rFonts w:ascii="Calibri" w:eastAsia="Calibri" w:hAnsi="Calibri" w:cs="Calibri"/>
          <w:sz w:val="22"/>
          <w:szCs w:val="22"/>
          <w:lang w:val="en-GB"/>
        </w:rPr>
      </w:pPr>
      <w:r w:rsidRPr="000729CF">
        <w:rPr>
          <w:rFonts w:ascii="Calibri" w:eastAsia="Calibri" w:hAnsi="Calibri" w:cs="Calibri"/>
          <w:sz w:val="22"/>
          <w:szCs w:val="22"/>
          <w:lang w:val="en-GB"/>
        </w:rPr>
        <w:t>The directorate focuses on the issues affecting neighbourhoods and communities, aiming to be a landlord of choice, develop closer and better relationship with communities, drive improvement in customer satisfaction and develop the council’s working with community and public service partners. In addition to the General Fund activities, much of the housing- related tenancy functions are funded by the ring-fenced Housing Revenue Account.</w:t>
      </w:r>
    </w:p>
    <w:p w14:paraId="003092E7" w14:textId="77777777" w:rsidR="000729CF" w:rsidRPr="000729CF" w:rsidRDefault="000729CF" w:rsidP="000729CF">
      <w:pPr>
        <w:autoSpaceDE w:val="0"/>
        <w:autoSpaceDN w:val="0"/>
        <w:adjustRightInd w:val="0"/>
        <w:spacing w:before="120" w:after="120"/>
        <w:rPr>
          <w:rFonts w:ascii="Calibri" w:eastAsia="Calibri" w:hAnsi="Calibri" w:cs="Calibri"/>
          <w:bCs/>
          <w:sz w:val="22"/>
          <w:szCs w:val="22"/>
          <w:lang w:val="en-GB"/>
        </w:rPr>
      </w:pPr>
      <w:r w:rsidRPr="000729CF">
        <w:rPr>
          <w:rFonts w:ascii="Calibri" w:eastAsia="Calibri" w:hAnsi="Calibri" w:cs="Calibri"/>
          <w:bCs/>
          <w:sz w:val="22"/>
          <w:szCs w:val="22"/>
          <w:lang w:val="en-GB"/>
        </w:rPr>
        <w:t>The directorate has responsibility for:</w:t>
      </w:r>
    </w:p>
    <w:p w14:paraId="62804BCF" w14:textId="77777777" w:rsidR="000729CF" w:rsidRPr="000729CF" w:rsidRDefault="000729CF" w:rsidP="00CE70A3">
      <w:pPr>
        <w:numPr>
          <w:ilvl w:val="0"/>
          <w:numId w:val="32"/>
        </w:numPr>
        <w:autoSpaceDE w:val="0"/>
        <w:autoSpaceDN w:val="0"/>
        <w:adjustRightInd w:val="0"/>
        <w:spacing w:after="160" w:line="259" w:lineRule="auto"/>
        <w:ind w:left="709" w:hanging="426"/>
        <w:contextualSpacing/>
        <w:rPr>
          <w:rFonts w:ascii="Calibri" w:hAnsi="Calibri" w:cs="Calibri"/>
          <w:sz w:val="22"/>
          <w:szCs w:val="22"/>
          <w:lang w:val="en-GB" w:eastAsia="en-GB"/>
        </w:rPr>
      </w:pPr>
      <w:r w:rsidRPr="000729CF">
        <w:rPr>
          <w:rFonts w:ascii="Calibri" w:hAnsi="Calibri" w:cs="Calibri"/>
          <w:sz w:val="22"/>
          <w:szCs w:val="22"/>
          <w:lang w:val="en-GB" w:eastAsia="en-GB"/>
        </w:rPr>
        <w:t>Delivering landlord services to council housing residents and improving the quality, sustainability, health and safety of council homes;</w:t>
      </w:r>
    </w:p>
    <w:p w14:paraId="6EE91E43" w14:textId="77777777" w:rsidR="000729CF" w:rsidRPr="000729CF" w:rsidRDefault="000729CF" w:rsidP="00CE70A3">
      <w:pPr>
        <w:numPr>
          <w:ilvl w:val="0"/>
          <w:numId w:val="32"/>
        </w:numPr>
        <w:autoSpaceDE w:val="0"/>
        <w:autoSpaceDN w:val="0"/>
        <w:adjustRightInd w:val="0"/>
        <w:spacing w:after="160" w:line="259" w:lineRule="auto"/>
        <w:ind w:left="709" w:hanging="426"/>
        <w:contextualSpacing/>
        <w:rPr>
          <w:rFonts w:ascii="Calibri" w:hAnsi="Calibri" w:cs="Calibri"/>
          <w:sz w:val="22"/>
          <w:szCs w:val="22"/>
          <w:lang w:val="en-GB" w:eastAsia="en-GB"/>
        </w:rPr>
      </w:pPr>
      <w:r w:rsidRPr="000729CF">
        <w:rPr>
          <w:rFonts w:ascii="Calibri" w:hAnsi="Calibri" w:cs="Calibri"/>
          <w:sz w:val="22"/>
          <w:szCs w:val="22"/>
          <w:lang w:val="en-GB" w:eastAsia="en-GB"/>
        </w:rPr>
        <w:t>Increasing housing supply, supporting provision of additional council homes and development of other new affordable homes across the city;</w:t>
      </w:r>
    </w:p>
    <w:p w14:paraId="003AE54F" w14:textId="77777777" w:rsidR="000729CF" w:rsidRPr="000729CF" w:rsidRDefault="000729CF" w:rsidP="00CE70A3">
      <w:pPr>
        <w:numPr>
          <w:ilvl w:val="0"/>
          <w:numId w:val="32"/>
        </w:numPr>
        <w:autoSpaceDE w:val="0"/>
        <w:autoSpaceDN w:val="0"/>
        <w:adjustRightInd w:val="0"/>
        <w:spacing w:after="160" w:line="259" w:lineRule="auto"/>
        <w:ind w:left="709" w:hanging="426"/>
        <w:contextualSpacing/>
        <w:rPr>
          <w:rFonts w:ascii="Calibri" w:hAnsi="Calibri" w:cs="Calibri"/>
          <w:sz w:val="22"/>
          <w:szCs w:val="22"/>
          <w:lang w:val="en-GB" w:eastAsia="en-GB"/>
        </w:rPr>
      </w:pPr>
      <w:r w:rsidRPr="000729CF">
        <w:rPr>
          <w:rFonts w:ascii="Calibri" w:hAnsi="Calibri" w:cs="Calibri"/>
          <w:sz w:val="22"/>
          <w:szCs w:val="22"/>
          <w:lang w:val="en-GB" w:eastAsia="en-GB"/>
        </w:rPr>
        <w:t xml:space="preserve">Improving the quality of private rented homes and delivering housing adaptations to help people live independently; </w:t>
      </w:r>
    </w:p>
    <w:p w14:paraId="6E7BA9A4" w14:textId="77777777" w:rsidR="000729CF" w:rsidRPr="000729CF" w:rsidRDefault="000729CF" w:rsidP="00CE70A3">
      <w:pPr>
        <w:numPr>
          <w:ilvl w:val="0"/>
          <w:numId w:val="32"/>
        </w:numPr>
        <w:autoSpaceDE w:val="0"/>
        <w:autoSpaceDN w:val="0"/>
        <w:adjustRightInd w:val="0"/>
        <w:spacing w:after="160" w:line="259" w:lineRule="auto"/>
        <w:ind w:left="709" w:hanging="426"/>
        <w:contextualSpacing/>
        <w:rPr>
          <w:rFonts w:ascii="Calibri" w:hAnsi="Calibri" w:cs="Calibri"/>
          <w:sz w:val="22"/>
          <w:szCs w:val="22"/>
          <w:lang w:val="en-GB" w:eastAsia="en-GB"/>
        </w:rPr>
      </w:pPr>
      <w:r w:rsidRPr="000729CF">
        <w:rPr>
          <w:rFonts w:ascii="Calibri" w:hAnsi="Calibri" w:cs="Calibri"/>
          <w:sz w:val="22"/>
          <w:szCs w:val="22"/>
          <w:lang w:val="en-GB" w:eastAsia="en-GB"/>
        </w:rPr>
        <w:t>Providing advice and support to reduce homelessness, and providing temporary &amp; supported accommodation;</w:t>
      </w:r>
    </w:p>
    <w:p w14:paraId="1927DD49" w14:textId="77777777" w:rsidR="000729CF" w:rsidRPr="000729CF" w:rsidRDefault="000729CF" w:rsidP="00CE70A3">
      <w:pPr>
        <w:numPr>
          <w:ilvl w:val="0"/>
          <w:numId w:val="32"/>
        </w:numPr>
        <w:autoSpaceDE w:val="0"/>
        <w:autoSpaceDN w:val="0"/>
        <w:adjustRightInd w:val="0"/>
        <w:spacing w:after="160" w:line="259" w:lineRule="auto"/>
        <w:ind w:left="709" w:hanging="426"/>
        <w:contextualSpacing/>
        <w:rPr>
          <w:rFonts w:ascii="Calibri" w:hAnsi="Calibri" w:cs="Calibri"/>
          <w:sz w:val="22"/>
          <w:szCs w:val="22"/>
          <w:lang w:val="en-GB" w:eastAsia="en-GB"/>
        </w:rPr>
      </w:pPr>
      <w:r w:rsidRPr="000729CF">
        <w:rPr>
          <w:rFonts w:ascii="Calibri" w:hAnsi="Calibri" w:cs="Calibri"/>
          <w:sz w:val="22"/>
          <w:szCs w:val="22"/>
          <w:lang w:val="en-GB" w:eastAsia="en-GB"/>
        </w:rPr>
        <w:t>Delivering statutory library services across the city and developing libraries as neighbourhood hubs;</w:t>
      </w:r>
    </w:p>
    <w:p w14:paraId="2961002E" w14:textId="77777777" w:rsidR="000729CF" w:rsidRPr="000729CF" w:rsidRDefault="000729CF" w:rsidP="00CE70A3">
      <w:pPr>
        <w:numPr>
          <w:ilvl w:val="0"/>
          <w:numId w:val="32"/>
        </w:numPr>
        <w:autoSpaceDE w:val="0"/>
        <w:autoSpaceDN w:val="0"/>
        <w:adjustRightInd w:val="0"/>
        <w:spacing w:before="120" w:after="240" w:line="259" w:lineRule="auto"/>
        <w:ind w:left="709" w:hanging="426"/>
        <w:contextualSpacing/>
        <w:rPr>
          <w:rFonts w:ascii="Calibri" w:eastAsia="Calibri" w:hAnsi="Calibri" w:cs="Calibri"/>
          <w:sz w:val="22"/>
          <w:szCs w:val="22"/>
          <w:lang w:val="en-GB"/>
        </w:rPr>
      </w:pPr>
      <w:r w:rsidRPr="000729CF">
        <w:rPr>
          <w:rFonts w:ascii="Calibri" w:hAnsi="Calibri" w:cs="Calibri"/>
          <w:sz w:val="22"/>
          <w:szCs w:val="22"/>
          <w:lang w:val="en-GB" w:eastAsia="en-GB"/>
        </w:rPr>
        <w:t>Supporting the third sector to support and empower the city’s communities, especially residents that fall below statutory thresholds for council support;</w:t>
      </w:r>
    </w:p>
    <w:p w14:paraId="0950A334" w14:textId="77777777" w:rsidR="000729CF" w:rsidRPr="000729CF" w:rsidRDefault="000729CF" w:rsidP="00CE70A3">
      <w:pPr>
        <w:numPr>
          <w:ilvl w:val="0"/>
          <w:numId w:val="32"/>
        </w:numPr>
        <w:spacing w:before="120" w:after="240" w:line="259" w:lineRule="auto"/>
        <w:ind w:left="709" w:hanging="426"/>
        <w:contextualSpacing/>
        <w:rPr>
          <w:rFonts w:ascii="Calibri" w:hAnsi="Calibri" w:cs="Calibri"/>
          <w:sz w:val="22"/>
          <w:szCs w:val="22"/>
          <w:lang w:val="en-GB" w:eastAsia="en-GB"/>
        </w:rPr>
      </w:pPr>
      <w:r w:rsidRPr="000729CF">
        <w:rPr>
          <w:rFonts w:ascii="Calibri" w:hAnsi="Calibri" w:cs="Calibri"/>
          <w:sz w:val="22"/>
          <w:szCs w:val="22"/>
          <w:lang w:val="en-GB" w:eastAsia="en-GB"/>
        </w:rPr>
        <w:t>Licensing many of the businesses in the city to sell alcohol, provide taxis, street trading;</w:t>
      </w:r>
    </w:p>
    <w:p w14:paraId="7591C818" w14:textId="77777777" w:rsidR="000729CF" w:rsidRPr="000729CF" w:rsidRDefault="000729CF" w:rsidP="00CE70A3">
      <w:pPr>
        <w:numPr>
          <w:ilvl w:val="0"/>
          <w:numId w:val="32"/>
        </w:numPr>
        <w:spacing w:before="120" w:after="240" w:line="259" w:lineRule="auto"/>
        <w:ind w:left="709" w:hanging="426"/>
        <w:contextualSpacing/>
        <w:rPr>
          <w:rFonts w:ascii="Calibri" w:hAnsi="Calibri" w:cs="Calibri"/>
          <w:sz w:val="22"/>
          <w:szCs w:val="22"/>
          <w:lang w:val="en-GB" w:eastAsia="en-GB"/>
        </w:rPr>
      </w:pPr>
      <w:r w:rsidRPr="000729CF">
        <w:rPr>
          <w:rFonts w:ascii="Calibri" w:hAnsi="Calibri" w:cs="Calibri"/>
          <w:sz w:val="22"/>
          <w:szCs w:val="22"/>
          <w:lang w:val="en-GB" w:eastAsia="en-GB"/>
        </w:rPr>
        <w:t>Providing environmental health services;</w:t>
      </w:r>
    </w:p>
    <w:p w14:paraId="74B6487C" w14:textId="77777777" w:rsidR="000729CF" w:rsidRPr="000729CF" w:rsidRDefault="000729CF" w:rsidP="00CE70A3">
      <w:pPr>
        <w:numPr>
          <w:ilvl w:val="0"/>
          <w:numId w:val="32"/>
        </w:numPr>
        <w:autoSpaceDE w:val="0"/>
        <w:autoSpaceDN w:val="0"/>
        <w:adjustRightInd w:val="0"/>
        <w:spacing w:before="120" w:after="240" w:line="259" w:lineRule="auto"/>
        <w:ind w:left="709" w:hanging="426"/>
        <w:contextualSpacing/>
        <w:rPr>
          <w:rFonts w:ascii="Calibri" w:eastAsia="Calibri" w:hAnsi="Calibri" w:cs="Calibri"/>
          <w:sz w:val="22"/>
          <w:szCs w:val="22"/>
          <w:lang w:val="en-GB"/>
        </w:rPr>
      </w:pPr>
      <w:r w:rsidRPr="000729CF">
        <w:rPr>
          <w:rFonts w:ascii="Calibri" w:hAnsi="Calibri" w:cs="Calibri"/>
          <w:sz w:val="22"/>
          <w:szCs w:val="22"/>
          <w:lang w:val="en-GB" w:eastAsia="en-GB"/>
        </w:rPr>
        <w:t xml:space="preserve">Coordinating community safety including leading the council’s ‘Prevent’ agenda; </w:t>
      </w:r>
      <w:r w:rsidRPr="000729CF">
        <w:rPr>
          <w:rFonts w:ascii="Calibri" w:eastAsia="Calibri" w:hAnsi="Calibri" w:cs="Calibri"/>
          <w:sz w:val="22"/>
          <w:szCs w:val="22"/>
          <w:lang w:val="en-GB"/>
        </w:rPr>
        <w:t>the approach to anti-social behaviour and tackling domestic abuse and VAWG;</w:t>
      </w:r>
    </w:p>
    <w:p w14:paraId="1007C259" w14:textId="77777777" w:rsidR="000729CF" w:rsidRPr="000729CF" w:rsidRDefault="000729CF" w:rsidP="00CE70A3">
      <w:pPr>
        <w:numPr>
          <w:ilvl w:val="0"/>
          <w:numId w:val="32"/>
        </w:numPr>
        <w:autoSpaceDE w:val="0"/>
        <w:autoSpaceDN w:val="0"/>
        <w:adjustRightInd w:val="0"/>
        <w:spacing w:after="160" w:line="259" w:lineRule="auto"/>
        <w:ind w:left="709" w:hanging="426"/>
        <w:contextualSpacing/>
        <w:rPr>
          <w:rFonts w:ascii="Calibri" w:hAnsi="Calibri" w:cs="Calibri"/>
          <w:sz w:val="22"/>
          <w:szCs w:val="22"/>
          <w:lang w:val="en-GB" w:eastAsia="en-GB"/>
        </w:rPr>
      </w:pPr>
      <w:r w:rsidRPr="000729CF">
        <w:rPr>
          <w:rFonts w:ascii="Calibri" w:eastAsia="Calibri" w:hAnsi="Calibri" w:cs="Calibri"/>
          <w:sz w:val="22"/>
          <w:szCs w:val="22"/>
          <w:lang w:val="en-GB"/>
        </w:rPr>
        <w:t>Leading the equalities and inclusion agenda for the council ensuring fair and equitable services and outcomes for residents, and inclusive leadership and employment by the council</w:t>
      </w:r>
      <w:r w:rsidRPr="000729CF">
        <w:rPr>
          <w:rFonts w:ascii="Calibri" w:hAnsi="Calibri" w:cs="Calibri"/>
          <w:sz w:val="22"/>
          <w:szCs w:val="22"/>
          <w:lang w:val="en-GB" w:eastAsia="en-GB"/>
        </w:rPr>
        <w:t>;</w:t>
      </w:r>
    </w:p>
    <w:p w14:paraId="14B78935" w14:textId="77777777" w:rsidR="000729CF" w:rsidRPr="000729CF" w:rsidRDefault="000729CF" w:rsidP="00CE70A3">
      <w:pPr>
        <w:numPr>
          <w:ilvl w:val="0"/>
          <w:numId w:val="32"/>
        </w:numPr>
        <w:autoSpaceDE w:val="0"/>
        <w:autoSpaceDN w:val="0"/>
        <w:adjustRightInd w:val="0"/>
        <w:spacing w:after="160" w:line="259" w:lineRule="auto"/>
        <w:ind w:left="709" w:hanging="426"/>
        <w:contextualSpacing/>
        <w:rPr>
          <w:rFonts w:ascii="Calibri" w:hAnsi="Calibri" w:cs="Calibri"/>
          <w:sz w:val="22"/>
          <w:szCs w:val="22"/>
          <w:lang w:val="en-GB" w:eastAsia="en-GB"/>
        </w:rPr>
      </w:pPr>
      <w:r w:rsidRPr="000729CF">
        <w:rPr>
          <w:rFonts w:ascii="Calibri" w:hAnsi="Calibri" w:cs="Calibri"/>
          <w:sz w:val="22"/>
          <w:szCs w:val="22"/>
          <w:lang w:val="en-GB" w:eastAsia="en-GB"/>
        </w:rPr>
        <w:t>Improving customer satisfaction, complaints resolution and neighbourhood well-being across council services;</w:t>
      </w:r>
    </w:p>
    <w:p w14:paraId="6017648F" w14:textId="77777777" w:rsidR="000729CF" w:rsidRPr="000729CF" w:rsidRDefault="000729CF" w:rsidP="00CE70A3">
      <w:pPr>
        <w:numPr>
          <w:ilvl w:val="0"/>
          <w:numId w:val="32"/>
        </w:numPr>
        <w:autoSpaceDE w:val="0"/>
        <w:autoSpaceDN w:val="0"/>
        <w:adjustRightInd w:val="0"/>
        <w:spacing w:after="160" w:line="259" w:lineRule="auto"/>
        <w:ind w:left="709" w:hanging="426"/>
        <w:contextualSpacing/>
        <w:rPr>
          <w:rFonts w:ascii="Calibri" w:hAnsi="Calibri" w:cs="Calibri"/>
          <w:sz w:val="22"/>
          <w:szCs w:val="22"/>
          <w:lang w:val="en-GB" w:eastAsia="en-GB"/>
        </w:rPr>
      </w:pPr>
      <w:r w:rsidRPr="000729CF">
        <w:rPr>
          <w:rFonts w:ascii="Calibri" w:hAnsi="Calibri" w:cs="Calibri"/>
          <w:sz w:val="22"/>
          <w:szCs w:val="22"/>
          <w:lang w:val="en-GB" w:eastAsia="en-GB"/>
        </w:rPr>
        <w:t>Deepening the understanding across all services of city demographics and the practical measures to support communities of identity and place.</w:t>
      </w:r>
    </w:p>
    <w:p w14:paraId="7C79A587" w14:textId="77777777" w:rsidR="000729CF" w:rsidRPr="000729CF" w:rsidRDefault="000729CF" w:rsidP="000729CF">
      <w:pPr>
        <w:autoSpaceDE w:val="0"/>
        <w:autoSpaceDN w:val="0"/>
        <w:adjustRightInd w:val="0"/>
        <w:spacing w:before="120" w:after="120"/>
        <w:rPr>
          <w:rFonts w:ascii="Calibri" w:eastAsia="Calibri" w:hAnsi="Calibri" w:cs="Calibri"/>
          <w:b/>
          <w:sz w:val="22"/>
          <w:szCs w:val="22"/>
          <w:u w:val="single"/>
          <w:lang w:val="en-GB"/>
        </w:rPr>
      </w:pPr>
    </w:p>
    <w:p w14:paraId="61D0153E" w14:textId="77777777" w:rsidR="000729CF" w:rsidRPr="000729CF" w:rsidRDefault="000729CF" w:rsidP="000729CF">
      <w:pPr>
        <w:autoSpaceDE w:val="0"/>
        <w:autoSpaceDN w:val="0"/>
        <w:adjustRightInd w:val="0"/>
        <w:spacing w:before="120" w:after="120"/>
        <w:rPr>
          <w:rFonts w:ascii="Calibri" w:eastAsia="Calibri" w:hAnsi="Calibri" w:cs="Calibri"/>
          <w:b/>
          <w:sz w:val="22"/>
          <w:szCs w:val="22"/>
          <w:u w:val="single"/>
          <w:lang w:val="en-GB"/>
        </w:rPr>
      </w:pPr>
    </w:p>
    <w:p w14:paraId="06CBC644" w14:textId="77777777" w:rsidR="000729CF" w:rsidRPr="000729CF" w:rsidRDefault="000729CF" w:rsidP="000729CF">
      <w:pPr>
        <w:autoSpaceDE w:val="0"/>
        <w:autoSpaceDN w:val="0"/>
        <w:adjustRightInd w:val="0"/>
        <w:spacing w:before="120" w:after="120"/>
        <w:rPr>
          <w:rFonts w:ascii="Calibri" w:eastAsia="Calibri" w:hAnsi="Calibri" w:cs="Calibri"/>
          <w:b/>
          <w:sz w:val="22"/>
          <w:szCs w:val="22"/>
          <w:u w:val="single"/>
          <w:lang w:val="en-GB"/>
        </w:rPr>
      </w:pPr>
      <w:r w:rsidRPr="000729CF">
        <w:rPr>
          <w:rFonts w:ascii="Calibri" w:eastAsia="Calibri" w:hAnsi="Calibri" w:cs="Calibri"/>
          <w:b/>
          <w:sz w:val="22"/>
          <w:szCs w:val="22"/>
          <w:u w:val="single"/>
          <w:lang w:val="en-GB"/>
        </w:rPr>
        <w:t>Service Context</w:t>
      </w:r>
    </w:p>
    <w:p w14:paraId="5281D0E7" w14:textId="77777777" w:rsidR="000729CF" w:rsidRPr="000729CF" w:rsidRDefault="000729CF" w:rsidP="000729CF">
      <w:pPr>
        <w:autoSpaceDE w:val="0"/>
        <w:autoSpaceDN w:val="0"/>
        <w:adjustRightInd w:val="0"/>
        <w:rPr>
          <w:rFonts w:ascii="Calibri" w:eastAsia="Calibri" w:hAnsi="Calibri" w:cs="Calibri"/>
          <w:b/>
          <w:sz w:val="22"/>
          <w:szCs w:val="22"/>
          <w:lang w:val="en-GB"/>
        </w:rPr>
      </w:pPr>
      <w:r w:rsidRPr="000729CF">
        <w:rPr>
          <w:rFonts w:ascii="Calibri" w:eastAsia="Calibri" w:hAnsi="Calibri" w:cs="Calibri"/>
          <w:b/>
          <w:sz w:val="22"/>
          <w:szCs w:val="22"/>
          <w:lang w:val="en-GB"/>
        </w:rPr>
        <w:t>Housing</w:t>
      </w:r>
    </w:p>
    <w:p w14:paraId="59382295" w14:textId="77777777" w:rsidR="000729CF" w:rsidRPr="000729CF" w:rsidRDefault="000729CF" w:rsidP="000729CF">
      <w:pPr>
        <w:autoSpaceDE w:val="0"/>
        <w:autoSpaceDN w:val="0"/>
        <w:adjustRightInd w:val="0"/>
        <w:spacing w:before="120" w:after="120"/>
        <w:rPr>
          <w:rFonts w:ascii="Calibri" w:eastAsia="Calibri" w:hAnsi="Calibri" w:cs="Calibri"/>
          <w:b/>
          <w:sz w:val="22"/>
          <w:szCs w:val="22"/>
          <w:lang w:val="en-GB"/>
        </w:rPr>
      </w:pPr>
      <w:r w:rsidRPr="000729CF">
        <w:rPr>
          <w:rFonts w:ascii="Calibri" w:eastAsia="Calibri" w:hAnsi="Calibri" w:cs="Calibri"/>
          <w:bCs/>
          <w:sz w:val="22"/>
          <w:szCs w:val="22"/>
          <w:lang w:val="en-GB"/>
        </w:rPr>
        <w:t>Housing affordability is a major issue in the city, with Brighton &amp; Hove becoming increasingly unaffordable for a significant proportion of the population, in particular those at risk of, or experiencing homelessness.</w:t>
      </w:r>
    </w:p>
    <w:p w14:paraId="599380D9" w14:textId="77777777" w:rsidR="000729CF" w:rsidRPr="000729CF" w:rsidRDefault="000729CF" w:rsidP="000729CF">
      <w:pPr>
        <w:spacing w:after="160" w:line="259" w:lineRule="auto"/>
        <w:rPr>
          <w:rFonts w:ascii="Calibri" w:eastAsia="Calibri" w:hAnsi="Calibri" w:cs="Calibri"/>
          <w:sz w:val="22"/>
          <w:szCs w:val="22"/>
          <w:lang w:val="en-GB"/>
        </w:rPr>
      </w:pPr>
      <w:bookmarkStart w:id="34" w:name="_Hlk126052404"/>
      <w:r w:rsidRPr="000729CF">
        <w:rPr>
          <w:rFonts w:ascii="Calibri" w:eastAsia="Calibri" w:hAnsi="Calibri" w:cs="Calibri"/>
          <w:sz w:val="22"/>
          <w:szCs w:val="22"/>
          <w:lang w:val="en-GB"/>
        </w:rPr>
        <w:t>There are currently more than 17,900 social rented properties in the city</w:t>
      </w:r>
      <w:bookmarkStart w:id="35" w:name="_Hlk126052235"/>
      <w:r w:rsidRPr="000729CF">
        <w:rPr>
          <w:rFonts w:ascii="Calibri" w:eastAsia="Calibri" w:hAnsi="Calibri" w:cs="Calibri"/>
          <w:sz w:val="22"/>
          <w:szCs w:val="22"/>
          <w:lang w:val="en-GB"/>
        </w:rPr>
        <w:t>. The council’s social landlord duties cover approximately 12,000 rented properties and 2,700 leasehold properties and the council remains the largest social landlord.</w:t>
      </w:r>
    </w:p>
    <w:bookmarkEnd w:id="34"/>
    <w:bookmarkEnd w:id="35"/>
    <w:p w14:paraId="0AC2F30E" w14:textId="77777777" w:rsidR="000729CF" w:rsidRPr="000729CF" w:rsidRDefault="000729CF" w:rsidP="00CE70A3">
      <w:pPr>
        <w:numPr>
          <w:ilvl w:val="0"/>
          <w:numId w:val="35"/>
        </w:numPr>
        <w:autoSpaceDE w:val="0"/>
        <w:autoSpaceDN w:val="0"/>
        <w:adjustRightInd w:val="0"/>
        <w:spacing w:after="160" w:line="259" w:lineRule="auto"/>
        <w:ind w:hanging="436"/>
        <w:contextualSpacing/>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Housing sees approximately 4,000 homeless households each year who need help with housing. Early intervention and prevention work is reducing levels of homelessness. However, levels of demand for assistance for homeless households are unprecedented in line with national trends. Numbers of households in temporary accommodation is high but the proportion of households where homelessness is not prevented is reducing;</w:t>
      </w:r>
    </w:p>
    <w:p w14:paraId="73F31AFA" w14:textId="77777777" w:rsidR="000729CF" w:rsidRPr="000729CF" w:rsidRDefault="000729CF" w:rsidP="00CE70A3">
      <w:pPr>
        <w:numPr>
          <w:ilvl w:val="0"/>
          <w:numId w:val="35"/>
        </w:numPr>
        <w:autoSpaceDE w:val="0"/>
        <w:autoSpaceDN w:val="0"/>
        <w:adjustRightInd w:val="0"/>
        <w:spacing w:after="160" w:line="259" w:lineRule="auto"/>
        <w:ind w:hanging="436"/>
        <w:contextualSpacing/>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Currently license 2,100 Houses in Multiple Occupation (HMOs) across the city;</w:t>
      </w:r>
    </w:p>
    <w:p w14:paraId="505EE02E" w14:textId="77777777" w:rsidR="000729CF" w:rsidRPr="000729CF" w:rsidRDefault="000729CF" w:rsidP="00CE70A3">
      <w:pPr>
        <w:numPr>
          <w:ilvl w:val="0"/>
          <w:numId w:val="35"/>
        </w:numPr>
        <w:autoSpaceDE w:val="0"/>
        <w:autoSpaceDN w:val="0"/>
        <w:adjustRightInd w:val="0"/>
        <w:spacing w:after="160" w:line="259" w:lineRule="auto"/>
        <w:ind w:hanging="436"/>
        <w:contextualSpacing/>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The Private Sector Housing team received 537 requests for assistance between April 2023 and December 2023; </w:t>
      </w:r>
    </w:p>
    <w:p w14:paraId="62CB2C2F" w14:textId="77777777" w:rsidR="000729CF" w:rsidRPr="000729CF" w:rsidRDefault="000729CF" w:rsidP="00CE70A3">
      <w:pPr>
        <w:numPr>
          <w:ilvl w:val="0"/>
          <w:numId w:val="35"/>
        </w:numPr>
        <w:spacing w:after="160" w:line="259" w:lineRule="auto"/>
        <w:ind w:hanging="436"/>
        <w:contextualSpacing/>
        <w:rPr>
          <w:rFonts w:ascii="Calibri" w:eastAsia="Calibri" w:hAnsi="Calibri" w:cs="Calibri"/>
          <w:sz w:val="22"/>
          <w:szCs w:val="22"/>
          <w:lang w:val="en-GB"/>
        </w:rPr>
      </w:pPr>
      <w:r w:rsidRPr="000729CF">
        <w:rPr>
          <w:rFonts w:ascii="Calibri" w:eastAsia="Calibri" w:hAnsi="Calibri" w:cs="Calibri"/>
          <w:sz w:val="22"/>
          <w:szCs w:val="22"/>
          <w:lang w:val="en-GB"/>
        </w:rPr>
        <w:t>We are on target to achieve 283 new units of affordable council homes for 23/24;</w:t>
      </w:r>
    </w:p>
    <w:p w14:paraId="276B015C" w14:textId="77777777" w:rsidR="000729CF" w:rsidRPr="000729CF" w:rsidRDefault="000729CF" w:rsidP="00CE70A3">
      <w:pPr>
        <w:numPr>
          <w:ilvl w:val="0"/>
          <w:numId w:val="35"/>
        </w:numPr>
        <w:spacing w:after="160" w:line="259" w:lineRule="auto"/>
        <w:ind w:hanging="436"/>
        <w:contextualSpacing/>
        <w:rPr>
          <w:rFonts w:ascii="Calibri" w:eastAsia="Calibri" w:hAnsi="Calibri" w:cs="Calibri"/>
          <w:b/>
          <w:bCs/>
          <w:sz w:val="22"/>
          <w:szCs w:val="22"/>
          <w:lang w:val="en-GB"/>
        </w:rPr>
      </w:pPr>
      <w:r w:rsidRPr="000729CF">
        <w:rPr>
          <w:rFonts w:ascii="Calibri" w:eastAsia="Calibri" w:hAnsi="Calibri" w:cs="Calibri"/>
          <w:sz w:val="22"/>
          <w:szCs w:val="22"/>
          <w:lang w:val="en-GB"/>
        </w:rPr>
        <w:t>Annual HRA rents and service charges of £74m per year; let over 600 homes (639 in 2022/23) per annum, over 50 per month; deliver over 30,000 repairs annually, on average of over 2,500 repairs per month or 82 repairs every calendar day in normal circumstances;</w:t>
      </w:r>
    </w:p>
    <w:p w14:paraId="4F1FEAAE" w14:textId="77777777" w:rsidR="000729CF" w:rsidRPr="000729CF" w:rsidRDefault="000729CF" w:rsidP="00CE70A3">
      <w:pPr>
        <w:numPr>
          <w:ilvl w:val="0"/>
          <w:numId w:val="35"/>
        </w:numPr>
        <w:spacing w:after="200" w:line="276" w:lineRule="auto"/>
        <w:ind w:hanging="436"/>
        <w:contextualSpacing/>
        <w:rPr>
          <w:rFonts w:ascii="Calibri" w:eastAsia="Calibri" w:hAnsi="Calibri" w:cs="Calibri"/>
          <w:b/>
          <w:bCs/>
          <w:sz w:val="22"/>
          <w:szCs w:val="22"/>
          <w:lang w:val="en-GB"/>
        </w:rPr>
      </w:pPr>
      <w:r w:rsidRPr="000729CF">
        <w:rPr>
          <w:rFonts w:ascii="Calibri" w:eastAsia="Calibri" w:hAnsi="Calibri" w:cs="Calibri"/>
          <w:sz w:val="22"/>
          <w:szCs w:val="22"/>
          <w:lang w:val="en-GB"/>
        </w:rPr>
        <w:t xml:space="preserve">Average capital programme of around £57m a year improving homes over 5 years; Proposed investment in major and planned works to council homes of £102m over the next 3 years; Proposed investment in health &amp; safety of council homes of £35m over the next 3 years; proposed investment of £58m in new homes over the next five years to 2028/29. However, there are likely to be new urgent investment requirements during this period. </w:t>
      </w:r>
    </w:p>
    <w:p w14:paraId="167B0143" w14:textId="77777777" w:rsidR="000729CF" w:rsidRPr="000729CF" w:rsidRDefault="000729CF" w:rsidP="000729CF">
      <w:pPr>
        <w:spacing w:after="200" w:line="276" w:lineRule="auto"/>
        <w:rPr>
          <w:rFonts w:ascii="Calibri" w:eastAsia="Calibri" w:hAnsi="Calibri" w:cs="Calibri"/>
          <w:b/>
          <w:bCs/>
          <w:sz w:val="22"/>
          <w:szCs w:val="22"/>
          <w:lang w:val="en-GB"/>
        </w:rPr>
      </w:pPr>
      <w:r w:rsidRPr="000729CF">
        <w:rPr>
          <w:rFonts w:ascii="Calibri" w:eastAsia="Calibri" w:hAnsi="Calibri" w:cs="Calibri"/>
          <w:b/>
          <w:bCs/>
          <w:sz w:val="22"/>
          <w:szCs w:val="22"/>
          <w:lang w:val="en-GB"/>
        </w:rPr>
        <w:t>Libraries &amp; Information Services</w:t>
      </w:r>
    </w:p>
    <w:p w14:paraId="07EC17F9" w14:textId="77777777" w:rsidR="000729CF" w:rsidRPr="000729CF" w:rsidRDefault="000729CF" w:rsidP="000729CF">
      <w:pPr>
        <w:autoSpaceDE w:val="0"/>
        <w:autoSpaceDN w:val="0"/>
        <w:adjustRightInd w:val="0"/>
        <w:spacing w:before="120" w:after="120"/>
        <w:rPr>
          <w:rFonts w:ascii="Calibri" w:eastAsia="Calibri" w:hAnsi="Calibri" w:cs="Calibri"/>
          <w:sz w:val="22"/>
          <w:szCs w:val="22"/>
          <w:lang w:val="en-GB"/>
        </w:rPr>
      </w:pPr>
      <w:r w:rsidRPr="000729CF">
        <w:rPr>
          <w:rFonts w:ascii="Calibri" w:eastAsia="Calibri" w:hAnsi="Calibri" w:cs="Calibri"/>
          <w:color w:val="000000"/>
          <w:sz w:val="22"/>
          <w:szCs w:val="22"/>
          <w:lang w:val="en-GB"/>
        </w:rPr>
        <w:t xml:space="preserve">The Public Libraries and Museums Act 1964 requires Local Authorities to deliver a public library service which is a ‘comprehensive and efficient’ service for all persons in the area who want to make use of it, to promote this service, and to lend books and other written materials free of charge. </w:t>
      </w:r>
      <w:r w:rsidRPr="000729CF">
        <w:rPr>
          <w:rFonts w:ascii="Calibri" w:eastAsia="Segoe UI" w:hAnsi="Calibri" w:cs="Calibri"/>
          <w:color w:val="333333"/>
          <w:sz w:val="22"/>
          <w:szCs w:val="22"/>
          <w:lang w:val="en-GB"/>
        </w:rPr>
        <w:t>This aligns to our Corporate Plan objective of 'Investing in Our City' and will be delivered as part of our Libraries Strategy.</w:t>
      </w:r>
    </w:p>
    <w:p w14:paraId="07605A84" w14:textId="77777777" w:rsidR="000729CF" w:rsidRPr="000729CF" w:rsidRDefault="000729CF" w:rsidP="00CE70A3">
      <w:pPr>
        <w:numPr>
          <w:ilvl w:val="0"/>
          <w:numId w:val="35"/>
        </w:numPr>
        <w:autoSpaceDE w:val="0"/>
        <w:autoSpaceDN w:val="0"/>
        <w:adjustRightInd w:val="0"/>
        <w:spacing w:after="160" w:line="259" w:lineRule="auto"/>
        <w:ind w:hanging="436"/>
        <w:contextualSpacing/>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Network of 13 libraries across the city; </w:t>
      </w:r>
    </w:p>
    <w:p w14:paraId="167D3021" w14:textId="77777777" w:rsidR="000729CF" w:rsidRPr="000729CF" w:rsidRDefault="000729CF" w:rsidP="00CE70A3">
      <w:pPr>
        <w:numPr>
          <w:ilvl w:val="0"/>
          <w:numId w:val="35"/>
        </w:numPr>
        <w:autoSpaceDE w:val="0"/>
        <w:autoSpaceDN w:val="0"/>
        <w:adjustRightInd w:val="0"/>
        <w:spacing w:after="160" w:line="259" w:lineRule="auto"/>
        <w:ind w:hanging="436"/>
        <w:contextualSpacing/>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93% of users tell us our library services are excellent or good;</w:t>
      </w:r>
    </w:p>
    <w:p w14:paraId="5BAC21FA" w14:textId="77777777" w:rsidR="000729CF" w:rsidRPr="000729CF" w:rsidRDefault="000729CF" w:rsidP="00CE70A3">
      <w:pPr>
        <w:numPr>
          <w:ilvl w:val="0"/>
          <w:numId w:val="35"/>
        </w:numPr>
        <w:autoSpaceDE w:val="0"/>
        <w:autoSpaceDN w:val="0"/>
        <w:adjustRightInd w:val="0"/>
        <w:spacing w:after="160" w:line="259" w:lineRule="auto"/>
        <w:ind w:hanging="436"/>
        <w:contextualSpacing/>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On target for over 1 million visits to libraries 2023-24. Pre Covid achieved 1.4 million visits;</w:t>
      </w:r>
    </w:p>
    <w:p w14:paraId="75A0524D" w14:textId="77777777" w:rsidR="000729CF" w:rsidRPr="000729CF" w:rsidRDefault="000729CF" w:rsidP="00CE70A3">
      <w:pPr>
        <w:numPr>
          <w:ilvl w:val="0"/>
          <w:numId w:val="35"/>
        </w:numPr>
        <w:spacing w:after="160" w:line="259" w:lineRule="auto"/>
        <w:ind w:hanging="436"/>
        <w:contextualSpacing/>
        <w:rPr>
          <w:rFonts w:ascii="Calibri" w:eastAsia="Calibri" w:hAnsi="Calibri" w:cs="Calibri"/>
          <w:sz w:val="22"/>
          <w:szCs w:val="22"/>
          <w:lang w:val="en-GB"/>
        </w:rPr>
      </w:pPr>
      <w:r w:rsidRPr="000729CF">
        <w:rPr>
          <w:rFonts w:ascii="Calibri" w:hAnsi="Calibri" w:cs="Calibri"/>
          <w:color w:val="000000"/>
          <w:sz w:val="22"/>
          <w:szCs w:val="22"/>
          <w:lang w:val="en-GB" w:eastAsia="en-GB"/>
        </w:rPr>
        <w:t>On target for over 1 million items loaned 2023-24.  On target for over 400,000 e-audio, e-book and e-magazine loans in 2023-24On target for 1.5 million visits to library web pages 2023-24;</w:t>
      </w:r>
    </w:p>
    <w:p w14:paraId="2282560D" w14:textId="77777777" w:rsidR="000729CF" w:rsidRPr="000729CF" w:rsidRDefault="000729CF" w:rsidP="00CE70A3">
      <w:pPr>
        <w:numPr>
          <w:ilvl w:val="0"/>
          <w:numId w:val="35"/>
        </w:numPr>
        <w:autoSpaceDE w:val="0"/>
        <w:autoSpaceDN w:val="0"/>
        <w:adjustRightInd w:val="0"/>
        <w:spacing w:after="160" w:line="259" w:lineRule="auto"/>
        <w:ind w:hanging="436"/>
        <w:contextualSpacing/>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74% of all library transactions last year were online (i.e., joining, reservations and renewals);</w:t>
      </w:r>
    </w:p>
    <w:p w14:paraId="7D2BF0C8" w14:textId="77777777" w:rsidR="000729CF" w:rsidRPr="000729CF" w:rsidRDefault="000729CF" w:rsidP="00CE70A3">
      <w:pPr>
        <w:numPr>
          <w:ilvl w:val="0"/>
          <w:numId w:val="35"/>
        </w:numPr>
        <w:autoSpaceDE w:val="0"/>
        <w:autoSpaceDN w:val="0"/>
        <w:adjustRightInd w:val="0"/>
        <w:spacing w:after="160" w:line="259" w:lineRule="auto"/>
        <w:ind w:hanging="436"/>
        <w:contextualSpacing/>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Volunteers will have contributed over 4,000 volunteer hours in 2023-24;</w:t>
      </w:r>
    </w:p>
    <w:p w14:paraId="19C1347A" w14:textId="77777777" w:rsidR="000729CF" w:rsidRPr="000729CF" w:rsidRDefault="000729CF" w:rsidP="00CE70A3">
      <w:pPr>
        <w:numPr>
          <w:ilvl w:val="0"/>
          <w:numId w:val="35"/>
        </w:numPr>
        <w:autoSpaceDE w:val="0"/>
        <w:autoSpaceDN w:val="0"/>
        <w:adjustRightInd w:val="0"/>
        <w:spacing w:after="160" w:line="259" w:lineRule="auto"/>
        <w:ind w:hanging="436"/>
        <w:contextualSpacing/>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Over 30,000 people will take part in libraries events, outreach and online activities in 2023-24;</w:t>
      </w:r>
    </w:p>
    <w:p w14:paraId="2406DDB3" w14:textId="77777777" w:rsidR="000729CF" w:rsidRPr="000729CF" w:rsidRDefault="000729CF" w:rsidP="00CE70A3">
      <w:pPr>
        <w:numPr>
          <w:ilvl w:val="0"/>
          <w:numId w:val="35"/>
        </w:numPr>
        <w:spacing w:after="160" w:line="259" w:lineRule="auto"/>
        <w:ind w:hanging="436"/>
        <w:contextualSpacing/>
        <w:rPr>
          <w:rFonts w:ascii="Calibri" w:eastAsia="Calibri" w:hAnsi="Calibri" w:cs="Calibri"/>
          <w:color w:val="000000"/>
          <w:sz w:val="22"/>
          <w:szCs w:val="22"/>
          <w:lang w:val="en-GB"/>
        </w:rPr>
      </w:pPr>
      <w:r w:rsidRPr="000729CF">
        <w:rPr>
          <w:rFonts w:ascii="Calibri" w:eastAsia="Calibri" w:hAnsi="Calibri" w:cs="Calibri"/>
          <w:color w:val="000000"/>
          <w:sz w:val="22"/>
          <w:szCs w:val="22"/>
          <w:lang w:val="en-GB"/>
        </w:rPr>
        <w:t>BIPC (Business and Intellectual Property Centre) Sussex has worked to deliver advice and information to businesses sand supported 1888 attendees in 2022/2023 (exceeding the target of 1002) and is on track to exceed targets again in 2023-24.</w:t>
      </w:r>
    </w:p>
    <w:p w14:paraId="3673EA67" w14:textId="77777777" w:rsidR="000729CF" w:rsidRPr="000729CF" w:rsidRDefault="000729CF" w:rsidP="000729CF">
      <w:pPr>
        <w:autoSpaceDE w:val="0"/>
        <w:autoSpaceDN w:val="0"/>
        <w:contextualSpacing/>
        <w:rPr>
          <w:rFonts w:ascii="Calibri" w:eastAsia="Calibri" w:hAnsi="Calibri" w:cs="Calibri"/>
          <w:b/>
          <w:color w:val="000000"/>
          <w:sz w:val="22"/>
          <w:szCs w:val="22"/>
          <w:lang w:val="en-GB"/>
        </w:rPr>
      </w:pPr>
      <w:bookmarkStart w:id="36" w:name="_Hlk56690163"/>
      <w:r w:rsidRPr="000729CF">
        <w:rPr>
          <w:rFonts w:ascii="Calibri" w:eastAsia="Calibri" w:hAnsi="Calibri" w:cs="Calibri"/>
          <w:sz w:val="22"/>
          <w:szCs w:val="22"/>
          <w:lang w:val="en-GB"/>
        </w:rPr>
        <w:br/>
      </w:r>
      <w:r w:rsidRPr="000729CF">
        <w:rPr>
          <w:rFonts w:ascii="Calibri" w:eastAsia="Calibri" w:hAnsi="Calibri" w:cs="Calibri"/>
          <w:b/>
          <w:color w:val="000000"/>
          <w:sz w:val="22"/>
          <w:szCs w:val="22"/>
          <w:lang w:val="en-GB"/>
        </w:rPr>
        <w:t>Safer Communities</w:t>
      </w:r>
    </w:p>
    <w:p w14:paraId="17F44B1C" w14:textId="77777777" w:rsidR="000729CF" w:rsidRPr="000729CF" w:rsidRDefault="000729CF" w:rsidP="000729CF">
      <w:pPr>
        <w:autoSpaceDE w:val="0"/>
        <w:autoSpaceDN w:val="0"/>
        <w:adjustRightInd w:val="0"/>
        <w:spacing w:before="120" w:after="120"/>
        <w:rPr>
          <w:rFonts w:ascii="Calibri" w:eastAsia="Calibri" w:hAnsi="Calibri" w:cs="Calibri"/>
          <w:sz w:val="22"/>
          <w:szCs w:val="22"/>
          <w:lang w:val="en-GB"/>
        </w:rPr>
      </w:pPr>
      <w:r w:rsidRPr="000729CF">
        <w:rPr>
          <w:rFonts w:ascii="Calibri" w:eastAsia="Calibri" w:hAnsi="Calibri" w:cs="Calibri"/>
          <w:bCs/>
          <w:color w:val="000000"/>
          <w:sz w:val="22"/>
          <w:szCs w:val="22"/>
          <w:lang w:val="en-GB"/>
        </w:rPr>
        <w:t xml:space="preserve">Safer communities provides a broad range of services including environmental health and protection, licensing and trading standards, food safety services and emergency planning as well as services to directly support the community safety plan such as violence against women and girls services, anti-social behaviour casework, and the government’s Prevent and Channel programmes. </w:t>
      </w:r>
    </w:p>
    <w:p w14:paraId="11F234E9" w14:textId="77777777" w:rsidR="000729CF" w:rsidRPr="000729CF" w:rsidRDefault="000729CF" w:rsidP="00CE70A3">
      <w:pPr>
        <w:numPr>
          <w:ilvl w:val="0"/>
          <w:numId w:val="35"/>
        </w:numPr>
        <w:autoSpaceDE w:val="0"/>
        <w:autoSpaceDN w:val="0"/>
        <w:adjustRightInd w:val="0"/>
        <w:spacing w:after="160" w:line="259" w:lineRule="auto"/>
        <w:ind w:hanging="436"/>
        <w:contextualSpacing/>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Over 83% of the 3,200 food businesses in the city rated 3 or above on the national Food Hygiene Rating Scheme; </w:t>
      </w:r>
    </w:p>
    <w:p w14:paraId="13E489EA" w14:textId="77777777" w:rsidR="000729CF" w:rsidRPr="000729CF" w:rsidRDefault="000729CF" w:rsidP="00CE70A3">
      <w:pPr>
        <w:numPr>
          <w:ilvl w:val="0"/>
          <w:numId w:val="35"/>
        </w:numPr>
        <w:autoSpaceDE w:val="0"/>
        <w:autoSpaceDN w:val="0"/>
        <w:adjustRightInd w:val="0"/>
        <w:spacing w:after="160" w:line="259" w:lineRule="auto"/>
        <w:ind w:hanging="436"/>
        <w:contextualSpacing/>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Community Safety Casework Team, Anti-Social Behaviour and hate incidents –533 initial reports and enquiries dealt with between January and October 2023;</w:t>
      </w:r>
    </w:p>
    <w:p w14:paraId="418BA37C" w14:textId="77777777" w:rsidR="000729CF" w:rsidRPr="000729CF" w:rsidRDefault="000729CF" w:rsidP="00CE70A3">
      <w:pPr>
        <w:numPr>
          <w:ilvl w:val="0"/>
          <w:numId w:val="35"/>
        </w:numPr>
        <w:autoSpaceDE w:val="0"/>
        <w:autoSpaceDN w:val="0"/>
        <w:adjustRightInd w:val="0"/>
        <w:spacing w:after="160" w:line="259" w:lineRule="auto"/>
        <w:contextualSpacing/>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85% of people affected by domestic violence and abuse felt safe upon leaving refuge;</w:t>
      </w:r>
    </w:p>
    <w:p w14:paraId="250B9ED8" w14:textId="77777777" w:rsidR="000729CF" w:rsidRPr="000729CF" w:rsidRDefault="000729CF" w:rsidP="00CE70A3">
      <w:pPr>
        <w:numPr>
          <w:ilvl w:val="0"/>
          <w:numId w:val="35"/>
        </w:numPr>
        <w:autoSpaceDE w:val="0"/>
        <w:autoSpaceDN w:val="0"/>
        <w:adjustRightInd w:val="0"/>
        <w:spacing w:after="160" w:line="259" w:lineRule="auto"/>
        <w:contextualSpacing/>
        <w:rPr>
          <w:rFonts w:ascii="Calibri" w:hAnsi="Calibri" w:cs="Calibri"/>
          <w:sz w:val="22"/>
          <w:szCs w:val="22"/>
          <w:lang w:val="en-GB" w:eastAsia="en-GB"/>
        </w:rPr>
      </w:pPr>
      <w:r w:rsidRPr="000729CF">
        <w:rPr>
          <w:rFonts w:ascii="Calibri" w:eastAsia="Calibri" w:hAnsi="Calibri" w:cs="Calibri"/>
          <w:color w:val="000000"/>
          <w:sz w:val="22"/>
          <w:szCs w:val="22"/>
          <w:lang w:val="en-GB" w:eastAsia="en-GB"/>
        </w:rPr>
        <w:t>1,</w:t>
      </w:r>
      <w:r w:rsidRPr="000729CF">
        <w:rPr>
          <w:rFonts w:ascii="Calibri" w:eastAsia="Calibri" w:hAnsi="Calibri" w:cs="Calibri"/>
          <w:sz w:val="22"/>
          <w:szCs w:val="22"/>
          <w:lang w:val="en-GB" w:eastAsia="en-GB"/>
        </w:rPr>
        <w:t>400 premises licensed venues and 278 gambling premises licensed in the city. 1200 licensed taxi drivers. 580 Hackney Carriage and 370 private hire vehicles licensed;</w:t>
      </w:r>
    </w:p>
    <w:p w14:paraId="49D9934B" w14:textId="77777777" w:rsidR="000729CF" w:rsidRPr="000729CF" w:rsidRDefault="000729CF" w:rsidP="00CE70A3">
      <w:pPr>
        <w:numPr>
          <w:ilvl w:val="0"/>
          <w:numId w:val="35"/>
        </w:numPr>
        <w:autoSpaceDE w:val="0"/>
        <w:autoSpaceDN w:val="0"/>
        <w:adjustRightInd w:val="0"/>
        <w:spacing w:after="160" w:line="259" w:lineRule="auto"/>
        <w:ind w:hanging="436"/>
        <w:contextualSpacing/>
        <w:rPr>
          <w:rFonts w:ascii="Calibri" w:hAnsi="Calibri" w:cs="Calibri"/>
          <w:color w:val="000000"/>
          <w:sz w:val="22"/>
          <w:szCs w:val="22"/>
          <w:lang w:val="en-GB" w:eastAsia="en-GB"/>
        </w:rPr>
      </w:pPr>
      <w:r w:rsidRPr="000729CF">
        <w:rPr>
          <w:rFonts w:ascii="Calibri" w:hAnsi="Calibri" w:cs="Calibri"/>
          <w:sz w:val="22"/>
          <w:szCs w:val="22"/>
          <w:lang w:val="en-GB" w:eastAsia="en-GB"/>
        </w:rPr>
        <w:t xml:space="preserve">Over 3000 noise complaints including both domestic and commercial </w:t>
      </w:r>
      <w:r w:rsidRPr="000729CF">
        <w:rPr>
          <w:rFonts w:ascii="Calibri" w:hAnsi="Calibri" w:cs="Calibri"/>
          <w:color w:val="000000"/>
          <w:sz w:val="22"/>
          <w:szCs w:val="22"/>
          <w:lang w:val="en-GB" w:eastAsia="en-GB"/>
        </w:rPr>
        <w:t>requiring investigation in 2023;</w:t>
      </w:r>
    </w:p>
    <w:p w14:paraId="3AF48162" w14:textId="77777777" w:rsidR="000729CF" w:rsidRPr="000729CF" w:rsidRDefault="000729CF" w:rsidP="00CE70A3">
      <w:pPr>
        <w:numPr>
          <w:ilvl w:val="0"/>
          <w:numId w:val="35"/>
        </w:numPr>
        <w:autoSpaceDE w:val="0"/>
        <w:autoSpaceDN w:val="0"/>
        <w:adjustRightInd w:val="0"/>
        <w:spacing w:after="160" w:line="259" w:lineRule="auto"/>
        <w:ind w:hanging="436"/>
        <w:contextualSpacing/>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Obtained £104,000 worth of refunds and compensation for vulnerable consumers in 2023.</w:t>
      </w:r>
    </w:p>
    <w:p w14:paraId="51145DF9" w14:textId="77777777" w:rsidR="000729CF" w:rsidRPr="000729CF" w:rsidRDefault="000729CF" w:rsidP="000729CF">
      <w:pPr>
        <w:spacing w:line="276" w:lineRule="auto"/>
        <w:contextualSpacing/>
        <w:rPr>
          <w:rFonts w:ascii="Calibri" w:hAnsi="Calibri" w:cs="Calibri"/>
          <w:b/>
          <w:color w:val="000000"/>
          <w:sz w:val="22"/>
          <w:szCs w:val="22"/>
          <w:lang w:val="en-GB" w:eastAsia="en-GB"/>
        </w:rPr>
      </w:pPr>
    </w:p>
    <w:p w14:paraId="1565FD57" w14:textId="77777777" w:rsidR="000729CF" w:rsidRPr="000729CF" w:rsidRDefault="000729CF" w:rsidP="000729CF">
      <w:pPr>
        <w:spacing w:line="276" w:lineRule="auto"/>
        <w:contextualSpacing/>
        <w:rPr>
          <w:rFonts w:ascii="Calibri" w:hAnsi="Calibri" w:cs="Calibri"/>
          <w:b/>
          <w:color w:val="000000"/>
          <w:sz w:val="22"/>
          <w:szCs w:val="22"/>
          <w:lang w:val="en-GB" w:eastAsia="en-GB"/>
        </w:rPr>
      </w:pPr>
      <w:r w:rsidRPr="000729CF">
        <w:rPr>
          <w:rFonts w:ascii="Calibri" w:hAnsi="Calibri" w:cs="Calibri"/>
          <w:b/>
          <w:color w:val="000000"/>
          <w:sz w:val="22"/>
          <w:szCs w:val="22"/>
          <w:lang w:val="en-GB" w:eastAsia="en-GB"/>
        </w:rPr>
        <w:t>Communities, Equalities &amp; Third Sector (CETS)</w:t>
      </w:r>
    </w:p>
    <w:p w14:paraId="04B4AAF5" w14:textId="77777777" w:rsidR="000729CF" w:rsidRPr="000729CF" w:rsidRDefault="000729CF" w:rsidP="000729CF">
      <w:pPr>
        <w:autoSpaceDE w:val="0"/>
        <w:autoSpaceDN w:val="0"/>
        <w:adjustRightInd w:val="0"/>
        <w:spacing w:before="120" w:after="120"/>
        <w:rPr>
          <w:rFonts w:ascii="Calibri" w:eastAsia="Calibri" w:hAnsi="Calibri" w:cs="Calibri"/>
          <w:color w:val="000000"/>
          <w:sz w:val="22"/>
          <w:szCs w:val="22"/>
          <w:lang w:val="en-GB"/>
        </w:rPr>
      </w:pPr>
      <w:r w:rsidRPr="000729CF">
        <w:rPr>
          <w:rFonts w:ascii="Calibri" w:eastAsia="Calibri" w:hAnsi="Calibri" w:cs="Calibri"/>
          <w:color w:val="000000"/>
          <w:sz w:val="22"/>
          <w:szCs w:val="22"/>
          <w:lang w:val="en-GB"/>
        </w:rPr>
        <w:t xml:space="preserve">This team provides services squarely aligned to achieving the council plan’s objective of a fair, accessible and inclusive city, leading corporately on community engagement and collaboration, equality, diversity and inclusion and support to achieve a more sustainable, efficient and effective community and voluntary sector. All focused on achieving the council plan’s wider priorities of a city to be proud of, a health city where people thrive and a responsive council that listens to its communities and delivers positive result for the city. </w:t>
      </w:r>
    </w:p>
    <w:p w14:paraId="220F1CE6" w14:textId="77777777" w:rsidR="000729CF" w:rsidRPr="000729CF" w:rsidRDefault="000729CF" w:rsidP="00CE70A3">
      <w:pPr>
        <w:numPr>
          <w:ilvl w:val="0"/>
          <w:numId w:val="33"/>
        </w:numPr>
        <w:spacing w:after="200" w:line="276" w:lineRule="auto"/>
        <w:contextualSpacing/>
        <w:rPr>
          <w:rFonts w:ascii="Calibri" w:hAnsi="Calibri" w:cs="Calibri"/>
          <w:sz w:val="22"/>
          <w:szCs w:val="22"/>
          <w:lang w:val="en-GB" w:eastAsia="en-GB"/>
        </w:rPr>
      </w:pPr>
      <w:r w:rsidRPr="000729CF">
        <w:rPr>
          <w:rFonts w:ascii="Calibri" w:hAnsi="Calibri" w:cs="Calibri"/>
          <w:sz w:val="22"/>
          <w:szCs w:val="22"/>
          <w:lang w:val="en-GB" w:eastAsia="en-GB"/>
        </w:rPr>
        <w:t xml:space="preserve">Supporting community and voluntary sector organisations, projects and action that </w:t>
      </w:r>
      <w:r w:rsidRPr="000729CF">
        <w:rPr>
          <w:rFonts w:ascii="Calibri" w:eastAsia="Calibri" w:hAnsi="Calibri" w:cs="Calibri"/>
          <w:sz w:val="22"/>
          <w:szCs w:val="22"/>
          <w:lang w:val="en-GB"/>
        </w:rPr>
        <w:t>promotes inclusion and provide opportunities for everyone to grow and thrive;</w:t>
      </w:r>
    </w:p>
    <w:p w14:paraId="38D45742" w14:textId="77777777" w:rsidR="000729CF" w:rsidRPr="000729CF" w:rsidRDefault="000729CF" w:rsidP="00CE70A3">
      <w:pPr>
        <w:numPr>
          <w:ilvl w:val="0"/>
          <w:numId w:val="33"/>
        </w:numPr>
        <w:spacing w:after="200" w:line="276" w:lineRule="auto"/>
        <w:contextualSpacing/>
        <w:rPr>
          <w:rFonts w:ascii="Calibri" w:hAnsi="Calibri" w:cs="Calibri"/>
          <w:sz w:val="22"/>
          <w:szCs w:val="22"/>
          <w:lang w:val="en-GB" w:eastAsia="en-GB"/>
        </w:rPr>
      </w:pPr>
      <w:r w:rsidRPr="000729CF">
        <w:rPr>
          <w:rFonts w:ascii="Calibri" w:hAnsi="Calibri" w:cs="Calibri"/>
          <w:sz w:val="22"/>
          <w:szCs w:val="22"/>
          <w:lang w:val="en-GB" w:eastAsia="en-GB"/>
        </w:rPr>
        <w:t>Working alongside communities, listening and understanding their experiences and what needs changing, to tackle inequality and injustice, and alleviate hardship;</w:t>
      </w:r>
    </w:p>
    <w:p w14:paraId="45243F31" w14:textId="77777777" w:rsidR="000729CF" w:rsidRPr="000729CF" w:rsidRDefault="000729CF" w:rsidP="00CE70A3">
      <w:pPr>
        <w:numPr>
          <w:ilvl w:val="0"/>
          <w:numId w:val="33"/>
        </w:numPr>
        <w:spacing w:after="160" w:line="259" w:lineRule="auto"/>
        <w:contextualSpacing/>
        <w:rPr>
          <w:rFonts w:ascii="Calibri" w:hAnsi="Calibri" w:cs="Calibri"/>
          <w:sz w:val="22"/>
          <w:szCs w:val="22"/>
          <w:lang w:val="en-GB" w:eastAsia="en-GB"/>
        </w:rPr>
      </w:pPr>
      <w:r w:rsidRPr="000729CF">
        <w:rPr>
          <w:rFonts w:ascii="Calibri" w:hAnsi="Calibri" w:cs="Calibri"/>
          <w:sz w:val="22"/>
          <w:szCs w:val="22"/>
          <w:lang w:val="en-GB" w:eastAsia="en-GB"/>
        </w:rPr>
        <w:t>Supporting services – strategically and operationally - to change and adapt to deliver better outcomes for people who fair worse in the city because of their identity, their background, their socio-economic status or where they live;</w:t>
      </w:r>
    </w:p>
    <w:p w14:paraId="1A9907D4" w14:textId="77777777" w:rsidR="000729CF" w:rsidRPr="000729CF" w:rsidRDefault="000729CF" w:rsidP="00CE70A3">
      <w:pPr>
        <w:numPr>
          <w:ilvl w:val="0"/>
          <w:numId w:val="33"/>
        </w:numPr>
        <w:spacing w:after="160" w:line="259" w:lineRule="auto"/>
        <w:contextualSpacing/>
        <w:rPr>
          <w:rFonts w:ascii="Calibri" w:hAnsi="Calibri" w:cs="Calibri"/>
          <w:sz w:val="22"/>
          <w:szCs w:val="22"/>
          <w:lang w:val="en-GB" w:eastAsia="en-GB"/>
        </w:rPr>
      </w:pPr>
      <w:r w:rsidRPr="000729CF">
        <w:rPr>
          <w:rFonts w:ascii="Calibri" w:hAnsi="Calibri" w:cs="Calibri"/>
          <w:sz w:val="22"/>
          <w:szCs w:val="22"/>
          <w:lang w:val="en-GB" w:eastAsia="en-GB"/>
        </w:rPr>
        <w:t>Leading on strategic and systemic change through the delivery of the council’s Anti-Racism Strategy, and Accessible Strategy, and development of a new Gender Equality Strategy focusing on removing barriers, sometimes multiple, that exclude people from services;</w:t>
      </w:r>
    </w:p>
    <w:p w14:paraId="7BCE1F5D" w14:textId="77777777" w:rsidR="000729CF" w:rsidRPr="000729CF" w:rsidRDefault="000729CF" w:rsidP="00CE70A3">
      <w:pPr>
        <w:numPr>
          <w:ilvl w:val="0"/>
          <w:numId w:val="33"/>
        </w:numPr>
        <w:spacing w:after="160" w:line="259" w:lineRule="auto"/>
        <w:contextualSpacing/>
        <w:rPr>
          <w:rFonts w:ascii="Calibri" w:hAnsi="Calibri" w:cs="Calibri"/>
          <w:sz w:val="22"/>
          <w:szCs w:val="22"/>
          <w:lang w:val="en-GB" w:eastAsia="en-GB"/>
        </w:rPr>
      </w:pPr>
      <w:r w:rsidRPr="000729CF">
        <w:rPr>
          <w:rFonts w:ascii="Calibri" w:hAnsi="Calibri" w:cs="Calibri"/>
          <w:sz w:val="22"/>
          <w:szCs w:val="22"/>
          <w:lang w:val="en-GB" w:eastAsia="en-GB"/>
        </w:rPr>
        <w:t xml:space="preserve">Collaborating with the community and voluntary sector and our public sector partners to continue as a City of Sanctuary and participant in government resettlement programmes, welcoming and supporting refugees and migrants to settle and thrive. </w:t>
      </w:r>
      <w:bookmarkEnd w:id="36"/>
    </w:p>
    <w:p w14:paraId="2D961A56" w14:textId="77777777" w:rsidR="000729CF" w:rsidRPr="000729CF" w:rsidRDefault="000729CF" w:rsidP="000729CF">
      <w:pPr>
        <w:ind w:left="720"/>
        <w:contextualSpacing/>
        <w:rPr>
          <w:rFonts w:ascii="Calibri" w:hAnsi="Calibri" w:cs="Calibri"/>
          <w:sz w:val="22"/>
          <w:szCs w:val="22"/>
          <w:lang w:val="en-GB" w:eastAsia="en-GB"/>
        </w:rPr>
      </w:pPr>
    </w:p>
    <w:p w14:paraId="727D3047" w14:textId="77777777" w:rsidR="000729CF" w:rsidRPr="000729CF" w:rsidRDefault="000729CF" w:rsidP="000729CF">
      <w:pPr>
        <w:autoSpaceDE w:val="0"/>
        <w:autoSpaceDN w:val="0"/>
        <w:adjustRightInd w:val="0"/>
        <w:spacing w:before="120" w:after="120"/>
        <w:rPr>
          <w:rFonts w:ascii="Calibri" w:eastAsia="Calibri" w:hAnsi="Calibri" w:cs="Calibri"/>
          <w:b/>
          <w:sz w:val="22"/>
          <w:szCs w:val="22"/>
          <w:u w:val="single"/>
          <w:lang w:val="en-GB"/>
        </w:rPr>
      </w:pPr>
      <w:r w:rsidRPr="000729CF">
        <w:rPr>
          <w:rFonts w:ascii="Calibri" w:eastAsia="Calibri" w:hAnsi="Calibri" w:cs="Calibri"/>
          <w:b/>
          <w:sz w:val="22"/>
          <w:szCs w:val="22"/>
          <w:u w:val="single"/>
          <w:lang w:val="en-GB"/>
        </w:rPr>
        <w:t xml:space="preserve">Budget Strategy </w:t>
      </w:r>
    </w:p>
    <w:p w14:paraId="47B2083B" w14:textId="77777777" w:rsidR="000729CF" w:rsidRPr="000729CF" w:rsidRDefault="000729CF" w:rsidP="000729CF">
      <w:pPr>
        <w:autoSpaceDE w:val="0"/>
        <w:autoSpaceDN w:val="0"/>
        <w:adjustRightInd w:val="0"/>
        <w:spacing w:before="120" w:after="120"/>
        <w:rPr>
          <w:rFonts w:ascii="Calibri" w:eastAsia="Calibri" w:hAnsi="Calibri" w:cs="Calibri"/>
          <w:color w:val="000000"/>
          <w:sz w:val="22"/>
          <w:szCs w:val="22"/>
          <w:lang w:val="en-GB"/>
        </w:rPr>
      </w:pPr>
      <w:r w:rsidRPr="000729CF">
        <w:rPr>
          <w:rFonts w:ascii="Calibri" w:eastAsia="Calibri" w:hAnsi="Calibri" w:cs="Calibri"/>
          <w:color w:val="000000"/>
          <w:sz w:val="22"/>
          <w:szCs w:val="22"/>
          <w:lang w:val="en-GB"/>
        </w:rPr>
        <w:t xml:space="preserve">The council plan 2023 to 2027 sets out a vision for a better Brighton &amp; Hove for all. We want to become a city we can all be proud of, somewhere that is fair and inclusive and a healthy place where people can thrive. We aim to be a responsive council with well-run services. With </w:t>
      </w:r>
      <w:r w:rsidRPr="000729CF">
        <w:rPr>
          <w:rFonts w:ascii="Calibri" w:eastAsia="Calibri" w:hAnsi="Calibri" w:cs="Calibri"/>
          <w:b/>
          <w:bCs/>
          <w:color w:val="000000"/>
          <w:sz w:val="22"/>
          <w:szCs w:val="22"/>
          <w:lang w:val="en-GB"/>
        </w:rPr>
        <w:t>Homes for Everyone</w:t>
      </w:r>
      <w:r w:rsidRPr="000729CF">
        <w:rPr>
          <w:rFonts w:ascii="Calibri" w:eastAsia="Calibri" w:hAnsi="Calibri" w:cs="Calibri"/>
          <w:color w:val="000000"/>
          <w:sz w:val="22"/>
          <w:szCs w:val="22"/>
          <w:lang w:val="en-GB"/>
        </w:rPr>
        <w:t xml:space="preserve"> firmly stated as a council plan priority, </w:t>
      </w:r>
      <w:r w:rsidRPr="000729CF">
        <w:rPr>
          <w:rFonts w:ascii="Calibri" w:eastAsia="Calibri" w:hAnsi="Calibri" w:cs="Calibri"/>
          <w:b/>
          <w:bCs/>
          <w:color w:val="000000"/>
          <w:sz w:val="22"/>
          <w:szCs w:val="22"/>
          <w:lang w:val="en-GB"/>
        </w:rPr>
        <w:t xml:space="preserve">Housing Management </w:t>
      </w:r>
      <w:r w:rsidRPr="000729CF">
        <w:rPr>
          <w:rFonts w:ascii="Calibri" w:eastAsia="Calibri" w:hAnsi="Calibri" w:cs="Calibri"/>
          <w:color w:val="000000"/>
          <w:sz w:val="22"/>
          <w:szCs w:val="22"/>
          <w:lang w:val="en-GB"/>
        </w:rPr>
        <w:t xml:space="preserve">and </w:t>
      </w:r>
      <w:r w:rsidRPr="000729CF">
        <w:rPr>
          <w:rFonts w:ascii="Calibri" w:eastAsia="Calibri" w:hAnsi="Calibri" w:cs="Calibri"/>
          <w:b/>
          <w:bCs/>
          <w:color w:val="000000"/>
          <w:sz w:val="22"/>
          <w:szCs w:val="22"/>
          <w:lang w:val="en-GB"/>
        </w:rPr>
        <w:t>Housing Needs &amp; Supply</w:t>
      </w:r>
      <w:r w:rsidRPr="000729CF">
        <w:rPr>
          <w:rFonts w:ascii="Calibri" w:eastAsia="Calibri" w:hAnsi="Calibri" w:cs="Calibri"/>
          <w:color w:val="000000"/>
          <w:sz w:val="22"/>
          <w:szCs w:val="22"/>
          <w:lang w:val="en-GB"/>
        </w:rPr>
        <w:t xml:space="preserve"> are working to a goal of achieving improved housing quality, increased housing supply and improved housing support for residents. </w:t>
      </w:r>
    </w:p>
    <w:p w14:paraId="13F2A3C4" w14:textId="77777777" w:rsidR="000729CF" w:rsidRPr="000729CF" w:rsidRDefault="000729CF" w:rsidP="000729CF">
      <w:pPr>
        <w:autoSpaceDE w:val="0"/>
        <w:autoSpaceDN w:val="0"/>
        <w:adjustRightInd w:val="0"/>
        <w:spacing w:before="120"/>
        <w:rPr>
          <w:rFonts w:ascii="Calibri" w:eastAsia="Calibri" w:hAnsi="Calibri" w:cs="Calibri"/>
          <w:color w:val="000000"/>
          <w:sz w:val="22"/>
          <w:szCs w:val="22"/>
          <w:lang w:val="en-GB"/>
        </w:rPr>
      </w:pPr>
      <w:r w:rsidRPr="000729CF">
        <w:rPr>
          <w:rFonts w:ascii="Calibri" w:eastAsia="Calibri" w:hAnsi="Calibri" w:cs="Calibri"/>
          <w:color w:val="000000"/>
          <w:sz w:val="22"/>
          <w:szCs w:val="22"/>
          <w:lang w:val="en-GB"/>
        </w:rPr>
        <w:t xml:space="preserve">A Housing Strategy is being developed, for consultation in March 2024, which will set out how we will achieve these. The draft strategic priorities being:  </w:t>
      </w:r>
    </w:p>
    <w:p w14:paraId="5E8151FF" w14:textId="77777777" w:rsidR="000729CF" w:rsidRPr="000729CF" w:rsidRDefault="000729CF" w:rsidP="00CE70A3">
      <w:pPr>
        <w:numPr>
          <w:ilvl w:val="0"/>
          <w:numId w:val="34"/>
        </w:numPr>
        <w:spacing w:after="160" w:line="259" w:lineRule="auto"/>
        <w:contextualSpacing/>
        <w:rPr>
          <w:rFonts w:ascii="Calibri" w:hAnsi="Calibri" w:cs="Calibri"/>
          <w:b/>
          <w:bCs/>
          <w:sz w:val="22"/>
          <w:szCs w:val="22"/>
          <w:lang w:val="en-GB" w:eastAsia="en-GB"/>
        </w:rPr>
      </w:pPr>
      <w:r w:rsidRPr="000729CF">
        <w:rPr>
          <w:rFonts w:ascii="Calibri" w:hAnsi="Calibri" w:cs="Calibri"/>
          <w:sz w:val="22"/>
          <w:szCs w:val="22"/>
          <w:lang w:val="en-GB" w:eastAsia="en-GB"/>
        </w:rPr>
        <w:t>Improve housing quality, safety and sustainability;</w:t>
      </w:r>
    </w:p>
    <w:p w14:paraId="22337B88" w14:textId="77777777" w:rsidR="000729CF" w:rsidRPr="000729CF" w:rsidRDefault="000729CF" w:rsidP="00CE70A3">
      <w:pPr>
        <w:numPr>
          <w:ilvl w:val="0"/>
          <w:numId w:val="34"/>
        </w:numPr>
        <w:spacing w:after="160" w:line="259" w:lineRule="auto"/>
        <w:contextualSpacing/>
        <w:rPr>
          <w:rFonts w:ascii="Calibri" w:hAnsi="Calibri" w:cs="Calibri"/>
          <w:b/>
          <w:bCs/>
          <w:sz w:val="22"/>
          <w:szCs w:val="22"/>
          <w:lang w:val="en-GB" w:eastAsia="en-GB"/>
        </w:rPr>
      </w:pPr>
      <w:r w:rsidRPr="000729CF">
        <w:rPr>
          <w:rFonts w:ascii="Calibri" w:hAnsi="Calibri" w:cs="Calibri"/>
          <w:sz w:val="22"/>
          <w:szCs w:val="22"/>
          <w:lang w:val="en-GB" w:eastAsia="en-GB"/>
        </w:rPr>
        <w:t xml:space="preserve">Deliver the homes our city needs; </w:t>
      </w:r>
    </w:p>
    <w:p w14:paraId="2C16C65B" w14:textId="77777777" w:rsidR="000729CF" w:rsidRPr="000729CF" w:rsidRDefault="000729CF" w:rsidP="00CE70A3">
      <w:pPr>
        <w:numPr>
          <w:ilvl w:val="0"/>
          <w:numId w:val="34"/>
        </w:numPr>
        <w:spacing w:after="160" w:line="259" w:lineRule="auto"/>
        <w:contextualSpacing/>
        <w:rPr>
          <w:rFonts w:ascii="Calibri" w:hAnsi="Calibri" w:cs="Calibri"/>
          <w:b/>
          <w:bCs/>
          <w:sz w:val="22"/>
          <w:szCs w:val="22"/>
          <w:lang w:val="en-GB" w:eastAsia="en-GB"/>
        </w:rPr>
      </w:pPr>
      <w:r w:rsidRPr="000729CF">
        <w:rPr>
          <w:rFonts w:ascii="Calibri" w:hAnsi="Calibri" w:cs="Calibri"/>
          <w:sz w:val="22"/>
          <w:szCs w:val="22"/>
          <w:lang w:val="en-GB" w:eastAsia="en-GB"/>
        </w:rPr>
        <w:t>Prevent homelessness and meet housing need;</w:t>
      </w:r>
    </w:p>
    <w:p w14:paraId="00C46283" w14:textId="77777777" w:rsidR="000729CF" w:rsidRPr="000729CF" w:rsidRDefault="000729CF" w:rsidP="00CE70A3">
      <w:pPr>
        <w:numPr>
          <w:ilvl w:val="0"/>
          <w:numId w:val="34"/>
        </w:numPr>
        <w:spacing w:after="160" w:line="259" w:lineRule="auto"/>
        <w:contextualSpacing/>
        <w:rPr>
          <w:rFonts w:ascii="Calibri" w:hAnsi="Calibri" w:cs="Calibri"/>
          <w:b/>
          <w:bCs/>
          <w:sz w:val="22"/>
          <w:szCs w:val="22"/>
          <w:lang w:val="en-GB" w:eastAsia="en-GB"/>
        </w:rPr>
      </w:pPr>
      <w:r w:rsidRPr="000729CF">
        <w:rPr>
          <w:rFonts w:ascii="Calibri" w:hAnsi="Calibri" w:cs="Calibri"/>
          <w:sz w:val="22"/>
          <w:szCs w:val="22"/>
          <w:lang w:val="en-GB" w:eastAsia="en-GB"/>
        </w:rPr>
        <w:t>Support improved health &amp; wellbeing for residents and communities;</w:t>
      </w:r>
    </w:p>
    <w:p w14:paraId="0903D9B7" w14:textId="77777777" w:rsidR="000729CF" w:rsidRPr="000729CF" w:rsidRDefault="000729CF" w:rsidP="00CE70A3">
      <w:pPr>
        <w:numPr>
          <w:ilvl w:val="0"/>
          <w:numId w:val="34"/>
        </w:numPr>
        <w:spacing w:after="160" w:line="259" w:lineRule="auto"/>
        <w:contextualSpacing/>
        <w:rPr>
          <w:rFonts w:ascii="Calibri" w:hAnsi="Calibri" w:cs="Calibri"/>
          <w:b/>
          <w:bCs/>
          <w:sz w:val="22"/>
          <w:szCs w:val="22"/>
          <w:lang w:val="en-GB" w:eastAsia="en-GB"/>
        </w:rPr>
      </w:pPr>
      <w:r w:rsidRPr="000729CF">
        <w:rPr>
          <w:rFonts w:ascii="Calibri" w:eastAsia="Calibri" w:hAnsi="Calibri" w:cs="Calibri"/>
          <w:sz w:val="22"/>
          <w:szCs w:val="22"/>
          <w:lang w:val="en-GB"/>
        </w:rPr>
        <w:t>Provide resident focused housing services;</w:t>
      </w:r>
    </w:p>
    <w:p w14:paraId="73C3F5B4" w14:textId="77777777" w:rsidR="000729CF" w:rsidRPr="000729CF" w:rsidRDefault="000729CF" w:rsidP="00CE70A3">
      <w:pPr>
        <w:numPr>
          <w:ilvl w:val="0"/>
          <w:numId w:val="34"/>
        </w:numPr>
        <w:spacing w:after="160" w:line="259" w:lineRule="auto"/>
        <w:contextualSpacing/>
        <w:rPr>
          <w:rFonts w:ascii="Calibri" w:hAnsi="Calibri" w:cs="Calibri"/>
          <w:b/>
          <w:bCs/>
          <w:sz w:val="22"/>
          <w:szCs w:val="22"/>
          <w:lang w:val="en-GB" w:eastAsia="en-GB"/>
        </w:rPr>
      </w:pPr>
      <w:r w:rsidRPr="000729CF">
        <w:rPr>
          <w:rFonts w:ascii="Calibri" w:eastAsia="Calibri" w:hAnsi="Calibri" w:cs="Calibri"/>
          <w:sz w:val="22"/>
          <w:szCs w:val="22"/>
          <w:lang w:val="en-GB"/>
        </w:rPr>
        <w:t>Invest in building and fire safety to meet new duties under the Building Safety Act;</w:t>
      </w:r>
    </w:p>
    <w:p w14:paraId="3FB5F6E2" w14:textId="77777777" w:rsidR="000729CF" w:rsidRPr="000729CF" w:rsidRDefault="000729CF" w:rsidP="00CE70A3">
      <w:pPr>
        <w:numPr>
          <w:ilvl w:val="0"/>
          <w:numId w:val="34"/>
        </w:numPr>
        <w:spacing w:after="160" w:line="259" w:lineRule="auto"/>
        <w:contextualSpacing/>
        <w:rPr>
          <w:rFonts w:ascii="Calibri" w:hAnsi="Calibri" w:cs="Calibri"/>
          <w:b/>
          <w:bCs/>
          <w:sz w:val="22"/>
          <w:szCs w:val="22"/>
          <w:lang w:val="en-GB" w:eastAsia="en-GB"/>
        </w:rPr>
      </w:pPr>
      <w:r w:rsidRPr="000729CF">
        <w:rPr>
          <w:rFonts w:ascii="Calibri" w:eastAsia="Calibri" w:hAnsi="Calibri" w:cs="Calibri"/>
          <w:sz w:val="22"/>
          <w:szCs w:val="22"/>
          <w:lang w:val="en-GB"/>
        </w:rPr>
        <w:t>Ensure the council complies with anticipated new social housing regulations;</w:t>
      </w:r>
    </w:p>
    <w:p w14:paraId="42CD2154" w14:textId="77777777" w:rsidR="000729CF" w:rsidRPr="000729CF" w:rsidRDefault="000729CF" w:rsidP="00CE70A3">
      <w:pPr>
        <w:numPr>
          <w:ilvl w:val="0"/>
          <w:numId w:val="34"/>
        </w:numPr>
        <w:spacing w:after="160" w:line="259" w:lineRule="auto"/>
        <w:contextualSpacing/>
        <w:rPr>
          <w:rFonts w:ascii="Calibri" w:hAnsi="Calibri" w:cs="Calibri"/>
          <w:b/>
          <w:bCs/>
          <w:sz w:val="22"/>
          <w:szCs w:val="22"/>
          <w:lang w:val="en-GB" w:eastAsia="en-GB"/>
        </w:rPr>
      </w:pPr>
      <w:r w:rsidRPr="000729CF">
        <w:rPr>
          <w:rFonts w:ascii="Calibri" w:eastAsia="Calibri" w:hAnsi="Calibri" w:cs="Calibri"/>
          <w:sz w:val="22"/>
          <w:szCs w:val="22"/>
          <w:lang w:val="en-GB"/>
        </w:rPr>
        <w:t>Complete post pandemic recovery including reducing backlog of housing repairs and the number of empty properties;</w:t>
      </w:r>
    </w:p>
    <w:p w14:paraId="52847C90" w14:textId="77777777" w:rsidR="000729CF" w:rsidRPr="000729CF" w:rsidRDefault="000729CF" w:rsidP="00CE70A3">
      <w:pPr>
        <w:numPr>
          <w:ilvl w:val="0"/>
          <w:numId w:val="34"/>
        </w:numPr>
        <w:spacing w:after="160" w:line="259" w:lineRule="auto"/>
        <w:contextualSpacing/>
        <w:rPr>
          <w:rFonts w:ascii="Calibri" w:hAnsi="Calibri" w:cs="Calibri"/>
          <w:b/>
          <w:bCs/>
          <w:sz w:val="22"/>
          <w:szCs w:val="22"/>
          <w:lang w:val="en-GB" w:eastAsia="en-GB"/>
        </w:rPr>
      </w:pPr>
      <w:r w:rsidRPr="000729CF">
        <w:rPr>
          <w:rFonts w:ascii="Calibri" w:eastAsia="Calibri" w:hAnsi="Calibri" w:cs="Calibri"/>
          <w:sz w:val="22"/>
          <w:szCs w:val="22"/>
          <w:lang w:val="en-GB"/>
        </w:rPr>
        <w:t>Improve the energy performance of council homes through our capital works programme;</w:t>
      </w:r>
    </w:p>
    <w:p w14:paraId="3FAB937A" w14:textId="77777777" w:rsidR="000729CF" w:rsidRPr="000729CF" w:rsidRDefault="000729CF" w:rsidP="00CE70A3">
      <w:pPr>
        <w:numPr>
          <w:ilvl w:val="0"/>
          <w:numId w:val="34"/>
        </w:numPr>
        <w:spacing w:after="160" w:line="259" w:lineRule="auto"/>
        <w:contextualSpacing/>
        <w:rPr>
          <w:rFonts w:ascii="Calibri" w:hAnsi="Calibri" w:cs="Calibri"/>
          <w:b/>
          <w:bCs/>
          <w:sz w:val="22"/>
          <w:szCs w:val="22"/>
          <w:lang w:val="en-GB" w:eastAsia="en-GB"/>
        </w:rPr>
      </w:pPr>
      <w:r w:rsidRPr="000729CF">
        <w:rPr>
          <w:rFonts w:ascii="Calibri" w:eastAsia="Calibri" w:hAnsi="Calibri" w:cs="Calibri"/>
          <w:sz w:val="22"/>
          <w:szCs w:val="22"/>
          <w:lang w:val="en-GB"/>
        </w:rPr>
        <w:t>Improve the sustainability of our housing stock;</w:t>
      </w:r>
    </w:p>
    <w:p w14:paraId="34459021" w14:textId="77777777" w:rsidR="000729CF" w:rsidRPr="000729CF" w:rsidRDefault="000729CF" w:rsidP="00CE70A3">
      <w:pPr>
        <w:numPr>
          <w:ilvl w:val="0"/>
          <w:numId w:val="34"/>
        </w:numPr>
        <w:spacing w:after="160" w:line="259" w:lineRule="auto"/>
        <w:contextualSpacing/>
        <w:rPr>
          <w:rFonts w:ascii="Calibri" w:hAnsi="Calibri" w:cs="Calibri"/>
          <w:b/>
          <w:sz w:val="22"/>
          <w:szCs w:val="22"/>
          <w:lang w:val="en-GB" w:eastAsia="en-GB"/>
        </w:rPr>
      </w:pPr>
      <w:r w:rsidRPr="000729CF">
        <w:rPr>
          <w:rFonts w:ascii="Calibri" w:eastAsia="Calibri" w:hAnsi="Calibri" w:cs="Calibri"/>
          <w:sz w:val="22"/>
          <w:szCs w:val="22"/>
          <w:lang w:val="en-GB"/>
        </w:rPr>
        <w:t>Optimise the local benefits and social value of our in-house repairs and maintenance service.</w:t>
      </w:r>
      <w:r w:rsidRPr="000729CF">
        <w:rPr>
          <w:rFonts w:ascii="Calibri" w:eastAsia="Calibri" w:hAnsi="Calibri" w:cs="Calibri"/>
          <w:sz w:val="22"/>
          <w:szCs w:val="22"/>
          <w:lang w:val="en-GB"/>
        </w:rPr>
        <w:br/>
      </w:r>
    </w:p>
    <w:p w14:paraId="6BB70F89" w14:textId="77777777" w:rsidR="000729CF" w:rsidRPr="000729CF" w:rsidRDefault="000729CF" w:rsidP="000729CF">
      <w:pPr>
        <w:rPr>
          <w:rFonts w:ascii="Calibri" w:eastAsia="Calibri" w:hAnsi="Calibri" w:cs="Calibri"/>
          <w:color w:val="000000"/>
          <w:sz w:val="22"/>
          <w:szCs w:val="22"/>
          <w:lang w:val="en-GB"/>
        </w:rPr>
      </w:pPr>
    </w:p>
    <w:p w14:paraId="68DBFAE5" w14:textId="77777777" w:rsidR="000729CF" w:rsidRPr="000729CF" w:rsidRDefault="000729CF" w:rsidP="000729CF">
      <w:pPr>
        <w:autoSpaceDE w:val="0"/>
        <w:autoSpaceDN w:val="0"/>
        <w:adjustRightInd w:val="0"/>
        <w:rPr>
          <w:rFonts w:ascii="Calibri" w:eastAsia="Calibri" w:hAnsi="Calibri" w:cs="Calibri"/>
          <w:sz w:val="22"/>
          <w:szCs w:val="22"/>
          <w:lang w:val="en-GB"/>
        </w:rPr>
      </w:pPr>
      <w:r w:rsidRPr="000729CF">
        <w:rPr>
          <w:rFonts w:ascii="Calibri" w:eastAsia="Calibri" w:hAnsi="Calibri" w:cs="Calibri"/>
          <w:color w:val="000000"/>
          <w:sz w:val="22"/>
          <w:szCs w:val="22"/>
          <w:lang w:val="en-GB"/>
        </w:rPr>
        <w:t>The Council’s Housing Revenue Account (HRA) comprises rental and service charge income from our tenants and leaseholders and funds our landlord services. This includes both capital investment in improving the housing stock and providing much-needed new affordable housing.  The HRA budget proposals 2024/25 reflect significant legislative and regulatory changes impacting social housing landlords following the Grenfell Tower tragedy. This includes substantial investment being undertaken in relation to building, health and fire safety compliance and in anticipation of the strengthened role of Regulator of Social Housing, ensuring adherence to their Consumer Standards. The proposed budget also continues to support investment in new housing supply and sustainable homes as well as in the work of our Tenancy, Repairs &amp; Maintenance and Housing Investment and Asset Management services on behalf of our tenants and residents.</w:t>
      </w:r>
      <w:r w:rsidRPr="000729CF">
        <w:rPr>
          <w:rFonts w:ascii="Calibri" w:eastAsia="Calibri" w:hAnsi="Calibri" w:cs="Calibri"/>
          <w:sz w:val="22"/>
          <w:szCs w:val="22"/>
          <w:lang w:val="en-GB"/>
        </w:rPr>
        <w:t xml:space="preserve"> The HRA Capital Investment Programme supports programmes of work that are necessary to meet the new regulations now coming into force and the requirements of these with investment of £57.955m over the next five years.</w:t>
      </w:r>
    </w:p>
    <w:p w14:paraId="5A351468" w14:textId="77777777" w:rsidR="000729CF" w:rsidRPr="000729CF" w:rsidRDefault="000729CF" w:rsidP="000729CF">
      <w:pPr>
        <w:autoSpaceDE w:val="0"/>
        <w:autoSpaceDN w:val="0"/>
        <w:adjustRightInd w:val="0"/>
        <w:rPr>
          <w:rFonts w:ascii="Calibri" w:eastAsia="Calibri" w:hAnsi="Calibri" w:cs="Calibri"/>
          <w:sz w:val="22"/>
          <w:szCs w:val="22"/>
          <w:lang w:val="en-GB"/>
        </w:rPr>
      </w:pPr>
      <w:r w:rsidRPr="000729CF">
        <w:rPr>
          <w:rFonts w:ascii="Calibri" w:eastAsia="Calibri" w:hAnsi="Calibri" w:cs="Calibri"/>
          <w:sz w:val="22"/>
          <w:szCs w:val="22"/>
          <w:lang w:val="en-GB"/>
        </w:rPr>
        <w:t xml:space="preserve"> </w:t>
      </w:r>
    </w:p>
    <w:p w14:paraId="415CC53B" w14:textId="77777777" w:rsidR="000729CF" w:rsidRPr="000729CF" w:rsidRDefault="000729CF" w:rsidP="000729CF">
      <w:pPr>
        <w:autoSpaceDE w:val="0"/>
        <w:autoSpaceDN w:val="0"/>
        <w:adjustRightInd w:val="0"/>
        <w:rPr>
          <w:rFonts w:ascii="Calibri" w:eastAsia="Calibri" w:hAnsi="Calibri" w:cs="Calibri"/>
          <w:sz w:val="22"/>
          <w:szCs w:val="22"/>
          <w:lang w:val="en-GB"/>
        </w:rPr>
      </w:pPr>
      <w:r w:rsidRPr="000729CF">
        <w:rPr>
          <w:rFonts w:ascii="Calibri" w:eastAsia="Calibri" w:hAnsi="Calibri" w:cs="Calibri"/>
          <w:bCs/>
          <w:color w:val="000000"/>
          <w:sz w:val="22"/>
          <w:szCs w:val="22"/>
          <w:lang w:val="en-GB"/>
        </w:rPr>
        <w:t>The Housing General Fund budget is under pressure because of the level of homelessness demand and the rising costs of rented properties in the City impacting both on the availability of affordable homes and the length of time households stay in TA. There is also a need to improve the quality of housing in the private sector and in particular</w:t>
      </w:r>
      <w:r w:rsidRPr="000729CF">
        <w:rPr>
          <w:rFonts w:ascii="Calibri" w:eastAsia="Calibri" w:hAnsi="Calibri" w:cs="Calibri"/>
          <w:sz w:val="22"/>
          <w:szCs w:val="22"/>
          <w:lang w:val="en-GB"/>
        </w:rPr>
        <w:t xml:space="preserve"> sustainability and work to support carbon reduction. Budget priorities align with the projects and requirements of the agreed Housing Committee Work Plan.</w:t>
      </w:r>
      <w:r w:rsidRPr="000729CF">
        <w:rPr>
          <w:rFonts w:ascii="Calibri" w:eastAsia="Calibri" w:hAnsi="Calibri" w:cs="Calibri"/>
          <w:sz w:val="22"/>
          <w:szCs w:val="22"/>
          <w:lang w:val="en-GB"/>
        </w:rPr>
        <w:br/>
      </w:r>
    </w:p>
    <w:p w14:paraId="1F072E0B" w14:textId="77777777" w:rsidR="000729CF" w:rsidRPr="000729CF" w:rsidRDefault="000729CF" w:rsidP="000729CF">
      <w:pPr>
        <w:autoSpaceDE w:val="0"/>
        <w:autoSpaceDN w:val="0"/>
        <w:adjustRightInd w:val="0"/>
        <w:spacing w:before="120" w:after="120"/>
        <w:rPr>
          <w:rFonts w:ascii="Calibri" w:eastAsia="Calibri" w:hAnsi="Calibri" w:cs="Calibri"/>
          <w:bCs/>
          <w:color w:val="000000"/>
          <w:sz w:val="22"/>
          <w:szCs w:val="22"/>
          <w:lang w:val="en-GB"/>
        </w:rPr>
      </w:pPr>
      <w:r w:rsidRPr="000729CF">
        <w:rPr>
          <w:rFonts w:ascii="Calibri" w:eastAsia="Calibri" w:hAnsi="Calibri" w:cs="Calibri"/>
          <w:bCs/>
          <w:color w:val="000000"/>
          <w:sz w:val="22"/>
          <w:szCs w:val="22"/>
          <w:lang w:val="en-GB"/>
        </w:rPr>
        <w:t xml:space="preserve">For </w:t>
      </w:r>
      <w:r w:rsidRPr="000729CF">
        <w:rPr>
          <w:rFonts w:ascii="Calibri" w:eastAsia="Calibri" w:hAnsi="Calibri" w:cs="Calibri"/>
          <w:b/>
          <w:color w:val="000000"/>
          <w:sz w:val="22"/>
          <w:szCs w:val="22"/>
          <w:lang w:val="en-GB"/>
        </w:rPr>
        <w:t>Libraries</w:t>
      </w:r>
      <w:r w:rsidRPr="000729CF">
        <w:rPr>
          <w:rFonts w:ascii="Calibri" w:eastAsia="Calibri" w:hAnsi="Calibri" w:cs="Calibri"/>
          <w:bCs/>
          <w:color w:val="000000"/>
          <w:sz w:val="22"/>
          <w:szCs w:val="22"/>
          <w:lang w:val="en-GB"/>
        </w:rPr>
        <w:t xml:space="preserve"> the implementation of the Libraries Strategy 2022-25, in particular, the immediate priorities of increasing library usage, increasing income, and developing skills and confidence of staff and volunteers.  </w:t>
      </w:r>
    </w:p>
    <w:p w14:paraId="717E2C04" w14:textId="77777777" w:rsidR="000729CF" w:rsidRPr="000729CF" w:rsidRDefault="000729CF" w:rsidP="000729CF">
      <w:pPr>
        <w:autoSpaceDE w:val="0"/>
        <w:autoSpaceDN w:val="0"/>
        <w:adjustRightInd w:val="0"/>
        <w:spacing w:before="120" w:after="120"/>
        <w:rPr>
          <w:rFonts w:ascii="Calibri" w:eastAsia="Calibri" w:hAnsi="Calibri" w:cs="Calibri"/>
          <w:bCs/>
          <w:color w:val="000000"/>
          <w:sz w:val="22"/>
          <w:szCs w:val="22"/>
          <w:lang w:val="en-GB"/>
        </w:rPr>
      </w:pPr>
      <w:r w:rsidRPr="000729CF">
        <w:rPr>
          <w:rFonts w:ascii="Calibri" w:eastAsia="Calibri" w:hAnsi="Calibri" w:cs="Calibri"/>
          <w:color w:val="000000"/>
          <w:sz w:val="22"/>
          <w:szCs w:val="22"/>
          <w:lang w:val="en-GB"/>
        </w:rPr>
        <w:t xml:space="preserve">Libraries have already extensively modernised, reducing costs significantly while increasing accessibility for the public particularly though developing Libraries Extra unstaffed access. Savings were made in 2023-24 from closure of Mile Oak Library and a reduction in staffed days across the community libraries. A large proportion of the budget is linked to the grant funded PFI scheme which benefits from significant PFI grant funding and where savings have already been achieved. The service will continue to look at how costs can be kept down without adversely affecting services through use of new technologies. Income continues to be generated from the provision of conference rooms and the Booklover retail space in Jubilee Library and room rental in community libraries. These income sources are being extended with a pop-up shop in Hove Library and room rental in the BIPC producing additional income in 2024-25. There will be a further review of spaces and revised charges in conjunction with a substantial funding bid in 2024-25. </w:t>
      </w:r>
      <w:r w:rsidRPr="000729CF">
        <w:rPr>
          <w:rFonts w:ascii="Calibri" w:eastAsia="Calibri" w:hAnsi="Calibri" w:cs="Calibri"/>
          <w:sz w:val="22"/>
          <w:szCs w:val="22"/>
          <w:lang w:val="en-GB"/>
        </w:rPr>
        <w:t>The Jubilee Library PFI contract supports library revenue budgets because it attracts a government grant of £1.505M which effectively funds services across the city. A comprehensive external review of this was carried out in 2018 to ensure that it continued to deliver value for money. Jubilee Library, which is the fourth most visited public library in the country (CIPFA data 2019/20) also attracts a large amount of income which further supports library services across the city.</w:t>
      </w:r>
    </w:p>
    <w:p w14:paraId="106B955C" w14:textId="77777777" w:rsidR="000729CF" w:rsidRPr="000729CF" w:rsidRDefault="000729CF" w:rsidP="000729CF">
      <w:pPr>
        <w:autoSpaceDE w:val="0"/>
        <w:autoSpaceDN w:val="0"/>
        <w:adjustRightInd w:val="0"/>
        <w:spacing w:before="120" w:after="120"/>
        <w:rPr>
          <w:rFonts w:ascii="Calibri" w:eastAsia="Calibri" w:hAnsi="Calibri" w:cs="Calibri"/>
          <w:bCs/>
          <w:color w:val="000000"/>
          <w:sz w:val="22"/>
          <w:szCs w:val="22"/>
          <w:lang w:val="en-GB"/>
        </w:rPr>
      </w:pPr>
      <w:r w:rsidRPr="000729CF">
        <w:rPr>
          <w:rFonts w:ascii="Calibri" w:eastAsia="Calibri" w:hAnsi="Calibri" w:cs="Calibri"/>
          <w:color w:val="000000"/>
          <w:sz w:val="22"/>
          <w:szCs w:val="22"/>
          <w:lang w:val="en-GB"/>
        </w:rPr>
        <w:t xml:space="preserve">The bulk of the budget in </w:t>
      </w:r>
      <w:r w:rsidRPr="000729CF">
        <w:rPr>
          <w:rFonts w:ascii="Calibri" w:eastAsia="Calibri" w:hAnsi="Calibri" w:cs="Calibri"/>
          <w:b/>
          <w:color w:val="000000"/>
          <w:sz w:val="22"/>
          <w:szCs w:val="22"/>
          <w:lang w:val="en-GB"/>
        </w:rPr>
        <w:t>Safer Communities</w:t>
      </w:r>
      <w:r w:rsidRPr="000729CF">
        <w:rPr>
          <w:rFonts w:ascii="Calibri" w:eastAsia="Calibri" w:hAnsi="Calibri" w:cs="Calibri"/>
          <w:color w:val="000000"/>
          <w:sz w:val="22"/>
          <w:szCs w:val="22"/>
          <w:lang w:val="en-GB"/>
        </w:rPr>
        <w:t xml:space="preserve"> is linked to statutory functions to provide a wide range of Environmental health and regulatory services.  The Community Safety Strategy was approved in September 2020 and is updated annually with a focus on early action to prevent crime and disorder, issues that have the biggest impact on people, reducing fear crime and meeting victims’ needs. Demand for a range of community safety services from dealing with ASB to risks to community cohesion is increasing, and the new duties around tackling domestic abuse have also required the service to coordinate and collaborate with a wide range of partners.</w:t>
      </w:r>
      <w:r w:rsidRPr="000729CF">
        <w:rPr>
          <w:rFonts w:ascii="Calibri" w:eastAsia="Calibri" w:hAnsi="Calibri" w:cs="Calibri"/>
          <w:sz w:val="22"/>
          <w:szCs w:val="22"/>
          <w:lang w:val="en-GB"/>
        </w:rPr>
        <w:br/>
      </w:r>
      <w:r w:rsidRPr="000729CF">
        <w:rPr>
          <w:rFonts w:ascii="Calibri" w:eastAsia="Calibri" w:hAnsi="Calibri" w:cs="Calibri"/>
          <w:sz w:val="22"/>
          <w:szCs w:val="22"/>
          <w:lang w:val="en-GB"/>
        </w:rPr>
        <w:br/>
      </w:r>
      <w:r w:rsidRPr="000729CF">
        <w:rPr>
          <w:rFonts w:ascii="Calibri" w:eastAsia="Calibri" w:hAnsi="Calibri" w:cs="Calibri"/>
          <w:color w:val="000000"/>
          <w:sz w:val="22"/>
          <w:szCs w:val="22"/>
          <w:lang w:val="en-GB"/>
        </w:rPr>
        <w:t>The regulatory services are still dealing with the backlog of work arising from the pandemic so is focussing on more efficient and effective working whilst both catching up on the work delayed and continuing to provide the full range of both statutory and non-statutory functions as required by the Council.</w:t>
      </w:r>
    </w:p>
    <w:p w14:paraId="0A4DA04D" w14:textId="77777777" w:rsidR="000729CF" w:rsidRPr="000729CF" w:rsidRDefault="000729CF" w:rsidP="000729CF">
      <w:pPr>
        <w:autoSpaceDE w:val="0"/>
        <w:autoSpaceDN w:val="0"/>
        <w:adjustRightInd w:val="0"/>
        <w:spacing w:before="120" w:after="120"/>
        <w:rPr>
          <w:rFonts w:ascii="Calibri" w:eastAsia="Calibri" w:hAnsi="Calibri" w:cs="Calibri"/>
          <w:color w:val="000000"/>
          <w:sz w:val="22"/>
          <w:szCs w:val="22"/>
          <w:lang w:val="en-GB"/>
        </w:rPr>
      </w:pPr>
      <w:r w:rsidRPr="000729CF">
        <w:rPr>
          <w:rFonts w:ascii="Calibri" w:eastAsia="Calibri" w:hAnsi="Calibri" w:cs="Calibri"/>
          <w:b/>
          <w:bCs/>
          <w:color w:val="000000"/>
          <w:sz w:val="22"/>
          <w:szCs w:val="22"/>
          <w:lang w:val="en-GB"/>
        </w:rPr>
        <w:t xml:space="preserve">CETS </w:t>
      </w:r>
      <w:r w:rsidRPr="000729CF">
        <w:rPr>
          <w:rFonts w:ascii="Calibri" w:eastAsia="Calibri" w:hAnsi="Calibri" w:cs="Calibri"/>
          <w:color w:val="000000"/>
          <w:sz w:val="22"/>
          <w:szCs w:val="22"/>
          <w:lang w:val="en-GB"/>
        </w:rPr>
        <w:t xml:space="preserve">is focussed on the impact of the cost-of-living crisis on the community and voluntary sector with a rise in demand on their services both in terms of number of and the increasing complexity of need of their beneficiaries, combined with challenging fundraising and income generation climate. With limited resources, the focus is on investing strategically in the third sector to help it survive and thrive and be able to support the most vulnerable residents in the city. Inequality issues have been exacerbated during the last year and there are a range of specific and complex impacts for communities. There is a need to respond by making more progress in bridging equality gaps with a particular focus on the experiences and concerns of Black and Racially </w:t>
      </w:r>
      <w:proofErr w:type="spellStart"/>
      <w:r w:rsidRPr="000729CF">
        <w:rPr>
          <w:rFonts w:ascii="Calibri" w:eastAsia="Calibri" w:hAnsi="Calibri" w:cs="Calibri"/>
          <w:color w:val="000000"/>
          <w:sz w:val="22"/>
          <w:szCs w:val="22"/>
          <w:lang w:val="en-GB"/>
        </w:rPr>
        <w:t>Minoritised</w:t>
      </w:r>
      <w:proofErr w:type="spellEnd"/>
      <w:r w:rsidRPr="000729CF">
        <w:rPr>
          <w:rFonts w:ascii="Calibri" w:eastAsia="Calibri" w:hAnsi="Calibri" w:cs="Calibri"/>
          <w:color w:val="000000"/>
          <w:sz w:val="22"/>
          <w:szCs w:val="22"/>
          <w:lang w:val="en-GB"/>
        </w:rPr>
        <w:t xml:space="preserve"> residents, refugees and migrants and making the city a more accessible and welcoming place.  An Anti-Racism Strategy and an Accessible City Strategy were approved last year focused on making sustainable and systemic change over the next five years. A gender equality strategy will be developed over the next 12 months and the council will apply for re-accreditation as a City of Sanctuary.</w:t>
      </w:r>
    </w:p>
    <w:p w14:paraId="5F0B4E16" w14:textId="77777777" w:rsidR="000729CF" w:rsidRPr="000729CF" w:rsidRDefault="000729CF" w:rsidP="000729CF">
      <w:pPr>
        <w:autoSpaceDE w:val="0"/>
        <w:autoSpaceDN w:val="0"/>
        <w:adjustRightInd w:val="0"/>
        <w:rPr>
          <w:rFonts w:ascii="Calibri" w:eastAsia="Calibri" w:hAnsi="Calibri" w:cs="Calibri"/>
          <w:b/>
          <w:bCs/>
          <w:sz w:val="22"/>
          <w:szCs w:val="22"/>
          <w:lang w:val="en-GB"/>
        </w:rPr>
      </w:pPr>
    </w:p>
    <w:p w14:paraId="4FBF90F6" w14:textId="77777777" w:rsidR="000729CF" w:rsidRPr="000729CF" w:rsidRDefault="000729CF" w:rsidP="000729CF">
      <w:pPr>
        <w:autoSpaceDE w:val="0"/>
        <w:autoSpaceDN w:val="0"/>
        <w:adjustRightInd w:val="0"/>
        <w:rPr>
          <w:rFonts w:ascii="Calibri" w:eastAsia="Calibri" w:hAnsi="Calibri" w:cs="Calibri"/>
          <w:b/>
          <w:bCs/>
          <w:sz w:val="22"/>
          <w:szCs w:val="22"/>
          <w:lang w:val="en-GB"/>
        </w:rPr>
      </w:pPr>
      <w:r w:rsidRPr="000729CF">
        <w:rPr>
          <w:rFonts w:ascii="Calibri" w:eastAsia="Calibri" w:hAnsi="Calibri" w:cs="Calibri"/>
          <w:b/>
          <w:bCs/>
          <w:sz w:val="22"/>
          <w:szCs w:val="22"/>
          <w:lang w:val="en-GB"/>
        </w:rPr>
        <w:t>Areas of focus for savings</w:t>
      </w:r>
    </w:p>
    <w:p w14:paraId="03290796" w14:textId="77777777" w:rsidR="000729CF" w:rsidRPr="000729CF" w:rsidRDefault="000729CF" w:rsidP="000729CF">
      <w:pPr>
        <w:autoSpaceDE w:val="0"/>
        <w:autoSpaceDN w:val="0"/>
        <w:adjustRightInd w:val="0"/>
        <w:spacing w:before="120" w:after="120"/>
        <w:rPr>
          <w:rFonts w:ascii="Calibri" w:eastAsia="Calibri" w:hAnsi="Calibri" w:cs="Calibri"/>
          <w:sz w:val="22"/>
          <w:szCs w:val="22"/>
          <w:lang w:val="en-GB"/>
        </w:rPr>
      </w:pPr>
      <w:r w:rsidRPr="000729CF">
        <w:rPr>
          <w:rFonts w:ascii="Calibri" w:eastAsia="Calibri" w:hAnsi="Calibri" w:cs="Calibri"/>
          <w:b/>
          <w:bCs/>
          <w:sz w:val="22"/>
          <w:szCs w:val="22"/>
          <w:lang w:val="en-GB"/>
        </w:rPr>
        <w:t xml:space="preserve">Housing Needs &amp; Supply : </w:t>
      </w:r>
      <w:r w:rsidRPr="000729CF">
        <w:rPr>
          <w:rFonts w:ascii="Calibri" w:eastAsia="Calibri" w:hAnsi="Calibri" w:cs="Calibri"/>
          <w:sz w:val="22"/>
          <w:szCs w:val="22"/>
          <w:lang w:val="en-GB"/>
        </w:rPr>
        <w:t xml:space="preserve">Phase 2 of the Homelessness Transformation Programme commenced in Q3 2023/24, and consultation on a new target operating structure will begin in February 2024. It is anticipated this would deliver £285k savings in 2024/25, while also improving the focus on homeless prevention and the consequent need to provide temporary accommodation. </w:t>
      </w:r>
    </w:p>
    <w:p w14:paraId="5814AD47" w14:textId="77777777" w:rsidR="000729CF" w:rsidRPr="000729CF" w:rsidRDefault="000729CF" w:rsidP="000729CF">
      <w:pPr>
        <w:autoSpaceDE w:val="0"/>
        <w:autoSpaceDN w:val="0"/>
        <w:adjustRightInd w:val="0"/>
        <w:spacing w:before="120" w:after="120"/>
        <w:rPr>
          <w:rFonts w:ascii="Calibri" w:eastAsia="Calibri" w:hAnsi="Calibri" w:cs="Calibri"/>
          <w:sz w:val="22"/>
          <w:szCs w:val="22"/>
          <w:lang w:val="en-GB"/>
        </w:rPr>
      </w:pPr>
      <w:r w:rsidRPr="000729CF">
        <w:rPr>
          <w:rFonts w:ascii="Calibri" w:eastAsia="Calibri" w:hAnsi="Calibri" w:cs="Calibri"/>
          <w:sz w:val="22"/>
          <w:szCs w:val="22"/>
          <w:lang w:val="en-GB"/>
        </w:rPr>
        <w:t>The new commissioning cycle for the Single Homelessness Pathway has also provided the opportunity to review the services being delivered, in relation to need. These are non-statutory services. Only prioritising the elements that directly offer accommodation and/or have the greatest impact on reducing households in temporary accommodation has identified a further £521k of savings in 2024/25.</w:t>
      </w:r>
    </w:p>
    <w:p w14:paraId="2C4867F2" w14:textId="77777777" w:rsidR="000729CF" w:rsidRPr="000729CF" w:rsidRDefault="000729CF" w:rsidP="000729CF">
      <w:pPr>
        <w:autoSpaceDE w:val="0"/>
        <w:autoSpaceDN w:val="0"/>
        <w:adjustRightInd w:val="0"/>
        <w:spacing w:before="120" w:after="120"/>
        <w:rPr>
          <w:rFonts w:ascii="Calibri" w:eastAsia="Calibri" w:hAnsi="Calibri" w:cs="Calibri"/>
          <w:sz w:val="22"/>
          <w:szCs w:val="22"/>
          <w:lang w:val="en-GB"/>
        </w:rPr>
      </w:pPr>
      <w:r w:rsidRPr="000729CF">
        <w:rPr>
          <w:rFonts w:ascii="Calibri" w:eastAsia="Calibri" w:hAnsi="Calibri" w:cs="Calibri"/>
          <w:sz w:val="22"/>
          <w:szCs w:val="22"/>
          <w:lang w:val="en-GB"/>
        </w:rPr>
        <w:t>There remains a priority within Housing Needs to reduce the number of households in temporary accommodation, and (where provided) the cost of this and a substantial saving of over £1m will be required in 2024/25. A TA Strategy, incorporating actions to reduce households coming into TA; increase move-on from TA; improve rent collection in TA; secure better (cost) value TA; and reduce void turnaround is being worked to. However, this is within the wider national context of there now being more households in Temporary Accommodation than ever before, and unprecedented levels of demand.</w:t>
      </w:r>
    </w:p>
    <w:p w14:paraId="70C86FA6" w14:textId="77777777" w:rsidR="000729CF" w:rsidRPr="000729CF" w:rsidRDefault="000729CF" w:rsidP="000729CF">
      <w:pPr>
        <w:autoSpaceDE w:val="0"/>
        <w:autoSpaceDN w:val="0"/>
        <w:adjustRightInd w:val="0"/>
        <w:spacing w:before="120" w:after="120"/>
        <w:rPr>
          <w:rFonts w:ascii="Calibri" w:eastAsia="Calibri" w:hAnsi="Calibri" w:cs="Calibri"/>
          <w:sz w:val="22"/>
          <w:szCs w:val="22"/>
          <w:lang w:val="en-GB"/>
        </w:rPr>
      </w:pPr>
      <w:r w:rsidRPr="000729CF">
        <w:rPr>
          <w:rFonts w:ascii="Calibri" w:eastAsia="Calibri" w:hAnsi="Calibri" w:cs="Calibri"/>
          <w:bCs/>
          <w:sz w:val="22"/>
          <w:szCs w:val="22"/>
          <w:lang w:val="en-GB"/>
        </w:rPr>
        <w:t>We will progress a review of the arrangements with Seaside Homes to develop more cost-effective ways of providing temporary housing.</w:t>
      </w:r>
      <w:r w:rsidRPr="000729CF">
        <w:rPr>
          <w:rFonts w:ascii="Calibri" w:eastAsia="Calibri" w:hAnsi="Calibri" w:cs="Calibri"/>
          <w:sz w:val="22"/>
          <w:szCs w:val="22"/>
          <w:lang w:val="en-GB"/>
        </w:rPr>
        <w:t xml:space="preserve"> And public consultation reviewing the existing Allocations Policy, is dues to commence in February 2024, with one intended aim being to increase incentives for households who do not take up Temporary Accommodation.</w:t>
      </w:r>
    </w:p>
    <w:p w14:paraId="5470311C" w14:textId="77777777" w:rsidR="000729CF" w:rsidRPr="000729CF" w:rsidRDefault="000729CF" w:rsidP="000729CF">
      <w:pPr>
        <w:autoSpaceDE w:val="0"/>
        <w:autoSpaceDN w:val="0"/>
        <w:adjustRightInd w:val="0"/>
        <w:spacing w:before="120" w:after="120"/>
        <w:rPr>
          <w:rFonts w:ascii="Calibri" w:eastAsia="Calibri" w:hAnsi="Calibri" w:cs="Calibri"/>
          <w:sz w:val="22"/>
          <w:szCs w:val="22"/>
          <w:lang w:val="en-GB"/>
        </w:rPr>
      </w:pPr>
      <w:r w:rsidRPr="000729CF">
        <w:rPr>
          <w:rFonts w:ascii="Calibri" w:eastAsia="Calibri" w:hAnsi="Calibri" w:cs="Calibri"/>
          <w:b/>
          <w:sz w:val="22"/>
          <w:szCs w:val="22"/>
          <w:lang w:val="en-GB"/>
        </w:rPr>
        <w:t xml:space="preserve">Housing </w:t>
      </w:r>
      <w:r w:rsidRPr="000729CF">
        <w:rPr>
          <w:rFonts w:ascii="Calibri" w:eastAsia="Calibri" w:hAnsi="Calibri" w:cs="Calibri"/>
          <w:b/>
          <w:bCs/>
          <w:sz w:val="22"/>
          <w:szCs w:val="22"/>
          <w:lang w:val="en-GB"/>
        </w:rPr>
        <w:t xml:space="preserve">Management </w:t>
      </w:r>
      <w:r w:rsidRPr="000729CF">
        <w:rPr>
          <w:rFonts w:ascii="Calibri" w:eastAsia="Calibri" w:hAnsi="Calibri" w:cs="Calibri"/>
          <w:b/>
          <w:sz w:val="22"/>
          <w:szCs w:val="22"/>
          <w:lang w:val="en-GB"/>
        </w:rPr>
        <w:t>:</w:t>
      </w:r>
      <w:bookmarkStart w:id="37" w:name="_Hlk56696170"/>
      <w:r w:rsidRPr="000729CF">
        <w:rPr>
          <w:rFonts w:ascii="Calibri" w:eastAsia="Calibri" w:hAnsi="Calibri" w:cs="Calibri"/>
          <w:b/>
          <w:sz w:val="22"/>
          <w:szCs w:val="22"/>
          <w:lang w:val="en-GB"/>
        </w:rPr>
        <w:t xml:space="preserve"> </w:t>
      </w:r>
      <w:r w:rsidRPr="000729CF">
        <w:rPr>
          <w:rFonts w:ascii="Calibri" w:eastAsia="Calibri" w:hAnsi="Calibri" w:cs="Calibri"/>
          <w:sz w:val="22"/>
          <w:szCs w:val="22"/>
          <w:lang w:val="en-GB"/>
        </w:rPr>
        <w:t>The HRA budget aims to balance the priorities of the council and its tenants and leaseholders and reflects a range of council policies and programmes on customer service, repairs and planned maintenance, capital investment in housing and engagement. There are no savings required in the HRA overall, however budget pressures in particular activities such as building, health and safety compliance works, means there will be impacts on other areas of the budget in the medium term.</w:t>
      </w:r>
    </w:p>
    <w:p w14:paraId="6F18D81C" w14:textId="77777777" w:rsidR="000729CF" w:rsidRPr="000729CF" w:rsidRDefault="000729CF" w:rsidP="000729CF">
      <w:pPr>
        <w:autoSpaceDE w:val="0"/>
        <w:autoSpaceDN w:val="0"/>
        <w:adjustRightInd w:val="0"/>
        <w:spacing w:before="120" w:after="120"/>
        <w:rPr>
          <w:rFonts w:ascii="Calibri" w:hAnsi="Calibri" w:cs="Calibri"/>
          <w:sz w:val="22"/>
          <w:szCs w:val="22"/>
          <w:lang w:val="en-GB"/>
        </w:rPr>
      </w:pPr>
      <w:r w:rsidRPr="000729CF">
        <w:rPr>
          <w:rFonts w:ascii="Calibri" w:eastAsia="Calibri" w:hAnsi="Calibri" w:cs="Calibri"/>
          <w:b/>
          <w:bCs/>
          <w:sz w:val="22"/>
          <w:szCs w:val="22"/>
          <w:lang w:val="en-GB"/>
        </w:rPr>
        <w:t xml:space="preserve">Libraries: </w:t>
      </w:r>
      <w:bookmarkEnd w:id="37"/>
      <w:r w:rsidRPr="000729CF">
        <w:rPr>
          <w:rFonts w:ascii="Calibri" w:eastAsia="Calibri" w:hAnsi="Calibri" w:cs="Calibri"/>
          <w:sz w:val="22"/>
          <w:szCs w:val="22"/>
          <w:lang w:val="en-GB"/>
        </w:rPr>
        <w:t>The immediate focus for savings is on efficiencies that will not adversely impact the services available across the extensive network</w:t>
      </w:r>
      <w:r w:rsidRPr="000729CF">
        <w:rPr>
          <w:rFonts w:ascii="Calibri" w:hAnsi="Calibri" w:cs="Calibri"/>
          <w:sz w:val="22"/>
          <w:szCs w:val="22"/>
          <w:lang w:val="en-GB"/>
        </w:rPr>
        <w:t xml:space="preserve"> of libraries </w:t>
      </w:r>
      <w:r w:rsidRPr="000729CF">
        <w:rPr>
          <w:rFonts w:ascii="Calibri" w:eastAsia="Calibri" w:hAnsi="Calibri" w:cs="Calibri"/>
          <w:sz w:val="22"/>
          <w:szCs w:val="22"/>
          <w:lang w:val="en-GB"/>
        </w:rPr>
        <w:t>in</w:t>
      </w:r>
      <w:r w:rsidRPr="000729CF">
        <w:rPr>
          <w:rFonts w:ascii="Calibri" w:hAnsi="Calibri" w:cs="Calibri"/>
          <w:sz w:val="22"/>
          <w:szCs w:val="22"/>
          <w:lang w:val="en-GB"/>
        </w:rPr>
        <w:t xml:space="preserve"> the city</w:t>
      </w:r>
      <w:r w:rsidRPr="000729CF">
        <w:rPr>
          <w:rFonts w:ascii="Calibri" w:eastAsia="Calibri" w:hAnsi="Calibri" w:cs="Calibri"/>
          <w:sz w:val="22"/>
          <w:szCs w:val="22"/>
          <w:lang w:val="en-GB"/>
        </w:rPr>
        <w:t xml:space="preserve">. Staffing is the highest area of spend for the service; a restructure of management levels and review of specialist IT roles will meet the savings targets for 2024-25. Developing the Libraries Strategy has provided a framework for future funding decisions, for instance where a library is not well used by the local community, consideration could be given to whether moving services to a nearby library or moving the library to a more accessible location for the public might better meet the needs of that community. </w:t>
      </w:r>
    </w:p>
    <w:p w14:paraId="27279B51" w14:textId="77777777" w:rsidR="000729CF" w:rsidRPr="000729CF" w:rsidRDefault="000729CF" w:rsidP="000729CF">
      <w:pPr>
        <w:spacing w:before="120" w:after="120"/>
        <w:rPr>
          <w:rFonts w:ascii="Calibri" w:eastAsia="Calibri" w:hAnsi="Calibri" w:cs="Calibri"/>
          <w:sz w:val="22"/>
          <w:szCs w:val="22"/>
          <w:lang w:val="en-GB"/>
        </w:rPr>
      </w:pPr>
      <w:r w:rsidRPr="000729CF">
        <w:rPr>
          <w:rFonts w:ascii="Calibri" w:eastAsia="Calibri" w:hAnsi="Calibri" w:cs="Calibri"/>
          <w:sz w:val="22"/>
          <w:szCs w:val="22"/>
          <w:lang w:val="en-GB"/>
        </w:rPr>
        <w:t xml:space="preserve">Further opportunities for income generation are being explored including co-working facilities and making better commercial use of space in all library buildings. </w:t>
      </w:r>
    </w:p>
    <w:p w14:paraId="357E30B1" w14:textId="77777777" w:rsidR="000729CF" w:rsidRPr="000729CF" w:rsidRDefault="000729CF" w:rsidP="000729CF">
      <w:pPr>
        <w:autoSpaceDE w:val="0"/>
        <w:autoSpaceDN w:val="0"/>
        <w:contextualSpacing/>
        <w:rPr>
          <w:rFonts w:ascii="Calibri" w:hAnsi="Calibri" w:cs="Calibri"/>
          <w:color w:val="000000"/>
          <w:sz w:val="22"/>
          <w:szCs w:val="22"/>
          <w:lang w:val="en-GB" w:eastAsia="en-GB"/>
        </w:rPr>
      </w:pPr>
      <w:r w:rsidRPr="000729CF">
        <w:rPr>
          <w:rFonts w:ascii="Calibri" w:hAnsi="Calibri" w:cs="Calibri"/>
          <w:b/>
          <w:bCs/>
          <w:color w:val="000000"/>
          <w:sz w:val="22"/>
          <w:szCs w:val="22"/>
          <w:lang w:val="en-GB" w:eastAsia="en-GB"/>
        </w:rPr>
        <w:t xml:space="preserve">Safer Communities: </w:t>
      </w:r>
      <w:r w:rsidRPr="000729CF">
        <w:rPr>
          <w:rFonts w:ascii="Calibri" w:hAnsi="Calibri" w:cs="Calibri"/>
          <w:color w:val="000000"/>
          <w:sz w:val="22"/>
          <w:szCs w:val="22"/>
          <w:lang w:val="en-GB" w:eastAsia="en-GB"/>
        </w:rPr>
        <w:t xml:space="preserve">Non-statutory services can provide savings but are closely linked to key Council priorities particularly in delivering the Community Safety Partnership strategy. A review of some of the non-statutory regulatory functions has identified some savings.  There are some limited opportunities for efficiency savings and improvement to some income streams not limited by regulation or linked to economic recovery that will be reviewed. </w:t>
      </w:r>
    </w:p>
    <w:p w14:paraId="451ECDF8" w14:textId="77777777" w:rsidR="000729CF" w:rsidRPr="000729CF" w:rsidRDefault="000729CF" w:rsidP="000729CF">
      <w:pPr>
        <w:autoSpaceDE w:val="0"/>
        <w:autoSpaceDN w:val="0"/>
        <w:contextualSpacing/>
        <w:rPr>
          <w:rFonts w:ascii="Calibri" w:hAnsi="Calibri" w:cs="Calibri"/>
          <w:bCs/>
          <w:color w:val="000000"/>
          <w:sz w:val="22"/>
          <w:szCs w:val="22"/>
          <w:lang w:val="en-GB" w:eastAsia="en-GB"/>
        </w:rPr>
      </w:pPr>
    </w:p>
    <w:p w14:paraId="49D06A80" w14:textId="77777777" w:rsidR="000729CF" w:rsidRPr="000729CF" w:rsidRDefault="000729CF" w:rsidP="000729CF">
      <w:pPr>
        <w:spacing w:line="276" w:lineRule="auto"/>
        <w:contextualSpacing/>
        <w:rPr>
          <w:rFonts w:ascii="Calibri" w:eastAsia="Calibri" w:hAnsi="Calibri" w:cs="Calibri"/>
          <w:color w:val="000000"/>
          <w:sz w:val="22"/>
          <w:szCs w:val="22"/>
          <w:lang w:val="en-GB"/>
        </w:rPr>
      </w:pPr>
      <w:r w:rsidRPr="000729CF">
        <w:rPr>
          <w:rFonts w:ascii="Calibri" w:eastAsia="Calibri" w:hAnsi="Calibri" w:cs="Calibri"/>
          <w:b/>
          <w:bCs/>
          <w:color w:val="000000"/>
          <w:sz w:val="22"/>
          <w:szCs w:val="22"/>
          <w:lang w:val="en-GB"/>
        </w:rPr>
        <w:t>Communities, Equalities &amp; Third Sector</w:t>
      </w:r>
      <w:r w:rsidRPr="000729CF">
        <w:rPr>
          <w:rFonts w:ascii="Calibri" w:hAnsi="Calibri" w:cs="Calibri"/>
          <w:b/>
          <w:bCs/>
          <w:color w:val="000000"/>
          <w:sz w:val="22"/>
          <w:szCs w:val="22"/>
          <w:lang w:val="en-GB" w:eastAsia="en-GB"/>
        </w:rPr>
        <w:t xml:space="preserve">: </w:t>
      </w:r>
      <w:r w:rsidRPr="000729CF">
        <w:rPr>
          <w:rFonts w:ascii="Calibri" w:hAnsi="Calibri" w:cs="Calibri"/>
          <w:color w:val="000000"/>
          <w:sz w:val="22"/>
          <w:szCs w:val="22"/>
          <w:lang w:val="en-GB" w:eastAsia="en-GB"/>
        </w:rPr>
        <w:t>The majority of budgets in the service are associated with support to and grant funding of</w:t>
      </w:r>
      <w:r w:rsidRPr="000729CF">
        <w:rPr>
          <w:rFonts w:ascii="Calibri" w:eastAsia="Calibri" w:hAnsi="Calibri" w:cs="Calibri"/>
          <w:color w:val="000000"/>
          <w:sz w:val="22"/>
          <w:szCs w:val="22"/>
          <w:lang w:val="en-GB"/>
        </w:rPr>
        <w:t xml:space="preserve"> the third sector </w:t>
      </w:r>
      <w:r w:rsidRPr="000729CF">
        <w:rPr>
          <w:rFonts w:ascii="Calibri" w:hAnsi="Calibri" w:cs="Calibri"/>
          <w:color w:val="000000"/>
          <w:sz w:val="22"/>
          <w:szCs w:val="22"/>
          <w:lang w:val="en-GB" w:eastAsia="en-GB"/>
        </w:rPr>
        <w:t xml:space="preserve">in the city and the wide range of services they provide.  However, this is discretionary spend and therefore savings in these budgets have been identified for 2024/25 and future years. There are limited opportunities for efficiency savings. </w:t>
      </w:r>
    </w:p>
    <w:p w14:paraId="5B928E4F" w14:textId="77777777" w:rsidR="000729CF" w:rsidRPr="000729CF" w:rsidRDefault="000729CF" w:rsidP="000729CF">
      <w:pPr>
        <w:spacing w:line="276" w:lineRule="auto"/>
        <w:rPr>
          <w:rFonts w:ascii="Calibri" w:eastAsia="Calibri" w:hAnsi="Calibri" w:cs="Calibri"/>
          <w:b/>
          <w:bCs/>
          <w:sz w:val="22"/>
          <w:szCs w:val="22"/>
          <w:lang w:val="en-GB"/>
        </w:rPr>
      </w:pPr>
    </w:p>
    <w:p w14:paraId="206A566D" w14:textId="77777777" w:rsidR="000729CF" w:rsidRPr="000729CF" w:rsidRDefault="000729CF" w:rsidP="000729CF">
      <w:pPr>
        <w:spacing w:line="276" w:lineRule="auto"/>
        <w:rPr>
          <w:rFonts w:ascii="Calibri" w:eastAsia="Calibri" w:hAnsi="Calibri" w:cs="Calibri"/>
          <w:b/>
          <w:bCs/>
          <w:sz w:val="22"/>
          <w:szCs w:val="22"/>
          <w:lang w:val="en-GB"/>
        </w:rPr>
      </w:pPr>
      <w:r w:rsidRPr="000729CF">
        <w:rPr>
          <w:rFonts w:ascii="Calibri" w:eastAsia="Calibri" w:hAnsi="Calibri" w:cs="Calibri"/>
          <w:b/>
          <w:bCs/>
          <w:sz w:val="22"/>
          <w:szCs w:val="22"/>
          <w:lang w:val="en-GB"/>
        </w:rPr>
        <w:t xml:space="preserve">Investment in services </w:t>
      </w:r>
    </w:p>
    <w:p w14:paraId="2A825264" w14:textId="77777777" w:rsidR="000729CF" w:rsidRPr="000729CF" w:rsidRDefault="000729CF" w:rsidP="000729CF">
      <w:pPr>
        <w:spacing w:before="120" w:after="120"/>
        <w:rPr>
          <w:rFonts w:ascii="Calibri" w:eastAsia="Calibri" w:hAnsi="Calibri" w:cs="Calibri"/>
          <w:sz w:val="22"/>
          <w:szCs w:val="22"/>
          <w:lang w:val="en-GB"/>
        </w:rPr>
      </w:pPr>
      <w:r w:rsidRPr="000729CF">
        <w:rPr>
          <w:rFonts w:ascii="Calibri" w:eastAsia="Calibri" w:hAnsi="Calibri" w:cs="Calibri"/>
          <w:sz w:val="22"/>
          <w:szCs w:val="22"/>
          <w:lang w:val="en-GB"/>
        </w:rPr>
        <w:t xml:space="preserve">Investment in </w:t>
      </w:r>
      <w:r w:rsidRPr="000729CF">
        <w:rPr>
          <w:rFonts w:ascii="Calibri" w:eastAsia="Calibri" w:hAnsi="Calibri" w:cs="Calibri"/>
          <w:b/>
          <w:bCs/>
          <w:sz w:val="22"/>
          <w:szCs w:val="22"/>
          <w:lang w:val="en-GB"/>
        </w:rPr>
        <w:t>Housing</w:t>
      </w:r>
      <w:r w:rsidRPr="000729CF">
        <w:rPr>
          <w:rFonts w:ascii="Calibri" w:eastAsia="Calibri" w:hAnsi="Calibri" w:cs="Calibri"/>
          <w:sz w:val="22"/>
          <w:szCs w:val="22"/>
          <w:lang w:val="en-GB"/>
        </w:rPr>
        <w:t xml:space="preserve"> needs services will be needed to improve homelessness prevention, manage the TA service, identify move on accommodation and speed up moves within the housing stock to improve the customer journey and save money through more efficient use of the TA and permanent housing stock. Some of the changes required are being identified through the Homelessness Transformation Programme where investment has already started to have a significant impact on overall expenditure.</w:t>
      </w:r>
    </w:p>
    <w:p w14:paraId="649F820B" w14:textId="77777777" w:rsidR="000729CF" w:rsidRPr="000729CF" w:rsidRDefault="000729CF" w:rsidP="000729CF">
      <w:pPr>
        <w:spacing w:before="120" w:after="120"/>
        <w:rPr>
          <w:rFonts w:ascii="Calibri" w:eastAsia="Calibri" w:hAnsi="Calibri" w:cs="Calibri"/>
          <w:sz w:val="22"/>
          <w:szCs w:val="22"/>
          <w:lang w:val="en-GB"/>
        </w:rPr>
      </w:pPr>
      <w:r w:rsidRPr="000729CF">
        <w:rPr>
          <w:rFonts w:ascii="Calibri" w:eastAsia="Calibri" w:hAnsi="Calibri" w:cs="Calibri"/>
          <w:sz w:val="22"/>
          <w:szCs w:val="22"/>
          <w:lang w:val="en-GB"/>
        </w:rPr>
        <w:t xml:space="preserve">The new Housing strategy will inform investment needs in the medium term and there may be immediate investment needs arising from new policy initiatives such as the extension of   PRS licensing schemes. </w:t>
      </w:r>
    </w:p>
    <w:p w14:paraId="564CD748" w14:textId="77777777" w:rsidR="000729CF" w:rsidRPr="000729CF" w:rsidRDefault="000729CF" w:rsidP="000729CF">
      <w:pPr>
        <w:spacing w:before="120" w:after="120"/>
        <w:rPr>
          <w:rFonts w:ascii="Calibri" w:eastAsia="Calibri" w:hAnsi="Calibri" w:cs="Calibri"/>
          <w:sz w:val="22"/>
          <w:szCs w:val="22"/>
          <w:lang w:val="en-GB"/>
        </w:rPr>
      </w:pPr>
      <w:r w:rsidRPr="000729CF">
        <w:rPr>
          <w:rFonts w:ascii="Calibri" w:eastAsia="Calibri" w:hAnsi="Calibri" w:cs="Calibri"/>
          <w:sz w:val="22"/>
          <w:szCs w:val="22"/>
          <w:lang w:val="en-GB"/>
        </w:rPr>
        <w:t xml:space="preserve">A strategy to improve, integrate and rationalise IT systems across housing is vital to meet services challenges including delivery of better repairs and maintenance services, transformed homelessness services and an efficient housing allocations service. This is being developed following an external review and will require investment over the next few years. </w:t>
      </w:r>
    </w:p>
    <w:p w14:paraId="5CEBC596" w14:textId="77777777" w:rsidR="000729CF" w:rsidRPr="000729CF" w:rsidRDefault="000729CF" w:rsidP="000729CF">
      <w:pPr>
        <w:spacing w:before="120" w:after="120"/>
        <w:rPr>
          <w:rFonts w:ascii="Calibri" w:eastAsia="Calibri" w:hAnsi="Calibri" w:cs="Calibri"/>
          <w:sz w:val="22"/>
          <w:szCs w:val="22"/>
          <w:lang w:val="en-GB"/>
        </w:rPr>
      </w:pPr>
      <w:r w:rsidRPr="000729CF">
        <w:rPr>
          <w:rFonts w:ascii="Calibri" w:eastAsia="Calibri" w:hAnsi="Calibri" w:cs="Calibri"/>
          <w:sz w:val="22"/>
          <w:szCs w:val="22"/>
          <w:lang w:val="en-GB"/>
        </w:rPr>
        <w:t>It will be important to align capital investment in new accommodation for TA use with a strategic approach to the TA placements and management functions and in the longer term, the strategic approach to providing new permanent homes. Investment to increase the TA stock directly managed or accessed by the Council has the potential to provide cost savings, through reducing emergency accommodation costs.</w:t>
      </w:r>
    </w:p>
    <w:p w14:paraId="5C0802ED" w14:textId="77777777" w:rsidR="000729CF" w:rsidRPr="000729CF" w:rsidRDefault="000729CF" w:rsidP="000729CF">
      <w:pPr>
        <w:spacing w:before="120" w:after="120"/>
        <w:rPr>
          <w:rFonts w:ascii="Calibri" w:eastAsia="Calibri" w:hAnsi="Calibri" w:cs="Calibri"/>
          <w:sz w:val="22"/>
          <w:szCs w:val="22"/>
          <w:lang w:val="en-GB"/>
        </w:rPr>
      </w:pPr>
      <w:r w:rsidRPr="000729CF">
        <w:rPr>
          <w:rFonts w:ascii="Calibri" w:eastAsia="Calibri" w:hAnsi="Calibri" w:cs="Calibri"/>
          <w:sz w:val="22"/>
          <w:szCs w:val="22"/>
          <w:lang w:val="en-GB"/>
        </w:rPr>
        <w:t xml:space="preserve">The </w:t>
      </w:r>
      <w:r w:rsidRPr="000729CF">
        <w:rPr>
          <w:rFonts w:ascii="Calibri" w:eastAsia="Calibri" w:hAnsi="Calibri" w:cs="Calibri"/>
          <w:b/>
          <w:bCs/>
          <w:sz w:val="22"/>
          <w:szCs w:val="22"/>
          <w:lang w:val="en-GB"/>
        </w:rPr>
        <w:t>HRA</w:t>
      </w:r>
      <w:r w:rsidRPr="000729CF">
        <w:rPr>
          <w:rFonts w:ascii="Calibri" w:eastAsia="Calibri" w:hAnsi="Calibri" w:cs="Calibri"/>
          <w:sz w:val="22"/>
          <w:szCs w:val="22"/>
          <w:lang w:val="en-GB"/>
        </w:rPr>
        <w:t xml:space="preserve"> Capital Programme seeks to provide substantial investment in the council’s housing stock and improve the quality of homes for 2024/25 for which the total budget to be approved is £57.955m. The proposed programme will take account of significant investment required as a result of the implementation of the Building Safety Act and Fire Safety (England) Regulations, including in relation to works requirements expected to arise from compliance surveys currently being undertaken on Large Panel System (LPS) and some other blocks.  The Programme reflects the delivery of health &amp; safety, sustainability, planned maintenance, improvement programmes and major capital projects to council housing informed by a recent stock condition survey and ongoing surveys of the council’s housing stock. An updated Asset Management Strategy is currently being developed. </w:t>
      </w:r>
    </w:p>
    <w:p w14:paraId="3A652C78" w14:textId="77777777" w:rsidR="000729CF" w:rsidRPr="000729CF" w:rsidRDefault="000729CF" w:rsidP="000729CF">
      <w:pPr>
        <w:spacing w:before="120" w:after="120"/>
        <w:rPr>
          <w:rFonts w:ascii="Calibri" w:eastAsia="Calibri" w:hAnsi="Calibri" w:cs="Calibri"/>
          <w:sz w:val="22"/>
          <w:szCs w:val="22"/>
          <w:lang w:val="en-GB"/>
        </w:rPr>
      </w:pPr>
      <w:r w:rsidRPr="000729CF">
        <w:rPr>
          <w:rFonts w:ascii="Calibri" w:eastAsia="Calibri" w:hAnsi="Calibri" w:cs="Calibri"/>
          <w:sz w:val="22"/>
          <w:szCs w:val="22"/>
          <w:lang w:val="en-GB"/>
        </w:rPr>
        <w:t xml:space="preserve">Investment in IT to automate systems for licensing may provide opportunities for future savings in </w:t>
      </w:r>
      <w:r w:rsidRPr="000729CF">
        <w:rPr>
          <w:rFonts w:ascii="Calibri" w:eastAsia="Calibri" w:hAnsi="Calibri" w:cs="Calibri"/>
          <w:b/>
          <w:bCs/>
          <w:sz w:val="22"/>
          <w:szCs w:val="22"/>
          <w:lang w:val="en-GB"/>
        </w:rPr>
        <w:t>Safer Communities</w:t>
      </w:r>
      <w:r w:rsidRPr="000729CF">
        <w:rPr>
          <w:rFonts w:ascii="Calibri" w:eastAsia="Calibri" w:hAnsi="Calibri" w:cs="Calibri"/>
          <w:sz w:val="22"/>
          <w:szCs w:val="22"/>
          <w:lang w:val="en-GB"/>
        </w:rPr>
        <w:t xml:space="preserve"> services.  Additional investment to coordinate work to deal with unauthorised encampments across the city would reduce costs and delays in dealing with this problem and combining enforcement functions is being rolled out. Investment in the Emergency planning may be required as with fewer than 2 FTE there are increasing demands, for instance with both summer and winter preparedness planning, more severe weather crises, a growing number of threatened health emergencies (Covid 19, Monkey pox, avian flu) increased business continuity planning requirements and wider resilience activities. A review of this function is underway.</w:t>
      </w:r>
    </w:p>
    <w:p w14:paraId="5667C06C" w14:textId="77777777" w:rsidR="000729CF" w:rsidRPr="000729CF" w:rsidRDefault="000729CF" w:rsidP="000729CF">
      <w:pPr>
        <w:spacing w:before="120" w:after="120"/>
        <w:rPr>
          <w:rFonts w:ascii="Calibri" w:eastAsia="Calibri" w:hAnsi="Calibri" w:cs="Calibri"/>
          <w:sz w:val="22"/>
          <w:szCs w:val="22"/>
          <w:lang w:val="en-GB"/>
        </w:rPr>
      </w:pPr>
      <w:r w:rsidRPr="000729CF">
        <w:rPr>
          <w:rFonts w:ascii="Calibri" w:eastAsia="Calibri" w:hAnsi="Calibri" w:cs="Calibri"/>
          <w:sz w:val="22"/>
          <w:szCs w:val="22"/>
          <w:lang w:val="en-GB"/>
        </w:rPr>
        <w:t xml:space="preserve">Investing in </w:t>
      </w:r>
      <w:r w:rsidRPr="000729CF">
        <w:rPr>
          <w:rFonts w:ascii="Calibri" w:eastAsia="Calibri" w:hAnsi="Calibri" w:cs="Calibri"/>
          <w:b/>
          <w:bCs/>
          <w:sz w:val="22"/>
          <w:szCs w:val="22"/>
          <w:lang w:val="en-GB"/>
        </w:rPr>
        <w:t>Library</w:t>
      </w:r>
      <w:r w:rsidRPr="000729CF">
        <w:rPr>
          <w:rFonts w:ascii="Calibri" w:eastAsia="Calibri" w:hAnsi="Calibri" w:cs="Calibri"/>
          <w:sz w:val="22"/>
          <w:szCs w:val="22"/>
          <w:lang w:val="en-GB"/>
        </w:rPr>
        <w:t xml:space="preserve"> community spaces would both enhance the community hub role of the city’s extensive library network and increase rental income generation potential. The success of a bid for substantial government grant investment to provide a co-working business based at Jubilee would provide the basis for a new approach in income generation.</w:t>
      </w:r>
      <w:r w:rsidRPr="000729CF">
        <w:rPr>
          <w:rFonts w:ascii="Calibri" w:eastAsia="Calibri" w:hAnsi="Calibri" w:cs="Calibri"/>
          <w:sz w:val="22"/>
          <w:szCs w:val="22"/>
          <w:lang w:val="en-GB"/>
        </w:rPr>
        <w:br/>
      </w:r>
      <w:r w:rsidRPr="000729CF">
        <w:rPr>
          <w:rFonts w:ascii="Calibri" w:eastAsia="Calibri" w:hAnsi="Calibri" w:cs="Calibri"/>
          <w:sz w:val="22"/>
          <w:szCs w:val="22"/>
          <w:lang w:val="en-GB"/>
        </w:rPr>
        <w:br/>
        <w:t xml:space="preserve">Options for investing in </w:t>
      </w:r>
      <w:r w:rsidRPr="000729CF">
        <w:rPr>
          <w:rFonts w:ascii="Calibri" w:eastAsia="Calibri" w:hAnsi="Calibri" w:cs="Calibri"/>
          <w:b/>
          <w:bCs/>
          <w:sz w:val="22"/>
          <w:szCs w:val="22"/>
          <w:lang w:val="en-GB"/>
        </w:rPr>
        <w:t xml:space="preserve">CETS </w:t>
      </w:r>
      <w:r w:rsidRPr="000729CF">
        <w:rPr>
          <w:rFonts w:ascii="Calibri" w:eastAsia="Calibri" w:hAnsi="Calibri" w:cs="Calibri"/>
          <w:sz w:val="22"/>
          <w:szCs w:val="22"/>
          <w:lang w:val="en-GB"/>
        </w:rPr>
        <w:t>include:</w:t>
      </w:r>
    </w:p>
    <w:p w14:paraId="654DDE5A" w14:textId="77777777" w:rsidR="000729CF" w:rsidRPr="000729CF" w:rsidRDefault="000729CF" w:rsidP="00CE70A3">
      <w:pPr>
        <w:numPr>
          <w:ilvl w:val="1"/>
          <w:numId w:val="30"/>
        </w:numPr>
        <w:spacing w:after="160" w:line="259" w:lineRule="auto"/>
        <w:ind w:left="357" w:hanging="357"/>
        <w:contextualSpacing/>
        <w:rPr>
          <w:rFonts w:ascii="Calibri" w:eastAsia="Calibri" w:hAnsi="Calibri" w:cs="Calibri"/>
          <w:sz w:val="22"/>
          <w:szCs w:val="22"/>
          <w:lang w:val="en-GB"/>
        </w:rPr>
      </w:pPr>
      <w:r w:rsidRPr="000729CF">
        <w:rPr>
          <w:rFonts w:ascii="Calibri" w:eastAsia="Calibri" w:hAnsi="Calibri" w:cs="Calibri"/>
          <w:sz w:val="22"/>
          <w:szCs w:val="22"/>
          <w:lang w:val="en-GB"/>
        </w:rPr>
        <w:t>Step change improvement in the capture and application of equality data, embedding a high quality process as standard practice across key council services to help services ‘get it right first time’</w:t>
      </w:r>
    </w:p>
    <w:p w14:paraId="77580AD8" w14:textId="77777777" w:rsidR="000729CF" w:rsidRPr="000729CF" w:rsidRDefault="000729CF" w:rsidP="00CE70A3">
      <w:pPr>
        <w:numPr>
          <w:ilvl w:val="1"/>
          <w:numId w:val="30"/>
        </w:numPr>
        <w:spacing w:after="160" w:line="259" w:lineRule="auto"/>
        <w:ind w:left="357" w:hanging="357"/>
        <w:contextualSpacing/>
        <w:rPr>
          <w:rFonts w:ascii="Calibri" w:eastAsia="Calibri" w:hAnsi="Calibri" w:cs="Calibri"/>
          <w:sz w:val="22"/>
          <w:szCs w:val="22"/>
          <w:lang w:val="en-GB"/>
        </w:rPr>
      </w:pPr>
      <w:r w:rsidRPr="000729CF">
        <w:rPr>
          <w:rFonts w:ascii="Calibri" w:eastAsia="Calibri" w:hAnsi="Calibri" w:cs="Calibri"/>
          <w:sz w:val="22"/>
          <w:szCs w:val="22"/>
          <w:lang w:val="en-GB"/>
        </w:rPr>
        <w:t>improve the co-ordination of refugee, migrant and asylum seeker work across the council to deliver better outcomes for the people and reduce wasted time and effort by services</w:t>
      </w:r>
    </w:p>
    <w:p w14:paraId="07A4ECBE" w14:textId="77777777" w:rsidR="000729CF" w:rsidRPr="000729CF" w:rsidRDefault="000729CF" w:rsidP="00CE70A3">
      <w:pPr>
        <w:numPr>
          <w:ilvl w:val="1"/>
          <w:numId w:val="30"/>
        </w:numPr>
        <w:spacing w:after="160" w:line="259" w:lineRule="auto"/>
        <w:ind w:left="357" w:hanging="357"/>
        <w:contextualSpacing/>
        <w:rPr>
          <w:rFonts w:ascii="Calibri" w:eastAsia="Calibri" w:hAnsi="Calibri" w:cs="Calibri"/>
          <w:sz w:val="22"/>
          <w:szCs w:val="22"/>
          <w:lang w:val="en-GB"/>
        </w:rPr>
      </w:pPr>
      <w:r w:rsidRPr="000729CF">
        <w:rPr>
          <w:rFonts w:ascii="Calibri" w:eastAsia="Calibri" w:hAnsi="Calibri" w:cs="Calibri"/>
          <w:sz w:val="22"/>
          <w:szCs w:val="22"/>
          <w:lang w:val="en-GB"/>
        </w:rPr>
        <w:t>Pilot a corporate engagement team to design and deliver high quality engagement for council services to remove burden on frontline services and improve council’s reputation.</w:t>
      </w:r>
    </w:p>
    <w:p w14:paraId="5D1AFAA1" w14:textId="77777777" w:rsidR="000729CF" w:rsidRPr="000729CF" w:rsidRDefault="000729CF" w:rsidP="000729CF">
      <w:pPr>
        <w:keepNext/>
        <w:spacing w:after="200" w:line="276" w:lineRule="auto"/>
        <w:rPr>
          <w:rFonts w:ascii="Calibri" w:eastAsia="Calibri" w:hAnsi="Calibri" w:cs="Calibri"/>
          <w:b/>
          <w:bCs/>
          <w:sz w:val="22"/>
          <w:szCs w:val="22"/>
          <w:u w:val="single"/>
          <w:lang w:val="en-GB"/>
        </w:rPr>
      </w:pPr>
      <w:r w:rsidRPr="000729CF">
        <w:rPr>
          <w:rFonts w:ascii="Calibri" w:eastAsia="Calibri" w:hAnsi="Calibri" w:cs="Calibri"/>
          <w:b/>
          <w:bCs/>
          <w:sz w:val="22"/>
          <w:szCs w:val="22"/>
          <w:u w:val="single"/>
          <w:lang w:val="en-GB"/>
        </w:rPr>
        <w:t xml:space="preserve">Supporting the Council’s Priorities  </w:t>
      </w:r>
    </w:p>
    <w:p w14:paraId="6F0DE8DF" w14:textId="77777777" w:rsidR="000729CF" w:rsidRPr="000729CF" w:rsidRDefault="000729CF" w:rsidP="000729CF">
      <w:pPr>
        <w:shd w:val="clear" w:color="auto" w:fill="C5E0B3"/>
        <w:spacing w:before="120" w:after="120"/>
        <w:rPr>
          <w:rFonts w:ascii="Calibri" w:eastAsia="Calibri" w:hAnsi="Calibri" w:cs="Calibri"/>
          <w:b/>
          <w:bCs/>
          <w:sz w:val="22"/>
          <w:szCs w:val="22"/>
          <w:lang w:val="en-GB"/>
        </w:rPr>
      </w:pPr>
      <w:r w:rsidRPr="000729CF">
        <w:rPr>
          <w:rFonts w:ascii="Calibri" w:eastAsia="Calibri" w:hAnsi="Calibri" w:cs="Calibri"/>
          <w:b/>
          <w:bCs/>
          <w:sz w:val="22"/>
          <w:szCs w:val="22"/>
          <w:lang w:val="en-GB"/>
        </w:rPr>
        <w:t>A city to be proud of.</w:t>
      </w:r>
    </w:p>
    <w:p w14:paraId="03ABB2EB" w14:textId="77777777" w:rsidR="000729CF" w:rsidRPr="000729CF" w:rsidRDefault="000729CF" w:rsidP="00CE70A3">
      <w:pPr>
        <w:keepNext/>
        <w:numPr>
          <w:ilvl w:val="0"/>
          <w:numId w:val="49"/>
        </w:numPr>
        <w:spacing w:after="200" w:line="276" w:lineRule="auto"/>
        <w:contextualSpacing/>
        <w:rPr>
          <w:rFonts w:ascii="Calibri" w:hAnsi="Calibri" w:cs="Calibri"/>
          <w:sz w:val="22"/>
          <w:szCs w:val="22"/>
          <w:lang w:val="en-GB" w:eastAsia="en-GB"/>
        </w:rPr>
      </w:pPr>
      <w:r w:rsidRPr="000729CF">
        <w:rPr>
          <w:rFonts w:ascii="Calibri" w:hAnsi="Calibri" w:cs="Calibri"/>
          <w:sz w:val="22"/>
          <w:szCs w:val="22"/>
          <w:lang w:val="en-GB" w:eastAsia="en-GB"/>
        </w:rPr>
        <w:t>Develop strategies and business cases to provide genuinely affordable homes</w:t>
      </w:r>
    </w:p>
    <w:p w14:paraId="6CFB973E" w14:textId="77777777" w:rsidR="000729CF" w:rsidRPr="000729CF" w:rsidRDefault="000729CF" w:rsidP="00CE70A3">
      <w:pPr>
        <w:keepNext/>
        <w:numPr>
          <w:ilvl w:val="0"/>
          <w:numId w:val="49"/>
        </w:numPr>
        <w:spacing w:after="200" w:line="276" w:lineRule="auto"/>
        <w:contextualSpacing/>
        <w:rPr>
          <w:rFonts w:ascii="Calibri" w:hAnsi="Calibri" w:cs="Calibri"/>
          <w:sz w:val="22"/>
          <w:szCs w:val="22"/>
          <w:lang w:val="en-GB" w:eastAsia="en-GB"/>
        </w:rPr>
      </w:pPr>
      <w:r w:rsidRPr="000729CF">
        <w:rPr>
          <w:rFonts w:ascii="Calibri" w:hAnsi="Calibri" w:cs="Calibri"/>
          <w:sz w:val="22"/>
          <w:szCs w:val="22"/>
          <w:lang w:val="en-GB" w:eastAsia="en-GB"/>
        </w:rPr>
        <w:t>Improve access for disabled people to services and the housing estate</w:t>
      </w:r>
    </w:p>
    <w:p w14:paraId="0AE6165E" w14:textId="77777777" w:rsidR="000729CF" w:rsidRPr="000729CF" w:rsidRDefault="000729CF" w:rsidP="00CE70A3">
      <w:pPr>
        <w:keepNext/>
        <w:numPr>
          <w:ilvl w:val="0"/>
          <w:numId w:val="49"/>
        </w:numPr>
        <w:spacing w:after="200" w:line="276" w:lineRule="auto"/>
        <w:contextualSpacing/>
        <w:rPr>
          <w:rFonts w:ascii="Calibri" w:hAnsi="Calibri" w:cs="Calibri"/>
          <w:sz w:val="22"/>
          <w:szCs w:val="22"/>
          <w:lang w:val="en-GB" w:eastAsia="en-GB"/>
        </w:rPr>
      </w:pPr>
      <w:r w:rsidRPr="000729CF">
        <w:rPr>
          <w:rFonts w:ascii="Calibri" w:hAnsi="Calibri" w:cs="Calibri"/>
          <w:sz w:val="22"/>
          <w:szCs w:val="22"/>
          <w:lang w:val="en-GB" w:eastAsia="en-GB"/>
        </w:rPr>
        <w:t>Increase participation in civic and community life through neighbourhood engagement and participatory strategies</w:t>
      </w:r>
    </w:p>
    <w:p w14:paraId="37F4DCE8" w14:textId="77777777" w:rsidR="000729CF" w:rsidRPr="000729CF" w:rsidRDefault="000729CF" w:rsidP="00CE70A3">
      <w:pPr>
        <w:keepNext/>
        <w:numPr>
          <w:ilvl w:val="0"/>
          <w:numId w:val="49"/>
        </w:numPr>
        <w:spacing w:after="200" w:line="276"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Tackle crime and antisocial behaviour in our city</w:t>
      </w:r>
    </w:p>
    <w:p w14:paraId="47CB7211" w14:textId="77777777" w:rsidR="000729CF" w:rsidRPr="000729CF" w:rsidRDefault="000729CF" w:rsidP="000729CF">
      <w:pPr>
        <w:shd w:val="clear" w:color="auto" w:fill="C5E0B3"/>
        <w:spacing w:before="120" w:after="120"/>
        <w:rPr>
          <w:rFonts w:ascii="Calibri" w:eastAsia="Calibri" w:hAnsi="Calibri" w:cs="Calibri"/>
          <w:b/>
          <w:bCs/>
          <w:sz w:val="22"/>
          <w:szCs w:val="22"/>
          <w:lang w:val="en-GB"/>
        </w:rPr>
      </w:pPr>
      <w:r w:rsidRPr="000729CF">
        <w:rPr>
          <w:rFonts w:ascii="Calibri" w:eastAsia="Calibri" w:hAnsi="Calibri" w:cs="Calibri"/>
          <w:b/>
          <w:bCs/>
          <w:sz w:val="22"/>
          <w:szCs w:val="22"/>
          <w:lang w:val="en-GB"/>
        </w:rPr>
        <w:t>A fair and inclusive city.</w:t>
      </w:r>
    </w:p>
    <w:p w14:paraId="62E3E272" w14:textId="77777777" w:rsidR="000729CF" w:rsidRPr="000729CF" w:rsidRDefault="000729CF" w:rsidP="00CE70A3">
      <w:pPr>
        <w:keepNext/>
        <w:numPr>
          <w:ilvl w:val="0"/>
          <w:numId w:val="50"/>
        </w:numPr>
        <w:spacing w:after="200" w:line="276" w:lineRule="auto"/>
        <w:contextualSpacing/>
        <w:rPr>
          <w:rFonts w:ascii="Calibri" w:hAnsi="Calibri" w:cs="Calibri"/>
          <w:sz w:val="22"/>
          <w:szCs w:val="22"/>
          <w:lang w:val="en-GB" w:eastAsia="en-GB"/>
        </w:rPr>
      </w:pPr>
      <w:r w:rsidRPr="000729CF">
        <w:rPr>
          <w:rFonts w:ascii="Calibri" w:hAnsi="Calibri" w:cs="Calibri"/>
          <w:sz w:val="22"/>
          <w:szCs w:val="22"/>
          <w:lang w:val="en-GB" w:eastAsia="en-GB"/>
        </w:rPr>
        <w:t>Taking a leading role in increasing equality and inclusion in the council and across the city’ and ‘challenge inequality in the city and within the council’</w:t>
      </w:r>
    </w:p>
    <w:p w14:paraId="5B731B4F" w14:textId="77777777" w:rsidR="000729CF" w:rsidRPr="000729CF" w:rsidRDefault="000729CF" w:rsidP="00CE70A3">
      <w:pPr>
        <w:keepNext/>
        <w:numPr>
          <w:ilvl w:val="0"/>
          <w:numId w:val="50"/>
        </w:numPr>
        <w:spacing w:after="200" w:line="276" w:lineRule="auto"/>
        <w:contextualSpacing/>
        <w:rPr>
          <w:rFonts w:ascii="Calibri" w:hAnsi="Calibri" w:cs="Calibri"/>
          <w:sz w:val="22"/>
          <w:szCs w:val="22"/>
          <w:lang w:val="en-GB" w:eastAsia="en-GB"/>
        </w:rPr>
      </w:pPr>
      <w:r w:rsidRPr="000729CF">
        <w:rPr>
          <w:rFonts w:ascii="Calibri" w:hAnsi="Calibri" w:cs="Calibri"/>
          <w:sz w:val="22"/>
          <w:szCs w:val="22"/>
          <w:lang w:val="en-GB" w:eastAsia="en-GB"/>
        </w:rPr>
        <w:t>Promote a City Equalities Standard together with our partners to promote fair employment practice to tackle the under representation of people from BME communities and disabled people</w:t>
      </w:r>
      <w:r w:rsidRPr="000729CF">
        <w:rPr>
          <w:rFonts w:ascii="Calibri" w:eastAsia="Calibri" w:hAnsi="Calibri" w:cs="Calibri"/>
          <w:sz w:val="22"/>
          <w:szCs w:val="22"/>
          <w:u w:val="single"/>
          <w:lang w:val="en-GB"/>
        </w:rPr>
        <w:t xml:space="preserve"> </w:t>
      </w:r>
    </w:p>
    <w:p w14:paraId="69EB951E" w14:textId="77777777" w:rsidR="000729CF" w:rsidRPr="000729CF" w:rsidRDefault="000729CF" w:rsidP="00CE70A3">
      <w:pPr>
        <w:keepNext/>
        <w:numPr>
          <w:ilvl w:val="0"/>
          <w:numId w:val="50"/>
        </w:numPr>
        <w:spacing w:after="200" w:line="276" w:lineRule="auto"/>
        <w:contextualSpacing/>
        <w:rPr>
          <w:rFonts w:ascii="Calibri" w:hAnsi="Calibri" w:cs="Calibri"/>
          <w:sz w:val="22"/>
          <w:szCs w:val="22"/>
          <w:lang w:val="en-GB" w:eastAsia="en-GB"/>
        </w:rPr>
      </w:pPr>
      <w:r w:rsidRPr="000729CF">
        <w:rPr>
          <w:rFonts w:ascii="Calibri" w:hAnsi="Calibri" w:cs="Calibri"/>
          <w:sz w:val="22"/>
          <w:szCs w:val="22"/>
          <w:lang w:val="en-GB" w:eastAsia="en-GB"/>
        </w:rPr>
        <w:t>Supporting the international refugee crisis through driving delivery of the recommendations of the international migrant needs assessment, participation in the global refugee programme and continuing to be an asylum seeker dispersal area</w:t>
      </w:r>
    </w:p>
    <w:p w14:paraId="0DC47D90" w14:textId="77777777" w:rsidR="000729CF" w:rsidRPr="000729CF" w:rsidRDefault="000729CF" w:rsidP="00CE70A3">
      <w:pPr>
        <w:numPr>
          <w:ilvl w:val="0"/>
          <w:numId w:val="50"/>
        </w:numPr>
        <w:spacing w:after="160" w:line="259" w:lineRule="auto"/>
        <w:contextualSpacing/>
        <w:rPr>
          <w:rFonts w:ascii="Calibri" w:hAnsi="Calibri" w:cs="Calibri"/>
          <w:sz w:val="22"/>
          <w:szCs w:val="22"/>
          <w:lang w:val="en-GB" w:eastAsia="en-GB"/>
        </w:rPr>
      </w:pPr>
      <w:r w:rsidRPr="000729CF">
        <w:rPr>
          <w:rFonts w:ascii="Calibri" w:hAnsi="Calibri" w:cs="Calibri"/>
          <w:sz w:val="22"/>
          <w:szCs w:val="22"/>
          <w:lang w:val="en-GB" w:eastAsia="en-GB"/>
        </w:rPr>
        <w:t>Improve council housing quality and sustainability</w:t>
      </w:r>
    </w:p>
    <w:p w14:paraId="4611B2BD" w14:textId="77777777" w:rsidR="000729CF" w:rsidRPr="000729CF" w:rsidRDefault="000729CF" w:rsidP="00CE70A3">
      <w:pPr>
        <w:numPr>
          <w:ilvl w:val="0"/>
          <w:numId w:val="50"/>
        </w:numPr>
        <w:spacing w:after="160" w:line="259" w:lineRule="auto"/>
        <w:contextualSpacing/>
        <w:rPr>
          <w:rFonts w:ascii="Calibri" w:hAnsi="Calibri" w:cs="Calibri"/>
          <w:sz w:val="22"/>
          <w:szCs w:val="22"/>
          <w:lang w:val="en-GB" w:eastAsia="en-GB"/>
        </w:rPr>
      </w:pPr>
      <w:r w:rsidRPr="000729CF">
        <w:rPr>
          <w:rFonts w:ascii="Calibri" w:hAnsi="Calibri" w:cs="Calibri"/>
          <w:sz w:val="22"/>
          <w:szCs w:val="22"/>
          <w:lang w:val="en-GB" w:eastAsia="en-GB"/>
        </w:rPr>
        <w:t>Make better use of existing housing capacity</w:t>
      </w:r>
    </w:p>
    <w:p w14:paraId="3002C3B2" w14:textId="77777777" w:rsidR="000729CF" w:rsidRPr="000729CF" w:rsidRDefault="000729CF" w:rsidP="000729CF">
      <w:pPr>
        <w:ind w:left="720"/>
        <w:contextualSpacing/>
        <w:rPr>
          <w:rFonts w:ascii="Calibri" w:hAnsi="Calibri" w:cs="Calibri"/>
          <w:sz w:val="22"/>
          <w:szCs w:val="22"/>
          <w:lang w:val="en-GB" w:eastAsia="en-GB"/>
        </w:rPr>
      </w:pPr>
    </w:p>
    <w:p w14:paraId="751A3EA1" w14:textId="77777777" w:rsidR="000729CF" w:rsidRPr="000729CF" w:rsidRDefault="000729CF" w:rsidP="000729CF">
      <w:pPr>
        <w:shd w:val="clear" w:color="auto" w:fill="C5E0B3"/>
        <w:spacing w:before="120" w:after="120"/>
        <w:rPr>
          <w:rFonts w:ascii="Calibri" w:eastAsia="Calibri" w:hAnsi="Calibri" w:cs="Calibri"/>
          <w:b/>
          <w:bCs/>
          <w:sz w:val="22"/>
          <w:szCs w:val="22"/>
          <w:lang w:val="en-GB"/>
        </w:rPr>
      </w:pPr>
      <w:r w:rsidRPr="000729CF">
        <w:rPr>
          <w:rFonts w:ascii="Calibri" w:eastAsia="Calibri" w:hAnsi="Calibri" w:cs="Calibri"/>
          <w:b/>
          <w:bCs/>
          <w:sz w:val="22"/>
          <w:szCs w:val="22"/>
          <w:lang w:val="en-GB"/>
        </w:rPr>
        <w:t>A healthy city where people thrive.</w:t>
      </w:r>
    </w:p>
    <w:p w14:paraId="0AE1A4D2" w14:textId="77777777" w:rsidR="000729CF" w:rsidRPr="000729CF" w:rsidRDefault="000729CF" w:rsidP="00CE70A3">
      <w:pPr>
        <w:keepNext/>
        <w:numPr>
          <w:ilvl w:val="0"/>
          <w:numId w:val="51"/>
        </w:numPr>
        <w:spacing w:after="200" w:line="276" w:lineRule="auto"/>
        <w:contextualSpacing/>
        <w:rPr>
          <w:rFonts w:ascii="Calibri" w:hAnsi="Calibri" w:cs="Calibri"/>
          <w:sz w:val="22"/>
          <w:szCs w:val="22"/>
          <w:lang w:val="en-GB" w:eastAsia="en-GB"/>
        </w:rPr>
      </w:pPr>
      <w:r w:rsidRPr="000729CF">
        <w:rPr>
          <w:rFonts w:ascii="Calibri" w:hAnsi="Calibri" w:cs="Calibri"/>
          <w:sz w:val="22"/>
          <w:szCs w:val="22"/>
          <w:lang w:val="en-GB" w:eastAsia="en-GB"/>
        </w:rPr>
        <w:t>Improve private rented housing quality and sustainability</w:t>
      </w:r>
    </w:p>
    <w:p w14:paraId="0D7CC95C" w14:textId="77777777" w:rsidR="000729CF" w:rsidRPr="000729CF" w:rsidRDefault="000729CF" w:rsidP="00CE70A3">
      <w:pPr>
        <w:numPr>
          <w:ilvl w:val="0"/>
          <w:numId w:val="51"/>
        </w:numPr>
        <w:spacing w:after="160" w:line="259" w:lineRule="auto"/>
        <w:contextualSpacing/>
        <w:rPr>
          <w:rFonts w:ascii="Calibri" w:hAnsi="Calibri" w:cs="Calibri"/>
          <w:sz w:val="22"/>
          <w:szCs w:val="22"/>
          <w:lang w:val="en-GB" w:eastAsia="en-GB"/>
        </w:rPr>
      </w:pPr>
      <w:r w:rsidRPr="000729CF">
        <w:rPr>
          <w:rFonts w:ascii="Calibri" w:hAnsi="Calibri" w:cs="Calibri"/>
          <w:sz w:val="22"/>
          <w:szCs w:val="22"/>
          <w:lang w:val="en-GB" w:eastAsia="en-GB"/>
        </w:rPr>
        <w:t>Reduce homelessness and rough sleeping</w:t>
      </w:r>
    </w:p>
    <w:p w14:paraId="07458353" w14:textId="77777777" w:rsidR="000729CF" w:rsidRPr="000729CF" w:rsidRDefault="000729CF" w:rsidP="000729CF">
      <w:pPr>
        <w:ind w:left="720"/>
        <w:contextualSpacing/>
        <w:rPr>
          <w:rFonts w:ascii="Calibri" w:hAnsi="Calibri" w:cs="Calibri"/>
          <w:sz w:val="22"/>
          <w:szCs w:val="22"/>
          <w:lang w:val="en-GB" w:eastAsia="en-GB"/>
        </w:rPr>
      </w:pPr>
    </w:p>
    <w:p w14:paraId="10CBC3C6" w14:textId="77777777" w:rsidR="000729CF" w:rsidRPr="000729CF" w:rsidRDefault="000729CF" w:rsidP="000729CF">
      <w:pPr>
        <w:shd w:val="clear" w:color="auto" w:fill="C5E0B3"/>
        <w:spacing w:before="120" w:after="120"/>
        <w:rPr>
          <w:rFonts w:ascii="Calibri" w:eastAsia="Calibri" w:hAnsi="Calibri" w:cs="Calibri"/>
          <w:b/>
          <w:bCs/>
          <w:sz w:val="22"/>
          <w:szCs w:val="22"/>
          <w:lang w:val="en-GB"/>
        </w:rPr>
      </w:pPr>
      <w:r w:rsidRPr="000729CF">
        <w:rPr>
          <w:rFonts w:ascii="Calibri" w:eastAsia="Calibri" w:hAnsi="Calibri" w:cs="Calibri"/>
          <w:b/>
          <w:bCs/>
          <w:sz w:val="22"/>
          <w:szCs w:val="22"/>
          <w:lang w:val="en-GB"/>
        </w:rPr>
        <w:t>A responsive council with well-run services.</w:t>
      </w:r>
    </w:p>
    <w:p w14:paraId="74223461" w14:textId="77777777" w:rsidR="000729CF" w:rsidRPr="000729CF" w:rsidRDefault="000729CF" w:rsidP="00CE70A3">
      <w:pPr>
        <w:keepNext/>
        <w:numPr>
          <w:ilvl w:val="0"/>
          <w:numId w:val="48"/>
        </w:numPr>
        <w:spacing w:after="200" w:line="276"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Develop more customer-focussed and responsive housing advice and homelessness service</w:t>
      </w:r>
    </w:p>
    <w:p w14:paraId="5F4068F1" w14:textId="77777777" w:rsidR="000729CF" w:rsidRPr="000729CF" w:rsidRDefault="000729CF" w:rsidP="00CE70A3">
      <w:pPr>
        <w:keepNext/>
        <w:numPr>
          <w:ilvl w:val="0"/>
          <w:numId w:val="48"/>
        </w:numPr>
        <w:spacing w:after="200" w:line="276"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Improve customer contact systems throughout the directorate</w:t>
      </w:r>
    </w:p>
    <w:p w14:paraId="4506E18F" w14:textId="77777777" w:rsidR="000729CF" w:rsidRPr="000729CF" w:rsidRDefault="000729CF" w:rsidP="00CE70A3">
      <w:pPr>
        <w:keepNext/>
        <w:numPr>
          <w:ilvl w:val="0"/>
          <w:numId w:val="48"/>
        </w:numPr>
        <w:spacing w:after="200" w:line="276"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Provide more accessible information on key services for residents</w:t>
      </w:r>
    </w:p>
    <w:p w14:paraId="3407F607" w14:textId="77777777" w:rsidR="000729CF" w:rsidRPr="000729CF" w:rsidRDefault="000729CF" w:rsidP="00CE70A3">
      <w:pPr>
        <w:keepNext/>
        <w:numPr>
          <w:ilvl w:val="0"/>
          <w:numId w:val="48"/>
        </w:numPr>
        <w:spacing w:after="200" w:line="276"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Continue to monitor and improve customer responses</w:t>
      </w:r>
    </w:p>
    <w:p w14:paraId="30764488" w14:textId="77777777" w:rsidR="000729CF" w:rsidRPr="000729CF" w:rsidRDefault="000729CF" w:rsidP="00CE70A3">
      <w:pPr>
        <w:keepNext/>
        <w:numPr>
          <w:ilvl w:val="0"/>
          <w:numId w:val="48"/>
        </w:numPr>
        <w:spacing w:after="200" w:line="276"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Ensure equalities data is monitored and informs service improvement</w:t>
      </w:r>
    </w:p>
    <w:p w14:paraId="442FF504" w14:textId="77777777" w:rsidR="000729CF" w:rsidRPr="000729CF" w:rsidRDefault="000729CF" w:rsidP="000729CF">
      <w:pPr>
        <w:spacing w:after="160" w:line="259" w:lineRule="auto"/>
        <w:rPr>
          <w:rFonts w:ascii="Calibri" w:eastAsia="Calibri" w:hAnsi="Calibri"/>
          <w:sz w:val="22"/>
          <w:szCs w:val="22"/>
          <w:lang w:val="en-GB"/>
        </w:rPr>
      </w:pPr>
    </w:p>
    <w:p w14:paraId="7ED76B99" w14:textId="77777777" w:rsidR="000729CF" w:rsidRPr="000729CF" w:rsidRDefault="000729CF" w:rsidP="000729CF">
      <w:pPr>
        <w:spacing w:after="160" w:line="259" w:lineRule="auto"/>
        <w:rPr>
          <w:rFonts w:ascii="Calibri" w:eastAsia="Calibri" w:hAnsi="Calibri"/>
          <w:sz w:val="22"/>
          <w:szCs w:val="22"/>
          <w:lang w:val="en-GB"/>
        </w:rPr>
      </w:pPr>
    </w:p>
    <w:p w14:paraId="2947C1EC" w14:textId="77777777" w:rsidR="000729CF" w:rsidRPr="000729CF" w:rsidRDefault="000729CF" w:rsidP="000729CF">
      <w:pPr>
        <w:spacing w:after="160" w:line="259" w:lineRule="auto"/>
        <w:rPr>
          <w:rFonts w:ascii="Calibri" w:eastAsia="Calibri" w:hAnsi="Calibri"/>
          <w:sz w:val="22"/>
          <w:szCs w:val="22"/>
          <w:lang w:val="en-GB"/>
        </w:rPr>
        <w:sectPr w:rsidR="000729CF" w:rsidRPr="000729CF" w:rsidSect="001604BB">
          <w:pgSz w:w="16838" w:h="11906" w:orient="landscape"/>
          <w:pgMar w:top="720" w:right="720" w:bottom="720" w:left="720" w:header="708" w:footer="708" w:gutter="0"/>
          <w:cols w:space="708"/>
          <w:docGrid w:linePitch="360"/>
        </w:sectPr>
      </w:pPr>
    </w:p>
    <w:tbl>
      <w:tblPr>
        <w:tblW w:w="5000" w:type="pct"/>
        <w:tblLook w:val="04A0" w:firstRow="1" w:lastRow="0" w:firstColumn="1" w:lastColumn="0" w:noHBand="0" w:noVBand="1"/>
      </w:tblPr>
      <w:tblGrid>
        <w:gridCol w:w="3520"/>
        <w:gridCol w:w="3521"/>
        <w:gridCol w:w="6928"/>
        <w:gridCol w:w="1419"/>
      </w:tblGrid>
      <w:tr w:rsidR="000729CF" w:rsidRPr="000729CF" w14:paraId="142C0779" w14:textId="77777777" w:rsidTr="00BC26AB">
        <w:trPr>
          <w:trHeight w:val="20"/>
          <w:tblHeader/>
        </w:trPr>
        <w:tc>
          <w:tcPr>
            <w:tcW w:w="1144" w:type="pct"/>
            <w:vMerge w:val="restart"/>
            <w:tcBorders>
              <w:top w:val="single" w:sz="4" w:space="0" w:color="auto"/>
              <w:left w:val="single" w:sz="4" w:space="0" w:color="auto"/>
              <w:bottom w:val="single" w:sz="4" w:space="0" w:color="auto"/>
              <w:right w:val="single" w:sz="4" w:space="0" w:color="auto"/>
            </w:tcBorders>
            <w:shd w:val="clear" w:color="000000" w:fill="A6A6A6"/>
            <w:tcMar>
              <w:left w:w="45" w:type="dxa"/>
              <w:right w:w="45" w:type="dxa"/>
            </w:tcMar>
            <w:vAlign w:val="bottom"/>
            <w:hideMark/>
          </w:tcPr>
          <w:p w14:paraId="40E73F98" w14:textId="77777777" w:rsidR="000729CF" w:rsidRPr="000729CF" w:rsidRDefault="000729CF" w:rsidP="000729CF">
            <w:pPr>
              <w:jc w:val="cente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Section</w:t>
            </w:r>
          </w:p>
        </w:tc>
        <w:tc>
          <w:tcPr>
            <w:tcW w:w="1144" w:type="pct"/>
            <w:vMerge w:val="restart"/>
            <w:tcBorders>
              <w:top w:val="single" w:sz="4" w:space="0" w:color="auto"/>
              <w:left w:val="single" w:sz="4" w:space="0" w:color="auto"/>
              <w:bottom w:val="single" w:sz="4" w:space="0" w:color="auto"/>
              <w:right w:val="single" w:sz="4" w:space="0" w:color="auto"/>
            </w:tcBorders>
            <w:shd w:val="clear" w:color="000000" w:fill="A6A6A6"/>
            <w:tcMar>
              <w:left w:w="45" w:type="dxa"/>
              <w:right w:w="45" w:type="dxa"/>
            </w:tcMar>
            <w:vAlign w:val="bottom"/>
            <w:hideMark/>
          </w:tcPr>
          <w:p w14:paraId="027F814A" w14:textId="77777777" w:rsidR="000729CF" w:rsidRPr="000729CF" w:rsidRDefault="000729CF" w:rsidP="000729CF">
            <w:pPr>
              <w:jc w:val="cente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Service Area</w:t>
            </w:r>
          </w:p>
        </w:tc>
        <w:tc>
          <w:tcPr>
            <w:tcW w:w="2251" w:type="pct"/>
            <w:vMerge w:val="restart"/>
            <w:tcBorders>
              <w:top w:val="single" w:sz="4" w:space="0" w:color="auto"/>
              <w:left w:val="single" w:sz="4" w:space="0" w:color="auto"/>
              <w:bottom w:val="single" w:sz="4" w:space="0" w:color="auto"/>
              <w:right w:val="single" w:sz="4" w:space="0" w:color="auto"/>
            </w:tcBorders>
            <w:shd w:val="clear" w:color="000000" w:fill="A6A6A6"/>
            <w:tcMar>
              <w:left w:w="45" w:type="dxa"/>
              <w:right w:w="45" w:type="dxa"/>
            </w:tcMar>
            <w:vAlign w:val="bottom"/>
            <w:hideMark/>
          </w:tcPr>
          <w:p w14:paraId="708FA9E7" w14:textId="77777777" w:rsidR="000729CF" w:rsidRPr="000729CF" w:rsidRDefault="000729CF" w:rsidP="000729CF">
            <w:pPr>
              <w:jc w:val="cente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Brief Summary of Budget Proposal/Strategy and Risks</w:t>
            </w:r>
          </w:p>
        </w:tc>
        <w:tc>
          <w:tcPr>
            <w:tcW w:w="461" w:type="pct"/>
            <w:tcBorders>
              <w:top w:val="single" w:sz="4" w:space="0" w:color="auto"/>
              <w:left w:val="nil"/>
              <w:bottom w:val="single" w:sz="4" w:space="0" w:color="auto"/>
              <w:right w:val="single" w:sz="4" w:space="0" w:color="auto"/>
            </w:tcBorders>
            <w:shd w:val="clear" w:color="000000" w:fill="A6A6A6"/>
            <w:tcMar>
              <w:left w:w="45" w:type="dxa"/>
              <w:right w:w="45" w:type="dxa"/>
            </w:tcMar>
            <w:vAlign w:val="bottom"/>
            <w:hideMark/>
          </w:tcPr>
          <w:p w14:paraId="527601B3" w14:textId="77777777" w:rsidR="000729CF" w:rsidRPr="000729CF" w:rsidRDefault="000729CF" w:rsidP="000729CF">
            <w:pPr>
              <w:jc w:val="cente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Total Savings Proposed 2024/25</w:t>
            </w:r>
          </w:p>
        </w:tc>
      </w:tr>
      <w:tr w:rsidR="000729CF" w:rsidRPr="000729CF" w14:paraId="55C22C69" w14:textId="77777777" w:rsidTr="00BC26AB">
        <w:trPr>
          <w:trHeight w:val="20"/>
          <w:tblHeader/>
        </w:trPr>
        <w:tc>
          <w:tcPr>
            <w:tcW w:w="1144" w:type="pct"/>
            <w:vMerge/>
            <w:tcBorders>
              <w:top w:val="single" w:sz="4" w:space="0" w:color="auto"/>
              <w:left w:val="single" w:sz="4" w:space="0" w:color="auto"/>
              <w:bottom w:val="single" w:sz="4" w:space="0" w:color="auto"/>
              <w:right w:val="single" w:sz="4" w:space="0" w:color="auto"/>
            </w:tcBorders>
            <w:tcMar>
              <w:left w:w="45" w:type="dxa"/>
              <w:right w:w="45" w:type="dxa"/>
            </w:tcMar>
            <w:vAlign w:val="center"/>
            <w:hideMark/>
          </w:tcPr>
          <w:p w14:paraId="78275F75" w14:textId="77777777" w:rsidR="000729CF" w:rsidRPr="000729CF" w:rsidRDefault="000729CF" w:rsidP="000729CF">
            <w:pPr>
              <w:rPr>
                <w:rFonts w:ascii="Calibri" w:hAnsi="Calibri" w:cs="Calibri"/>
                <w:b/>
                <w:bCs/>
                <w:color w:val="000000"/>
                <w:sz w:val="22"/>
                <w:szCs w:val="22"/>
                <w:lang w:val="en-GB" w:eastAsia="en-GB"/>
              </w:rPr>
            </w:pPr>
          </w:p>
        </w:tc>
        <w:tc>
          <w:tcPr>
            <w:tcW w:w="1144" w:type="pct"/>
            <w:vMerge/>
            <w:tcBorders>
              <w:top w:val="single" w:sz="4" w:space="0" w:color="auto"/>
              <w:left w:val="single" w:sz="4" w:space="0" w:color="auto"/>
              <w:bottom w:val="single" w:sz="4" w:space="0" w:color="auto"/>
              <w:right w:val="single" w:sz="4" w:space="0" w:color="auto"/>
            </w:tcBorders>
            <w:tcMar>
              <w:left w:w="45" w:type="dxa"/>
              <w:right w:w="45" w:type="dxa"/>
            </w:tcMar>
            <w:vAlign w:val="center"/>
            <w:hideMark/>
          </w:tcPr>
          <w:p w14:paraId="1985F5AE" w14:textId="77777777" w:rsidR="000729CF" w:rsidRPr="000729CF" w:rsidRDefault="000729CF" w:rsidP="000729CF">
            <w:pPr>
              <w:rPr>
                <w:rFonts w:ascii="Calibri" w:hAnsi="Calibri" w:cs="Calibri"/>
                <w:b/>
                <w:bCs/>
                <w:color w:val="000000"/>
                <w:sz w:val="22"/>
                <w:szCs w:val="22"/>
                <w:lang w:val="en-GB" w:eastAsia="en-GB"/>
              </w:rPr>
            </w:pPr>
          </w:p>
        </w:tc>
        <w:tc>
          <w:tcPr>
            <w:tcW w:w="2251" w:type="pct"/>
            <w:vMerge/>
            <w:tcBorders>
              <w:top w:val="single" w:sz="4" w:space="0" w:color="auto"/>
              <w:left w:val="single" w:sz="4" w:space="0" w:color="auto"/>
              <w:bottom w:val="single" w:sz="4" w:space="0" w:color="auto"/>
              <w:right w:val="single" w:sz="4" w:space="0" w:color="auto"/>
            </w:tcBorders>
            <w:tcMar>
              <w:left w:w="45" w:type="dxa"/>
              <w:right w:w="45" w:type="dxa"/>
            </w:tcMar>
            <w:vAlign w:val="center"/>
            <w:hideMark/>
          </w:tcPr>
          <w:p w14:paraId="432ED686" w14:textId="77777777" w:rsidR="000729CF" w:rsidRPr="000729CF" w:rsidRDefault="000729CF" w:rsidP="000729CF">
            <w:pPr>
              <w:rPr>
                <w:rFonts w:ascii="Calibri" w:hAnsi="Calibri" w:cs="Calibri"/>
                <w:b/>
                <w:bCs/>
                <w:color w:val="000000"/>
                <w:sz w:val="22"/>
                <w:szCs w:val="22"/>
                <w:lang w:val="en-GB" w:eastAsia="en-GB"/>
              </w:rPr>
            </w:pPr>
          </w:p>
        </w:tc>
        <w:tc>
          <w:tcPr>
            <w:tcW w:w="461" w:type="pct"/>
            <w:tcBorders>
              <w:top w:val="single" w:sz="4" w:space="0" w:color="auto"/>
              <w:left w:val="nil"/>
              <w:bottom w:val="single" w:sz="4" w:space="0" w:color="auto"/>
              <w:right w:val="single" w:sz="4" w:space="0" w:color="auto"/>
            </w:tcBorders>
            <w:shd w:val="clear" w:color="000000" w:fill="A6A6A6"/>
            <w:tcMar>
              <w:left w:w="45" w:type="dxa"/>
              <w:right w:w="45" w:type="dxa"/>
            </w:tcMar>
            <w:vAlign w:val="bottom"/>
            <w:hideMark/>
          </w:tcPr>
          <w:p w14:paraId="76E8A300" w14:textId="77777777" w:rsidR="000729CF" w:rsidRPr="000729CF" w:rsidRDefault="000729CF" w:rsidP="000729CF">
            <w:pPr>
              <w:jc w:val="cente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£'000</w:t>
            </w:r>
          </w:p>
        </w:tc>
      </w:tr>
      <w:tr w:rsidR="000729CF" w:rsidRPr="000729CF" w14:paraId="414E3C4F" w14:textId="77777777" w:rsidTr="00BC26AB">
        <w:trPr>
          <w:trHeight w:val="20"/>
        </w:trPr>
        <w:tc>
          <w:tcPr>
            <w:tcW w:w="4539" w:type="pct"/>
            <w:gridSpan w:val="3"/>
            <w:tcBorders>
              <w:top w:val="single" w:sz="4" w:space="0" w:color="auto"/>
              <w:left w:val="single" w:sz="4" w:space="0" w:color="auto"/>
              <w:bottom w:val="single" w:sz="4" w:space="0" w:color="auto"/>
              <w:right w:val="nil"/>
            </w:tcBorders>
            <w:shd w:val="clear" w:color="000000" w:fill="000000"/>
            <w:noWrap/>
            <w:tcMar>
              <w:left w:w="45" w:type="dxa"/>
              <w:right w:w="45" w:type="dxa"/>
            </w:tcMar>
            <w:hideMark/>
          </w:tcPr>
          <w:p w14:paraId="152EAA43"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Housing, Neighbourhoods &amp; Communities</w:t>
            </w:r>
          </w:p>
        </w:tc>
        <w:tc>
          <w:tcPr>
            <w:tcW w:w="461" w:type="pct"/>
            <w:tcBorders>
              <w:top w:val="single" w:sz="4" w:space="0" w:color="auto"/>
              <w:left w:val="nil"/>
              <w:bottom w:val="single" w:sz="4" w:space="0" w:color="auto"/>
              <w:right w:val="single" w:sz="4" w:space="0" w:color="auto"/>
            </w:tcBorders>
            <w:shd w:val="clear" w:color="000000" w:fill="000000"/>
            <w:noWrap/>
            <w:tcMar>
              <w:left w:w="45" w:type="dxa"/>
              <w:right w:w="45" w:type="dxa"/>
            </w:tcMar>
            <w:hideMark/>
          </w:tcPr>
          <w:p w14:paraId="3A469851"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 </w:t>
            </w:r>
          </w:p>
        </w:tc>
      </w:tr>
      <w:tr w:rsidR="000729CF" w:rsidRPr="000729CF" w14:paraId="0362D911" w14:textId="77777777" w:rsidTr="00BC26AB">
        <w:trPr>
          <w:trHeight w:val="20"/>
        </w:trPr>
        <w:tc>
          <w:tcPr>
            <w:tcW w:w="4539" w:type="pct"/>
            <w:gridSpan w:val="3"/>
            <w:tcBorders>
              <w:top w:val="single" w:sz="4" w:space="0" w:color="auto"/>
              <w:left w:val="single" w:sz="4" w:space="0" w:color="auto"/>
              <w:bottom w:val="single" w:sz="4" w:space="0" w:color="auto"/>
              <w:right w:val="nil"/>
            </w:tcBorders>
            <w:shd w:val="clear" w:color="000000" w:fill="000000"/>
            <w:noWrap/>
            <w:tcMar>
              <w:left w:w="45" w:type="dxa"/>
              <w:right w:w="45" w:type="dxa"/>
            </w:tcMar>
            <w:hideMark/>
          </w:tcPr>
          <w:p w14:paraId="716C7737"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Housing General Fund</w:t>
            </w:r>
          </w:p>
        </w:tc>
        <w:tc>
          <w:tcPr>
            <w:tcW w:w="461" w:type="pct"/>
            <w:tcBorders>
              <w:top w:val="single" w:sz="4" w:space="0" w:color="auto"/>
              <w:left w:val="nil"/>
              <w:bottom w:val="single" w:sz="4" w:space="0" w:color="auto"/>
              <w:right w:val="single" w:sz="4" w:space="0" w:color="auto"/>
            </w:tcBorders>
            <w:shd w:val="clear" w:color="000000" w:fill="000000"/>
            <w:noWrap/>
            <w:tcMar>
              <w:left w:w="45" w:type="dxa"/>
              <w:right w:w="45" w:type="dxa"/>
            </w:tcMar>
            <w:hideMark/>
          </w:tcPr>
          <w:p w14:paraId="692674FC"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 </w:t>
            </w:r>
          </w:p>
        </w:tc>
      </w:tr>
      <w:tr w:rsidR="000729CF" w:rsidRPr="000729CF" w14:paraId="7BC4C063" w14:textId="77777777" w:rsidTr="00BC26AB">
        <w:trPr>
          <w:trHeight w:val="20"/>
        </w:trPr>
        <w:tc>
          <w:tcPr>
            <w:tcW w:w="114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022E1BC6"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Housing Services</w:t>
            </w:r>
          </w:p>
        </w:tc>
        <w:tc>
          <w:tcPr>
            <w:tcW w:w="1144" w:type="pct"/>
            <w:tcBorders>
              <w:top w:val="nil"/>
              <w:left w:val="nil"/>
              <w:bottom w:val="single" w:sz="4" w:space="0" w:color="auto"/>
              <w:right w:val="single" w:sz="4" w:space="0" w:color="auto"/>
            </w:tcBorders>
            <w:shd w:val="clear" w:color="auto" w:fill="auto"/>
            <w:tcMar>
              <w:left w:w="45" w:type="dxa"/>
              <w:right w:w="45" w:type="dxa"/>
            </w:tcMar>
            <w:hideMark/>
          </w:tcPr>
          <w:p w14:paraId="3DEC300E"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Executive Director HNC and Business Support</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28FC5A9D"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No saving identified but service will be reviewed as part of overall 'Organisational Redesign' principles.</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742CF520"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1CAF0A60" w14:textId="77777777" w:rsidTr="00BC26AB">
        <w:trPr>
          <w:trHeight w:val="20"/>
        </w:trPr>
        <w:tc>
          <w:tcPr>
            <w:tcW w:w="114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4615883B"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Housing Services</w:t>
            </w:r>
          </w:p>
        </w:tc>
        <w:tc>
          <w:tcPr>
            <w:tcW w:w="1144" w:type="pct"/>
            <w:tcBorders>
              <w:top w:val="nil"/>
              <w:left w:val="nil"/>
              <w:bottom w:val="single" w:sz="4" w:space="0" w:color="auto"/>
              <w:right w:val="single" w:sz="4" w:space="0" w:color="auto"/>
            </w:tcBorders>
            <w:shd w:val="clear" w:color="auto" w:fill="auto"/>
            <w:tcMar>
              <w:left w:w="45" w:type="dxa"/>
              <w:right w:w="45" w:type="dxa"/>
            </w:tcMar>
            <w:hideMark/>
          </w:tcPr>
          <w:p w14:paraId="4318196C"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Housing Service wide saving</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0E9423D9"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Service redesign - a new staffing structure is being designed as part of the Homelessness Transformation Programme. A 5% saving will be factored in, but at this stage there is uncertainty as to what impact this will have on staffing as it will be dependent on redesign and consultation. It is anticipated the impact could be approximately 13 FTE although 4 FTE are currently vacant. Incorporating other vacancies across the service should further minimise the risk of redundancies. See EIA 21.</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642FE69D"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285 </w:t>
            </w:r>
          </w:p>
        </w:tc>
      </w:tr>
      <w:tr w:rsidR="000729CF" w:rsidRPr="000729CF" w14:paraId="6D07FD57" w14:textId="77777777" w:rsidTr="00BC26AB">
        <w:trPr>
          <w:trHeight w:val="20"/>
        </w:trPr>
        <w:tc>
          <w:tcPr>
            <w:tcW w:w="114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022DC997"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Housing options</w:t>
            </w:r>
          </w:p>
        </w:tc>
        <w:tc>
          <w:tcPr>
            <w:tcW w:w="1144" w:type="pct"/>
            <w:tcBorders>
              <w:top w:val="nil"/>
              <w:left w:val="nil"/>
              <w:bottom w:val="single" w:sz="4" w:space="0" w:color="auto"/>
              <w:right w:val="single" w:sz="4" w:space="0" w:color="auto"/>
            </w:tcBorders>
            <w:shd w:val="clear" w:color="auto" w:fill="auto"/>
            <w:tcMar>
              <w:left w:w="45" w:type="dxa"/>
              <w:right w:w="45" w:type="dxa"/>
            </w:tcMar>
            <w:hideMark/>
          </w:tcPr>
          <w:p w14:paraId="319B48A0"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Homelessness - Housing Options  and Homemove - supporting vulnerable households</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2D3DE065"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Proposed savings will be part of the wider service redesign above.</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39D64AFF"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71ED3D95" w14:textId="77777777" w:rsidTr="00BC26AB">
        <w:trPr>
          <w:trHeight w:val="20"/>
        </w:trPr>
        <w:tc>
          <w:tcPr>
            <w:tcW w:w="114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668ED13D"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Temporary Accommodation &amp; Allocations</w:t>
            </w:r>
          </w:p>
        </w:tc>
        <w:tc>
          <w:tcPr>
            <w:tcW w:w="1144" w:type="pct"/>
            <w:tcBorders>
              <w:top w:val="nil"/>
              <w:left w:val="nil"/>
              <w:bottom w:val="single" w:sz="4" w:space="0" w:color="auto"/>
              <w:right w:val="single" w:sz="4" w:space="0" w:color="auto"/>
            </w:tcBorders>
            <w:shd w:val="clear" w:color="auto" w:fill="auto"/>
            <w:tcMar>
              <w:left w:w="45" w:type="dxa"/>
              <w:right w:w="45" w:type="dxa"/>
            </w:tcMar>
            <w:hideMark/>
          </w:tcPr>
          <w:p w14:paraId="0FFDFAE3"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Temporary Accommodation (TA)</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1D8E9542"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Proposed savings will be part of the wider service redesign above.</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0200C0B3"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0F760AD1" w14:textId="77777777" w:rsidTr="00BC26AB">
        <w:trPr>
          <w:trHeight w:val="20"/>
        </w:trPr>
        <w:tc>
          <w:tcPr>
            <w:tcW w:w="114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356083EE"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Temporary Accommodation &amp; Allocations</w:t>
            </w:r>
          </w:p>
        </w:tc>
        <w:tc>
          <w:tcPr>
            <w:tcW w:w="1144" w:type="pct"/>
            <w:tcBorders>
              <w:top w:val="nil"/>
              <w:left w:val="nil"/>
              <w:bottom w:val="single" w:sz="4" w:space="0" w:color="auto"/>
              <w:right w:val="single" w:sz="4" w:space="0" w:color="auto"/>
            </w:tcBorders>
            <w:shd w:val="clear" w:color="auto" w:fill="auto"/>
            <w:tcMar>
              <w:left w:w="45" w:type="dxa"/>
              <w:right w:w="45" w:type="dxa"/>
            </w:tcMar>
            <w:hideMark/>
          </w:tcPr>
          <w:p w14:paraId="52B2032C"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Temporary Accommodation (TA)</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1230944A"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Use of 20 vacant HRA properties for short term TA, saving on higher leasing costs.</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6CB5A489"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70 </w:t>
            </w:r>
          </w:p>
        </w:tc>
      </w:tr>
      <w:tr w:rsidR="000729CF" w:rsidRPr="000729CF" w14:paraId="70448BAF" w14:textId="77777777" w:rsidTr="00BC26AB">
        <w:trPr>
          <w:trHeight w:val="20"/>
        </w:trPr>
        <w:tc>
          <w:tcPr>
            <w:tcW w:w="114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3E89AEE5"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Temporary Accommodation &amp; Allocations</w:t>
            </w:r>
          </w:p>
        </w:tc>
        <w:tc>
          <w:tcPr>
            <w:tcW w:w="1144" w:type="pct"/>
            <w:tcBorders>
              <w:top w:val="nil"/>
              <w:left w:val="nil"/>
              <w:bottom w:val="single" w:sz="4" w:space="0" w:color="auto"/>
              <w:right w:val="single" w:sz="4" w:space="0" w:color="auto"/>
            </w:tcBorders>
            <w:shd w:val="clear" w:color="auto" w:fill="auto"/>
            <w:tcMar>
              <w:left w:w="45" w:type="dxa"/>
              <w:right w:w="45" w:type="dxa"/>
            </w:tcMar>
            <w:hideMark/>
          </w:tcPr>
          <w:p w14:paraId="43075F28"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Temporary Accommodation (TA)</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0CDA64D1"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xml:space="preserve">Reduction in TA numbers with a range of measures to convert TA placements into settled accommodation. </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315A4CE4"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623 </w:t>
            </w:r>
          </w:p>
        </w:tc>
      </w:tr>
      <w:tr w:rsidR="000729CF" w:rsidRPr="000729CF" w14:paraId="28DBB9FE" w14:textId="77777777" w:rsidTr="00BC26AB">
        <w:trPr>
          <w:trHeight w:val="20"/>
        </w:trPr>
        <w:tc>
          <w:tcPr>
            <w:tcW w:w="114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10AFB602"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Temporary Accommodation &amp; Allocations</w:t>
            </w:r>
          </w:p>
        </w:tc>
        <w:tc>
          <w:tcPr>
            <w:tcW w:w="1144" w:type="pct"/>
            <w:tcBorders>
              <w:top w:val="nil"/>
              <w:left w:val="nil"/>
              <w:bottom w:val="single" w:sz="4" w:space="0" w:color="auto"/>
              <w:right w:val="single" w:sz="4" w:space="0" w:color="auto"/>
            </w:tcBorders>
            <w:shd w:val="clear" w:color="auto" w:fill="auto"/>
            <w:tcMar>
              <w:left w:w="45" w:type="dxa"/>
              <w:right w:w="45" w:type="dxa"/>
            </w:tcMar>
            <w:hideMark/>
          </w:tcPr>
          <w:p w14:paraId="3FE620E6"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Temporary Accommodation (TA)</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7A88FDE7"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Reduction in TA costs, by providing accommodation in the private rented sector (PRS). Landlord incentives will be less than the current costs of TA. .</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74818BC3"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453 </w:t>
            </w:r>
          </w:p>
        </w:tc>
      </w:tr>
      <w:tr w:rsidR="000729CF" w:rsidRPr="000729CF" w14:paraId="4F6B0E20" w14:textId="77777777" w:rsidTr="00BC26AB">
        <w:trPr>
          <w:trHeight w:val="20"/>
        </w:trPr>
        <w:tc>
          <w:tcPr>
            <w:tcW w:w="114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107B0C62"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Supported Accommodation </w:t>
            </w:r>
          </w:p>
        </w:tc>
        <w:tc>
          <w:tcPr>
            <w:tcW w:w="1144" w:type="pct"/>
            <w:tcBorders>
              <w:top w:val="nil"/>
              <w:left w:val="nil"/>
              <w:bottom w:val="single" w:sz="4" w:space="0" w:color="auto"/>
              <w:right w:val="single" w:sz="4" w:space="0" w:color="auto"/>
            </w:tcBorders>
            <w:shd w:val="clear" w:color="auto" w:fill="auto"/>
            <w:tcMar>
              <w:left w:w="45" w:type="dxa"/>
              <w:right w:w="45" w:type="dxa"/>
            </w:tcMar>
            <w:hideMark/>
          </w:tcPr>
          <w:p w14:paraId="5B96CD89"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Commissioned Services for Single Homeless, including specialist services for Rough Sleepers</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4357FAFA"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Review and reduce the range of services commissioned through Supported Accommodation. See EIA 22.</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21442C7A"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521 </w:t>
            </w:r>
          </w:p>
        </w:tc>
      </w:tr>
      <w:tr w:rsidR="000729CF" w:rsidRPr="000729CF" w14:paraId="710F0EFB" w14:textId="77777777" w:rsidTr="00BC26AB">
        <w:trPr>
          <w:trHeight w:val="20"/>
        </w:trPr>
        <w:tc>
          <w:tcPr>
            <w:tcW w:w="114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5909B83E"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Housing Strategy &amp; Development </w:t>
            </w:r>
          </w:p>
        </w:tc>
        <w:tc>
          <w:tcPr>
            <w:tcW w:w="1144" w:type="pct"/>
            <w:tcBorders>
              <w:top w:val="nil"/>
              <w:left w:val="nil"/>
              <w:bottom w:val="single" w:sz="4" w:space="0" w:color="auto"/>
              <w:right w:val="single" w:sz="4" w:space="0" w:color="auto"/>
            </w:tcBorders>
            <w:shd w:val="clear" w:color="auto" w:fill="auto"/>
            <w:tcMar>
              <w:left w:w="45" w:type="dxa"/>
              <w:right w:w="45" w:type="dxa"/>
            </w:tcMar>
            <w:hideMark/>
          </w:tcPr>
          <w:p w14:paraId="64EDFB76"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xml:space="preserve">Housing Strategy &amp; Development - enabling &amp; delivering increased housing supply &amp; quality. </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18D4CF03"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Proposed savings will be part of the wider service redesign above.</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37166435"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12EB7D8B" w14:textId="77777777" w:rsidTr="00BC26AB">
        <w:trPr>
          <w:trHeight w:val="20"/>
        </w:trPr>
        <w:tc>
          <w:tcPr>
            <w:tcW w:w="114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69BEA932"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Private Sector Housing (PSH)</w:t>
            </w:r>
          </w:p>
        </w:tc>
        <w:tc>
          <w:tcPr>
            <w:tcW w:w="1144" w:type="pct"/>
            <w:tcBorders>
              <w:top w:val="nil"/>
              <w:left w:val="nil"/>
              <w:bottom w:val="single" w:sz="4" w:space="0" w:color="auto"/>
              <w:right w:val="single" w:sz="4" w:space="0" w:color="auto"/>
            </w:tcBorders>
            <w:shd w:val="clear" w:color="auto" w:fill="auto"/>
            <w:tcMar>
              <w:left w:w="45" w:type="dxa"/>
              <w:right w:w="45" w:type="dxa"/>
            </w:tcMar>
            <w:hideMark/>
          </w:tcPr>
          <w:p w14:paraId="526DC04D"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Private Sector Housing &amp; Integrated Housing Adaptations Service - improving housing quality in private rented homes, enabling accessibility &amp; supporting independent living across all tenures.</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57771B58"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Review of how staff costs are recharged to the HRA and the capital programme (incl. Disabled Facilities Grant).</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0F60E2DA"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50 </w:t>
            </w:r>
          </w:p>
        </w:tc>
      </w:tr>
      <w:tr w:rsidR="000729CF" w:rsidRPr="000729CF" w14:paraId="3D67ACCF" w14:textId="77777777" w:rsidTr="00BC26AB">
        <w:trPr>
          <w:trHeight w:val="20"/>
        </w:trPr>
        <w:tc>
          <w:tcPr>
            <w:tcW w:w="114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6F3C07BF"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Travellers</w:t>
            </w:r>
          </w:p>
        </w:tc>
        <w:tc>
          <w:tcPr>
            <w:tcW w:w="1144" w:type="pct"/>
            <w:tcBorders>
              <w:top w:val="nil"/>
              <w:left w:val="nil"/>
              <w:bottom w:val="single" w:sz="4" w:space="0" w:color="auto"/>
              <w:right w:val="single" w:sz="4" w:space="0" w:color="auto"/>
            </w:tcBorders>
            <w:shd w:val="clear" w:color="auto" w:fill="auto"/>
            <w:tcMar>
              <w:left w:w="45" w:type="dxa"/>
              <w:right w:w="45" w:type="dxa"/>
            </w:tcMar>
            <w:hideMark/>
          </w:tcPr>
          <w:p w14:paraId="6D022AD0"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Travellers</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0731544B"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Reduced security costs.</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0A7B75ED"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40 </w:t>
            </w:r>
          </w:p>
        </w:tc>
      </w:tr>
      <w:tr w:rsidR="000729CF" w:rsidRPr="000729CF" w14:paraId="10810EC8" w14:textId="77777777" w:rsidTr="00BC26AB">
        <w:trPr>
          <w:trHeight w:val="20"/>
        </w:trPr>
        <w:tc>
          <w:tcPr>
            <w:tcW w:w="2288" w:type="pct"/>
            <w:gridSpan w:val="2"/>
            <w:tcBorders>
              <w:top w:val="single" w:sz="4" w:space="0" w:color="auto"/>
              <w:left w:val="single" w:sz="4" w:space="0" w:color="auto"/>
              <w:bottom w:val="single" w:sz="4" w:space="0" w:color="auto"/>
              <w:right w:val="single" w:sz="4" w:space="0" w:color="000000"/>
            </w:tcBorders>
            <w:shd w:val="clear" w:color="000000" w:fill="A6A6A6"/>
            <w:noWrap/>
            <w:tcMar>
              <w:left w:w="45" w:type="dxa"/>
              <w:right w:w="45" w:type="dxa"/>
            </w:tcMar>
            <w:hideMark/>
          </w:tcPr>
          <w:p w14:paraId="4D5D6561"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Housing General Fund Total</w:t>
            </w:r>
          </w:p>
        </w:tc>
        <w:tc>
          <w:tcPr>
            <w:tcW w:w="2251" w:type="pct"/>
            <w:tcBorders>
              <w:top w:val="nil"/>
              <w:left w:val="nil"/>
              <w:bottom w:val="single" w:sz="4" w:space="0" w:color="auto"/>
              <w:right w:val="single" w:sz="4" w:space="0" w:color="auto"/>
            </w:tcBorders>
            <w:shd w:val="clear" w:color="000000" w:fill="A6A6A6"/>
            <w:noWrap/>
            <w:tcMar>
              <w:left w:w="45" w:type="dxa"/>
              <w:right w:w="45" w:type="dxa"/>
            </w:tcMar>
            <w:hideMark/>
          </w:tcPr>
          <w:p w14:paraId="13070E76"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w:t>
            </w:r>
          </w:p>
        </w:tc>
        <w:tc>
          <w:tcPr>
            <w:tcW w:w="461" w:type="pct"/>
            <w:tcBorders>
              <w:top w:val="nil"/>
              <w:left w:val="nil"/>
              <w:bottom w:val="single" w:sz="4" w:space="0" w:color="auto"/>
              <w:right w:val="single" w:sz="4" w:space="0" w:color="auto"/>
            </w:tcBorders>
            <w:shd w:val="clear" w:color="000000" w:fill="A6A6A6"/>
            <w:noWrap/>
            <w:tcMar>
              <w:left w:w="45" w:type="dxa"/>
              <w:right w:w="45" w:type="dxa"/>
            </w:tcMar>
            <w:hideMark/>
          </w:tcPr>
          <w:p w14:paraId="10C27EA4"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2,042 </w:t>
            </w:r>
          </w:p>
        </w:tc>
      </w:tr>
      <w:tr w:rsidR="000729CF" w:rsidRPr="000729CF" w14:paraId="314AA18A" w14:textId="77777777" w:rsidTr="00BC26AB">
        <w:trPr>
          <w:trHeight w:val="20"/>
        </w:trPr>
        <w:tc>
          <w:tcPr>
            <w:tcW w:w="4539" w:type="pct"/>
            <w:gridSpan w:val="3"/>
            <w:tcBorders>
              <w:top w:val="single" w:sz="4" w:space="0" w:color="auto"/>
              <w:left w:val="single" w:sz="4" w:space="0" w:color="auto"/>
              <w:bottom w:val="single" w:sz="4" w:space="0" w:color="auto"/>
              <w:right w:val="nil"/>
            </w:tcBorders>
            <w:shd w:val="clear" w:color="000000" w:fill="000000"/>
            <w:noWrap/>
            <w:tcMar>
              <w:left w:w="45" w:type="dxa"/>
              <w:right w:w="45" w:type="dxa"/>
            </w:tcMar>
            <w:hideMark/>
          </w:tcPr>
          <w:p w14:paraId="4220C0C9"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Libraries</w:t>
            </w:r>
          </w:p>
        </w:tc>
        <w:tc>
          <w:tcPr>
            <w:tcW w:w="461" w:type="pct"/>
            <w:tcBorders>
              <w:top w:val="nil"/>
              <w:left w:val="nil"/>
              <w:bottom w:val="single" w:sz="4" w:space="0" w:color="auto"/>
              <w:right w:val="single" w:sz="4" w:space="0" w:color="auto"/>
            </w:tcBorders>
            <w:shd w:val="clear" w:color="000000" w:fill="000000"/>
            <w:noWrap/>
            <w:tcMar>
              <w:left w:w="45" w:type="dxa"/>
              <w:right w:w="45" w:type="dxa"/>
            </w:tcMar>
            <w:hideMark/>
          </w:tcPr>
          <w:p w14:paraId="7D90A659"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 </w:t>
            </w:r>
          </w:p>
        </w:tc>
      </w:tr>
      <w:tr w:rsidR="000729CF" w:rsidRPr="000729CF" w14:paraId="250F46F3" w14:textId="77777777" w:rsidTr="00BC26AB">
        <w:trPr>
          <w:trHeight w:val="20"/>
        </w:trPr>
        <w:tc>
          <w:tcPr>
            <w:tcW w:w="114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1723F2B1"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Libraries</w:t>
            </w:r>
          </w:p>
        </w:tc>
        <w:tc>
          <w:tcPr>
            <w:tcW w:w="1144" w:type="pct"/>
            <w:tcBorders>
              <w:top w:val="nil"/>
              <w:left w:val="nil"/>
              <w:bottom w:val="single" w:sz="4" w:space="0" w:color="auto"/>
              <w:right w:val="single" w:sz="4" w:space="0" w:color="auto"/>
            </w:tcBorders>
            <w:shd w:val="clear" w:color="auto" w:fill="auto"/>
            <w:tcMar>
              <w:left w:w="45" w:type="dxa"/>
              <w:right w:w="45" w:type="dxa"/>
            </w:tcMar>
            <w:hideMark/>
          </w:tcPr>
          <w:p w14:paraId="592235AF"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Library PFI</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10725C0F"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No saving opportunity identified in 2024/25 but the PFI is closely monitored for future opportunities.</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0E426AFE"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129CB643" w14:textId="77777777" w:rsidTr="00BC26AB">
        <w:trPr>
          <w:trHeight w:val="20"/>
        </w:trPr>
        <w:tc>
          <w:tcPr>
            <w:tcW w:w="114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5621A65A"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Libraries</w:t>
            </w:r>
          </w:p>
        </w:tc>
        <w:tc>
          <w:tcPr>
            <w:tcW w:w="1144" w:type="pct"/>
            <w:tcBorders>
              <w:top w:val="nil"/>
              <w:left w:val="nil"/>
              <w:bottom w:val="single" w:sz="4" w:space="0" w:color="auto"/>
              <w:right w:val="single" w:sz="4" w:space="0" w:color="auto"/>
            </w:tcBorders>
            <w:shd w:val="clear" w:color="auto" w:fill="auto"/>
            <w:tcMar>
              <w:left w:w="45" w:type="dxa"/>
              <w:right w:w="45" w:type="dxa"/>
            </w:tcMar>
            <w:hideMark/>
          </w:tcPr>
          <w:p w14:paraId="63F7AEDF"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Staffing and operational costs</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2FFC9B99"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Library service restructure including deletion of the equivalent of approximately 3.8 FTE posts and changes of grading for some roles. Consultation and engagement will be undertaken with the aim of implementing by April 24.</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08E9F65B"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129 </w:t>
            </w:r>
          </w:p>
        </w:tc>
      </w:tr>
      <w:tr w:rsidR="000729CF" w:rsidRPr="000729CF" w14:paraId="2C54968F" w14:textId="77777777" w:rsidTr="00BC26AB">
        <w:trPr>
          <w:trHeight w:val="20"/>
        </w:trPr>
        <w:tc>
          <w:tcPr>
            <w:tcW w:w="114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2108DA78"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Libraries</w:t>
            </w:r>
          </w:p>
        </w:tc>
        <w:tc>
          <w:tcPr>
            <w:tcW w:w="1144" w:type="pct"/>
            <w:tcBorders>
              <w:top w:val="nil"/>
              <w:left w:val="nil"/>
              <w:bottom w:val="single" w:sz="4" w:space="0" w:color="auto"/>
              <w:right w:val="single" w:sz="4" w:space="0" w:color="auto"/>
            </w:tcBorders>
            <w:shd w:val="clear" w:color="auto" w:fill="auto"/>
            <w:tcMar>
              <w:left w:w="45" w:type="dxa"/>
              <w:right w:w="45" w:type="dxa"/>
            </w:tcMar>
            <w:hideMark/>
          </w:tcPr>
          <w:p w14:paraId="6BB1F4EC"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Bookstart</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250DFEF1"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Bookstart offer no longer managed by Library Service - remaining budget not required.</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24FA2B1C"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3 </w:t>
            </w:r>
          </w:p>
        </w:tc>
      </w:tr>
      <w:tr w:rsidR="000729CF" w:rsidRPr="000729CF" w14:paraId="5F512179" w14:textId="77777777" w:rsidTr="00BC26AB">
        <w:trPr>
          <w:trHeight w:val="20"/>
        </w:trPr>
        <w:tc>
          <w:tcPr>
            <w:tcW w:w="114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4420A711"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Libraries</w:t>
            </w:r>
          </w:p>
        </w:tc>
        <w:tc>
          <w:tcPr>
            <w:tcW w:w="1144" w:type="pct"/>
            <w:tcBorders>
              <w:top w:val="nil"/>
              <w:left w:val="nil"/>
              <w:bottom w:val="single" w:sz="4" w:space="0" w:color="auto"/>
              <w:right w:val="single" w:sz="4" w:space="0" w:color="auto"/>
            </w:tcBorders>
            <w:shd w:val="clear" w:color="auto" w:fill="auto"/>
            <w:tcMar>
              <w:left w:w="45" w:type="dxa"/>
              <w:right w:w="45" w:type="dxa"/>
            </w:tcMar>
            <w:hideMark/>
          </w:tcPr>
          <w:p w14:paraId="33B61D14"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Income Generation</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6C86634D"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No savings identified as the service is currently not meeting income targets in most areas. The service is working to increase income from room rental, conferencing and the Booklover retail spaces, to offset the challenge of standard library charged services reducing (e.g. DVD and CD rental, PC use and printing)</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7A9C7568"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32898E5F" w14:textId="77777777" w:rsidTr="00BC26AB">
        <w:trPr>
          <w:trHeight w:val="20"/>
        </w:trPr>
        <w:tc>
          <w:tcPr>
            <w:tcW w:w="2288" w:type="pct"/>
            <w:gridSpan w:val="2"/>
            <w:tcBorders>
              <w:top w:val="single" w:sz="4" w:space="0" w:color="auto"/>
              <w:left w:val="single" w:sz="4" w:space="0" w:color="auto"/>
              <w:bottom w:val="single" w:sz="4" w:space="0" w:color="auto"/>
              <w:right w:val="single" w:sz="4" w:space="0" w:color="auto"/>
            </w:tcBorders>
            <w:shd w:val="clear" w:color="000000" w:fill="A6A6A6"/>
            <w:noWrap/>
            <w:tcMar>
              <w:left w:w="45" w:type="dxa"/>
              <w:right w:w="45" w:type="dxa"/>
            </w:tcMar>
            <w:hideMark/>
          </w:tcPr>
          <w:p w14:paraId="467E0130"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Libraries Total</w:t>
            </w:r>
          </w:p>
        </w:tc>
        <w:tc>
          <w:tcPr>
            <w:tcW w:w="2251" w:type="pct"/>
            <w:tcBorders>
              <w:top w:val="nil"/>
              <w:left w:val="nil"/>
              <w:bottom w:val="single" w:sz="4" w:space="0" w:color="auto"/>
              <w:right w:val="single" w:sz="4" w:space="0" w:color="auto"/>
            </w:tcBorders>
            <w:shd w:val="clear" w:color="000000" w:fill="A6A6A6"/>
            <w:noWrap/>
            <w:tcMar>
              <w:left w:w="45" w:type="dxa"/>
              <w:right w:w="45" w:type="dxa"/>
            </w:tcMar>
            <w:hideMark/>
          </w:tcPr>
          <w:p w14:paraId="6B006D4B"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w:t>
            </w:r>
          </w:p>
        </w:tc>
        <w:tc>
          <w:tcPr>
            <w:tcW w:w="461" w:type="pct"/>
            <w:tcBorders>
              <w:top w:val="nil"/>
              <w:left w:val="nil"/>
              <w:bottom w:val="single" w:sz="4" w:space="0" w:color="auto"/>
              <w:right w:val="single" w:sz="4" w:space="0" w:color="auto"/>
            </w:tcBorders>
            <w:shd w:val="clear" w:color="000000" w:fill="A6A6A6"/>
            <w:noWrap/>
            <w:tcMar>
              <w:left w:w="45" w:type="dxa"/>
              <w:right w:w="45" w:type="dxa"/>
            </w:tcMar>
            <w:hideMark/>
          </w:tcPr>
          <w:p w14:paraId="0A6DD4CE"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132 </w:t>
            </w:r>
          </w:p>
        </w:tc>
      </w:tr>
      <w:tr w:rsidR="000729CF" w:rsidRPr="000729CF" w14:paraId="16A275AC" w14:textId="77777777" w:rsidTr="00BC26AB">
        <w:trPr>
          <w:trHeight w:val="20"/>
        </w:trPr>
        <w:tc>
          <w:tcPr>
            <w:tcW w:w="4539" w:type="pct"/>
            <w:gridSpan w:val="3"/>
            <w:tcBorders>
              <w:top w:val="single" w:sz="4" w:space="0" w:color="auto"/>
              <w:left w:val="single" w:sz="4" w:space="0" w:color="auto"/>
              <w:bottom w:val="single" w:sz="4" w:space="0" w:color="auto"/>
              <w:right w:val="nil"/>
            </w:tcBorders>
            <w:shd w:val="clear" w:color="000000" w:fill="000000"/>
            <w:noWrap/>
            <w:tcMar>
              <w:left w:w="45" w:type="dxa"/>
              <w:right w:w="45" w:type="dxa"/>
            </w:tcMar>
            <w:hideMark/>
          </w:tcPr>
          <w:p w14:paraId="62279A71"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Communities, Equalities &amp; Third Sector</w:t>
            </w:r>
          </w:p>
        </w:tc>
        <w:tc>
          <w:tcPr>
            <w:tcW w:w="461" w:type="pct"/>
            <w:tcBorders>
              <w:top w:val="nil"/>
              <w:left w:val="nil"/>
              <w:bottom w:val="single" w:sz="4" w:space="0" w:color="auto"/>
              <w:right w:val="single" w:sz="4" w:space="0" w:color="auto"/>
            </w:tcBorders>
            <w:shd w:val="clear" w:color="000000" w:fill="000000"/>
            <w:noWrap/>
            <w:tcMar>
              <w:left w:w="45" w:type="dxa"/>
              <w:right w:w="45" w:type="dxa"/>
            </w:tcMar>
            <w:hideMark/>
          </w:tcPr>
          <w:p w14:paraId="245CC947"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 </w:t>
            </w:r>
          </w:p>
        </w:tc>
      </w:tr>
      <w:tr w:rsidR="000729CF" w:rsidRPr="000729CF" w14:paraId="28BEA62B" w14:textId="77777777" w:rsidTr="00BC26AB">
        <w:trPr>
          <w:trHeight w:val="20"/>
        </w:trPr>
        <w:tc>
          <w:tcPr>
            <w:tcW w:w="114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718908E5"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Communities and Third Sector</w:t>
            </w:r>
          </w:p>
        </w:tc>
        <w:tc>
          <w:tcPr>
            <w:tcW w:w="1144" w:type="pct"/>
            <w:tcBorders>
              <w:top w:val="nil"/>
              <w:left w:val="nil"/>
              <w:bottom w:val="single" w:sz="4" w:space="0" w:color="auto"/>
              <w:right w:val="single" w:sz="4" w:space="0" w:color="auto"/>
            </w:tcBorders>
            <w:shd w:val="clear" w:color="auto" w:fill="auto"/>
            <w:tcMar>
              <w:left w:w="45" w:type="dxa"/>
              <w:right w:w="45" w:type="dxa"/>
            </w:tcMar>
            <w:hideMark/>
          </w:tcPr>
          <w:p w14:paraId="312728FC"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Communities and Third Sector Development Commission</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465C25B0"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No Inflation uplift to be provided and a reduction in the spend on the Third Sector Commission of 10% in 2024/25 (subject to appropriate notice being given). See EIA 23</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581E981E"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205 </w:t>
            </w:r>
          </w:p>
        </w:tc>
      </w:tr>
      <w:tr w:rsidR="000729CF" w:rsidRPr="000729CF" w14:paraId="47C77F38" w14:textId="77777777" w:rsidTr="00BC26AB">
        <w:trPr>
          <w:trHeight w:val="20"/>
        </w:trPr>
        <w:tc>
          <w:tcPr>
            <w:tcW w:w="114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34F98F59"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Communities and Third Sector</w:t>
            </w:r>
          </w:p>
        </w:tc>
        <w:tc>
          <w:tcPr>
            <w:tcW w:w="1144" w:type="pct"/>
            <w:tcBorders>
              <w:top w:val="nil"/>
              <w:left w:val="nil"/>
              <w:bottom w:val="single" w:sz="4" w:space="0" w:color="auto"/>
              <w:right w:val="single" w:sz="4" w:space="0" w:color="auto"/>
            </w:tcBorders>
            <w:shd w:val="clear" w:color="auto" w:fill="auto"/>
            <w:tcMar>
              <w:left w:w="45" w:type="dxa"/>
              <w:right w:w="45" w:type="dxa"/>
            </w:tcMar>
            <w:hideMark/>
          </w:tcPr>
          <w:p w14:paraId="64FD06FF"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Community engagement team (GF proportion)</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5A025148"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Increase funding of 1 x Sc 5 officer to 100% HRA funding.</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25F51F89"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10 </w:t>
            </w:r>
          </w:p>
        </w:tc>
      </w:tr>
      <w:tr w:rsidR="000729CF" w:rsidRPr="000729CF" w14:paraId="4CC85EFC" w14:textId="77777777" w:rsidTr="00BC26AB">
        <w:trPr>
          <w:trHeight w:val="20"/>
        </w:trPr>
        <w:tc>
          <w:tcPr>
            <w:tcW w:w="114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4B6866E0"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Communities and Third Sector</w:t>
            </w:r>
          </w:p>
        </w:tc>
        <w:tc>
          <w:tcPr>
            <w:tcW w:w="1144" w:type="pct"/>
            <w:tcBorders>
              <w:top w:val="nil"/>
              <w:left w:val="nil"/>
              <w:bottom w:val="single" w:sz="4" w:space="0" w:color="auto"/>
              <w:right w:val="single" w:sz="4" w:space="0" w:color="auto"/>
            </w:tcBorders>
            <w:shd w:val="clear" w:color="auto" w:fill="auto"/>
            <w:tcMar>
              <w:left w:w="45" w:type="dxa"/>
              <w:right w:w="45" w:type="dxa"/>
            </w:tcMar>
            <w:hideMark/>
          </w:tcPr>
          <w:p w14:paraId="7F3F8FEA"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Communities Fund</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4480FD77"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Cessation of the Communities Fund due to affordability constraints. See EIA 24.</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2388A901"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302 </w:t>
            </w:r>
          </w:p>
        </w:tc>
      </w:tr>
      <w:tr w:rsidR="000729CF" w:rsidRPr="000729CF" w14:paraId="216424EA" w14:textId="77777777" w:rsidTr="00BC26AB">
        <w:trPr>
          <w:trHeight w:val="20"/>
        </w:trPr>
        <w:tc>
          <w:tcPr>
            <w:tcW w:w="114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3DF0B84C"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Communities and Third Sector</w:t>
            </w:r>
          </w:p>
        </w:tc>
        <w:tc>
          <w:tcPr>
            <w:tcW w:w="1144" w:type="pct"/>
            <w:tcBorders>
              <w:top w:val="nil"/>
              <w:left w:val="nil"/>
              <w:bottom w:val="single" w:sz="4" w:space="0" w:color="auto"/>
              <w:right w:val="single" w:sz="4" w:space="0" w:color="auto"/>
            </w:tcBorders>
            <w:shd w:val="clear" w:color="auto" w:fill="auto"/>
            <w:tcMar>
              <w:left w:w="45" w:type="dxa"/>
              <w:right w:w="45" w:type="dxa"/>
            </w:tcMar>
            <w:hideMark/>
          </w:tcPr>
          <w:p w14:paraId="56DB11C7"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Equality &amp; Cohesion &amp; Head of Service</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2D45D4CA"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xml:space="preserve">25% recharge of Head of service to the grant funded resettlement programme. 25% reduction in initiatives budget, and voluntary reduction of the 3 FTE posts in the service to 30 hours thereby reducing staffing costs. </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6B010686"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64 </w:t>
            </w:r>
          </w:p>
        </w:tc>
      </w:tr>
      <w:tr w:rsidR="000729CF" w:rsidRPr="000729CF" w14:paraId="26C02507" w14:textId="77777777" w:rsidTr="00BC26AB">
        <w:trPr>
          <w:trHeight w:val="20"/>
        </w:trPr>
        <w:tc>
          <w:tcPr>
            <w:tcW w:w="114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19E8DD95"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Communities and Third Sector</w:t>
            </w:r>
          </w:p>
        </w:tc>
        <w:tc>
          <w:tcPr>
            <w:tcW w:w="1144" w:type="pct"/>
            <w:tcBorders>
              <w:top w:val="nil"/>
              <w:left w:val="nil"/>
              <w:bottom w:val="single" w:sz="4" w:space="0" w:color="auto"/>
              <w:right w:val="single" w:sz="4" w:space="0" w:color="auto"/>
            </w:tcBorders>
            <w:shd w:val="clear" w:color="auto" w:fill="auto"/>
            <w:tcMar>
              <w:left w:w="45" w:type="dxa"/>
              <w:right w:w="45" w:type="dxa"/>
            </w:tcMar>
            <w:hideMark/>
          </w:tcPr>
          <w:p w14:paraId="158955ED"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Healthwatch</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50B232CC"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No Budget saving available - contract at minimum price.</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5F53A3CF"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620FF98D" w14:textId="77777777" w:rsidTr="00BC26AB">
        <w:trPr>
          <w:trHeight w:val="20"/>
        </w:trPr>
        <w:tc>
          <w:tcPr>
            <w:tcW w:w="114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34593571"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Communities and Third Sector</w:t>
            </w:r>
          </w:p>
        </w:tc>
        <w:tc>
          <w:tcPr>
            <w:tcW w:w="1144" w:type="pct"/>
            <w:tcBorders>
              <w:top w:val="nil"/>
              <w:left w:val="nil"/>
              <w:bottom w:val="single" w:sz="4" w:space="0" w:color="auto"/>
              <w:right w:val="single" w:sz="4" w:space="0" w:color="auto"/>
            </w:tcBorders>
            <w:shd w:val="clear" w:color="auto" w:fill="auto"/>
            <w:tcMar>
              <w:left w:w="45" w:type="dxa"/>
              <w:right w:w="45" w:type="dxa"/>
            </w:tcMar>
            <w:hideMark/>
          </w:tcPr>
          <w:p w14:paraId="5D63F6DB"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Refugee grant programmes</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5F022259"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No saving opportunity identified as the service is wholly funded by ringfenced government grant.</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6FEC94A9"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653D670B" w14:textId="77777777" w:rsidTr="00BC26AB">
        <w:trPr>
          <w:trHeight w:val="20"/>
        </w:trPr>
        <w:tc>
          <w:tcPr>
            <w:tcW w:w="2288" w:type="pct"/>
            <w:gridSpan w:val="2"/>
            <w:tcBorders>
              <w:top w:val="single" w:sz="4" w:space="0" w:color="auto"/>
              <w:left w:val="single" w:sz="4" w:space="0" w:color="auto"/>
              <w:bottom w:val="single" w:sz="4" w:space="0" w:color="auto"/>
              <w:right w:val="single" w:sz="4" w:space="0" w:color="auto"/>
            </w:tcBorders>
            <w:shd w:val="clear" w:color="000000" w:fill="A6A6A6"/>
            <w:noWrap/>
            <w:tcMar>
              <w:left w:w="45" w:type="dxa"/>
              <w:right w:w="45" w:type="dxa"/>
            </w:tcMar>
            <w:hideMark/>
          </w:tcPr>
          <w:p w14:paraId="19E56E44"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Communities, Equalities &amp; Third Sector Total</w:t>
            </w:r>
          </w:p>
        </w:tc>
        <w:tc>
          <w:tcPr>
            <w:tcW w:w="2251" w:type="pct"/>
            <w:tcBorders>
              <w:top w:val="nil"/>
              <w:left w:val="nil"/>
              <w:bottom w:val="single" w:sz="4" w:space="0" w:color="auto"/>
              <w:right w:val="single" w:sz="4" w:space="0" w:color="auto"/>
            </w:tcBorders>
            <w:shd w:val="clear" w:color="000000" w:fill="A6A6A6"/>
            <w:noWrap/>
            <w:tcMar>
              <w:left w:w="45" w:type="dxa"/>
              <w:right w:w="45" w:type="dxa"/>
            </w:tcMar>
            <w:hideMark/>
          </w:tcPr>
          <w:p w14:paraId="11C3EA97"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w:t>
            </w:r>
          </w:p>
        </w:tc>
        <w:tc>
          <w:tcPr>
            <w:tcW w:w="461" w:type="pct"/>
            <w:tcBorders>
              <w:top w:val="nil"/>
              <w:left w:val="nil"/>
              <w:bottom w:val="single" w:sz="4" w:space="0" w:color="auto"/>
              <w:right w:val="single" w:sz="4" w:space="0" w:color="auto"/>
            </w:tcBorders>
            <w:shd w:val="clear" w:color="000000" w:fill="A6A6A6"/>
            <w:noWrap/>
            <w:tcMar>
              <w:left w:w="45" w:type="dxa"/>
              <w:right w:w="45" w:type="dxa"/>
            </w:tcMar>
            <w:hideMark/>
          </w:tcPr>
          <w:p w14:paraId="240B6C10"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581 </w:t>
            </w:r>
          </w:p>
        </w:tc>
      </w:tr>
      <w:tr w:rsidR="000729CF" w:rsidRPr="000729CF" w14:paraId="0CA5F641" w14:textId="77777777" w:rsidTr="00BC26AB">
        <w:trPr>
          <w:trHeight w:val="20"/>
        </w:trPr>
        <w:tc>
          <w:tcPr>
            <w:tcW w:w="4539" w:type="pct"/>
            <w:gridSpan w:val="3"/>
            <w:tcBorders>
              <w:top w:val="single" w:sz="4" w:space="0" w:color="auto"/>
              <w:left w:val="single" w:sz="4" w:space="0" w:color="auto"/>
              <w:bottom w:val="single" w:sz="4" w:space="0" w:color="auto"/>
              <w:right w:val="nil"/>
            </w:tcBorders>
            <w:shd w:val="clear" w:color="000000" w:fill="000000"/>
            <w:noWrap/>
            <w:tcMar>
              <w:left w:w="45" w:type="dxa"/>
              <w:right w:w="45" w:type="dxa"/>
            </w:tcMar>
            <w:hideMark/>
          </w:tcPr>
          <w:p w14:paraId="7FA70AE7"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Safer Communities</w:t>
            </w:r>
          </w:p>
        </w:tc>
        <w:tc>
          <w:tcPr>
            <w:tcW w:w="461" w:type="pct"/>
            <w:tcBorders>
              <w:top w:val="nil"/>
              <w:left w:val="nil"/>
              <w:bottom w:val="single" w:sz="4" w:space="0" w:color="auto"/>
              <w:right w:val="single" w:sz="4" w:space="0" w:color="auto"/>
            </w:tcBorders>
            <w:shd w:val="clear" w:color="000000" w:fill="000000"/>
            <w:noWrap/>
            <w:tcMar>
              <w:left w:w="45" w:type="dxa"/>
              <w:right w:w="45" w:type="dxa"/>
            </w:tcMar>
            <w:hideMark/>
          </w:tcPr>
          <w:p w14:paraId="465A2E10"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 </w:t>
            </w:r>
          </w:p>
        </w:tc>
      </w:tr>
      <w:tr w:rsidR="000729CF" w:rsidRPr="000729CF" w14:paraId="151B1BDD" w14:textId="77777777" w:rsidTr="00BC26AB">
        <w:trPr>
          <w:trHeight w:val="20"/>
        </w:trPr>
        <w:tc>
          <w:tcPr>
            <w:tcW w:w="114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55E4D84E"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Safer Communities</w:t>
            </w:r>
          </w:p>
        </w:tc>
        <w:tc>
          <w:tcPr>
            <w:tcW w:w="1144" w:type="pct"/>
            <w:tcBorders>
              <w:top w:val="nil"/>
              <w:left w:val="nil"/>
              <w:bottom w:val="single" w:sz="4" w:space="0" w:color="auto"/>
              <w:right w:val="single" w:sz="4" w:space="0" w:color="auto"/>
            </w:tcBorders>
            <w:shd w:val="clear" w:color="auto" w:fill="auto"/>
            <w:tcMar>
              <w:left w:w="45" w:type="dxa"/>
              <w:right w:w="45" w:type="dxa"/>
            </w:tcMar>
            <w:hideMark/>
          </w:tcPr>
          <w:p w14:paraId="474B071F"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Environmental Health &amp; Licensing</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245D017C"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Increased license fees as per the report to committee 12/10/23. See EIA 25.</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1F0EC7FE"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20 </w:t>
            </w:r>
          </w:p>
        </w:tc>
      </w:tr>
      <w:tr w:rsidR="000729CF" w:rsidRPr="000729CF" w14:paraId="0AA55963" w14:textId="77777777" w:rsidTr="00BC26AB">
        <w:trPr>
          <w:trHeight w:val="20"/>
        </w:trPr>
        <w:tc>
          <w:tcPr>
            <w:tcW w:w="114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4C08B6CA"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Safer Communities</w:t>
            </w:r>
          </w:p>
        </w:tc>
        <w:tc>
          <w:tcPr>
            <w:tcW w:w="1144" w:type="pct"/>
            <w:tcBorders>
              <w:top w:val="nil"/>
              <w:left w:val="nil"/>
              <w:bottom w:val="single" w:sz="4" w:space="0" w:color="auto"/>
              <w:right w:val="single" w:sz="4" w:space="0" w:color="auto"/>
            </w:tcBorders>
            <w:shd w:val="clear" w:color="auto" w:fill="auto"/>
            <w:tcMar>
              <w:left w:w="45" w:type="dxa"/>
              <w:right w:w="45" w:type="dxa"/>
            </w:tcMar>
            <w:hideMark/>
          </w:tcPr>
          <w:p w14:paraId="0559447E"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Environmental Health &amp; Licensing</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4CA558D5"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Cessation of pest control service as it does not recover costs. See EIA 26.</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7E4DD305"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38 </w:t>
            </w:r>
          </w:p>
        </w:tc>
      </w:tr>
      <w:tr w:rsidR="000729CF" w:rsidRPr="000729CF" w14:paraId="0877472F" w14:textId="77777777" w:rsidTr="00BC26AB">
        <w:trPr>
          <w:trHeight w:val="20"/>
        </w:trPr>
        <w:tc>
          <w:tcPr>
            <w:tcW w:w="114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0462D41B"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Safer Communities</w:t>
            </w:r>
          </w:p>
        </w:tc>
        <w:tc>
          <w:tcPr>
            <w:tcW w:w="1144" w:type="pct"/>
            <w:tcBorders>
              <w:top w:val="nil"/>
              <w:left w:val="nil"/>
              <w:bottom w:val="single" w:sz="4" w:space="0" w:color="auto"/>
              <w:right w:val="single" w:sz="4" w:space="0" w:color="auto"/>
            </w:tcBorders>
            <w:shd w:val="clear" w:color="auto" w:fill="auto"/>
            <w:tcMar>
              <w:left w:w="45" w:type="dxa"/>
              <w:right w:w="45" w:type="dxa"/>
            </w:tcMar>
            <w:hideMark/>
          </w:tcPr>
          <w:p w14:paraId="5E6FB891"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Prevent</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7F088BAE"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No saving opportunity identified for 2024/25</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05E39FD4"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4F63560F" w14:textId="77777777" w:rsidTr="00BC26AB">
        <w:trPr>
          <w:trHeight w:val="20"/>
        </w:trPr>
        <w:tc>
          <w:tcPr>
            <w:tcW w:w="114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62F28E45"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Safer Communities</w:t>
            </w:r>
          </w:p>
        </w:tc>
        <w:tc>
          <w:tcPr>
            <w:tcW w:w="1144" w:type="pct"/>
            <w:tcBorders>
              <w:top w:val="nil"/>
              <w:left w:val="nil"/>
              <w:bottom w:val="single" w:sz="4" w:space="0" w:color="auto"/>
              <w:right w:val="single" w:sz="4" w:space="0" w:color="auto"/>
            </w:tcBorders>
            <w:shd w:val="clear" w:color="auto" w:fill="auto"/>
            <w:tcMar>
              <w:left w:w="45" w:type="dxa"/>
              <w:right w:w="45" w:type="dxa"/>
            </w:tcMar>
            <w:hideMark/>
          </w:tcPr>
          <w:p w14:paraId="0E48CFC0"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Environmental Protection</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1A56B4B2"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No saving opportunity identified for 2024/25</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0B5ED022"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4B1D93FA" w14:textId="77777777" w:rsidTr="00BC26AB">
        <w:trPr>
          <w:trHeight w:val="20"/>
        </w:trPr>
        <w:tc>
          <w:tcPr>
            <w:tcW w:w="114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30E94FA6"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Safer Communities</w:t>
            </w:r>
          </w:p>
        </w:tc>
        <w:tc>
          <w:tcPr>
            <w:tcW w:w="1144" w:type="pct"/>
            <w:tcBorders>
              <w:top w:val="nil"/>
              <w:left w:val="nil"/>
              <w:bottom w:val="single" w:sz="4" w:space="0" w:color="auto"/>
              <w:right w:val="single" w:sz="4" w:space="0" w:color="auto"/>
            </w:tcBorders>
            <w:shd w:val="clear" w:color="auto" w:fill="auto"/>
            <w:tcMar>
              <w:left w:w="45" w:type="dxa"/>
              <w:right w:w="45" w:type="dxa"/>
            </w:tcMar>
            <w:hideMark/>
          </w:tcPr>
          <w:p w14:paraId="01A150C0"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Trading Standards </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24A38721"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No saving opportunity identified for 2024/25</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3083CB5E"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2BAA413A" w14:textId="77777777" w:rsidTr="00BC26AB">
        <w:trPr>
          <w:trHeight w:val="20"/>
        </w:trPr>
        <w:tc>
          <w:tcPr>
            <w:tcW w:w="114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48C2B034"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Safer Communities</w:t>
            </w:r>
          </w:p>
        </w:tc>
        <w:tc>
          <w:tcPr>
            <w:tcW w:w="1144" w:type="pct"/>
            <w:tcBorders>
              <w:top w:val="nil"/>
              <w:left w:val="nil"/>
              <w:bottom w:val="single" w:sz="4" w:space="0" w:color="auto"/>
              <w:right w:val="single" w:sz="4" w:space="0" w:color="auto"/>
            </w:tcBorders>
            <w:shd w:val="clear" w:color="auto" w:fill="auto"/>
            <w:tcMar>
              <w:left w:w="45" w:type="dxa"/>
              <w:right w:w="45" w:type="dxa"/>
            </w:tcMar>
            <w:hideMark/>
          </w:tcPr>
          <w:p w14:paraId="6FEE9CE5"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Civil Contingencies   </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3005ED83"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No saving opportunity identified for 2024/25</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6E7578DA"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0 </w:t>
            </w:r>
          </w:p>
        </w:tc>
      </w:tr>
      <w:tr w:rsidR="000729CF" w:rsidRPr="000729CF" w14:paraId="627B5CE2" w14:textId="77777777" w:rsidTr="00BC26AB">
        <w:trPr>
          <w:trHeight w:val="20"/>
        </w:trPr>
        <w:tc>
          <w:tcPr>
            <w:tcW w:w="114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3D9515A1"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Safer Communities</w:t>
            </w:r>
          </w:p>
        </w:tc>
        <w:tc>
          <w:tcPr>
            <w:tcW w:w="1144" w:type="pct"/>
            <w:tcBorders>
              <w:top w:val="nil"/>
              <w:left w:val="nil"/>
              <w:bottom w:val="single" w:sz="4" w:space="0" w:color="auto"/>
              <w:right w:val="single" w:sz="4" w:space="0" w:color="auto"/>
            </w:tcBorders>
            <w:shd w:val="clear" w:color="auto" w:fill="auto"/>
            <w:tcMar>
              <w:left w:w="45" w:type="dxa"/>
              <w:right w:w="45" w:type="dxa"/>
            </w:tcMar>
            <w:hideMark/>
          </w:tcPr>
          <w:p w14:paraId="1B6B86E0"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Reducing Violence against Women and Girls Commissioning. (VAWG) </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0721FA7F"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Economies through a review of commissioned services for Domestic Violence. See EIA 27.</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3D9399AD"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120 </w:t>
            </w:r>
          </w:p>
        </w:tc>
      </w:tr>
      <w:tr w:rsidR="000729CF" w:rsidRPr="000729CF" w14:paraId="28E94572" w14:textId="77777777" w:rsidTr="00BC26AB">
        <w:trPr>
          <w:trHeight w:val="20"/>
        </w:trPr>
        <w:tc>
          <w:tcPr>
            <w:tcW w:w="114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31A73E8B"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Safer Communities</w:t>
            </w:r>
          </w:p>
        </w:tc>
        <w:tc>
          <w:tcPr>
            <w:tcW w:w="1144" w:type="pct"/>
            <w:tcBorders>
              <w:top w:val="nil"/>
              <w:left w:val="nil"/>
              <w:bottom w:val="single" w:sz="4" w:space="0" w:color="auto"/>
              <w:right w:val="single" w:sz="4" w:space="0" w:color="auto"/>
            </w:tcBorders>
            <w:shd w:val="clear" w:color="auto" w:fill="auto"/>
            <w:tcMar>
              <w:left w:w="45" w:type="dxa"/>
              <w:right w:w="45" w:type="dxa"/>
            </w:tcMar>
            <w:hideMark/>
          </w:tcPr>
          <w:p w14:paraId="7817184F"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Casework Team</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290C8949"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It is proposed to stop funding of 3rd Party Reporting Centres. See EIA 28.</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60FB6F4A"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60 </w:t>
            </w:r>
          </w:p>
        </w:tc>
      </w:tr>
      <w:tr w:rsidR="000729CF" w:rsidRPr="000729CF" w14:paraId="25176139" w14:textId="77777777" w:rsidTr="00BC26AB">
        <w:trPr>
          <w:trHeight w:val="20"/>
        </w:trPr>
        <w:tc>
          <w:tcPr>
            <w:tcW w:w="2288" w:type="pct"/>
            <w:gridSpan w:val="2"/>
            <w:tcBorders>
              <w:top w:val="single" w:sz="4" w:space="0" w:color="auto"/>
              <w:left w:val="single" w:sz="4" w:space="0" w:color="auto"/>
              <w:bottom w:val="single" w:sz="4" w:space="0" w:color="auto"/>
              <w:right w:val="single" w:sz="4" w:space="0" w:color="000000"/>
            </w:tcBorders>
            <w:shd w:val="clear" w:color="000000" w:fill="A6A6A6"/>
            <w:noWrap/>
            <w:tcMar>
              <w:left w:w="45" w:type="dxa"/>
              <w:right w:w="45" w:type="dxa"/>
            </w:tcMar>
            <w:hideMark/>
          </w:tcPr>
          <w:p w14:paraId="1819FEE8"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Safer Communities Total</w:t>
            </w:r>
          </w:p>
        </w:tc>
        <w:tc>
          <w:tcPr>
            <w:tcW w:w="2251" w:type="pct"/>
            <w:tcBorders>
              <w:top w:val="nil"/>
              <w:left w:val="nil"/>
              <w:bottom w:val="single" w:sz="4" w:space="0" w:color="auto"/>
              <w:right w:val="single" w:sz="4" w:space="0" w:color="auto"/>
            </w:tcBorders>
            <w:shd w:val="clear" w:color="000000" w:fill="A6A6A6"/>
            <w:noWrap/>
            <w:tcMar>
              <w:left w:w="45" w:type="dxa"/>
              <w:right w:w="45" w:type="dxa"/>
            </w:tcMar>
            <w:hideMark/>
          </w:tcPr>
          <w:p w14:paraId="3854D19D"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w:t>
            </w:r>
          </w:p>
        </w:tc>
        <w:tc>
          <w:tcPr>
            <w:tcW w:w="461" w:type="pct"/>
            <w:tcBorders>
              <w:top w:val="nil"/>
              <w:left w:val="nil"/>
              <w:bottom w:val="single" w:sz="4" w:space="0" w:color="auto"/>
              <w:right w:val="single" w:sz="4" w:space="0" w:color="auto"/>
            </w:tcBorders>
            <w:shd w:val="clear" w:color="000000" w:fill="A6A6A6"/>
            <w:noWrap/>
            <w:tcMar>
              <w:left w:w="45" w:type="dxa"/>
              <w:right w:w="45" w:type="dxa"/>
            </w:tcMar>
            <w:hideMark/>
          </w:tcPr>
          <w:p w14:paraId="28FA4AE1"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238 </w:t>
            </w:r>
          </w:p>
        </w:tc>
      </w:tr>
      <w:tr w:rsidR="000729CF" w:rsidRPr="000729CF" w14:paraId="1C8C1920" w14:textId="77777777" w:rsidTr="00BC26AB">
        <w:trPr>
          <w:trHeight w:val="20"/>
        </w:trPr>
        <w:tc>
          <w:tcPr>
            <w:tcW w:w="2288" w:type="pct"/>
            <w:gridSpan w:val="2"/>
            <w:tcBorders>
              <w:top w:val="single" w:sz="4" w:space="0" w:color="auto"/>
              <w:left w:val="single" w:sz="4" w:space="0" w:color="auto"/>
              <w:bottom w:val="single" w:sz="4" w:space="0" w:color="auto"/>
              <w:right w:val="single" w:sz="4" w:space="0" w:color="auto"/>
            </w:tcBorders>
            <w:shd w:val="clear" w:color="000000" w:fill="A6A6A6"/>
            <w:noWrap/>
            <w:tcMar>
              <w:left w:w="45" w:type="dxa"/>
              <w:right w:w="45" w:type="dxa"/>
            </w:tcMar>
            <w:hideMark/>
          </w:tcPr>
          <w:p w14:paraId="0CF98620"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Housing, Neighbourhoods &amp; Communities Total</w:t>
            </w:r>
          </w:p>
        </w:tc>
        <w:tc>
          <w:tcPr>
            <w:tcW w:w="2251" w:type="pct"/>
            <w:tcBorders>
              <w:top w:val="nil"/>
              <w:left w:val="nil"/>
              <w:bottom w:val="single" w:sz="4" w:space="0" w:color="auto"/>
              <w:right w:val="single" w:sz="4" w:space="0" w:color="auto"/>
            </w:tcBorders>
            <w:shd w:val="clear" w:color="000000" w:fill="A6A6A6"/>
            <w:noWrap/>
            <w:tcMar>
              <w:left w:w="45" w:type="dxa"/>
              <w:right w:w="45" w:type="dxa"/>
            </w:tcMar>
            <w:hideMark/>
          </w:tcPr>
          <w:p w14:paraId="5B9B38DD"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w:t>
            </w:r>
          </w:p>
        </w:tc>
        <w:tc>
          <w:tcPr>
            <w:tcW w:w="461" w:type="pct"/>
            <w:tcBorders>
              <w:top w:val="nil"/>
              <w:left w:val="nil"/>
              <w:bottom w:val="single" w:sz="4" w:space="0" w:color="auto"/>
              <w:right w:val="single" w:sz="4" w:space="0" w:color="auto"/>
            </w:tcBorders>
            <w:shd w:val="clear" w:color="000000" w:fill="A6A6A6"/>
            <w:noWrap/>
            <w:tcMar>
              <w:left w:w="45" w:type="dxa"/>
              <w:right w:w="45" w:type="dxa"/>
            </w:tcMar>
            <w:hideMark/>
          </w:tcPr>
          <w:p w14:paraId="6CE15BD0"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xml:space="preserve">2,993 </w:t>
            </w:r>
          </w:p>
        </w:tc>
      </w:tr>
    </w:tbl>
    <w:p w14:paraId="45AC9D18" w14:textId="77777777" w:rsidR="000729CF" w:rsidRPr="000729CF" w:rsidRDefault="000729CF" w:rsidP="000729CF">
      <w:pPr>
        <w:spacing w:after="160" w:line="259" w:lineRule="auto"/>
        <w:rPr>
          <w:rFonts w:ascii="Calibri" w:eastAsia="Calibri" w:hAnsi="Calibri"/>
          <w:sz w:val="22"/>
          <w:szCs w:val="22"/>
          <w:lang w:val="en-GB"/>
        </w:rPr>
      </w:pPr>
    </w:p>
    <w:p w14:paraId="0A136B9A" w14:textId="77777777" w:rsidR="000729CF" w:rsidRPr="000729CF" w:rsidRDefault="000729CF" w:rsidP="000729CF">
      <w:pPr>
        <w:spacing w:after="160" w:line="259" w:lineRule="auto"/>
        <w:rPr>
          <w:rFonts w:ascii="Calibri" w:eastAsia="Calibri" w:hAnsi="Calibri"/>
          <w:sz w:val="22"/>
          <w:szCs w:val="22"/>
          <w:lang w:val="en-GB"/>
        </w:rPr>
      </w:pPr>
    </w:p>
    <w:p w14:paraId="2613AA2B" w14:textId="77777777" w:rsidR="000729CF" w:rsidRPr="000729CF" w:rsidRDefault="000729CF" w:rsidP="000729CF">
      <w:pPr>
        <w:spacing w:after="160" w:line="259" w:lineRule="auto"/>
        <w:rPr>
          <w:rFonts w:ascii="Calibri" w:eastAsia="Calibri" w:hAnsi="Calibri"/>
          <w:sz w:val="22"/>
          <w:szCs w:val="22"/>
          <w:lang w:val="en-GB"/>
        </w:rPr>
        <w:sectPr w:rsidR="000729CF" w:rsidRPr="000729CF" w:rsidSect="001604BB">
          <w:pgSz w:w="16838" w:h="11906" w:orient="landscape"/>
          <w:pgMar w:top="720" w:right="720" w:bottom="720" w:left="720" w:header="708" w:footer="708" w:gutter="0"/>
          <w:cols w:space="708"/>
          <w:docGrid w:linePitch="360"/>
        </w:sectPr>
      </w:pPr>
    </w:p>
    <w:p w14:paraId="5B740870" w14:textId="77777777" w:rsidR="000729CF" w:rsidRPr="000729CF" w:rsidRDefault="000729CF" w:rsidP="000729CF">
      <w:pPr>
        <w:spacing w:after="160" w:line="259" w:lineRule="auto"/>
        <w:rPr>
          <w:rFonts w:ascii="Calibri" w:eastAsia="Calibri" w:hAnsi="Calibri"/>
          <w:b/>
          <w:bCs/>
          <w:color w:val="7030A0"/>
          <w:sz w:val="44"/>
          <w:szCs w:val="44"/>
          <w:lang w:val="en-GB"/>
        </w:rPr>
      </w:pPr>
      <w:r w:rsidRPr="000729CF">
        <w:rPr>
          <w:rFonts w:ascii="Calibri" w:eastAsia="Calibri" w:hAnsi="Calibri"/>
          <w:b/>
          <w:bCs/>
          <w:color w:val="7030A0"/>
          <w:sz w:val="44"/>
          <w:szCs w:val="44"/>
          <w:lang w:val="en-GB"/>
        </w:rPr>
        <w:t>Governance, People &amp; Resources (GPR)</w:t>
      </w:r>
    </w:p>
    <w:p w14:paraId="0D74A235" w14:textId="77777777" w:rsidR="000729CF" w:rsidRPr="000729CF" w:rsidRDefault="000729CF" w:rsidP="000729CF">
      <w:pPr>
        <w:spacing w:after="160"/>
        <w:rPr>
          <w:rFonts w:ascii="Calibri" w:eastAsia="Calibri" w:hAnsi="Calibri"/>
          <w:b/>
          <w:bCs/>
          <w:color w:val="7030A0"/>
          <w:sz w:val="28"/>
          <w:szCs w:val="28"/>
          <w:lang w:val="en-GB"/>
        </w:rPr>
      </w:pPr>
      <w:r w:rsidRPr="000729CF">
        <w:rPr>
          <w:rFonts w:ascii="Calibri" w:eastAsia="Calibri" w:hAnsi="Calibri"/>
          <w:b/>
          <w:bCs/>
          <w:color w:val="7030A0"/>
          <w:sz w:val="28"/>
          <w:szCs w:val="28"/>
          <w:lang w:val="en-GB"/>
        </w:rPr>
        <w:t>Budget Strategy and Savings Proposals 2024/25</w:t>
      </w:r>
    </w:p>
    <w:p w14:paraId="4E7F85D9" w14:textId="77777777" w:rsidR="000729CF" w:rsidRPr="000729CF" w:rsidRDefault="000729CF" w:rsidP="000729CF">
      <w:pPr>
        <w:spacing w:before="120" w:after="120" w:line="276" w:lineRule="auto"/>
        <w:rPr>
          <w:rFonts w:ascii="Calibri" w:eastAsia="Calibri" w:hAnsi="Calibri" w:cs="Calibri"/>
          <w:b/>
          <w:bCs/>
          <w:sz w:val="22"/>
          <w:szCs w:val="22"/>
          <w:u w:val="single"/>
          <w:lang w:val="en-GB"/>
        </w:rPr>
      </w:pPr>
      <w:r w:rsidRPr="000729CF">
        <w:rPr>
          <w:rFonts w:ascii="Calibri" w:eastAsia="Calibri" w:hAnsi="Calibri" w:cs="Calibri"/>
          <w:b/>
          <w:bCs/>
          <w:sz w:val="22"/>
          <w:szCs w:val="22"/>
          <w:u w:val="single"/>
          <w:lang w:val="en-GB"/>
        </w:rPr>
        <w:t>Service Context</w:t>
      </w:r>
    </w:p>
    <w:p w14:paraId="0D3EB153" w14:textId="77777777" w:rsidR="000729CF" w:rsidRPr="000729CF" w:rsidRDefault="000729CF" w:rsidP="000729CF">
      <w:pPr>
        <w:spacing w:before="120"/>
        <w:rPr>
          <w:rFonts w:ascii="Calibri" w:eastAsia="Calibri" w:hAnsi="Calibri" w:cs="Calibri"/>
          <w:sz w:val="22"/>
          <w:szCs w:val="22"/>
          <w:lang w:val="en-GB"/>
        </w:rPr>
      </w:pPr>
      <w:r w:rsidRPr="000729CF">
        <w:rPr>
          <w:rFonts w:ascii="Calibri" w:eastAsia="Calibri" w:hAnsi="Calibri" w:cs="Calibri"/>
          <w:sz w:val="22"/>
          <w:szCs w:val="22"/>
          <w:lang w:val="en-GB"/>
        </w:rPr>
        <w:t>The Governance, People &amp; Resources (GPR) Directorate provides a full range of support service functions together with front line services including local land charges, welfare support, housing benefit administration, and tax collection and administration.</w:t>
      </w:r>
    </w:p>
    <w:p w14:paraId="39256850" w14:textId="77777777" w:rsidR="000729CF" w:rsidRPr="000729CF" w:rsidRDefault="000729CF" w:rsidP="000729CF">
      <w:pPr>
        <w:spacing w:before="120"/>
        <w:rPr>
          <w:rFonts w:ascii="Calibri" w:eastAsia="Calibri" w:hAnsi="Calibri" w:cs="Calibri"/>
          <w:sz w:val="22"/>
          <w:szCs w:val="22"/>
          <w:lang w:val="en-GB"/>
        </w:rPr>
      </w:pPr>
      <w:r w:rsidRPr="000729CF">
        <w:rPr>
          <w:rFonts w:ascii="Calibri" w:eastAsia="Calibri" w:hAnsi="Calibri" w:cs="Calibri"/>
          <w:sz w:val="22"/>
          <w:szCs w:val="22"/>
          <w:lang w:val="en-GB"/>
        </w:rPr>
        <w:t>The GPR Directorate’s vision is to enable a well-run council and its mission is to: ‘</w:t>
      </w:r>
      <w:r w:rsidRPr="000729CF">
        <w:rPr>
          <w:rFonts w:ascii="Calibri" w:eastAsia="Calibri" w:hAnsi="Calibri" w:cs="Calibri"/>
          <w:b/>
          <w:bCs/>
          <w:sz w:val="22"/>
          <w:szCs w:val="22"/>
          <w:lang w:val="en-GB"/>
        </w:rPr>
        <w:t>Provide trusted services to all customers, councillors and staff to enable the council to deliver strategic and operational priorities through optimising resources and ensuring robust governance.</w:t>
      </w:r>
      <w:r w:rsidRPr="000729CF">
        <w:rPr>
          <w:rFonts w:ascii="Calibri" w:eastAsia="Calibri" w:hAnsi="Calibri" w:cs="Calibri"/>
          <w:sz w:val="22"/>
          <w:szCs w:val="22"/>
          <w:lang w:val="en-GB"/>
        </w:rPr>
        <w:t>’</w:t>
      </w:r>
    </w:p>
    <w:p w14:paraId="6B1F9083" w14:textId="77777777" w:rsidR="000729CF" w:rsidRPr="000729CF" w:rsidRDefault="000729CF" w:rsidP="000729CF">
      <w:pPr>
        <w:spacing w:before="120"/>
        <w:rPr>
          <w:rFonts w:ascii="Calibri" w:eastAsia="Calibri" w:hAnsi="Calibri" w:cs="Calibri"/>
          <w:sz w:val="22"/>
          <w:szCs w:val="22"/>
          <w:lang w:val="en-GB"/>
        </w:rPr>
      </w:pPr>
      <w:r w:rsidRPr="000729CF">
        <w:rPr>
          <w:rFonts w:ascii="Calibri" w:eastAsia="Calibri" w:hAnsi="Calibri" w:cs="Calibri"/>
          <w:sz w:val="22"/>
          <w:szCs w:val="22"/>
          <w:lang w:val="en-GB"/>
        </w:rPr>
        <w:t>Support Service functions operate at both a service level, providing essential business support to front-line services, and at a corporate level supporting the council to meet statutory obligations, maintain strong governance and stewardship, and develop effective strategic plans and tactics. This means operating as a ‘Strategic Business Partner’ to the council and its service directorates and supporting them through complex changes by being involved in the development of options and their evaluation, through to decision-making and supporting implementation.</w:t>
      </w:r>
    </w:p>
    <w:p w14:paraId="34F7EE6C" w14:textId="77777777" w:rsidR="000729CF" w:rsidRPr="000729CF" w:rsidRDefault="000729CF" w:rsidP="000729CF">
      <w:pPr>
        <w:spacing w:before="120" w:after="120"/>
        <w:rPr>
          <w:rFonts w:ascii="Calibri" w:eastAsia="Calibri" w:hAnsi="Calibri" w:cs="Calibri"/>
          <w:sz w:val="22"/>
          <w:szCs w:val="22"/>
          <w:lang w:val="en-GB"/>
        </w:rPr>
      </w:pPr>
      <w:r w:rsidRPr="000729CF">
        <w:rPr>
          <w:rFonts w:ascii="Calibri" w:eastAsia="Calibri" w:hAnsi="Calibri" w:cs="Calibri"/>
          <w:sz w:val="22"/>
          <w:szCs w:val="22"/>
          <w:lang w:val="en-GB"/>
        </w:rPr>
        <w:t>Key metrics for the Governance, People &amp; Resources Directorate are as follows:</w:t>
      </w:r>
    </w:p>
    <w:p w14:paraId="26827064" w14:textId="77777777" w:rsidR="000729CF" w:rsidRPr="000729CF" w:rsidRDefault="000729CF" w:rsidP="000729CF">
      <w:pPr>
        <w:spacing w:before="120" w:after="120"/>
        <w:rPr>
          <w:rFonts w:ascii="Calibri" w:eastAsia="Calibri" w:hAnsi="Calibri" w:cs="Calibri"/>
          <w:b/>
          <w:bCs/>
          <w:sz w:val="22"/>
          <w:szCs w:val="22"/>
          <w:lang w:val="en-GB"/>
        </w:rPr>
      </w:pPr>
      <w:r w:rsidRPr="000729CF">
        <w:rPr>
          <w:rFonts w:ascii="Calibri" w:eastAsia="Calibri" w:hAnsi="Calibri" w:cs="Calibri"/>
          <w:b/>
          <w:bCs/>
          <w:sz w:val="22"/>
          <w:szCs w:val="22"/>
          <w:lang w:val="en-GB"/>
        </w:rPr>
        <w:t xml:space="preserve">Corporate Communications and Public Relations </w:t>
      </w:r>
    </w:p>
    <w:p w14:paraId="751E66EB" w14:textId="77777777" w:rsidR="000729CF" w:rsidRPr="000729CF" w:rsidRDefault="000729CF" w:rsidP="00CE70A3">
      <w:pPr>
        <w:numPr>
          <w:ilvl w:val="0"/>
          <w:numId w:val="36"/>
        </w:numPr>
        <w:spacing w:after="160" w:line="259" w:lineRule="auto"/>
        <w:ind w:left="709"/>
        <w:contextualSpacing/>
        <w:rPr>
          <w:rFonts w:ascii="Calibri" w:eastAsia="Calibri" w:hAnsi="Calibri" w:cs="Calibri"/>
          <w:sz w:val="22"/>
          <w:szCs w:val="22"/>
          <w:lang w:val="en-GB"/>
        </w:rPr>
      </w:pPr>
      <w:r w:rsidRPr="000729CF">
        <w:rPr>
          <w:rFonts w:ascii="Calibri" w:eastAsia="Calibri" w:hAnsi="Calibri" w:cs="Calibri"/>
          <w:sz w:val="22"/>
          <w:szCs w:val="22"/>
          <w:lang w:val="en-GB"/>
        </w:rPr>
        <w:t xml:space="preserve">A public and internal service that communicates information and other content about the council, it’s decisions, policies, priorities and services, to enable the council’s role as a civic leader, public service provider and employer.  </w:t>
      </w:r>
    </w:p>
    <w:p w14:paraId="2A5F4739" w14:textId="77777777" w:rsidR="000729CF" w:rsidRPr="000729CF" w:rsidRDefault="000729CF" w:rsidP="00CE70A3">
      <w:pPr>
        <w:numPr>
          <w:ilvl w:val="0"/>
          <w:numId w:val="36"/>
        </w:numPr>
        <w:spacing w:after="160" w:line="259" w:lineRule="auto"/>
        <w:ind w:left="709"/>
        <w:contextualSpacing/>
        <w:rPr>
          <w:rFonts w:ascii="Calibri" w:eastAsia="Calibri" w:hAnsi="Calibri" w:cs="Calibri"/>
          <w:sz w:val="22"/>
          <w:szCs w:val="22"/>
          <w:lang w:val="en-GB"/>
        </w:rPr>
      </w:pPr>
      <w:r w:rsidRPr="000729CF">
        <w:rPr>
          <w:rFonts w:ascii="Calibri" w:eastAsia="Calibri" w:hAnsi="Calibri" w:cs="Calibri"/>
          <w:sz w:val="22"/>
          <w:szCs w:val="22"/>
          <w:lang w:val="en-GB"/>
        </w:rPr>
        <w:t xml:space="preserve">Provides a statutory “warning and informing” crisis communications service, working in partnership with emergency services to keep staff, residents and communities prepared and supported before, during and after major incidents and build greater community resilience. </w:t>
      </w:r>
    </w:p>
    <w:p w14:paraId="243C274E" w14:textId="77777777" w:rsidR="000729CF" w:rsidRPr="000729CF" w:rsidRDefault="000729CF" w:rsidP="00CE70A3">
      <w:pPr>
        <w:numPr>
          <w:ilvl w:val="0"/>
          <w:numId w:val="36"/>
        </w:numPr>
        <w:spacing w:after="160" w:line="259" w:lineRule="auto"/>
        <w:ind w:left="709"/>
        <w:contextualSpacing/>
        <w:rPr>
          <w:rFonts w:ascii="Calibri" w:eastAsia="Calibri" w:hAnsi="Calibri" w:cs="Calibri"/>
          <w:sz w:val="22"/>
          <w:szCs w:val="22"/>
          <w:lang w:val="en-GB"/>
        </w:rPr>
      </w:pPr>
      <w:r w:rsidRPr="000729CF">
        <w:rPr>
          <w:rFonts w:ascii="Calibri" w:eastAsia="Calibri" w:hAnsi="Calibri" w:cs="Calibri"/>
          <w:sz w:val="22"/>
          <w:szCs w:val="22"/>
          <w:lang w:val="en-GB"/>
        </w:rPr>
        <w:t>Manages the council’s communication channels with communities and supports delivery of council policy and services through informing, marketing, campaigning, consulting, brand management, media relations and reputation management. Internal communications and engagement that drives organisational change, supports the leadership to reach and communicate to staff, builds employee engagement with council priorities, provides staff with the news and information they need and promotes strategic initiatives to deliver the council’s People Promise including recruitment and retention activities.</w:t>
      </w:r>
    </w:p>
    <w:p w14:paraId="32BCADC2" w14:textId="77777777" w:rsidR="000729CF" w:rsidRPr="000729CF" w:rsidRDefault="000729CF" w:rsidP="00CE70A3">
      <w:pPr>
        <w:numPr>
          <w:ilvl w:val="0"/>
          <w:numId w:val="36"/>
        </w:numPr>
        <w:spacing w:after="160" w:line="259" w:lineRule="auto"/>
        <w:ind w:left="709"/>
        <w:contextualSpacing/>
        <w:rPr>
          <w:rFonts w:ascii="Calibri" w:eastAsia="Calibri" w:hAnsi="Calibri" w:cs="Calibri"/>
          <w:sz w:val="22"/>
          <w:szCs w:val="22"/>
          <w:lang w:val="en-GB"/>
        </w:rPr>
      </w:pPr>
      <w:r w:rsidRPr="000729CF">
        <w:rPr>
          <w:rFonts w:ascii="Calibri" w:eastAsia="Calibri" w:hAnsi="Calibri" w:cs="Calibri"/>
          <w:sz w:val="22"/>
          <w:szCs w:val="22"/>
          <w:lang w:val="en-GB"/>
        </w:rPr>
        <w:t>Graphic design and branding to manage the council’s identity so that services are clearly recognized, creating powerful, visual, branded content that stands out and reaches audiences across a range of media.</w:t>
      </w:r>
    </w:p>
    <w:p w14:paraId="0B62BDD4" w14:textId="77777777" w:rsidR="000729CF" w:rsidRPr="000729CF" w:rsidRDefault="000729CF" w:rsidP="00CE70A3">
      <w:pPr>
        <w:numPr>
          <w:ilvl w:val="0"/>
          <w:numId w:val="36"/>
        </w:numPr>
        <w:spacing w:after="160" w:line="259" w:lineRule="auto"/>
        <w:ind w:left="709"/>
        <w:contextualSpacing/>
        <w:rPr>
          <w:rFonts w:ascii="Calibri" w:eastAsia="Calibri" w:hAnsi="Calibri" w:cs="Calibri"/>
          <w:sz w:val="22"/>
          <w:szCs w:val="22"/>
          <w:lang w:val="en-GB"/>
        </w:rPr>
      </w:pPr>
      <w:r w:rsidRPr="000729CF">
        <w:rPr>
          <w:rFonts w:ascii="Calibri" w:eastAsia="Calibri" w:hAnsi="Calibri" w:cs="Calibri"/>
          <w:sz w:val="22"/>
          <w:szCs w:val="22"/>
          <w:lang w:val="en-GB"/>
        </w:rPr>
        <w:t>Digital content design to publish essential information across our digital platforms, enable customer access to digital services on our website and intranet, ensure compliance with digital accessibility legislation and support council wide and service digital transformation</w:t>
      </w:r>
    </w:p>
    <w:p w14:paraId="66191307" w14:textId="77777777" w:rsidR="000729CF" w:rsidRPr="000729CF" w:rsidRDefault="000729CF" w:rsidP="00CE70A3">
      <w:pPr>
        <w:numPr>
          <w:ilvl w:val="0"/>
          <w:numId w:val="36"/>
        </w:numPr>
        <w:spacing w:after="160" w:line="259" w:lineRule="auto"/>
        <w:ind w:left="709"/>
        <w:contextualSpacing/>
        <w:rPr>
          <w:rFonts w:ascii="Calibri" w:eastAsia="Calibri" w:hAnsi="Calibri" w:cs="Calibri"/>
          <w:sz w:val="22"/>
          <w:szCs w:val="22"/>
          <w:lang w:val="en-GB"/>
        </w:rPr>
      </w:pPr>
      <w:r w:rsidRPr="000729CF">
        <w:rPr>
          <w:rFonts w:ascii="Calibri" w:eastAsia="Calibri" w:hAnsi="Calibri" w:cs="Calibri"/>
          <w:sz w:val="22"/>
          <w:szCs w:val="22"/>
          <w:lang w:val="en-GB"/>
        </w:rPr>
        <w:t>Consultation, engagement and public affairs. Designing interactive and creative processes to gather an understanding of peoples’ needs and views and building advocacy and influence.</w:t>
      </w:r>
    </w:p>
    <w:p w14:paraId="6AFBE967" w14:textId="77777777" w:rsidR="000729CF" w:rsidRPr="000729CF" w:rsidRDefault="000729CF" w:rsidP="000729CF">
      <w:pPr>
        <w:spacing w:before="120" w:after="120"/>
        <w:rPr>
          <w:rFonts w:ascii="Calibri" w:eastAsia="Calibri" w:hAnsi="Calibri" w:cs="Calibri"/>
          <w:b/>
          <w:bCs/>
          <w:sz w:val="22"/>
          <w:szCs w:val="22"/>
          <w:lang w:val="en-GB"/>
        </w:rPr>
      </w:pPr>
      <w:r w:rsidRPr="000729CF">
        <w:rPr>
          <w:rFonts w:ascii="Calibri" w:eastAsia="Calibri" w:hAnsi="Calibri" w:cs="Calibri"/>
          <w:b/>
          <w:bCs/>
          <w:sz w:val="22"/>
          <w:szCs w:val="22"/>
          <w:lang w:val="en-GB"/>
        </w:rPr>
        <w:t>Democratic Services, the Civic Office and Electoral Services</w:t>
      </w:r>
    </w:p>
    <w:p w14:paraId="5D3609E7" w14:textId="77777777" w:rsidR="000729CF" w:rsidRPr="000729CF" w:rsidRDefault="000729CF" w:rsidP="00CE70A3">
      <w:pPr>
        <w:numPr>
          <w:ilvl w:val="0"/>
          <w:numId w:val="36"/>
        </w:numPr>
        <w:spacing w:after="160" w:line="259" w:lineRule="auto"/>
        <w:ind w:left="709"/>
        <w:contextualSpacing/>
        <w:rPr>
          <w:rFonts w:ascii="Calibri" w:eastAsia="Calibri" w:hAnsi="Calibri" w:cs="Calibri"/>
          <w:sz w:val="22"/>
          <w:szCs w:val="22"/>
          <w:lang w:val="en-GB"/>
        </w:rPr>
      </w:pPr>
      <w:r w:rsidRPr="000729CF">
        <w:rPr>
          <w:rFonts w:ascii="Calibri" w:eastAsia="Calibri" w:hAnsi="Calibri" w:cs="Calibri"/>
          <w:sz w:val="22"/>
          <w:szCs w:val="22"/>
          <w:lang w:val="en-GB"/>
        </w:rPr>
        <w:t>Co-ordination and administration of a transparent, legally compliant, democratic decision-making process.</w:t>
      </w:r>
    </w:p>
    <w:p w14:paraId="7D26DBEC" w14:textId="77777777" w:rsidR="000729CF" w:rsidRPr="000729CF" w:rsidRDefault="000729CF" w:rsidP="00CE70A3">
      <w:pPr>
        <w:numPr>
          <w:ilvl w:val="0"/>
          <w:numId w:val="36"/>
        </w:numPr>
        <w:spacing w:after="160" w:line="259" w:lineRule="auto"/>
        <w:ind w:left="709"/>
        <w:contextualSpacing/>
        <w:rPr>
          <w:rFonts w:ascii="Calibri" w:eastAsia="Calibri" w:hAnsi="Calibri" w:cs="Calibri"/>
          <w:sz w:val="22"/>
          <w:szCs w:val="22"/>
          <w:lang w:val="en-GB"/>
        </w:rPr>
      </w:pPr>
      <w:r w:rsidRPr="000729CF">
        <w:rPr>
          <w:rFonts w:ascii="Calibri" w:eastAsia="Calibri" w:hAnsi="Calibri" w:cs="Calibri"/>
          <w:sz w:val="22"/>
          <w:szCs w:val="22"/>
          <w:lang w:val="en-GB"/>
        </w:rPr>
        <w:t>The co-ordination of support to Members including training &amp; development.</w:t>
      </w:r>
    </w:p>
    <w:p w14:paraId="56CFFA59" w14:textId="77777777" w:rsidR="000729CF" w:rsidRPr="000729CF" w:rsidRDefault="000729CF" w:rsidP="00CE70A3">
      <w:pPr>
        <w:numPr>
          <w:ilvl w:val="0"/>
          <w:numId w:val="36"/>
        </w:numPr>
        <w:spacing w:after="160" w:line="259" w:lineRule="auto"/>
        <w:ind w:left="709"/>
        <w:contextualSpacing/>
        <w:rPr>
          <w:rFonts w:ascii="Calibri" w:eastAsia="Calibri" w:hAnsi="Calibri" w:cs="Calibri"/>
          <w:sz w:val="22"/>
          <w:szCs w:val="22"/>
          <w:lang w:val="en-GB"/>
        </w:rPr>
      </w:pPr>
      <w:r w:rsidRPr="000729CF">
        <w:rPr>
          <w:rFonts w:ascii="Calibri" w:eastAsia="Calibri" w:hAnsi="Calibri" w:cs="Calibri"/>
          <w:sz w:val="22"/>
          <w:szCs w:val="22"/>
          <w:lang w:val="en-GB"/>
        </w:rPr>
        <w:t>Administering of School Appeals, which can range from 300-500+ in a year.</w:t>
      </w:r>
    </w:p>
    <w:p w14:paraId="03C40DDD" w14:textId="77777777" w:rsidR="000729CF" w:rsidRPr="000729CF" w:rsidRDefault="000729CF" w:rsidP="00CE70A3">
      <w:pPr>
        <w:numPr>
          <w:ilvl w:val="0"/>
          <w:numId w:val="36"/>
        </w:numPr>
        <w:spacing w:after="160" w:line="259" w:lineRule="auto"/>
        <w:ind w:left="709"/>
        <w:contextualSpacing/>
        <w:rPr>
          <w:rFonts w:ascii="Calibri" w:eastAsia="Calibri" w:hAnsi="Calibri" w:cs="Calibri"/>
          <w:sz w:val="22"/>
          <w:szCs w:val="22"/>
          <w:lang w:val="en-GB"/>
        </w:rPr>
      </w:pPr>
      <w:r w:rsidRPr="000729CF">
        <w:rPr>
          <w:rFonts w:ascii="Calibri" w:eastAsia="Calibri" w:hAnsi="Calibri" w:cs="Calibri"/>
          <w:sz w:val="22"/>
          <w:szCs w:val="22"/>
          <w:lang w:val="en-GB"/>
        </w:rPr>
        <w:t>The Members’ Allowances Scheme and support to the Independent Remuneration Panel.</w:t>
      </w:r>
    </w:p>
    <w:p w14:paraId="13548F7C" w14:textId="77777777" w:rsidR="000729CF" w:rsidRPr="000729CF" w:rsidRDefault="000729CF" w:rsidP="00CE70A3">
      <w:pPr>
        <w:numPr>
          <w:ilvl w:val="0"/>
          <w:numId w:val="36"/>
        </w:numPr>
        <w:spacing w:after="160" w:line="259" w:lineRule="auto"/>
        <w:ind w:left="709"/>
        <w:contextualSpacing/>
        <w:rPr>
          <w:rFonts w:ascii="Calibri" w:eastAsia="Calibri" w:hAnsi="Calibri" w:cs="Calibri"/>
          <w:sz w:val="22"/>
          <w:szCs w:val="22"/>
          <w:lang w:val="en-GB"/>
        </w:rPr>
      </w:pPr>
      <w:r w:rsidRPr="000729CF">
        <w:rPr>
          <w:rFonts w:ascii="Calibri" w:eastAsia="Calibri" w:hAnsi="Calibri" w:cs="Calibri"/>
          <w:sz w:val="22"/>
          <w:szCs w:val="22"/>
          <w:lang w:val="en-GB"/>
        </w:rPr>
        <w:t>The Civic Office co-ordinates support to the Mayor, ensuring that all Civic engagements are managed effectively.</w:t>
      </w:r>
    </w:p>
    <w:p w14:paraId="2E11445E" w14:textId="77777777" w:rsidR="000729CF" w:rsidRPr="000729CF" w:rsidRDefault="000729CF" w:rsidP="00CE70A3">
      <w:pPr>
        <w:numPr>
          <w:ilvl w:val="0"/>
          <w:numId w:val="36"/>
        </w:numPr>
        <w:spacing w:after="160" w:line="259" w:lineRule="auto"/>
        <w:ind w:left="709"/>
        <w:contextualSpacing/>
        <w:rPr>
          <w:rFonts w:ascii="Calibri" w:eastAsia="Calibri" w:hAnsi="Calibri" w:cs="Calibri"/>
          <w:sz w:val="22"/>
          <w:szCs w:val="22"/>
          <w:lang w:val="en-GB"/>
        </w:rPr>
      </w:pPr>
      <w:r w:rsidRPr="000729CF">
        <w:rPr>
          <w:rFonts w:ascii="Calibri" w:eastAsia="Calibri" w:hAnsi="Calibri" w:cs="Calibri"/>
          <w:sz w:val="22"/>
          <w:szCs w:val="22"/>
          <w:lang w:val="en-GB"/>
        </w:rPr>
        <w:t>Electoral Services provide end-to-end management of local elections with a primary aim of delivering safe and compliant elections &amp; referendums.</w:t>
      </w:r>
    </w:p>
    <w:p w14:paraId="67788617" w14:textId="77777777" w:rsidR="000729CF" w:rsidRPr="000729CF" w:rsidRDefault="000729CF" w:rsidP="000729CF">
      <w:pPr>
        <w:spacing w:before="120" w:after="120"/>
        <w:rPr>
          <w:rFonts w:ascii="Calibri" w:eastAsia="Calibri" w:hAnsi="Calibri" w:cs="Calibri"/>
          <w:b/>
          <w:bCs/>
          <w:sz w:val="22"/>
          <w:szCs w:val="22"/>
          <w:lang w:val="en-GB"/>
        </w:rPr>
      </w:pPr>
      <w:r w:rsidRPr="000729CF">
        <w:rPr>
          <w:rFonts w:ascii="Calibri" w:eastAsia="Calibri" w:hAnsi="Calibri" w:cs="Calibri"/>
          <w:b/>
          <w:bCs/>
          <w:sz w:val="22"/>
          <w:szCs w:val="22"/>
          <w:lang w:val="en-GB"/>
        </w:rPr>
        <w:t>Finance and Internal Audit &amp; Counter Fraud</w:t>
      </w:r>
    </w:p>
    <w:p w14:paraId="15BD0630" w14:textId="77777777" w:rsidR="000729CF" w:rsidRPr="000729CF" w:rsidRDefault="000729CF" w:rsidP="00CE70A3">
      <w:pPr>
        <w:numPr>
          <w:ilvl w:val="0"/>
          <w:numId w:val="37"/>
        </w:numPr>
        <w:spacing w:after="160" w:line="259"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Finance, including the statutory Section 151 Chief Financial Officer role, oversees the delivery of the council’s Medium Term Financial Strategy (MTFS) and annual budget setting process and delivers the Targeted Budget Management (TBM) process in order to monitor budgets on an ongoing basis. It also produces the annual Financial Statements and supports the external audit process.</w:t>
      </w:r>
    </w:p>
    <w:p w14:paraId="0FA30D26" w14:textId="77777777" w:rsidR="000729CF" w:rsidRPr="000729CF" w:rsidRDefault="000729CF" w:rsidP="00CE70A3">
      <w:pPr>
        <w:numPr>
          <w:ilvl w:val="0"/>
          <w:numId w:val="37"/>
        </w:numPr>
        <w:spacing w:after="160" w:line="259"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Finance supports the 5 service directorates including over 250 budget managers, as well as 66 schools, and provides Treasury Management for over £200m cash balances and associated investments and over £0.5 billion money market transactions, and annually procures and negotiates over £1.8 billion insurance cover through premiums (£1.6m p.a.).</w:t>
      </w:r>
    </w:p>
    <w:p w14:paraId="7D3C16A2" w14:textId="77777777" w:rsidR="000729CF" w:rsidRPr="000729CF" w:rsidRDefault="000729CF" w:rsidP="00CE70A3">
      <w:pPr>
        <w:numPr>
          <w:ilvl w:val="0"/>
          <w:numId w:val="37"/>
        </w:numPr>
        <w:spacing w:after="160" w:line="259"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Internal Audit &amp; Counter Fraud (an Orbis Partnership service) provides over 1,000 audit days for circa 50 internal audit reviews providing assurance to management and the authority. It is a highly integrated Orbis function that includes specialist support in areas of counter fraud and IT audit.</w:t>
      </w:r>
    </w:p>
    <w:p w14:paraId="053D4F06" w14:textId="77777777" w:rsidR="000729CF" w:rsidRPr="000729CF" w:rsidRDefault="000729CF" w:rsidP="000729CF">
      <w:pPr>
        <w:spacing w:before="120" w:after="120"/>
        <w:rPr>
          <w:rFonts w:ascii="Calibri" w:eastAsia="Calibri" w:hAnsi="Calibri" w:cs="Calibri"/>
          <w:b/>
          <w:bCs/>
          <w:sz w:val="22"/>
          <w:szCs w:val="22"/>
          <w:lang w:val="en-GB"/>
        </w:rPr>
      </w:pPr>
      <w:r w:rsidRPr="000729CF">
        <w:rPr>
          <w:rFonts w:ascii="Calibri" w:eastAsia="Calibri" w:hAnsi="Calibri" w:cs="Calibri"/>
          <w:b/>
          <w:bCs/>
          <w:sz w:val="22"/>
          <w:szCs w:val="22"/>
          <w:lang w:val="en-GB"/>
        </w:rPr>
        <w:t>Human Resources &amp; Organisational Development (HROD)</w:t>
      </w:r>
    </w:p>
    <w:p w14:paraId="1C0D4A8F" w14:textId="77777777" w:rsidR="000729CF" w:rsidRPr="000729CF" w:rsidRDefault="000729CF" w:rsidP="00CE70A3">
      <w:pPr>
        <w:numPr>
          <w:ilvl w:val="0"/>
          <w:numId w:val="37"/>
        </w:numPr>
        <w:spacing w:before="20" w:after="20" w:line="259" w:lineRule="auto"/>
        <w:ind w:left="714" w:hanging="357"/>
        <w:rPr>
          <w:rFonts w:ascii="Calibri" w:hAnsi="Calibri" w:cs="Calibri"/>
          <w:sz w:val="22"/>
          <w:szCs w:val="22"/>
          <w:lang w:val="en-GB" w:eastAsia="en-GB"/>
        </w:rPr>
      </w:pPr>
      <w:r w:rsidRPr="000729CF">
        <w:rPr>
          <w:rFonts w:ascii="Calibri" w:hAnsi="Calibri" w:cs="Calibri"/>
          <w:sz w:val="22"/>
          <w:szCs w:val="22"/>
          <w:lang w:val="en-GB" w:eastAsia="en-GB"/>
        </w:rPr>
        <w:t xml:space="preserve">HROD provides services to around 9,000 staff across the council and in schools, including a comprehensive advisory, development and policy service to 750 people managers and 66 schools in the City; </w:t>
      </w:r>
    </w:p>
    <w:p w14:paraId="44F21E53" w14:textId="77777777" w:rsidR="000729CF" w:rsidRPr="000729CF" w:rsidRDefault="000729CF" w:rsidP="00CE70A3">
      <w:pPr>
        <w:numPr>
          <w:ilvl w:val="0"/>
          <w:numId w:val="37"/>
        </w:numPr>
        <w:spacing w:before="20" w:after="20" w:line="259" w:lineRule="auto"/>
        <w:ind w:left="714" w:hanging="357"/>
        <w:rPr>
          <w:rFonts w:ascii="Calibri" w:hAnsi="Calibri" w:cs="Calibri"/>
          <w:sz w:val="22"/>
          <w:szCs w:val="22"/>
          <w:lang w:val="en-GB" w:eastAsia="en-GB"/>
        </w:rPr>
      </w:pPr>
      <w:r w:rsidRPr="000729CF">
        <w:rPr>
          <w:rFonts w:ascii="Calibri" w:hAnsi="Calibri" w:cs="Calibri"/>
          <w:sz w:val="22"/>
          <w:szCs w:val="22"/>
          <w:lang w:val="en-GB" w:eastAsia="en-GB"/>
        </w:rPr>
        <w:t>Delivery of ‘Our People Promise’ which includes the council’s development offer for staff, and aims to help improve the council’s performance;</w:t>
      </w:r>
    </w:p>
    <w:p w14:paraId="17822FD8" w14:textId="77777777" w:rsidR="000729CF" w:rsidRPr="000729CF" w:rsidRDefault="000729CF" w:rsidP="00CE70A3">
      <w:pPr>
        <w:numPr>
          <w:ilvl w:val="0"/>
          <w:numId w:val="37"/>
        </w:numPr>
        <w:spacing w:before="20" w:after="20" w:line="259" w:lineRule="auto"/>
        <w:ind w:left="714" w:hanging="357"/>
        <w:rPr>
          <w:rFonts w:ascii="Calibri" w:hAnsi="Calibri" w:cs="Calibri"/>
          <w:sz w:val="22"/>
          <w:szCs w:val="22"/>
          <w:lang w:val="en-GB" w:eastAsia="en-GB"/>
        </w:rPr>
      </w:pPr>
      <w:r w:rsidRPr="000729CF">
        <w:rPr>
          <w:rFonts w:ascii="Calibri" w:hAnsi="Calibri" w:cs="Calibri"/>
          <w:sz w:val="22"/>
          <w:szCs w:val="22"/>
          <w:lang w:val="en-GB" w:eastAsia="en-GB"/>
        </w:rPr>
        <w:t>Health &amp; Safety advice and support for all council services and schools;</w:t>
      </w:r>
    </w:p>
    <w:p w14:paraId="78723533" w14:textId="77777777" w:rsidR="000729CF" w:rsidRPr="000729CF" w:rsidRDefault="000729CF" w:rsidP="00CE70A3">
      <w:pPr>
        <w:numPr>
          <w:ilvl w:val="0"/>
          <w:numId w:val="37"/>
        </w:numPr>
        <w:spacing w:before="20" w:after="20" w:line="259" w:lineRule="auto"/>
        <w:ind w:left="714" w:hanging="357"/>
        <w:rPr>
          <w:rFonts w:ascii="Calibri" w:hAnsi="Calibri" w:cs="Calibri"/>
          <w:sz w:val="22"/>
          <w:szCs w:val="22"/>
          <w:lang w:val="en-GB" w:eastAsia="en-GB"/>
        </w:rPr>
      </w:pPr>
      <w:r w:rsidRPr="000729CF">
        <w:rPr>
          <w:rFonts w:ascii="Calibri" w:hAnsi="Calibri" w:cs="Calibri"/>
          <w:sz w:val="22"/>
          <w:szCs w:val="22"/>
          <w:lang w:val="en-GB" w:eastAsia="en-GB"/>
        </w:rPr>
        <w:t>Provides support for developing and managing industrial relations including pay and policy negotiations;</w:t>
      </w:r>
    </w:p>
    <w:p w14:paraId="506FED86" w14:textId="77777777" w:rsidR="000729CF" w:rsidRPr="000729CF" w:rsidRDefault="000729CF" w:rsidP="00CE70A3">
      <w:pPr>
        <w:numPr>
          <w:ilvl w:val="0"/>
          <w:numId w:val="37"/>
        </w:numPr>
        <w:spacing w:before="20" w:after="20" w:line="259" w:lineRule="auto"/>
        <w:ind w:left="714" w:hanging="357"/>
        <w:rPr>
          <w:rFonts w:ascii="Calibri" w:hAnsi="Calibri" w:cs="Calibri"/>
          <w:sz w:val="22"/>
          <w:szCs w:val="22"/>
          <w:lang w:val="en-GB" w:eastAsia="en-GB"/>
        </w:rPr>
      </w:pPr>
      <w:r w:rsidRPr="000729CF">
        <w:rPr>
          <w:rFonts w:ascii="Calibri" w:hAnsi="Calibri" w:cs="Calibri"/>
          <w:sz w:val="22"/>
          <w:szCs w:val="22"/>
          <w:lang w:val="en-GB" w:eastAsia="en-GB"/>
        </w:rPr>
        <w:t xml:space="preserve">Provides support for developing and managing HR policies and processes including supporting grievance, capability and absence management procedures. </w:t>
      </w:r>
    </w:p>
    <w:p w14:paraId="70F7FB3A" w14:textId="77777777" w:rsidR="000729CF" w:rsidRPr="000729CF" w:rsidRDefault="000729CF" w:rsidP="000729CF">
      <w:pPr>
        <w:spacing w:before="120" w:after="120"/>
        <w:rPr>
          <w:rFonts w:ascii="Calibri" w:eastAsia="Calibri" w:hAnsi="Calibri" w:cs="Calibri"/>
          <w:b/>
          <w:bCs/>
          <w:sz w:val="22"/>
          <w:szCs w:val="22"/>
          <w:lang w:val="en-GB"/>
        </w:rPr>
      </w:pPr>
      <w:r w:rsidRPr="000729CF">
        <w:rPr>
          <w:rFonts w:ascii="Calibri" w:eastAsia="Calibri" w:hAnsi="Calibri" w:cs="Calibri"/>
          <w:b/>
          <w:bCs/>
          <w:sz w:val="22"/>
          <w:szCs w:val="22"/>
          <w:lang w:val="en-GB"/>
        </w:rPr>
        <w:t>IT &amp; Digital (Orbis Partnership Service)</w:t>
      </w:r>
    </w:p>
    <w:p w14:paraId="746DE032" w14:textId="77777777" w:rsidR="000729CF" w:rsidRPr="000729CF" w:rsidRDefault="000729CF" w:rsidP="00CE70A3">
      <w:pPr>
        <w:numPr>
          <w:ilvl w:val="0"/>
          <w:numId w:val="36"/>
        </w:numPr>
        <w:spacing w:after="160" w:line="259" w:lineRule="auto"/>
        <w:ind w:left="709"/>
        <w:contextualSpacing/>
        <w:rPr>
          <w:rFonts w:ascii="Calibri" w:eastAsia="Calibri" w:hAnsi="Calibri" w:cs="Calibri"/>
          <w:sz w:val="22"/>
          <w:szCs w:val="22"/>
          <w:lang w:val="en-GB"/>
        </w:rPr>
      </w:pPr>
      <w:r w:rsidRPr="000729CF">
        <w:rPr>
          <w:rFonts w:ascii="Calibri" w:eastAsia="Calibri" w:hAnsi="Calibri" w:cs="Calibri"/>
          <w:sz w:val="22"/>
          <w:szCs w:val="22"/>
          <w:lang w:val="en-GB"/>
        </w:rPr>
        <w:t>Maintains and supports the mission critical underpinning IT infrastructure used to run back-office services and deliver services to residents. This includes the management and procurement of devices (e.g., laptops), software (e.g., Microsoft O365), network connectivity, telephony (mobile, contact centre and office), data centre and data storage services, Always on VPN (AOVPN remote access) and other contracts;</w:t>
      </w:r>
    </w:p>
    <w:p w14:paraId="363ECF62" w14:textId="77777777" w:rsidR="000729CF" w:rsidRPr="000729CF" w:rsidRDefault="000729CF" w:rsidP="00CE70A3">
      <w:pPr>
        <w:numPr>
          <w:ilvl w:val="0"/>
          <w:numId w:val="36"/>
        </w:numPr>
        <w:spacing w:after="160" w:line="259" w:lineRule="auto"/>
        <w:ind w:left="709"/>
        <w:contextualSpacing/>
        <w:rPr>
          <w:rFonts w:ascii="Calibri" w:eastAsia="Calibri" w:hAnsi="Calibri" w:cs="Calibri"/>
          <w:sz w:val="22"/>
          <w:szCs w:val="22"/>
          <w:lang w:val="en-GB"/>
        </w:rPr>
      </w:pPr>
      <w:r w:rsidRPr="000729CF">
        <w:rPr>
          <w:rFonts w:ascii="Calibri" w:eastAsia="Calibri" w:hAnsi="Calibri" w:cs="Calibri"/>
          <w:sz w:val="22"/>
          <w:szCs w:val="22"/>
          <w:lang w:val="en-GB"/>
        </w:rPr>
        <w:t>Supports the day-to-day provision use of hardware, software and IT applications;</w:t>
      </w:r>
    </w:p>
    <w:p w14:paraId="22A6A7C3" w14:textId="77777777" w:rsidR="000729CF" w:rsidRPr="000729CF" w:rsidRDefault="000729CF" w:rsidP="00CE70A3">
      <w:pPr>
        <w:numPr>
          <w:ilvl w:val="0"/>
          <w:numId w:val="36"/>
        </w:numPr>
        <w:spacing w:after="160" w:line="259" w:lineRule="auto"/>
        <w:ind w:left="709"/>
        <w:contextualSpacing/>
        <w:rPr>
          <w:rFonts w:ascii="Calibri" w:eastAsia="Calibri" w:hAnsi="Calibri" w:cs="Calibri"/>
          <w:sz w:val="22"/>
          <w:szCs w:val="22"/>
          <w:lang w:val="en-GB"/>
        </w:rPr>
      </w:pPr>
      <w:r w:rsidRPr="000729CF">
        <w:rPr>
          <w:rFonts w:ascii="Calibri" w:eastAsia="Calibri" w:hAnsi="Calibri" w:cs="Calibri"/>
          <w:sz w:val="22"/>
          <w:szCs w:val="22"/>
          <w:lang w:val="en-GB"/>
        </w:rPr>
        <w:t xml:space="preserve">Provides cyber resilience through the procurement and use of cyber monitoring and filtering technologies, as well, as the provision of secure remote connection that enables remote access to council systems and data; </w:t>
      </w:r>
    </w:p>
    <w:p w14:paraId="6E7EB06A" w14:textId="77777777" w:rsidR="000729CF" w:rsidRPr="000729CF" w:rsidRDefault="000729CF" w:rsidP="00CE70A3">
      <w:pPr>
        <w:numPr>
          <w:ilvl w:val="0"/>
          <w:numId w:val="36"/>
        </w:numPr>
        <w:spacing w:after="160" w:line="259" w:lineRule="auto"/>
        <w:ind w:left="709"/>
        <w:contextualSpacing/>
        <w:rPr>
          <w:rFonts w:ascii="Calibri" w:eastAsia="Calibri" w:hAnsi="Calibri" w:cs="Calibri"/>
          <w:sz w:val="22"/>
          <w:szCs w:val="22"/>
          <w:lang w:val="en-GB"/>
        </w:rPr>
      </w:pPr>
      <w:r w:rsidRPr="000729CF">
        <w:rPr>
          <w:rFonts w:ascii="Calibri" w:eastAsia="Calibri" w:hAnsi="Calibri" w:cs="Calibri"/>
          <w:sz w:val="22"/>
          <w:szCs w:val="22"/>
          <w:lang w:val="en-GB"/>
        </w:rPr>
        <w:t>Provides traded IT support and training services to schools in the City of Brighton and Hove;</w:t>
      </w:r>
    </w:p>
    <w:p w14:paraId="0D42C4C7" w14:textId="77777777" w:rsidR="000729CF" w:rsidRPr="000729CF" w:rsidRDefault="000729CF" w:rsidP="00CE70A3">
      <w:pPr>
        <w:numPr>
          <w:ilvl w:val="0"/>
          <w:numId w:val="36"/>
        </w:numPr>
        <w:spacing w:after="160" w:line="259" w:lineRule="auto"/>
        <w:ind w:left="709"/>
        <w:contextualSpacing/>
        <w:rPr>
          <w:rFonts w:ascii="Calibri" w:eastAsia="Calibri" w:hAnsi="Calibri" w:cs="Calibri"/>
          <w:sz w:val="22"/>
          <w:szCs w:val="22"/>
          <w:lang w:val="en-GB"/>
        </w:rPr>
      </w:pPr>
      <w:r w:rsidRPr="000729CF">
        <w:rPr>
          <w:rFonts w:ascii="Calibri" w:eastAsia="Calibri" w:hAnsi="Calibri" w:cs="Calibri"/>
          <w:sz w:val="22"/>
          <w:szCs w:val="22"/>
          <w:lang w:val="en-GB"/>
        </w:rPr>
        <w:t>Delivers projects and programmes to support the adoption of new IT and digital capabilities to enable service improvement and improved resident experience;</w:t>
      </w:r>
    </w:p>
    <w:p w14:paraId="5583B9EB" w14:textId="77777777" w:rsidR="000729CF" w:rsidRPr="000729CF" w:rsidRDefault="000729CF" w:rsidP="00CE70A3">
      <w:pPr>
        <w:numPr>
          <w:ilvl w:val="0"/>
          <w:numId w:val="36"/>
        </w:numPr>
        <w:spacing w:after="160" w:line="259" w:lineRule="auto"/>
        <w:ind w:left="709"/>
        <w:contextualSpacing/>
        <w:rPr>
          <w:rFonts w:ascii="Calibri" w:eastAsia="Calibri" w:hAnsi="Calibri" w:cs="Calibri"/>
          <w:sz w:val="22"/>
          <w:szCs w:val="22"/>
          <w:lang w:val="en-GB"/>
        </w:rPr>
      </w:pPr>
      <w:r w:rsidRPr="000729CF">
        <w:rPr>
          <w:rFonts w:ascii="Calibri" w:eastAsia="Calibri" w:hAnsi="Calibri" w:cs="Calibri"/>
          <w:sz w:val="22"/>
          <w:szCs w:val="22"/>
          <w:lang w:val="en-GB"/>
        </w:rPr>
        <w:t>Support the council’s adherence to IT and data regulation and compliance standards including GDPR (General Data Protection Regulation), FOI (Freedom of Information) and PSN (Public Service Network) code of connection services.</w:t>
      </w:r>
    </w:p>
    <w:p w14:paraId="39804BFB" w14:textId="77777777" w:rsidR="000729CF" w:rsidRPr="000729CF" w:rsidRDefault="000729CF" w:rsidP="000729CF">
      <w:pPr>
        <w:keepNext/>
        <w:spacing w:before="120" w:after="120"/>
        <w:rPr>
          <w:rFonts w:ascii="Calibri" w:eastAsia="Calibri" w:hAnsi="Calibri" w:cs="Calibri"/>
          <w:b/>
          <w:bCs/>
          <w:sz w:val="22"/>
          <w:szCs w:val="22"/>
          <w:lang w:val="en-GB"/>
        </w:rPr>
      </w:pPr>
    </w:p>
    <w:p w14:paraId="09EFAD56" w14:textId="77777777" w:rsidR="000729CF" w:rsidRPr="000729CF" w:rsidRDefault="000729CF" w:rsidP="000729CF">
      <w:pPr>
        <w:keepNext/>
        <w:spacing w:before="120" w:after="120"/>
        <w:rPr>
          <w:rFonts w:ascii="Calibri" w:eastAsia="Calibri" w:hAnsi="Calibri" w:cs="Calibri"/>
          <w:b/>
          <w:bCs/>
          <w:sz w:val="22"/>
          <w:szCs w:val="22"/>
          <w:lang w:val="en-GB"/>
        </w:rPr>
      </w:pPr>
      <w:r w:rsidRPr="000729CF">
        <w:rPr>
          <w:rFonts w:ascii="Calibri" w:eastAsia="Calibri" w:hAnsi="Calibri" w:cs="Calibri"/>
          <w:b/>
          <w:bCs/>
          <w:sz w:val="22"/>
          <w:szCs w:val="22"/>
          <w:lang w:val="en-GB"/>
        </w:rPr>
        <w:t>Legal Services</w:t>
      </w:r>
    </w:p>
    <w:p w14:paraId="4AD964DA" w14:textId="77777777" w:rsidR="000729CF" w:rsidRPr="000729CF" w:rsidRDefault="000729CF" w:rsidP="00CE70A3">
      <w:pPr>
        <w:numPr>
          <w:ilvl w:val="0"/>
          <w:numId w:val="36"/>
        </w:numPr>
        <w:spacing w:after="160" w:line="259" w:lineRule="auto"/>
        <w:ind w:left="709"/>
        <w:contextualSpacing/>
        <w:rPr>
          <w:rFonts w:ascii="Calibri" w:eastAsia="Calibri" w:hAnsi="Calibri" w:cs="Calibri"/>
          <w:sz w:val="22"/>
          <w:szCs w:val="22"/>
          <w:lang w:val="en-GB"/>
        </w:rPr>
      </w:pPr>
      <w:r w:rsidRPr="000729CF">
        <w:rPr>
          <w:rFonts w:ascii="Calibri" w:eastAsia="Calibri" w:hAnsi="Calibri" w:cs="Calibri"/>
          <w:sz w:val="22"/>
          <w:szCs w:val="22"/>
          <w:lang w:val="en-GB"/>
        </w:rPr>
        <w:t>Provides legal advice and representation across all of the council’s functions as well as the Monitoring Officer function;</w:t>
      </w:r>
    </w:p>
    <w:p w14:paraId="10FEEA45" w14:textId="77777777" w:rsidR="000729CF" w:rsidRPr="000729CF" w:rsidRDefault="000729CF" w:rsidP="00CE70A3">
      <w:pPr>
        <w:numPr>
          <w:ilvl w:val="0"/>
          <w:numId w:val="36"/>
        </w:numPr>
        <w:spacing w:after="160" w:line="259" w:lineRule="auto"/>
        <w:ind w:left="709"/>
        <w:contextualSpacing/>
        <w:rPr>
          <w:rFonts w:ascii="Calibri" w:eastAsia="Calibri" w:hAnsi="Calibri" w:cs="Calibri"/>
          <w:sz w:val="22"/>
          <w:szCs w:val="22"/>
          <w:lang w:val="en-GB"/>
        </w:rPr>
      </w:pPr>
      <w:r w:rsidRPr="000729CF">
        <w:rPr>
          <w:rFonts w:ascii="Calibri" w:eastAsia="Calibri" w:hAnsi="Calibri" w:cs="Calibri"/>
          <w:sz w:val="22"/>
          <w:szCs w:val="22"/>
          <w:lang w:val="en-GB"/>
        </w:rPr>
        <w:t>Supports statutory adult and children’s safeguarding functions through the management of all Council Care, Court of Protection and Coroner Court proceedings;</w:t>
      </w:r>
    </w:p>
    <w:p w14:paraId="1E6E2233" w14:textId="77777777" w:rsidR="000729CF" w:rsidRPr="000729CF" w:rsidRDefault="000729CF" w:rsidP="00CE70A3">
      <w:pPr>
        <w:numPr>
          <w:ilvl w:val="0"/>
          <w:numId w:val="36"/>
        </w:numPr>
        <w:spacing w:after="160" w:line="259" w:lineRule="auto"/>
        <w:ind w:left="709"/>
        <w:contextualSpacing/>
        <w:rPr>
          <w:rFonts w:ascii="Calibri" w:eastAsia="Calibri" w:hAnsi="Calibri" w:cs="Calibri"/>
          <w:sz w:val="22"/>
          <w:szCs w:val="22"/>
          <w:lang w:val="en-GB"/>
        </w:rPr>
      </w:pPr>
      <w:r w:rsidRPr="000729CF">
        <w:rPr>
          <w:rFonts w:ascii="Calibri" w:eastAsia="Calibri" w:hAnsi="Calibri" w:cs="Calibri"/>
          <w:sz w:val="22"/>
          <w:szCs w:val="22"/>
          <w:lang w:val="en-GB"/>
        </w:rPr>
        <w:t xml:space="preserve">Supports the statutory enforcement functions of the Council through prosecution proceedings in the Criminal and Civil Courts (including </w:t>
      </w:r>
      <w:proofErr w:type="spellStart"/>
      <w:r w:rsidRPr="000729CF">
        <w:rPr>
          <w:rFonts w:ascii="Calibri" w:eastAsia="Calibri" w:hAnsi="Calibri" w:cs="Calibri"/>
          <w:sz w:val="22"/>
          <w:szCs w:val="22"/>
          <w:lang w:val="en-GB"/>
        </w:rPr>
        <w:t>Anti Social</w:t>
      </w:r>
      <w:proofErr w:type="spellEnd"/>
      <w:r w:rsidRPr="000729CF">
        <w:rPr>
          <w:rFonts w:ascii="Calibri" w:eastAsia="Calibri" w:hAnsi="Calibri" w:cs="Calibri"/>
          <w:sz w:val="22"/>
          <w:szCs w:val="22"/>
          <w:lang w:val="en-GB"/>
        </w:rPr>
        <w:t xml:space="preserve"> Behaviour, Blue Badge, Trading Standards and environmental breaches);</w:t>
      </w:r>
    </w:p>
    <w:p w14:paraId="0222BCCC" w14:textId="77777777" w:rsidR="000729CF" w:rsidRPr="000729CF" w:rsidRDefault="000729CF" w:rsidP="00CE70A3">
      <w:pPr>
        <w:numPr>
          <w:ilvl w:val="0"/>
          <w:numId w:val="36"/>
        </w:numPr>
        <w:spacing w:after="160" w:line="259" w:lineRule="auto"/>
        <w:ind w:left="709"/>
        <w:contextualSpacing/>
        <w:rPr>
          <w:rFonts w:ascii="Calibri" w:eastAsia="Calibri" w:hAnsi="Calibri" w:cs="Calibri"/>
          <w:sz w:val="22"/>
          <w:szCs w:val="22"/>
          <w:lang w:val="en-GB"/>
        </w:rPr>
      </w:pPr>
      <w:r w:rsidRPr="000729CF">
        <w:rPr>
          <w:rFonts w:ascii="Calibri" w:eastAsia="Calibri" w:hAnsi="Calibri" w:cs="Calibri"/>
          <w:sz w:val="22"/>
          <w:szCs w:val="22"/>
          <w:lang w:val="en-GB"/>
        </w:rPr>
        <w:t>Protects the Council from challenge, for example in relation to homelessness, housing &amp; health &amp; safety, employment and judicial review;</w:t>
      </w:r>
    </w:p>
    <w:p w14:paraId="09B18F6A" w14:textId="77777777" w:rsidR="000729CF" w:rsidRPr="000729CF" w:rsidRDefault="000729CF" w:rsidP="00CE70A3">
      <w:pPr>
        <w:numPr>
          <w:ilvl w:val="0"/>
          <w:numId w:val="36"/>
        </w:numPr>
        <w:spacing w:after="160" w:line="259" w:lineRule="auto"/>
        <w:ind w:left="709"/>
        <w:contextualSpacing/>
        <w:rPr>
          <w:rFonts w:ascii="Calibri" w:eastAsia="Calibri" w:hAnsi="Calibri" w:cs="Calibri"/>
          <w:sz w:val="22"/>
          <w:szCs w:val="22"/>
          <w:lang w:val="en-GB"/>
        </w:rPr>
      </w:pPr>
      <w:r w:rsidRPr="000729CF">
        <w:rPr>
          <w:rFonts w:ascii="Calibri" w:eastAsia="Calibri" w:hAnsi="Calibri" w:cs="Calibri"/>
          <w:sz w:val="22"/>
          <w:szCs w:val="22"/>
          <w:lang w:val="en-GB"/>
        </w:rPr>
        <w:t>Delivers commercial legal advice across property, procurement &amp; planning &amp; highways functions generating approx. £600k per annum of external income</w:t>
      </w:r>
    </w:p>
    <w:p w14:paraId="7BD79CEA" w14:textId="77777777" w:rsidR="000729CF" w:rsidRPr="000729CF" w:rsidRDefault="000729CF" w:rsidP="00CE70A3">
      <w:pPr>
        <w:numPr>
          <w:ilvl w:val="0"/>
          <w:numId w:val="36"/>
        </w:numPr>
        <w:spacing w:after="160" w:line="259" w:lineRule="auto"/>
        <w:ind w:left="709"/>
        <w:contextualSpacing/>
        <w:rPr>
          <w:rFonts w:ascii="Calibri" w:eastAsia="Calibri" w:hAnsi="Calibri" w:cs="Calibri"/>
          <w:sz w:val="22"/>
          <w:szCs w:val="22"/>
          <w:lang w:val="en-GB"/>
        </w:rPr>
      </w:pPr>
      <w:r w:rsidRPr="000729CF">
        <w:rPr>
          <w:rFonts w:ascii="Calibri" w:eastAsia="Calibri" w:hAnsi="Calibri" w:cs="Calibri"/>
          <w:sz w:val="22"/>
          <w:szCs w:val="22"/>
          <w:lang w:val="en-GB"/>
        </w:rPr>
        <w:t>Supports the good governance of the council through advice to Members, officers and committees and manages the investigation and reporting of complaints under the Code of Conduct for Members;</w:t>
      </w:r>
    </w:p>
    <w:p w14:paraId="19ABB1D0" w14:textId="77777777" w:rsidR="000729CF" w:rsidRPr="000729CF" w:rsidRDefault="000729CF" w:rsidP="00CE70A3">
      <w:pPr>
        <w:numPr>
          <w:ilvl w:val="0"/>
          <w:numId w:val="36"/>
        </w:numPr>
        <w:spacing w:after="160" w:line="259" w:lineRule="auto"/>
        <w:ind w:left="709"/>
        <w:contextualSpacing/>
        <w:rPr>
          <w:rFonts w:ascii="Calibri" w:eastAsia="Calibri" w:hAnsi="Calibri" w:cs="Calibri"/>
          <w:sz w:val="22"/>
          <w:szCs w:val="22"/>
          <w:lang w:val="en-GB"/>
        </w:rPr>
      </w:pPr>
      <w:r w:rsidRPr="000729CF">
        <w:rPr>
          <w:rFonts w:ascii="Calibri" w:eastAsia="Calibri" w:hAnsi="Calibri" w:cs="Calibri"/>
          <w:sz w:val="22"/>
          <w:szCs w:val="22"/>
          <w:lang w:val="en-GB"/>
        </w:rPr>
        <w:t xml:space="preserve">Achieves efficiencies through membership of the Orbis Public Law collaborative partnership. </w:t>
      </w:r>
    </w:p>
    <w:p w14:paraId="6AD14A02" w14:textId="77777777" w:rsidR="000729CF" w:rsidRPr="000729CF" w:rsidRDefault="000729CF" w:rsidP="000729CF">
      <w:pPr>
        <w:keepNext/>
        <w:spacing w:before="120" w:after="120"/>
        <w:rPr>
          <w:rFonts w:ascii="Calibri" w:eastAsia="Calibri" w:hAnsi="Calibri" w:cs="Calibri"/>
          <w:b/>
          <w:bCs/>
          <w:sz w:val="22"/>
          <w:szCs w:val="22"/>
          <w:lang w:val="en-GB"/>
        </w:rPr>
      </w:pPr>
      <w:r w:rsidRPr="000729CF">
        <w:rPr>
          <w:rFonts w:ascii="Calibri" w:eastAsia="Calibri" w:hAnsi="Calibri" w:cs="Calibri"/>
          <w:b/>
          <w:bCs/>
          <w:sz w:val="22"/>
          <w:szCs w:val="22"/>
          <w:lang w:val="en-GB"/>
        </w:rPr>
        <w:t xml:space="preserve">Customer, Modernisation &amp; Performance Insight </w:t>
      </w:r>
    </w:p>
    <w:p w14:paraId="7A111992" w14:textId="77777777" w:rsidR="000729CF" w:rsidRPr="000729CF" w:rsidRDefault="000729CF" w:rsidP="00CE70A3">
      <w:pPr>
        <w:numPr>
          <w:ilvl w:val="0"/>
          <w:numId w:val="36"/>
        </w:numPr>
        <w:spacing w:after="160" w:line="259" w:lineRule="auto"/>
        <w:ind w:left="709" w:hanging="357"/>
        <w:contextualSpacing/>
        <w:rPr>
          <w:rFonts w:ascii="Calibri" w:eastAsia="Calibri" w:hAnsi="Calibri" w:cs="Calibri"/>
          <w:sz w:val="22"/>
          <w:szCs w:val="22"/>
          <w:lang w:val="en-GB"/>
        </w:rPr>
      </w:pPr>
      <w:r w:rsidRPr="000729CF">
        <w:rPr>
          <w:rFonts w:ascii="Calibri" w:eastAsia="Calibri" w:hAnsi="Calibri" w:cs="Calibri"/>
          <w:sz w:val="22"/>
          <w:szCs w:val="22"/>
          <w:lang w:val="en-GB"/>
        </w:rPr>
        <w:t>Drives continuous improvement and efficiency across the organisation to support strong corporate governance, minimise the adverse impact of financial challenges on customers, avoid costly mistakes and better protect the council’s reputation.</w:t>
      </w:r>
    </w:p>
    <w:p w14:paraId="7D0EF723" w14:textId="77777777" w:rsidR="000729CF" w:rsidRPr="000729CF" w:rsidRDefault="000729CF" w:rsidP="00CE70A3">
      <w:pPr>
        <w:numPr>
          <w:ilvl w:val="0"/>
          <w:numId w:val="36"/>
        </w:numPr>
        <w:spacing w:after="160" w:line="259" w:lineRule="auto"/>
        <w:ind w:left="709" w:hanging="357"/>
        <w:contextualSpacing/>
        <w:rPr>
          <w:rFonts w:ascii="Calibri" w:eastAsia="Calibri" w:hAnsi="Calibri" w:cs="Calibri"/>
          <w:sz w:val="22"/>
          <w:szCs w:val="22"/>
          <w:lang w:val="en-GB"/>
        </w:rPr>
      </w:pPr>
      <w:r w:rsidRPr="000729CF">
        <w:rPr>
          <w:rFonts w:ascii="Calibri" w:eastAsia="Calibri" w:hAnsi="Calibri" w:cs="Calibri"/>
          <w:sz w:val="22"/>
          <w:szCs w:val="22"/>
          <w:lang w:val="en-GB"/>
        </w:rPr>
        <w:t>Manages the statutory responsibility for ensuring objective resolution of customer dissatisfaction and takes the strategic lead in improving customer experience</w:t>
      </w:r>
    </w:p>
    <w:p w14:paraId="422BF8B8" w14:textId="77777777" w:rsidR="000729CF" w:rsidRPr="000729CF" w:rsidRDefault="000729CF" w:rsidP="00CE70A3">
      <w:pPr>
        <w:numPr>
          <w:ilvl w:val="0"/>
          <w:numId w:val="36"/>
        </w:numPr>
        <w:spacing w:after="160" w:line="259" w:lineRule="auto"/>
        <w:ind w:left="709" w:hanging="357"/>
        <w:contextualSpacing/>
        <w:rPr>
          <w:rFonts w:ascii="Calibri" w:eastAsia="Calibri" w:hAnsi="Calibri" w:cs="Calibri"/>
          <w:b/>
          <w:bCs/>
          <w:sz w:val="22"/>
          <w:szCs w:val="22"/>
          <w:lang w:val="en-GB"/>
        </w:rPr>
      </w:pPr>
      <w:r w:rsidRPr="000729CF">
        <w:rPr>
          <w:rFonts w:ascii="Calibri" w:eastAsia="Calibri" w:hAnsi="Calibri" w:cs="Calibri"/>
          <w:sz w:val="22"/>
          <w:szCs w:val="22"/>
          <w:lang w:val="en-GB"/>
        </w:rPr>
        <w:t>Processes approx. 2,200 Stage 1 complaints and 1,400 compliments and investigates approx. 210 Stage 2 complaints and assists the Ombudsman with approx. 100 cases.</w:t>
      </w:r>
    </w:p>
    <w:p w14:paraId="2BF18030" w14:textId="77777777" w:rsidR="000729CF" w:rsidRPr="000729CF" w:rsidRDefault="000729CF" w:rsidP="00CE70A3">
      <w:pPr>
        <w:numPr>
          <w:ilvl w:val="0"/>
          <w:numId w:val="36"/>
        </w:numPr>
        <w:spacing w:after="160" w:line="259" w:lineRule="auto"/>
        <w:ind w:left="709" w:hanging="357"/>
        <w:contextualSpacing/>
        <w:rPr>
          <w:rFonts w:ascii="Calibri" w:eastAsia="Calibri" w:hAnsi="Calibri" w:cs="Calibri"/>
          <w:sz w:val="22"/>
          <w:szCs w:val="22"/>
          <w:lang w:val="en-GB"/>
        </w:rPr>
      </w:pPr>
      <w:r w:rsidRPr="000729CF">
        <w:rPr>
          <w:rFonts w:ascii="Calibri" w:eastAsia="Calibri" w:hAnsi="Calibri" w:cs="Calibri"/>
          <w:sz w:val="22"/>
          <w:szCs w:val="22"/>
          <w:lang w:val="en-GB"/>
        </w:rPr>
        <w:t xml:space="preserve">Managed the statutory responsibility for ensuring compliance with requests from external customers in relation to Freedom of Information (FOI), Subject Access Requests (SAR) and data breaches.  </w:t>
      </w:r>
    </w:p>
    <w:p w14:paraId="6ACF8701" w14:textId="77777777" w:rsidR="000729CF" w:rsidRPr="000729CF" w:rsidRDefault="000729CF" w:rsidP="00CE70A3">
      <w:pPr>
        <w:numPr>
          <w:ilvl w:val="0"/>
          <w:numId w:val="36"/>
        </w:numPr>
        <w:spacing w:after="160" w:line="259" w:lineRule="auto"/>
        <w:ind w:left="709" w:hanging="357"/>
        <w:contextualSpacing/>
        <w:rPr>
          <w:rFonts w:ascii="Calibri" w:eastAsia="Calibri" w:hAnsi="Calibri" w:cs="Calibri"/>
          <w:b/>
          <w:bCs/>
          <w:sz w:val="22"/>
          <w:szCs w:val="22"/>
          <w:lang w:val="en-GB"/>
        </w:rPr>
      </w:pPr>
      <w:r w:rsidRPr="000729CF">
        <w:rPr>
          <w:rFonts w:ascii="Calibri" w:eastAsia="Calibri" w:hAnsi="Calibri" w:cs="Calibri"/>
          <w:sz w:val="22"/>
          <w:szCs w:val="22"/>
          <w:lang w:val="en-GB"/>
        </w:rPr>
        <w:t xml:space="preserve">Processes approx. 1700 FOI requests, 230 SAR requests, 700 disclosures, 260 data breaches  </w:t>
      </w:r>
    </w:p>
    <w:p w14:paraId="367B1BD6" w14:textId="77777777" w:rsidR="000729CF" w:rsidRPr="000729CF" w:rsidRDefault="000729CF" w:rsidP="00CE70A3">
      <w:pPr>
        <w:numPr>
          <w:ilvl w:val="0"/>
          <w:numId w:val="36"/>
        </w:numPr>
        <w:spacing w:after="160" w:line="259" w:lineRule="auto"/>
        <w:ind w:left="709" w:hanging="357"/>
        <w:contextualSpacing/>
        <w:rPr>
          <w:rFonts w:ascii="Calibri" w:eastAsia="Calibri" w:hAnsi="Calibri" w:cs="Calibri"/>
          <w:b/>
          <w:bCs/>
          <w:sz w:val="22"/>
          <w:szCs w:val="22"/>
          <w:lang w:val="en-GB"/>
        </w:rPr>
      </w:pPr>
      <w:r w:rsidRPr="000729CF">
        <w:rPr>
          <w:rFonts w:ascii="Calibri" w:eastAsia="Calibri" w:hAnsi="Calibri" w:cs="Calibri"/>
          <w:sz w:val="22"/>
          <w:szCs w:val="22"/>
          <w:lang w:val="en-GB"/>
        </w:rPr>
        <w:t>The Performance Team drives the corporate and directorate planning and monitoring processes covering 5 Directorate Plans and 60 Corporate Key Performance Indicators.</w:t>
      </w:r>
    </w:p>
    <w:p w14:paraId="2BE7BEEE" w14:textId="77777777" w:rsidR="000729CF" w:rsidRPr="000729CF" w:rsidRDefault="000729CF" w:rsidP="00CE70A3">
      <w:pPr>
        <w:numPr>
          <w:ilvl w:val="0"/>
          <w:numId w:val="36"/>
        </w:numPr>
        <w:spacing w:after="160" w:line="259" w:lineRule="auto"/>
        <w:ind w:left="709" w:hanging="357"/>
        <w:contextualSpacing/>
        <w:rPr>
          <w:rFonts w:ascii="Calibri" w:eastAsia="Calibri" w:hAnsi="Calibri" w:cs="Calibri"/>
          <w:b/>
          <w:bCs/>
          <w:sz w:val="22"/>
          <w:szCs w:val="22"/>
          <w:lang w:val="en-GB"/>
        </w:rPr>
      </w:pPr>
      <w:r w:rsidRPr="000729CF">
        <w:rPr>
          <w:rFonts w:ascii="Calibri" w:eastAsia="Calibri" w:hAnsi="Calibri" w:cs="Calibri"/>
          <w:sz w:val="22"/>
          <w:szCs w:val="22"/>
          <w:lang w:val="en-GB"/>
        </w:rPr>
        <w:t>Manages the council’s Risk Management Framework which currently includes strategic and  directorate level risks.</w:t>
      </w:r>
    </w:p>
    <w:p w14:paraId="7494704C" w14:textId="77777777" w:rsidR="000729CF" w:rsidRPr="000729CF" w:rsidRDefault="000729CF" w:rsidP="00CE70A3">
      <w:pPr>
        <w:numPr>
          <w:ilvl w:val="0"/>
          <w:numId w:val="36"/>
        </w:numPr>
        <w:spacing w:after="160" w:line="259" w:lineRule="auto"/>
        <w:ind w:left="709" w:hanging="357"/>
        <w:contextualSpacing/>
        <w:rPr>
          <w:rFonts w:ascii="Calibri" w:eastAsia="Calibri" w:hAnsi="Calibri" w:cs="Calibri"/>
          <w:b/>
          <w:bCs/>
          <w:sz w:val="22"/>
          <w:szCs w:val="22"/>
          <w:lang w:val="en-GB"/>
        </w:rPr>
      </w:pPr>
      <w:r w:rsidRPr="000729CF">
        <w:rPr>
          <w:rFonts w:ascii="Calibri" w:eastAsia="Calibri" w:hAnsi="Calibri" w:cs="Calibri"/>
          <w:sz w:val="22"/>
          <w:szCs w:val="22"/>
          <w:lang w:val="en-GB"/>
        </w:rPr>
        <w:t>Production of the statutory Annual Governance Statement (AGS) evidencing effectiveness of corporate governance.</w:t>
      </w:r>
    </w:p>
    <w:p w14:paraId="7DA50A84" w14:textId="77777777" w:rsidR="000729CF" w:rsidRPr="000729CF" w:rsidRDefault="000729CF" w:rsidP="00CE70A3">
      <w:pPr>
        <w:numPr>
          <w:ilvl w:val="0"/>
          <w:numId w:val="36"/>
        </w:numPr>
        <w:spacing w:after="160" w:line="259" w:lineRule="auto"/>
        <w:ind w:left="709" w:hanging="357"/>
        <w:contextualSpacing/>
        <w:rPr>
          <w:rFonts w:ascii="Calibri" w:eastAsia="Calibri" w:hAnsi="Calibri" w:cs="Calibri"/>
          <w:b/>
          <w:bCs/>
          <w:sz w:val="22"/>
          <w:szCs w:val="22"/>
          <w:lang w:val="en-GB"/>
        </w:rPr>
      </w:pPr>
      <w:r w:rsidRPr="000729CF">
        <w:rPr>
          <w:rFonts w:ascii="Calibri" w:eastAsia="Calibri" w:hAnsi="Calibri" w:cs="Calibri"/>
          <w:sz w:val="22"/>
          <w:szCs w:val="22"/>
          <w:lang w:val="en-GB"/>
        </w:rPr>
        <w:t>Manages and co-ordinates support for around 20 corporate modernisation projects and programmes across the organisation.</w:t>
      </w:r>
    </w:p>
    <w:p w14:paraId="3F917459" w14:textId="77777777" w:rsidR="000729CF" w:rsidRPr="000729CF" w:rsidRDefault="000729CF" w:rsidP="000729CF">
      <w:pPr>
        <w:spacing w:before="120" w:after="120"/>
        <w:rPr>
          <w:rFonts w:ascii="Calibri" w:eastAsia="Calibri" w:hAnsi="Calibri" w:cs="Calibri"/>
          <w:b/>
          <w:bCs/>
          <w:sz w:val="22"/>
          <w:szCs w:val="22"/>
          <w:lang w:val="en-GB"/>
        </w:rPr>
      </w:pPr>
      <w:r w:rsidRPr="000729CF">
        <w:rPr>
          <w:rFonts w:ascii="Calibri" w:eastAsia="Calibri" w:hAnsi="Calibri" w:cs="Calibri"/>
          <w:b/>
          <w:bCs/>
          <w:sz w:val="22"/>
          <w:szCs w:val="22"/>
          <w:lang w:val="en-GB"/>
        </w:rPr>
        <w:t xml:space="preserve">Policy, Partnerships &amp; Scrutiny </w:t>
      </w:r>
    </w:p>
    <w:p w14:paraId="4A2940B0" w14:textId="77777777" w:rsidR="000729CF" w:rsidRPr="000729CF" w:rsidRDefault="000729CF" w:rsidP="00CE70A3">
      <w:pPr>
        <w:numPr>
          <w:ilvl w:val="0"/>
          <w:numId w:val="36"/>
        </w:numPr>
        <w:spacing w:after="160" w:line="259" w:lineRule="auto"/>
        <w:ind w:left="709"/>
        <w:contextualSpacing/>
        <w:rPr>
          <w:rFonts w:ascii="Calibri" w:eastAsia="Calibri" w:hAnsi="Calibri" w:cs="Calibri"/>
          <w:sz w:val="22"/>
          <w:szCs w:val="22"/>
          <w:lang w:val="en-GB"/>
        </w:rPr>
      </w:pPr>
      <w:r w:rsidRPr="000729CF">
        <w:rPr>
          <w:rFonts w:ascii="Calibri" w:eastAsia="Calibri" w:hAnsi="Calibri" w:cs="Calibri"/>
          <w:sz w:val="22"/>
          <w:szCs w:val="22"/>
          <w:lang w:val="en-GB"/>
        </w:rPr>
        <w:t>Leads on the creation and implementation of Council wide strategies and plans, including the Corporate Plan and Business Framework.</w:t>
      </w:r>
    </w:p>
    <w:p w14:paraId="2BA38F48" w14:textId="77777777" w:rsidR="000729CF" w:rsidRPr="000729CF" w:rsidRDefault="000729CF" w:rsidP="00CE70A3">
      <w:pPr>
        <w:numPr>
          <w:ilvl w:val="0"/>
          <w:numId w:val="36"/>
        </w:numPr>
        <w:spacing w:after="160" w:line="259" w:lineRule="auto"/>
        <w:ind w:left="709"/>
        <w:contextualSpacing/>
        <w:rPr>
          <w:rFonts w:ascii="Calibri" w:eastAsia="Calibri" w:hAnsi="Calibri" w:cs="Calibri"/>
          <w:sz w:val="22"/>
          <w:szCs w:val="22"/>
          <w:lang w:val="en-GB"/>
        </w:rPr>
      </w:pPr>
      <w:r w:rsidRPr="000729CF">
        <w:rPr>
          <w:rFonts w:ascii="Calibri" w:eastAsia="Calibri" w:hAnsi="Calibri" w:cs="Calibri"/>
          <w:sz w:val="22"/>
          <w:szCs w:val="22"/>
          <w:lang w:val="en-GB"/>
        </w:rPr>
        <w:t>Plays a key role in developing, guiding and internally promoting key strategies such as the Economic Strategy, Housing Strategy, Employment &amp; Skills Plan, Local Transport Plan, and Carbon Neutral 2030 programme.</w:t>
      </w:r>
    </w:p>
    <w:p w14:paraId="3CBC93D9" w14:textId="77777777" w:rsidR="000729CF" w:rsidRPr="000729CF" w:rsidRDefault="000729CF" w:rsidP="00CE70A3">
      <w:pPr>
        <w:numPr>
          <w:ilvl w:val="0"/>
          <w:numId w:val="36"/>
        </w:numPr>
        <w:spacing w:after="160" w:line="259" w:lineRule="auto"/>
        <w:ind w:left="709"/>
        <w:contextualSpacing/>
        <w:rPr>
          <w:rFonts w:ascii="Calibri" w:eastAsia="Calibri" w:hAnsi="Calibri" w:cs="Calibri"/>
          <w:sz w:val="22"/>
          <w:szCs w:val="22"/>
          <w:lang w:val="en-GB"/>
        </w:rPr>
      </w:pPr>
      <w:r w:rsidRPr="000729CF">
        <w:rPr>
          <w:rFonts w:ascii="Calibri" w:eastAsia="Calibri" w:hAnsi="Calibri" w:cs="Calibri"/>
          <w:sz w:val="22"/>
          <w:szCs w:val="22"/>
          <w:lang w:val="en-GB"/>
        </w:rPr>
        <w:t>Acts as a liaison between the Administration and officers to drive policy development on behalf of the council’s Administration and provides research, analytics and policy development support to directorates, for example, through the Corporate Policy Network and Policy Bulletins.</w:t>
      </w:r>
    </w:p>
    <w:p w14:paraId="2980CBBE" w14:textId="77777777" w:rsidR="000729CF" w:rsidRPr="000729CF" w:rsidRDefault="000729CF" w:rsidP="00CE70A3">
      <w:pPr>
        <w:numPr>
          <w:ilvl w:val="0"/>
          <w:numId w:val="36"/>
        </w:numPr>
        <w:spacing w:after="160" w:line="259" w:lineRule="auto"/>
        <w:ind w:left="709"/>
        <w:contextualSpacing/>
        <w:rPr>
          <w:rFonts w:ascii="Calibri" w:eastAsia="Calibri" w:hAnsi="Calibri" w:cs="Calibri"/>
          <w:sz w:val="22"/>
          <w:szCs w:val="22"/>
          <w:lang w:val="en-GB"/>
        </w:rPr>
      </w:pPr>
      <w:r w:rsidRPr="000729CF">
        <w:rPr>
          <w:rFonts w:ascii="Calibri" w:eastAsia="Calibri" w:hAnsi="Calibri" w:cs="Calibri"/>
          <w:sz w:val="22"/>
          <w:szCs w:val="22"/>
          <w:lang w:val="en-GB"/>
        </w:rPr>
        <w:t>Enables city-wide engagement with key partners including through running the City Management Board and Brighton &amp; Hove Connected, through relationship management, events, and partnership development support, in addition to running thematic partnerships (such as the Transport Partnership and Health &amp; Wellbeing Board) - supporting the council to be more outward facing.</w:t>
      </w:r>
    </w:p>
    <w:p w14:paraId="4D14FEAE" w14:textId="77777777" w:rsidR="000729CF" w:rsidRPr="000729CF" w:rsidRDefault="000729CF" w:rsidP="00CE70A3">
      <w:pPr>
        <w:numPr>
          <w:ilvl w:val="0"/>
          <w:numId w:val="36"/>
        </w:numPr>
        <w:spacing w:after="160" w:line="259" w:lineRule="auto"/>
        <w:ind w:left="709"/>
        <w:contextualSpacing/>
        <w:rPr>
          <w:rFonts w:ascii="Calibri" w:eastAsia="Calibri" w:hAnsi="Calibri" w:cs="Calibri"/>
          <w:sz w:val="22"/>
          <w:szCs w:val="22"/>
          <w:lang w:val="en-GB"/>
        </w:rPr>
      </w:pPr>
      <w:r w:rsidRPr="000729CF">
        <w:rPr>
          <w:rFonts w:ascii="Calibri" w:eastAsia="Calibri" w:hAnsi="Calibri" w:cs="Calibri"/>
          <w:sz w:val="22"/>
          <w:szCs w:val="22"/>
          <w:lang w:val="en-GB"/>
        </w:rPr>
        <w:t>The Scrutiny function leads on the statutory health scrutiny function (HOSC).</w:t>
      </w:r>
    </w:p>
    <w:p w14:paraId="397B3E11" w14:textId="77777777" w:rsidR="000729CF" w:rsidRPr="000729CF" w:rsidRDefault="000729CF" w:rsidP="000729CF">
      <w:pPr>
        <w:spacing w:before="120" w:after="120"/>
        <w:rPr>
          <w:rFonts w:ascii="Calibri" w:eastAsia="Calibri" w:hAnsi="Calibri" w:cs="Calibri"/>
          <w:b/>
          <w:bCs/>
          <w:sz w:val="22"/>
          <w:szCs w:val="22"/>
          <w:lang w:val="en-GB"/>
        </w:rPr>
      </w:pPr>
      <w:r w:rsidRPr="000729CF">
        <w:rPr>
          <w:rFonts w:ascii="Calibri" w:eastAsia="Calibri" w:hAnsi="Calibri" w:cs="Calibri"/>
          <w:b/>
          <w:bCs/>
          <w:sz w:val="22"/>
          <w:szCs w:val="22"/>
          <w:lang w:val="en-GB"/>
        </w:rPr>
        <w:t>Procurement (Orbis Partnership service)</w:t>
      </w:r>
    </w:p>
    <w:p w14:paraId="4808D862" w14:textId="77777777" w:rsidR="000729CF" w:rsidRPr="000729CF" w:rsidRDefault="000729CF" w:rsidP="00CE70A3">
      <w:pPr>
        <w:numPr>
          <w:ilvl w:val="0"/>
          <w:numId w:val="37"/>
        </w:numPr>
        <w:spacing w:after="160" w:line="259"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Supports procurement of goods and services to the value of approximately £300m per annum;</w:t>
      </w:r>
    </w:p>
    <w:p w14:paraId="16620903" w14:textId="77777777" w:rsidR="000729CF" w:rsidRPr="000729CF" w:rsidRDefault="000729CF" w:rsidP="00CE70A3">
      <w:pPr>
        <w:numPr>
          <w:ilvl w:val="0"/>
          <w:numId w:val="37"/>
        </w:numPr>
        <w:spacing w:after="160" w:line="259"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Supports circa 250 contract managers together with Legal Services including the provision of targeted contract management support for higher risk contracts;</w:t>
      </w:r>
    </w:p>
    <w:p w14:paraId="4A0070A9" w14:textId="77777777" w:rsidR="000729CF" w:rsidRPr="000729CF" w:rsidRDefault="000729CF" w:rsidP="00CE70A3">
      <w:pPr>
        <w:numPr>
          <w:ilvl w:val="0"/>
          <w:numId w:val="37"/>
        </w:numPr>
        <w:spacing w:after="160" w:line="259"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Supports the development of procurement strategy and policies including sustainability, Environmental, Social &amp; Governance strategy, social value and modern slavery;</w:t>
      </w:r>
    </w:p>
    <w:p w14:paraId="0DEEE28F" w14:textId="77777777" w:rsidR="000729CF" w:rsidRPr="000729CF" w:rsidRDefault="000729CF" w:rsidP="00CE70A3">
      <w:pPr>
        <w:numPr>
          <w:ilvl w:val="0"/>
          <w:numId w:val="37"/>
        </w:numPr>
        <w:spacing w:after="160" w:line="259" w:lineRule="auto"/>
        <w:contextualSpacing/>
        <w:rPr>
          <w:rFonts w:ascii="Calibri" w:eastAsia="Calibri" w:hAnsi="Calibri" w:cs="Calibri"/>
          <w:sz w:val="22"/>
          <w:szCs w:val="22"/>
          <w:lang w:val="en-GB"/>
        </w:rPr>
      </w:pPr>
      <w:r w:rsidRPr="000729CF">
        <w:rPr>
          <w:rFonts w:ascii="Calibri" w:eastAsia="Calibri" w:hAnsi="Calibri" w:cs="Calibri"/>
          <w:sz w:val="22"/>
          <w:szCs w:val="22"/>
          <w:lang w:val="en-GB"/>
        </w:rPr>
        <w:t>Manages and authorises waivers of Contract Standing Orders;</w:t>
      </w:r>
    </w:p>
    <w:p w14:paraId="20762F4A" w14:textId="77777777" w:rsidR="000729CF" w:rsidRPr="000729CF" w:rsidRDefault="000729CF" w:rsidP="00CE70A3">
      <w:pPr>
        <w:numPr>
          <w:ilvl w:val="0"/>
          <w:numId w:val="37"/>
        </w:numPr>
        <w:spacing w:after="160" w:line="259" w:lineRule="auto"/>
        <w:rPr>
          <w:rFonts w:ascii="Calibri" w:eastAsia="Calibri" w:hAnsi="Calibri" w:cs="Calibri"/>
          <w:sz w:val="22"/>
          <w:szCs w:val="22"/>
          <w:lang w:val="en-GB"/>
        </w:rPr>
      </w:pPr>
      <w:r w:rsidRPr="000729CF">
        <w:rPr>
          <w:rFonts w:ascii="Calibri" w:eastAsia="Calibri" w:hAnsi="Calibri" w:cs="Calibri"/>
          <w:sz w:val="22"/>
          <w:szCs w:val="22"/>
          <w:lang w:val="en-GB"/>
        </w:rPr>
        <w:t>Supports the Member Procurement Advisory Board to scrutinise significant procurements and consider procurement route options.</w:t>
      </w:r>
    </w:p>
    <w:p w14:paraId="7100EB38" w14:textId="77777777" w:rsidR="000729CF" w:rsidRPr="000729CF" w:rsidRDefault="000729CF" w:rsidP="000729CF">
      <w:pPr>
        <w:spacing w:before="120" w:after="120"/>
        <w:rPr>
          <w:rFonts w:ascii="Calibri" w:eastAsia="Calibri" w:hAnsi="Calibri" w:cs="Calibri"/>
          <w:b/>
          <w:bCs/>
          <w:sz w:val="22"/>
          <w:szCs w:val="22"/>
          <w:lang w:val="en-GB"/>
        </w:rPr>
      </w:pPr>
      <w:r w:rsidRPr="000729CF">
        <w:rPr>
          <w:rFonts w:ascii="Calibri" w:eastAsia="Calibri" w:hAnsi="Calibri" w:cs="Calibri"/>
          <w:b/>
          <w:bCs/>
          <w:sz w:val="22"/>
          <w:szCs w:val="22"/>
          <w:lang w:val="en-GB"/>
        </w:rPr>
        <w:t>Welfare, Revenues &amp; Business Support (WRBS)</w:t>
      </w:r>
    </w:p>
    <w:p w14:paraId="4B4CAC2B" w14:textId="77777777" w:rsidR="000729CF" w:rsidRPr="000729CF" w:rsidRDefault="000729CF" w:rsidP="000729CF">
      <w:pPr>
        <w:spacing w:before="120" w:after="120"/>
        <w:rPr>
          <w:rFonts w:ascii="Calibri" w:eastAsia="Calibri" w:hAnsi="Calibri" w:cs="Calibri"/>
          <w:sz w:val="22"/>
          <w:szCs w:val="22"/>
          <w:lang w:val="en-GB"/>
        </w:rPr>
      </w:pPr>
      <w:r w:rsidRPr="000729CF">
        <w:rPr>
          <w:rFonts w:ascii="Calibri" w:eastAsia="Calibri" w:hAnsi="Calibri" w:cs="Calibri"/>
          <w:sz w:val="22"/>
          <w:szCs w:val="22"/>
          <w:lang w:val="en-GB"/>
        </w:rPr>
        <w:t>The Welfare, Revenues &amp; Business Support (WRBS) service has a wide range of internal and external customers, including many vulnerable and low income households, but is also of strategic importance.</w:t>
      </w:r>
    </w:p>
    <w:p w14:paraId="5775CBF4" w14:textId="77777777" w:rsidR="000729CF" w:rsidRPr="000729CF" w:rsidRDefault="000729CF" w:rsidP="00CE70A3">
      <w:pPr>
        <w:numPr>
          <w:ilvl w:val="0"/>
          <w:numId w:val="36"/>
        </w:numPr>
        <w:spacing w:after="160" w:line="259" w:lineRule="auto"/>
        <w:ind w:left="709"/>
        <w:contextualSpacing/>
        <w:rPr>
          <w:rFonts w:ascii="Calibri" w:eastAsia="Calibri" w:hAnsi="Calibri" w:cs="Calibri"/>
          <w:sz w:val="22"/>
          <w:szCs w:val="22"/>
          <w:lang w:val="en-GB"/>
        </w:rPr>
      </w:pPr>
      <w:r w:rsidRPr="000729CF">
        <w:rPr>
          <w:rFonts w:ascii="Calibri" w:eastAsia="Calibri" w:hAnsi="Calibri" w:cs="Calibri"/>
          <w:sz w:val="22"/>
          <w:szCs w:val="22"/>
          <w:lang w:val="en-GB"/>
        </w:rPr>
        <w:t>Provision of strategic support and policy development for responding to welfare reforms, as well as direct delivery of local welfare support, assistance and advice;</w:t>
      </w:r>
    </w:p>
    <w:p w14:paraId="5D1E43C7" w14:textId="77777777" w:rsidR="000729CF" w:rsidRPr="000729CF" w:rsidRDefault="000729CF" w:rsidP="00CE70A3">
      <w:pPr>
        <w:numPr>
          <w:ilvl w:val="0"/>
          <w:numId w:val="36"/>
        </w:numPr>
        <w:spacing w:after="160" w:line="259" w:lineRule="auto"/>
        <w:ind w:left="709"/>
        <w:contextualSpacing/>
        <w:rPr>
          <w:rFonts w:ascii="Calibri" w:eastAsia="Calibri" w:hAnsi="Calibri" w:cs="Calibri"/>
          <w:sz w:val="22"/>
          <w:szCs w:val="22"/>
          <w:lang w:val="en-GB"/>
        </w:rPr>
      </w:pPr>
      <w:r w:rsidRPr="000729CF">
        <w:rPr>
          <w:rFonts w:ascii="Calibri" w:eastAsia="Calibri" w:hAnsi="Calibri" w:cs="Calibri"/>
          <w:sz w:val="22"/>
          <w:szCs w:val="22"/>
          <w:lang w:val="en-GB"/>
        </w:rPr>
        <w:t>Collection and recovery of £164m Council Tax (and Council Tax Reduction Scheme);</w:t>
      </w:r>
    </w:p>
    <w:p w14:paraId="6D1B17F6" w14:textId="77777777" w:rsidR="000729CF" w:rsidRPr="000729CF" w:rsidRDefault="000729CF" w:rsidP="00CE70A3">
      <w:pPr>
        <w:numPr>
          <w:ilvl w:val="0"/>
          <w:numId w:val="36"/>
        </w:numPr>
        <w:spacing w:after="160" w:line="259" w:lineRule="auto"/>
        <w:ind w:left="709"/>
        <w:contextualSpacing/>
        <w:rPr>
          <w:rFonts w:ascii="Calibri" w:eastAsia="Calibri" w:hAnsi="Calibri" w:cs="Calibri"/>
          <w:sz w:val="22"/>
          <w:szCs w:val="22"/>
          <w:lang w:val="en-GB"/>
        </w:rPr>
      </w:pPr>
      <w:r w:rsidRPr="000729CF">
        <w:rPr>
          <w:rFonts w:ascii="Calibri" w:eastAsia="Calibri" w:hAnsi="Calibri" w:cs="Calibri"/>
          <w:sz w:val="22"/>
          <w:szCs w:val="22"/>
          <w:lang w:val="en-GB"/>
        </w:rPr>
        <w:t>Collection and recovery of £104m Business Rate income;</w:t>
      </w:r>
    </w:p>
    <w:p w14:paraId="43731D12" w14:textId="77777777" w:rsidR="000729CF" w:rsidRPr="000729CF" w:rsidRDefault="000729CF" w:rsidP="00CE70A3">
      <w:pPr>
        <w:numPr>
          <w:ilvl w:val="0"/>
          <w:numId w:val="36"/>
        </w:numPr>
        <w:spacing w:after="160" w:line="259" w:lineRule="auto"/>
        <w:ind w:left="709"/>
        <w:contextualSpacing/>
        <w:rPr>
          <w:rFonts w:ascii="Calibri" w:eastAsia="Calibri" w:hAnsi="Calibri" w:cs="Calibri"/>
          <w:sz w:val="22"/>
          <w:szCs w:val="22"/>
          <w:lang w:val="en-GB"/>
        </w:rPr>
      </w:pPr>
      <w:r w:rsidRPr="000729CF">
        <w:rPr>
          <w:rFonts w:ascii="Calibri" w:eastAsia="Calibri" w:hAnsi="Calibri" w:cs="Calibri"/>
          <w:sz w:val="22"/>
          <w:szCs w:val="22"/>
          <w:lang w:val="en-GB"/>
        </w:rPr>
        <w:t>Processing of £113m Housing Benefit claims and managing the transfer to Universal Credit;</w:t>
      </w:r>
    </w:p>
    <w:p w14:paraId="322F1A2D" w14:textId="77777777" w:rsidR="000729CF" w:rsidRPr="000729CF" w:rsidRDefault="000729CF" w:rsidP="00CE70A3">
      <w:pPr>
        <w:numPr>
          <w:ilvl w:val="0"/>
          <w:numId w:val="36"/>
        </w:numPr>
        <w:spacing w:after="160" w:line="259" w:lineRule="auto"/>
        <w:ind w:left="709"/>
        <w:contextualSpacing/>
        <w:rPr>
          <w:rFonts w:ascii="Calibri" w:eastAsia="Calibri" w:hAnsi="Calibri" w:cs="Calibri"/>
          <w:sz w:val="22"/>
          <w:szCs w:val="22"/>
          <w:lang w:val="en-GB"/>
        </w:rPr>
      </w:pPr>
      <w:r w:rsidRPr="000729CF">
        <w:rPr>
          <w:rFonts w:ascii="Calibri" w:eastAsia="Calibri" w:hAnsi="Calibri" w:cs="Calibri"/>
          <w:sz w:val="22"/>
          <w:szCs w:val="22"/>
          <w:lang w:val="en-GB"/>
        </w:rPr>
        <w:t>Collection and recovery of Housing Benefit Overpayments;</w:t>
      </w:r>
    </w:p>
    <w:p w14:paraId="540BF3A2" w14:textId="77777777" w:rsidR="000729CF" w:rsidRPr="000729CF" w:rsidRDefault="000729CF" w:rsidP="00CE70A3">
      <w:pPr>
        <w:numPr>
          <w:ilvl w:val="0"/>
          <w:numId w:val="36"/>
        </w:numPr>
        <w:spacing w:after="160" w:line="259" w:lineRule="auto"/>
        <w:ind w:left="709"/>
        <w:contextualSpacing/>
        <w:rPr>
          <w:rFonts w:ascii="Calibri" w:eastAsia="Calibri" w:hAnsi="Calibri" w:cs="Calibri"/>
          <w:sz w:val="22"/>
          <w:szCs w:val="22"/>
          <w:lang w:val="en-GB"/>
        </w:rPr>
      </w:pPr>
      <w:r w:rsidRPr="000729CF">
        <w:rPr>
          <w:rFonts w:ascii="Calibri" w:eastAsia="Calibri" w:hAnsi="Calibri" w:cs="Calibri"/>
          <w:sz w:val="22"/>
          <w:szCs w:val="22"/>
          <w:lang w:val="en-GB"/>
        </w:rPr>
        <w:t>Developing and improving the council’s Corporate Debt Policy and approach to debt recovery and collection, with a greater focus on pre-enforcement support and advice, debt prevention, welfare rights and financial inclusion;</w:t>
      </w:r>
    </w:p>
    <w:p w14:paraId="698E6C09" w14:textId="77777777" w:rsidR="000729CF" w:rsidRPr="000729CF" w:rsidRDefault="000729CF" w:rsidP="00CE70A3">
      <w:pPr>
        <w:numPr>
          <w:ilvl w:val="0"/>
          <w:numId w:val="36"/>
        </w:numPr>
        <w:spacing w:after="160" w:line="259" w:lineRule="auto"/>
        <w:ind w:left="709"/>
        <w:contextualSpacing/>
        <w:rPr>
          <w:rFonts w:ascii="Calibri" w:eastAsia="Calibri" w:hAnsi="Calibri" w:cs="Calibri"/>
          <w:sz w:val="22"/>
          <w:szCs w:val="22"/>
          <w:lang w:val="en-GB"/>
        </w:rPr>
      </w:pPr>
      <w:r w:rsidRPr="000729CF">
        <w:rPr>
          <w:rFonts w:ascii="Calibri" w:eastAsia="Calibri" w:hAnsi="Calibri" w:cs="Calibri"/>
          <w:sz w:val="22"/>
          <w:szCs w:val="22"/>
          <w:lang w:val="en-GB"/>
        </w:rPr>
        <w:t>Collection and recovery of Adult Social Care and Sundry Debts (Business and Personal) (Accounts Receivable);</w:t>
      </w:r>
    </w:p>
    <w:p w14:paraId="17D37B79" w14:textId="77777777" w:rsidR="000729CF" w:rsidRPr="000729CF" w:rsidRDefault="000729CF" w:rsidP="00CE70A3">
      <w:pPr>
        <w:numPr>
          <w:ilvl w:val="0"/>
          <w:numId w:val="36"/>
        </w:numPr>
        <w:spacing w:after="160" w:line="259" w:lineRule="auto"/>
        <w:ind w:left="709"/>
        <w:contextualSpacing/>
        <w:rPr>
          <w:rFonts w:ascii="Calibri" w:eastAsia="Calibri" w:hAnsi="Calibri" w:cs="Calibri"/>
          <w:sz w:val="22"/>
          <w:szCs w:val="22"/>
          <w:lang w:val="en-GB"/>
        </w:rPr>
      </w:pPr>
      <w:r w:rsidRPr="000729CF">
        <w:rPr>
          <w:rFonts w:ascii="Calibri" w:eastAsia="Calibri" w:hAnsi="Calibri" w:cs="Calibri"/>
          <w:sz w:val="22"/>
          <w:szCs w:val="22"/>
          <w:lang w:val="en-GB"/>
        </w:rPr>
        <w:t>Payroll services to over 9,000 staff across the council, schools and other external organisations;</w:t>
      </w:r>
    </w:p>
    <w:p w14:paraId="2734A182" w14:textId="77777777" w:rsidR="000729CF" w:rsidRPr="000729CF" w:rsidRDefault="000729CF" w:rsidP="00CE70A3">
      <w:pPr>
        <w:numPr>
          <w:ilvl w:val="0"/>
          <w:numId w:val="36"/>
        </w:numPr>
        <w:spacing w:after="160" w:line="259" w:lineRule="auto"/>
        <w:ind w:left="709"/>
        <w:contextualSpacing/>
        <w:rPr>
          <w:rFonts w:ascii="Calibri" w:eastAsia="Calibri" w:hAnsi="Calibri" w:cs="Calibri"/>
          <w:sz w:val="22"/>
          <w:szCs w:val="22"/>
          <w:lang w:val="en-GB"/>
        </w:rPr>
      </w:pPr>
      <w:r w:rsidRPr="000729CF">
        <w:rPr>
          <w:rFonts w:ascii="Calibri" w:eastAsia="Calibri" w:hAnsi="Calibri" w:cs="Calibri"/>
          <w:sz w:val="22"/>
          <w:szCs w:val="22"/>
          <w:lang w:val="en-GB"/>
        </w:rPr>
        <w:t>Processing over 200,000 payments to the council’s suppliers and providers (Accounts Payable);</w:t>
      </w:r>
    </w:p>
    <w:p w14:paraId="2924B5D2" w14:textId="77777777" w:rsidR="000729CF" w:rsidRPr="000729CF" w:rsidRDefault="000729CF" w:rsidP="00CE70A3">
      <w:pPr>
        <w:numPr>
          <w:ilvl w:val="0"/>
          <w:numId w:val="36"/>
        </w:numPr>
        <w:spacing w:after="160" w:line="259" w:lineRule="auto"/>
        <w:ind w:left="709"/>
        <w:contextualSpacing/>
        <w:rPr>
          <w:rFonts w:ascii="Calibri" w:eastAsia="Calibri" w:hAnsi="Calibri" w:cs="Calibri"/>
          <w:sz w:val="22"/>
          <w:szCs w:val="22"/>
          <w:lang w:val="en-GB"/>
        </w:rPr>
      </w:pPr>
      <w:r w:rsidRPr="000729CF">
        <w:rPr>
          <w:rFonts w:ascii="Calibri" w:eastAsia="Calibri" w:hAnsi="Calibri" w:cs="Calibri"/>
          <w:sz w:val="22"/>
          <w:szCs w:val="22"/>
          <w:lang w:val="en-GB"/>
        </w:rPr>
        <w:t>Provision of banking, purchasing card and urgent payment services and the management of corporate financial information systems.</w:t>
      </w:r>
    </w:p>
    <w:p w14:paraId="005FF89C" w14:textId="77777777" w:rsidR="000729CF" w:rsidRPr="000729CF" w:rsidRDefault="000729CF" w:rsidP="000729CF">
      <w:pPr>
        <w:spacing w:before="20" w:after="20"/>
        <w:rPr>
          <w:rFonts w:ascii="Calibri" w:hAnsi="Calibri" w:cs="Calibri"/>
          <w:sz w:val="22"/>
          <w:szCs w:val="22"/>
          <w:lang w:val="en-GB"/>
        </w:rPr>
      </w:pPr>
      <w:r w:rsidRPr="000729CF">
        <w:rPr>
          <w:rFonts w:ascii="Calibri" w:hAnsi="Calibri" w:cs="Calibri"/>
          <w:sz w:val="22"/>
          <w:szCs w:val="22"/>
          <w:lang w:val="en-GB"/>
        </w:rPr>
        <w:t>Many of the services above are also involved in providing a wide range of traded or contracted services to schools, South Downs National Park Authority, the Coast to Capital LEP, Worthing &amp; Adur Councils, East Sussex Fire &amp; Rescue, Horsham District Council and others which generate significant incomes.</w:t>
      </w:r>
    </w:p>
    <w:p w14:paraId="7CD11870" w14:textId="77777777" w:rsidR="000729CF" w:rsidRDefault="000729CF" w:rsidP="000729CF">
      <w:pPr>
        <w:spacing w:before="20" w:after="20"/>
        <w:rPr>
          <w:rFonts w:ascii="Calibri" w:hAnsi="Calibri" w:cs="Calibri"/>
          <w:sz w:val="22"/>
          <w:szCs w:val="22"/>
          <w:lang w:val="en-GB"/>
        </w:rPr>
      </w:pPr>
    </w:p>
    <w:p w14:paraId="196150E8" w14:textId="77777777" w:rsidR="000729CF" w:rsidRDefault="000729CF" w:rsidP="000729CF">
      <w:pPr>
        <w:spacing w:before="20" w:after="20"/>
        <w:rPr>
          <w:rFonts w:ascii="Calibri" w:hAnsi="Calibri" w:cs="Calibri"/>
          <w:sz w:val="22"/>
          <w:szCs w:val="22"/>
          <w:lang w:val="en-GB"/>
        </w:rPr>
      </w:pPr>
    </w:p>
    <w:p w14:paraId="4081A947" w14:textId="77777777" w:rsidR="000729CF" w:rsidRDefault="000729CF" w:rsidP="000729CF">
      <w:pPr>
        <w:spacing w:before="20" w:after="20"/>
        <w:rPr>
          <w:rFonts w:ascii="Calibri" w:hAnsi="Calibri" w:cs="Calibri"/>
          <w:sz w:val="22"/>
          <w:szCs w:val="22"/>
          <w:lang w:val="en-GB"/>
        </w:rPr>
      </w:pPr>
    </w:p>
    <w:p w14:paraId="6738623A" w14:textId="77777777" w:rsidR="000729CF" w:rsidRDefault="000729CF" w:rsidP="000729CF">
      <w:pPr>
        <w:spacing w:before="20" w:after="20"/>
        <w:rPr>
          <w:rFonts w:ascii="Calibri" w:hAnsi="Calibri" w:cs="Calibri"/>
          <w:sz w:val="22"/>
          <w:szCs w:val="22"/>
          <w:lang w:val="en-GB"/>
        </w:rPr>
      </w:pPr>
    </w:p>
    <w:p w14:paraId="70B8B24F" w14:textId="77777777" w:rsidR="000729CF" w:rsidRDefault="000729CF" w:rsidP="000729CF">
      <w:pPr>
        <w:spacing w:before="20" w:after="20"/>
        <w:rPr>
          <w:rFonts w:ascii="Calibri" w:hAnsi="Calibri" w:cs="Calibri"/>
          <w:sz w:val="22"/>
          <w:szCs w:val="22"/>
          <w:lang w:val="en-GB"/>
        </w:rPr>
      </w:pPr>
    </w:p>
    <w:p w14:paraId="4DCE6B02" w14:textId="77777777" w:rsidR="000729CF" w:rsidRPr="000729CF" w:rsidRDefault="000729CF" w:rsidP="000729CF">
      <w:pPr>
        <w:spacing w:before="20" w:after="20"/>
        <w:rPr>
          <w:rFonts w:ascii="Calibri" w:hAnsi="Calibri" w:cs="Calibri"/>
          <w:sz w:val="22"/>
          <w:szCs w:val="22"/>
          <w:lang w:val="en-GB"/>
        </w:rPr>
      </w:pPr>
    </w:p>
    <w:p w14:paraId="7CA3817D" w14:textId="77777777" w:rsidR="000729CF" w:rsidRPr="000729CF" w:rsidRDefault="000729CF" w:rsidP="000729CF">
      <w:pPr>
        <w:spacing w:after="200" w:line="276" w:lineRule="auto"/>
        <w:rPr>
          <w:rFonts w:ascii="Calibri" w:eastAsia="Calibri" w:hAnsi="Calibri" w:cs="Calibri"/>
          <w:b/>
          <w:bCs/>
          <w:sz w:val="22"/>
          <w:szCs w:val="22"/>
          <w:u w:val="single"/>
          <w:lang w:val="en-GB"/>
        </w:rPr>
      </w:pPr>
      <w:r w:rsidRPr="000729CF">
        <w:rPr>
          <w:rFonts w:ascii="Calibri" w:eastAsia="Calibri" w:hAnsi="Calibri" w:cs="Calibri"/>
          <w:b/>
          <w:bCs/>
          <w:sz w:val="22"/>
          <w:szCs w:val="22"/>
          <w:u w:val="single"/>
          <w:lang w:val="en-GB"/>
        </w:rPr>
        <w:t>Budget Strategy</w:t>
      </w:r>
    </w:p>
    <w:p w14:paraId="27AB89EE" w14:textId="77777777" w:rsidR="000729CF" w:rsidRPr="000729CF" w:rsidRDefault="000729CF" w:rsidP="000729CF">
      <w:pPr>
        <w:spacing w:after="200" w:line="276" w:lineRule="auto"/>
        <w:rPr>
          <w:rFonts w:ascii="Calibri" w:eastAsia="Calibri" w:hAnsi="Calibri" w:cs="Calibri"/>
          <w:b/>
          <w:bCs/>
          <w:sz w:val="22"/>
          <w:szCs w:val="22"/>
          <w:lang w:val="en-GB"/>
        </w:rPr>
      </w:pPr>
      <w:r w:rsidRPr="000729CF">
        <w:rPr>
          <w:rFonts w:ascii="Calibri" w:eastAsia="Calibri" w:hAnsi="Calibri" w:cs="Calibri"/>
          <w:b/>
          <w:bCs/>
          <w:sz w:val="22"/>
          <w:szCs w:val="22"/>
          <w:lang w:val="en-GB"/>
        </w:rPr>
        <w:t>Direction of Travel</w:t>
      </w:r>
    </w:p>
    <w:p w14:paraId="7AD72A20" w14:textId="77777777" w:rsidR="000729CF" w:rsidRPr="000729CF" w:rsidRDefault="000729CF" w:rsidP="000729CF">
      <w:pPr>
        <w:spacing w:before="120" w:after="120"/>
        <w:rPr>
          <w:rFonts w:ascii="Calibri" w:eastAsia="Calibri" w:hAnsi="Calibri" w:cs="Calibri"/>
          <w:sz w:val="22"/>
          <w:szCs w:val="22"/>
          <w:lang w:val="en-GB"/>
        </w:rPr>
      </w:pPr>
      <w:r w:rsidRPr="000729CF">
        <w:rPr>
          <w:rFonts w:ascii="Calibri" w:eastAsia="Calibri" w:hAnsi="Calibri" w:cs="Calibri"/>
          <w:sz w:val="22"/>
          <w:szCs w:val="22"/>
          <w:lang w:val="en-GB"/>
        </w:rPr>
        <w:t>The directorate’s budget strategy will continue to adopt the strategies below in an attempt to meet an increasing volume and complexity of demands efficiently and effectively. However, this is increasingly requiring effective demand management, which is generally managed through prioritisation and risk stratification.</w:t>
      </w:r>
    </w:p>
    <w:p w14:paraId="2B781672" w14:textId="77777777" w:rsidR="000729CF" w:rsidRPr="000729CF" w:rsidRDefault="000729CF" w:rsidP="00CE70A3">
      <w:pPr>
        <w:numPr>
          <w:ilvl w:val="0"/>
          <w:numId w:val="36"/>
        </w:numPr>
        <w:spacing w:after="160" w:line="259" w:lineRule="auto"/>
        <w:ind w:left="709" w:hanging="357"/>
        <w:contextualSpacing/>
        <w:rPr>
          <w:rFonts w:ascii="Calibri" w:eastAsia="Calibri" w:hAnsi="Calibri" w:cs="Calibri"/>
          <w:sz w:val="22"/>
          <w:szCs w:val="22"/>
          <w:lang w:val="en-GB"/>
        </w:rPr>
      </w:pPr>
      <w:r w:rsidRPr="000729CF">
        <w:rPr>
          <w:rFonts w:ascii="Calibri" w:eastAsia="Calibri" w:hAnsi="Calibri" w:cs="Calibri"/>
          <w:sz w:val="22"/>
          <w:szCs w:val="22"/>
          <w:lang w:val="en-GB"/>
        </w:rPr>
        <w:t xml:space="preserve">The WRBS service brought together the Revenues &amp; Benefits service with the Business Operations service following the latter’s withdrawal from the Orbis Partnership on 1 April 2022. The bringing together of the services under WRBS has progressed reasonably well but current recruitment and retention issues are creating an additional challenge together with the enormous additional demands placed on the service including distributing Energy Boost payments, managing distribution of Household Support Funds and being the primary hub supporting hardship support and the Homes for Ukrainians programme. </w:t>
      </w:r>
    </w:p>
    <w:p w14:paraId="3901E0F7" w14:textId="77777777" w:rsidR="000729CF" w:rsidRPr="000729CF" w:rsidRDefault="000729CF" w:rsidP="00CE70A3">
      <w:pPr>
        <w:numPr>
          <w:ilvl w:val="0"/>
          <w:numId w:val="36"/>
        </w:numPr>
        <w:spacing w:after="160" w:line="259" w:lineRule="auto"/>
        <w:ind w:left="709" w:hanging="357"/>
        <w:contextualSpacing/>
        <w:rPr>
          <w:rFonts w:ascii="Calibri" w:eastAsia="Calibri" w:hAnsi="Calibri" w:cs="Calibri"/>
          <w:sz w:val="22"/>
          <w:szCs w:val="22"/>
          <w:lang w:val="en-GB"/>
        </w:rPr>
      </w:pPr>
      <w:r w:rsidRPr="000729CF">
        <w:rPr>
          <w:rFonts w:ascii="Calibri" w:eastAsia="Calibri" w:hAnsi="Calibri" w:cs="Calibri"/>
          <w:sz w:val="22"/>
          <w:szCs w:val="22"/>
          <w:lang w:val="en-GB"/>
        </w:rPr>
        <w:t>All services continue to explore further opportunities for collaboration, innovation and efficiency through improved use of technology, closer working with other directorates to design improved customer journeys and experience and exploring opportunities to bring services or skills together.</w:t>
      </w:r>
    </w:p>
    <w:p w14:paraId="18203D7F" w14:textId="77777777" w:rsidR="000729CF" w:rsidRPr="000729CF" w:rsidRDefault="000729CF" w:rsidP="00CE70A3">
      <w:pPr>
        <w:numPr>
          <w:ilvl w:val="0"/>
          <w:numId w:val="36"/>
        </w:numPr>
        <w:spacing w:after="160" w:line="259" w:lineRule="auto"/>
        <w:ind w:left="709" w:hanging="357"/>
        <w:contextualSpacing/>
        <w:rPr>
          <w:rFonts w:ascii="Calibri" w:eastAsia="Calibri" w:hAnsi="Calibri" w:cs="Calibri"/>
          <w:sz w:val="22"/>
          <w:szCs w:val="22"/>
          <w:lang w:val="en-GB"/>
        </w:rPr>
      </w:pPr>
      <w:r w:rsidRPr="000729CF">
        <w:rPr>
          <w:rFonts w:ascii="Calibri" w:eastAsia="Calibri" w:hAnsi="Calibri" w:cs="Calibri"/>
          <w:sz w:val="22"/>
          <w:szCs w:val="22"/>
          <w:lang w:val="en-GB"/>
        </w:rPr>
        <w:t>Similarly, continued implementation of systems developments, automation and digital services to improve customer service and deliver potential efficiencies. In particular, GPR has embarked on a major procurement process for the replacement of the council’s Corporate Information Systems (e.g. HR, Finance, Payroll, Procurement) which is expected to be concluded in spring 2023 with implementation of new systems by April 2025.</w:t>
      </w:r>
    </w:p>
    <w:p w14:paraId="27E3FBD8" w14:textId="77777777" w:rsidR="000729CF" w:rsidRPr="000729CF" w:rsidRDefault="000729CF" w:rsidP="00CE70A3">
      <w:pPr>
        <w:numPr>
          <w:ilvl w:val="0"/>
          <w:numId w:val="36"/>
        </w:numPr>
        <w:spacing w:after="160" w:line="259" w:lineRule="auto"/>
        <w:ind w:left="709" w:hanging="357"/>
        <w:contextualSpacing/>
        <w:rPr>
          <w:rFonts w:ascii="Calibri" w:eastAsia="Calibri" w:hAnsi="Calibri" w:cs="Calibri"/>
          <w:sz w:val="22"/>
          <w:szCs w:val="22"/>
          <w:lang w:val="en-GB"/>
        </w:rPr>
      </w:pPr>
      <w:r w:rsidRPr="000729CF">
        <w:rPr>
          <w:rFonts w:ascii="Calibri" w:eastAsia="Calibri" w:hAnsi="Calibri" w:cs="Calibri"/>
          <w:sz w:val="22"/>
          <w:szCs w:val="22"/>
          <w:lang w:val="en-GB"/>
        </w:rPr>
        <w:t>Continued investment in enhanced Business Partnering skills and ongoing realignment of the workforce skill mix to support the aim of being an effective Strategic Business Partner to the organisation.</w:t>
      </w:r>
    </w:p>
    <w:p w14:paraId="7041449D" w14:textId="77777777" w:rsidR="000729CF" w:rsidRPr="000729CF" w:rsidRDefault="000729CF" w:rsidP="00CE70A3">
      <w:pPr>
        <w:numPr>
          <w:ilvl w:val="0"/>
          <w:numId w:val="36"/>
        </w:numPr>
        <w:spacing w:after="160" w:line="259" w:lineRule="auto"/>
        <w:ind w:left="709" w:hanging="357"/>
        <w:contextualSpacing/>
        <w:rPr>
          <w:rFonts w:ascii="Calibri" w:eastAsia="Calibri" w:hAnsi="Calibri" w:cs="Calibri"/>
          <w:sz w:val="22"/>
          <w:szCs w:val="22"/>
          <w:lang w:val="en-GB"/>
        </w:rPr>
      </w:pPr>
      <w:r w:rsidRPr="000729CF">
        <w:rPr>
          <w:rFonts w:ascii="Calibri" w:eastAsia="Calibri" w:hAnsi="Calibri" w:cs="Calibri"/>
          <w:sz w:val="22"/>
          <w:szCs w:val="22"/>
          <w:lang w:val="en-GB"/>
        </w:rPr>
        <w:t>Utilising external peer challenge and reviews (at corporate and service level) to assist the authority in identifying strategic opportunities for improvement.</w:t>
      </w:r>
    </w:p>
    <w:p w14:paraId="12F22F41" w14:textId="77777777" w:rsidR="000729CF" w:rsidRPr="000729CF" w:rsidRDefault="000729CF" w:rsidP="00CE70A3">
      <w:pPr>
        <w:numPr>
          <w:ilvl w:val="0"/>
          <w:numId w:val="36"/>
        </w:numPr>
        <w:spacing w:after="160" w:line="259" w:lineRule="auto"/>
        <w:ind w:left="709" w:hanging="357"/>
        <w:contextualSpacing/>
        <w:rPr>
          <w:rFonts w:ascii="Calibri" w:eastAsia="Calibri" w:hAnsi="Calibri" w:cs="Calibri"/>
          <w:sz w:val="22"/>
          <w:szCs w:val="22"/>
          <w:lang w:val="en-GB"/>
        </w:rPr>
      </w:pPr>
      <w:r w:rsidRPr="000729CF">
        <w:rPr>
          <w:rFonts w:ascii="Calibri" w:eastAsia="Calibri" w:hAnsi="Calibri" w:cs="Calibri"/>
          <w:sz w:val="22"/>
          <w:szCs w:val="22"/>
          <w:lang w:val="en-GB"/>
        </w:rPr>
        <w:t>To deliver debt prevention, welfare reform and cost of living responses that minimise the financial and administrative costs of supporting financial vulnerable households across all council services.</w:t>
      </w:r>
    </w:p>
    <w:p w14:paraId="700B7999" w14:textId="77777777" w:rsidR="000729CF" w:rsidRPr="000729CF" w:rsidRDefault="000729CF" w:rsidP="00CE70A3">
      <w:pPr>
        <w:numPr>
          <w:ilvl w:val="0"/>
          <w:numId w:val="36"/>
        </w:numPr>
        <w:spacing w:after="160" w:line="259" w:lineRule="auto"/>
        <w:ind w:left="709" w:hanging="357"/>
        <w:contextualSpacing/>
        <w:rPr>
          <w:rFonts w:ascii="Calibri" w:eastAsia="Calibri" w:hAnsi="Calibri" w:cs="Calibri"/>
          <w:sz w:val="22"/>
          <w:szCs w:val="22"/>
          <w:lang w:val="en-GB"/>
        </w:rPr>
      </w:pPr>
      <w:r w:rsidRPr="000729CF">
        <w:rPr>
          <w:rFonts w:ascii="Calibri" w:eastAsia="Calibri" w:hAnsi="Calibri" w:cs="Calibri"/>
          <w:sz w:val="22"/>
          <w:szCs w:val="22"/>
          <w:lang w:val="en-GB"/>
        </w:rPr>
        <w:t>Continued focus on maintaining and, where possible, increasing external income streams including renewal of contracts to existing customers including South Downs National Park and East Sussex Fire &amp; Rescue Service alongside the pursuit of new income streams from other authorities. However, this must not be at the expense of service quality to the council and its residents and customers.</w:t>
      </w:r>
    </w:p>
    <w:p w14:paraId="0344CA23" w14:textId="77777777" w:rsidR="000729CF" w:rsidRPr="000729CF" w:rsidRDefault="000729CF" w:rsidP="00CE70A3">
      <w:pPr>
        <w:numPr>
          <w:ilvl w:val="0"/>
          <w:numId w:val="36"/>
        </w:numPr>
        <w:spacing w:after="160" w:line="259" w:lineRule="auto"/>
        <w:ind w:left="709" w:hanging="357"/>
        <w:contextualSpacing/>
        <w:rPr>
          <w:rFonts w:ascii="Calibri" w:eastAsia="Calibri" w:hAnsi="Calibri" w:cs="Calibri"/>
          <w:sz w:val="22"/>
          <w:szCs w:val="22"/>
          <w:lang w:val="en-GB"/>
        </w:rPr>
      </w:pPr>
      <w:r w:rsidRPr="000729CF">
        <w:rPr>
          <w:rFonts w:ascii="Calibri" w:eastAsia="Calibri" w:hAnsi="Calibri" w:cs="Calibri"/>
          <w:sz w:val="22"/>
          <w:szCs w:val="22"/>
          <w:lang w:val="en-GB"/>
        </w:rPr>
        <w:t>Investing in a new case management system to secure ongoing ability to work remotely, efficiently and sustainably.</w:t>
      </w:r>
    </w:p>
    <w:p w14:paraId="010B5565" w14:textId="77777777" w:rsidR="000729CF" w:rsidRPr="000729CF" w:rsidRDefault="000729CF" w:rsidP="00CE70A3">
      <w:pPr>
        <w:numPr>
          <w:ilvl w:val="0"/>
          <w:numId w:val="36"/>
        </w:numPr>
        <w:spacing w:after="160" w:line="259" w:lineRule="auto"/>
        <w:ind w:left="709" w:hanging="357"/>
        <w:contextualSpacing/>
        <w:rPr>
          <w:rFonts w:ascii="Calibri" w:eastAsia="Calibri" w:hAnsi="Calibri" w:cs="Calibri"/>
          <w:sz w:val="22"/>
          <w:szCs w:val="22"/>
          <w:lang w:val="en-GB"/>
        </w:rPr>
      </w:pPr>
      <w:r w:rsidRPr="000729CF">
        <w:rPr>
          <w:rFonts w:ascii="Calibri" w:eastAsia="Calibri" w:hAnsi="Calibri" w:cs="Calibri"/>
          <w:sz w:val="22"/>
          <w:szCs w:val="22"/>
          <w:lang w:val="en-GB"/>
        </w:rPr>
        <w:t>Recruiting new trainees, apprentices and internships to mitigate the challenges of recruiting qualified professional staff.</w:t>
      </w:r>
    </w:p>
    <w:p w14:paraId="2AD7AB68" w14:textId="77777777" w:rsidR="000729CF" w:rsidRPr="000729CF" w:rsidRDefault="000729CF" w:rsidP="000729CF">
      <w:pPr>
        <w:spacing w:before="120" w:after="120" w:line="276" w:lineRule="auto"/>
        <w:rPr>
          <w:rFonts w:ascii="Calibri" w:hAnsi="Calibri" w:cs="Calibri"/>
          <w:b/>
          <w:bCs/>
          <w:sz w:val="22"/>
          <w:szCs w:val="22"/>
          <w:lang w:val="en-GB"/>
        </w:rPr>
      </w:pPr>
    </w:p>
    <w:p w14:paraId="2ED78998" w14:textId="77777777" w:rsidR="000729CF" w:rsidRPr="000729CF" w:rsidRDefault="000729CF" w:rsidP="000729CF">
      <w:pPr>
        <w:spacing w:before="120" w:after="120" w:line="276" w:lineRule="auto"/>
        <w:rPr>
          <w:rFonts w:ascii="Calibri" w:hAnsi="Calibri" w:cs="Calibri"/>
          <w:b/>
          <w:bCs/>
          <w:sz w:val="22"/>
          <w:szCs w:val="22"/>
          <w:lang w:val="en-GB"/>
        </w:rPr>
      </w:pPr>
      <w:r w:rsidRPr="000729CF">
        <w:rPr>
          <w:rFonts w:ascii="Calibri" w:hAnsi="Calibri" w:cs="Calibri"/>
          <w:b/>
          <w:bCs/>
          <w:sz w:val="22"/>
          <w:szCs w:val="22"/>
          <w:lang w:val="en-GB"/>
        </w:rPr>
        <w:t>Areas of Focus for Savings</w:t>
      </w:r>
    </w:p>
    <w:p w14:paraId="1DC66A98" w14:textId="77777777" w:rsidR="000729CF" w:rsidRPr="000729CF" w:rsidRDefault="000729CF" w:rsidP="000729CF">
      <w:pPr>
        <w:spacing w:before="120" w:after="120"/>
        <w:rPr>
          <w:rFonts w:ascii="Calibri" w:hAnsi="Calibri" w:cs="Calibri"/>
          <w:sz w:val="22"/>
          <w:szCs w:val="22"/>
          <w:lang w:val="en-GB"/>
        </w:rPr>
      </w:pPr>
      <w:r w:rsidRPr="000729CF">
        <w:rPr>
          <w:rFonts w:ascii="Calibri" w:hAnsi="Calibri" w:cs="Calibri"/>
          <w:b/>
          <w:bCs/>
          <w:sz w:val="22"/>
          <w:szCs w:val="22"/>
          <w:lang w:val="en-GB"/>
        </w:rPr>
        <w:t>All Services:</w:t>
      </w:r>
      <w:r w:rsidRPr="000729CF">
        <w:rPr>
          <w:rFonts w:ascii="Calibri" w:hAnsi="Calibri" w:cs="Calibri"/>
          <w:sz w:val="22"/>
          <w:szCs w:val="22"/>
          <w:lang w:val="en-GB"/>
        </w:rPr>
        <w:t xml:space="preserve"> Services continue to explore opportunities to generate income and contribute to corporate overheads. Services are already provided to Adur &amp; Worthing Councils, South Downs National Park, schools and other authorities. Bidding for new work has to carefully balance the value of the income generated with the potential impact on capacity to support the council.</w:t>
      </w:r>
    </w:p>
    <w:p w14:paraId="5FF4074C" w14:textId="77777777" w:rsidR="000729CF" w:rsidRPr="000729CF" w:rsidRDefault="000729CF" w:rsidP="000729CF">
      <w:pPr>
        <w:spacing w:before="120" w:after="120"/>
        <w:rPr>
          <w:rFonts w:ascii="Calibri" w:hAnsi="Calibri" w:cs="Calibri"/>
          <w:sz w:val="22"/>
          <w:szCs w:val="22"/>
          <w:lang w:val="en-GB"/>
        </w:rPr>
      </w:pPr>
      <w:r w:rsidRPr="000729CF">
        <w:rPr>
          <w:rFonts w:ascii="Calibri" w:hAnsi="Calibri" w:cs="Calibri"/>
          <w:b/>
          <w:bCs/>
          <w:sz w:val="22"/>
          <w:szCs w:val="22"/>
          <w:lang w:val="en-GB"/>
        </w:rPr>
        <w:t>Corporate Policy &amp; Communications:</w:t>
      </w:r>
      <w:r w:rsidRPr="000729CF">
        <w:rPr>
          <w:rFonts w:ascii="Calibri" w:hAnsi="Calibri" w:cs="Calibri"/>
          <w:sz w:val="22"/>
          <w:szCs w:val="22"/>
          <w:lang w:val="en-GB"/>
        </w:rPr>
        <w:t xml:space="preserve"> The Policy &amp; Communication teams have undergone respective restructures to reduce team size to meet budget cuts. Further savings will be made which will reduce the level of support that can be provided to services and limit the ability to meet the council's partnership, communication and engagement ambitions. The Policy team will deliver further savings to the organisation through developing plans and strategies for service areas that would otherwise be out commissioned to consultants at a higher cost. The Communications team will deliver further savings to the organisation through managing a single online engagement platform for the council, in place of service areas commissioning separate systems. </w:t>
      </w:r>
    </w:p>
    <w:p w14:paraId="2FC8C80A" w14:textId="77777777" w:rsidR="000729CF" w:rsidRPr="000729CF" w:rsidRDefault="000729CF" w:rsidP="000729CF">
      <w:pPr>
        <w:spacing w:before="120" w:after="120"/>
        <w:rPr>
          <w:rFonts w:ascii="Calibri" w:hAnsi="Calibri" w:cs="Calibri"/>
          <w:sz w:val="22"/>
          <w:szCs w:val="22"/>
          <w:lang w:val="en-GB"/>
        </w:rPr>
      </w:pPr>
      <w:r w:rsidRPr="000729CF">
        <w:rPr>
          <w:rFonts w:ascii="Calibri" w:hAnsi="Calibri" w:cs="Calibri"/>
          <w:b/>
          <w:bCs/>
          <w:sz w:val="22"/>
          <w:szCs w:val="22"/>
          <w:lang w:val="en-GB"/>
        </w:rPr>
        <w:t>Procurement:</w:t>
      </w:r>
      <w:r w:rsidRPr="000729CF">
        <w:rPr>
          <w:rFonts w:ascii="Calibri" w:hAnsi="Calibri" w:cs="Calibri"/>
          <w:sz w:val="22"/>
          <w:szCs w:val="22"/>
          <w:lang w:val="en-GB"/>
        </w:rPr>
        <w:t xml:space="preserve"> This Orbis service is implementing a modernisation programme aimed at stratifying (banding) support to procurement projects based on size, complexity and risk as well as creating specialist services to improve efficiency and collaboration including a central policy team, the Sourcing Solutions team managing lower value commissions, and a Procurement Hub able to flex resources to support customer departments. Additional contract management resources were previously approved and provide targeted support to contract managers for higher risk contracts and develop the procurement approach to Community Wealth Building.</w:t>
      </w:r>
    </w:p>
    <w:p w14:paraId="44AEE620" w14:textId="77777777" w:rsidR="000729CF" w:rsidRPr="000729CF" w:rsidRDefault="000729CF" w:rsidP="000729CF">
      <w:pPr>
        <w:spacing w:before="120" w:after="120" w:line="276" w:lineRule="auto"/>
        <w:rPr>
          <w:rFonts w:ascii="Calibri" w:hAnsi="Calibri" w:cs="Calibri"/>
          <w:sz w:val="22"/>
          <w:szCs w:val="22"/>
          <w:lang w:val="en-GB"/>
        </w:rPr>
      </w:pPr>
      <w:r w:rsidRPr="000729CF">
        <w:rPr>
          <w:rFonts w:ascii="Calibri" w:hAnsi="Calibri" w:cs="Calibri"/>
          <w:b/>
          <w:bCs/>
          <w:sz w:val="22"/>
          <w:szCs w:val="22"/>
          <w:lang w:val="en-GB"/>
        </w:rPr>
        <w:t>Welfare, Revenues &amp; Business Support (WRBS):</w:t>
      </w:r>
      <w:r w:rsidRPr="000729CF">
        <w:rPr>
          <w:rFonts w:ascii="Calibri" w:hAnsi="Calibri" w:cs="Calibri"/>
          <w:sz w:val="22"/>
          <w:szCs w:val="22"/>
          <w:lang w:val="en-GB"/>
        </w:rPr>
        <w:t xml:space="preserve"> Continued roll-out of the Universal Credit caseload to the DWP and continued investment in digital customer developments and automation are required to support the achievement of efficiencies in this service which will accelerate over the next 4 years subject to no further delays to the transfer. The impact of the cost of living has been very significant on the service which has administered vouchers and hardship funds for the city funded from Household Support Fund tranches, which will continue in 2023/24.</w:t>
      </w:r>
    </w:p>
    <w:p w14:paraId="04BF1FD6" w14:textId="77777777" w:rsidR="000729CF" w:rsidRPr="000729CF" w:rsidRDefault="000729CF" w:rsidP="000729CF">
      <w:pPr>
        <w:spacing w:before="120" w:after="120" w:line="276" w:lineRule="auto"/>
        <w:rPr>
          <w:rFonts w:ascii="Calibri" w:hAnsi="Calibri" w:cs="Calibri"/>
          <w:sz w:val="22"/>
          <w:szCs w:val="22"/>
          <w:lang w:val="en-GB"/>
        </w:rPr>
      </w:pPr>
      <w:r w:rsidRPr="000729CF">
        <w:rPr>
          <w:rFonts w:ascii="Calibri" w:hAnsi="Calibri" w:cs="Calibri"/>
          <w:sz w:val="22"/>
          <w:szCs w:val="22"/>
          <w:lang w:val="en-GB"/>
        </w:rPr>
        <w:t>The withdrawal of the former Business Operations service from the Orbis Partnership on 1 April 2022 created a significant cost pressure due to the disaggregation of some integrated posts and services, and the need to address unachieved Orbis Business Plan savings. This budget pressure will need to be addressed in the 2023/24 General Fund budget but in the longer term, bringing together Business Operations and Revenues &amp; Benefits services is expected to generate efficiencies through improved use of digital and application technologies to reduce costs and improve customer service over the medium term, particularly with the implementation of replacement corporate systems in 2025.</w:t>
      </w:r>
    </w:p>
    <w:p w14:paraId="33350FC9" w14:textId="77777777" w:rsidR="000729CF" w:rsidRPr="000729CF" w:rsidRDefault="000729CF" w:rsidP="000729CF">
      <w:pPr>
        <w:spacing w:before="120" w:after="120" w:line="276" w:lineRule="auto"/>
        <w:rPr>
          <w:rFonts w:ascii="Calibri" w:hAnsi="Calibri" w:cs="Calibri"/>
          <w:sz w:val="22"/>
          <w:szCs w:val="22"/>
          <w:lang w:val="en-GB"/>
        </w:rPr>
      </w:pPr>
      <w:r w:rsidRPr="000729CF">
        <w:rPr>
          <w:rFonts w:ascii="Calibri" w:hAnsi="Calibri" w:cs="Calibri"/>
          <w:b/>
          <w:bCs/>
          <w:sz w:val="22"/>
          <w:szCs w:val="22"/>
          <w:lang w:val="en-GB"/>
        </w:rPr>
        <w:t>IT&amp;D:</w:t>
      </w:r>
      <w:r w:rsidRPr="000729CF">
        <w:rPr>
          <w:rFonts w:ascii="Calibri" w:hAnsi="Calibri" w:cs="Calibri"/>
          <w:sz w:val="22"/>
          <w:szCs w:val="22"/>
          <w:lang w:val="en-GB"/>
        </w:rPr>
        <w:t xml:space="preserve"> Further contractual savings are sought in all re-procurements undertaken by IT&amp;D across the Orbis Partnership. Opportunities for joint procurement and licensing are explored and waivers are used judiciously to align contract expiries to facilitate this. However, the historic under-investment in IT infrastructure, devices, network upgrades and access security have added significantly to IT&amp;D costs while there is a need to continue investment in digital developments and platforms, the wide area network (Link replacement) and major corporate systems. These and other investments require step increases in funding to be provided within the Medium Term Financial Strategy and therefore the aim of the service is to minimise these increases through the actions above.</w:t>
      </w:r>
    </w:p>
    <w:p w14:paraId="15AB70F5" w14:textId="77777777" w:rsidR="000729CF" w:rsidRPr="000729CF" w:rsidRDefault="000729CF" w:rsidP="000729CF">
      <w:pPr>
        <w:spacing w:before="120" w:after="120" w:line="276" w:lineRule="auto"/>
        <w:rPr>
          <w:rFonts w:ascii="Calibri" w:hAnsi="Calibri" w:cs="Calibri"/>
          <w:sz w:val="22"/>
          <w:szCs w:val="22"/>
          <w:lang w:val="en-GB"/>
        </w:rPr>
      </w:pPr>
      <w:r w:rsidRPr="000729CF">
        <w:rPr>
          <w:rFonts w:ascii="Calibri" w:hAnsi="Calibri" w:cs="Calibri"/>
          <w:b/>
          <w:bCs/>
          <w:sz w:val="22"/>
          <w:szCs w:val="22"/>
          <w:lang w:val="en-GB"/>
        </w:rPr>
        <w:t xml:space="preserve">Legal, Finance and HR Services: </w:t>
      </w:r>
      <w:r w:rsidRPr="000729CF">
        <w:rPr>
          <w:rFonts w:ascii="Calibri" w:hAnsi="Calibri" w:cs="Calibri"/>
          <w:sz w:val="22"/>
          <w:szCs w:val="22"/>
          <w:lang w:val="en-GB"/>
        </w:rPr>
        <w:t>These services are under considerable pressure due to the high level of change and business activity across the organisation which is increasing year-on-year driven by growing financial pressures across services, significantly increased industrial relations activity, and new or strengthened legislation requiring legal support and casework. The services will continue to use demand management tactics such as restricting legal involvement to more complex or high risk issues and automating processes wherever possible, stratifying support to more complex or higher risk areas of work, and reducing failure demands (non-valued added processes). There is also continued exploration of opportunities to increase in income from external work but bidding for new work has to carefully balance the value of the income generated with the potential impact on capacity to support the council. These services will also introduce ‘vacancy factors’ recognising historic turnover and recruitment trends.</w:t>
      </w:r>
    </w:p>
    <w:p w14:paraId="6D191FCC" w14:textId="10587FAC" w:rsidR="000729CF" w:rsidRPr="000729CF" w:rsidRDefault="000729CF" w:rsidP="000729CF">
      <w:pPr>
        <w:spacing w:before="120" w:after="120"/>
        <w:rPr>
          <w:rFonts w:ascii="Calibri" w:eastAsia="Calibri" w:hAnsi="Calibri" w:cs="Calibri"/>
          <w:sz w:val="22"/>
          <w:szCs w:val="22"/>
          <w:lang w:val="en-GB"/>
        </w:rPr>
      </w:pPr>
      <w:r w:rsidRPr="000729CF">
        <w:rPr>
          <w:rFonts w:ascii="Calibri" w:eastAsia="Calibri" w:hAnsi="Calibri" w:cs="Calibri"/>
          <w:b/>
          <w:bCs/>
          <w:sz w:val="22"/>
          <w:szCs w:val="22"/>
          <w:lang w:val="en-GB"/>
        </w:rPr>
        <w:t>Customer, Modernisation &amp; Performance:</w:t>
      </w:r>
      <w:r w:rsidRPr="000729CF">
        <w:rPr>
          <w:rFonts w:ascii="Calibri" w:eastAsia="Calibri" w:hAnsi="Calibri" w:cs="Calibri"/>
          <w:sz w:val="22"/>
          <w:szCs w:val="22"/>
          <w:lang w:val="en-GB"/>
        </w:rPr>
        <w:t xml:space="preserve"> It is proposed to review the service based on priorities and customer demand which will enable  compliance within the  information rights team. A significant element of the service is not core funded, being supported by the Modernisation Fund.</w:t>
      </w:r>
    </w:p>
    <w:p w14:paraId="1957E6F1" w14:textId="77777777" w:rsidR="000729CF" w:rsidRDefault="000729CF" w:rsidP="000729CF">
      <w:pPr>
        <w:spacing w:before="120" w:after="120" w:line="276" w:lineRule="auto"/>
        <w:rPr>
          <w:rFonts w:ascii="Calibri" w:hAnsi="Calibri" w:cs="Calibri"/>
          <w:b/>
          <w:bCs/>
          <w:sz w:val="22"/>
          <w:szCs w:val="22"/>
          <w:lang w:val="en-GB"/>
        </w:rPr>
      </w:pPr>
    </w:p>
    <w:p w14:paraId="1EE3A9C1" w14:textId="77777777" w:rsidR="000729CF" w:rsidRDefault="000729CF" w:rsidP="000729CF">
      <w:pPr>
        <w:spacing w:before="120" w:after="120" w:line="276" w:lineRule="auto"/>
        <w:rPr>
          <w:rFonts w:ascii="Calibri" w:hAnsi="Calibri" w:cs="Calibri"/>
          <w:b/>
          <w:bCs/>
          <w:sz w:val="22"/>
          <w:szCs w:val="22"/>
          <w:lang w:val="en-GB"/>
        </w:rPr>
      </w:pPr>
    </w:p>
    <w:p w14:paraId="77E5C92C" w14:textId="5C435A14" w:rsidR="000729CF" w:rsidRPr="000729CF" w:rsidRDefault="000729CF" w:rsidP="000729CF">
      <w:pPr>
        <w:spacing w:before="120" w:after="120" w:line="276" w:lineRule="auto"/>
        <w:rPr>
          <w:rFonts w:ascii="Calibri" w:hAnsi="Calibri" w:cs="Calibri"/>
          <w:b/>
          <w:bCs/>
          <w:sz w:val="22"/>
          <w:szCs w:val="22"/>
          <w:lang w:val="en-GB"/>
        </w:rPr>
      </w:pPr>
      <w:r w:rsidRPr="000729CF">
        <w:rPr>
          <w:rFonts w:ascii="Calibri" w:hAnsi="Calibri" w:cs="Calibri"/>
          <w:b/>
          <w:bCs/>
          <w:sz w:val="22"/>
          <w:szCs w:val="22"/>
          <w:lang w:val="en-GB"/>
        </w:rPr>
        <w:t>Areas for Investment</w:t>
      </w:r>
    </w:p>
    <w:p w14:paraId="456384C3" w14:textId="77777777" w:rsidR="000729CF" w:rsidRPr="000729CF" w:rsidRDefault="000729CF" w:rsidP="000729CF">
      <w:pPr>
        <w:spacing w:before="120" w:after="120" w:line="276" w:lineRule="auto"/>
        <w:rPr>
          <w:rFonts w:ascii="Calibri" w:hAnsi="Calibri" w:cs="Calibri"/>
          <w:sz w:val="22"/>
          <w:szCs w:val="22"/>
          <w:lang w:val="en-GB"/>
        </w:rPr>
      </w:pPr>
      <w:r w:rsidRPr="000729CF">
        <w:rPr>
          <w:rFonts w:ascii="Calibri" w:hAnsi="Calibri" w:cs="Calibri"/>
          <w:sz w:val="22"/>
          <w:szCs w:val="22"/>
          <w:lang w:val="en-GB"/>
        </w:rPr>
        <w:t>Investment in ‘Our People Promise’ and the supporting development activities and actions are proposed to be maintained in 2023/24 utilising capital receipt flexibilities through the Modernisation Fund. This funding is inclusive of £0.120m that funds the Policy, Pay and Reward team.</w:t>
      </w:r>
    </w:p>
    <w:p w14:paraId="15E8F659" w14:textId="77777777" w:rsidR="000729CF" w:rsidRPr="000729CF" w:rsidRDefault="000729CF" w:rsidP="000729CF">
      <w:pPr>
        <w:spacing w:before="120" w:after="120" w:line="276" w:lineRule="auto"/>
        <w:rPr>
          <w:rFonts w:ascii="Calibri" w:hAnsi="Calibri" w:cs="Calibri"/>
          <w:sz w:val="22"/>
          <w:szCs w:val="22"/>
          <w:lang w:val="en-GB"/>
        </w:rPr>
      </w:pPr>
      <w:r w:rsidRPr="000729CF">
        <w:rPr>
          <w:rFonts w:ascii="Calibri" w:hAnsi="Calibri" w:cs="Calibri"/>
          <w:sz w:val="22"/>
          <w:szCs w:val="22"/>
          <w:lang w:val="en-GB"/>
        </w:rPr>
        <w:t>As noted earlier, substantial investment in IT&amp;D and the Digital Strategy will be required and this will ultimately require step increases of £0.500m per annum in financing costs and for increases in IT&amp;D revenue budgets to be built into the council’s Medium Term Financial Strategy. However, this may be funded through the Modernisation Fund in the short term subject to available recurrent revenue resources. This will cover necessary upgrades to the IT infrastructure, equipment replacement programmes, re-procurement of the Wide Area Network (The Link), funding for the digital development function, and licensing of major application suites (e.g. Office 365).</w:t>
      </w:r>
    </w:p>
    <w:p w14:paraId="253F6F14" w14:textId="77777777" w:rsidR="000729CF" w:rsidRPr="000729CF" w:rsidRDefault="000729CF" w:rsidP="000729CF">
      <w:pPr>
        <w:spacing w:before="120" w:after="120" w:line="276" w:lineRule="auto"/>
        <w:rPr>
          <w:rFonts w:ascii="Calibri" w:hAnsi="Calibri" w:cs="Calibri"/>
          <w:sz w:val="22"/>
          <w:szCs w:val="22"/>
          <w:lang w:val="en-GB"/>
        </w:rPr>
      </w:pPr>
      <w:r w:rsidRPr="000729CF">
        <w:rPr>
          <w:rFonts w:ascii="Calibri" w:hAnsi="Calibri" w:cs="Calibri"/>
          <w:sz w:val="22"/>
          <w:szCs w:val="22"/>
          <w:lang w:val="en-GB"/>
        </w:rPr>
        <w:t>Expert advisory was commissioned to help the council review and determine the future of its corporate information systems including the Financial System and the HR/Payroll system. The review concluded that the systems (well over 10 years old) are not fit for purpose and that replacement with an Enterprise Resource Planning (ERP) system (highly integrated systems) would be likely to provide the best solution and opportunities for efficiencies in future. However, the cost v benefit of an ERP need to be assured and therefore other ‘best of breed’ options will be kept open through the procurement process which has commenced and will be resourced through capital investment, including through to implementation of any procured replacement.</w:t>
      </w:r>
    </w:p>
    <w:p w14:paraId="0D951554" w14:textId="77777777" w:rsidR="000729CF" w:rsidRPr="000729CF" w:rsidRDefault="000729CF" w:rsidP="000729CF">
      <w:pPr>
        <w:spacing w:before="120" w:after="120" w:line="276" w:lineRule="auto"/>
        <w:rPr>
          <w:rFonts w:ascii="Calibri" w:hAnsi="Calibri" w:cs="Calibri"/>
          <w:sz w:val="22"/>
          <w:szCs w:val="22"/>
          <w:lang w:val="en-GB"/>
        </w:rPr>
      </w:pPr>
      <w:r w:rsidRPr="000729CF">
        <w:rPr>
          <w:rFonts w:ascii="Calibri" w:hAnsi="Calibri" w:cs="Calibri"/>
          <w:sz w:val="22"/>
          <w:szCs w:val="22"/>
          <w:lang w:val="en-GB"/>
        </w:rPr>
        <w:t>The recent decision by Orbis Partners to withdraw Finance, Business Operations and HROD services from the Orbis partnership will require additional investment to re-create sovereign functions in BHCC. The 2023/24 budget includes an estimated £0.700m additional cost due to the disaggregation of integrated services, sharing of unachieved Orbis Business Plan savings, and other losses due to disintegration of management structures, and reduced economies of scale. However, it should be noted that the Orbis Partnership has generated cashable savings of £12m over the last 3 years which were highly unlikely to be achievable from outside of the partnership.</w:t>
      </w:r>
    </w:p>
    <w:p w14:paraId="2B6000CC" w14:textId="77777777" w:rsidR="000729CF" w:rsidRPr="000729CF" w:rsidRDefault="000729CF" w:rsidP="000729CF">
      <w:pPr>
        <w:spacing w:before="120" w:after="120" w:line="276" w:lineRule="auto"/>
        <w:rPr>
          <w:rFonts w:ascii="Calibri" w:hAnsi="Calibri" w:cs="Calibri"/>
          <w:sz w:val="22"/>
          <w:szCs w:val="22"/>
          <w:lang w:val="en-GB"/>
        </w:rPr>
      </w:pPr>
      <w:r w:rsidRPr="000729CF">
        <w:rPr>
          <w:rFonts w:ascii="Calibri" w:hAnsi="Calibri" w:cs="Calibri"/>
          <w:sz w:val="22"/>
          <w:szCs w:val="22"/>
          <w:lang w:val="en-GB"/>
        </w:rPr>
        <w:t>Legal Services is struggling to recruit qualified staff into new roles and has been unable to recruit to a number of lawyer roles resulting in high locum costs. A recently approved Market Supplement will cost around £0.400m but will ensure the council is able to recruit and retain skilled legal expertise across a number of fields including children’s legal work, contract law, employment law and democratic and constitutional matters.</w:t>
      </w:r>
    </w:p>
    <w:p w14:paraId="1D0B5E50" w14:textId="77777777" w:rsidR="000729CF" w:rsidRPr="000729CF" w:rsidRDefault="000729CF" w:rsidP="000729CF">
      <w:pPr>
        <w:spacing w:before="120" w:after="120" w:line="276" w:lineRule="auto"/>
        <w:rPr>
          <w:rFonts w:ascii="Calibri" w:hAnsi="Calibri" w:cs="Calibri"/>
          <w:sz w:val="22"/>
          <w:szCs w:val="22"/>
          <w:lang w:val="en-GB"/>
        </w:rPr>
      </w:pPr>
      <w:r w:rsidRPr="000729CF">
        <w:rPr>
          <w:rFonts w:ascii="Calibri" w:hAnsi="Calibri" w:cs="Calibri"/>
          <w:sz w:val="22"/>
          <w:szCs w:val="22"/>
          <w:lang w:val="en-GB"/>
        </w:rPr>
        <w:t>More generally and where appropriate, GPR services will develop business cases for invest-to-save support from the Modernisation Fund where these can help the directorate modernise its services to improve customer satisfaction, improve efficiencies and/or achieve financial savings.</w:t>
      </w:r>
    </w:p>
    <w:p w14:paraId="582DF27C" w14:textId="77777777" w:rsidR="000729CF" w:rsidRPr="000729CF" w:rsidRDefault="000729CF" w:rsidP="000729CF">
      <w:pPr>
        <w:spacing w:before="120" w:after="120" w:line="276" w:lineRule="auto"/>
        <w:rPr>
          <w:rFonts w:ascii="Calibri" w:hAnsi="Calibri" w:cs="Calibri"/>
          <w:sz w:val="22"/>
          <w:szCs w:val="22"/>
          <w:lang w:val="en-GB"/>
        </w:rPr>
      </w:pPr>
      <w:r w:rsidRPr="000729CF">
        <w:rPr>
          <w:rFonts w:ascii="Calibri" w:eastAsia="Calibri" w:hAnsi="Calibri" w:cs="Calibri"/>
          <w:color w:val="444444"/>
          <w:sz w:val="22"/>
          <w:szCs w:val="22"/>
          <w:shd w:val="clear" w:color="auto" w:fill="FFFFFF"/>
          <w:lang w:val="en-GB"/>
        </w:rPr>
        <w:t>During 2024-25 the Policy &amp; Communications team will conduct a strategic review of income generation opportunities.</w:t>
      </w:r>
    </w:p>
    <w:p w14:paraId="75BC6D90" w14:textId="77777777" w:rsidR="000729CF" w:rsidRPr="000729CF" w:rsidRDefault="000729CF" w:rsidP="000729CF">
      <w:pPr>
        <w:spacing w:after="200" w:line="276" w:lineRule="auto"/>
        <w:rPr>
          <w:rFonts w:ascii="Calibri" w:eastAsia="Calibri" w:hAnsi="Calibri" w:cs="Calibri"/>
          <w:b/>
          <w:bCs/>
          <w:sz w:val="22"/>
          <w:szCs w:val="22"/>
          <w:u w:val="single"/>
          <w:lang w:val="en-GB"/>
        </w:rPr>
      </w:pPr>
      <w:r w:rsidRPr="000729CF">
        <w:rPr>
          <w:rFonts w:ascii="Calibri" w:eastAsia="Calibri" w:hAnsi="Calibri" w:cs="Calibri"/>
          <w:b/>
          <w:bCs/>
          <w:sz w:val="22"/>
          <w:szCs w:val="22"/>
          <w:u w:val="single"/>
          <w:lang w:val="en-GB"/>
        </w:rPr>
        <w:t>Supporting the Council’s Priorities</w:t>
      </w:r>
    </w:p>
    <w:p w14:paraId="58C42A71" w14:textId="77777777" w:rsidR="000729CF" w:rsidRPr="000729CF" w:rsidRDefault="000729CF" w:rsidP="000729CF">
      <w:pPr>
        <w:spacing w:before="120" w:line="276" w:lineRule="auto"/>
        <w:rPr>
          <w:rFonts w:ascii="Calibri" w:eastAsia="Calibri" w:hAnsi="Calibri" w:cs="Calibri"/>
          <w:sz w:val="22"/>
          <w:szCs w:val="22"/>
          <w:lang w:val="en-GB"/>
        </w:rPr>
      </w:pPr>
      <w:r w:rsidRPr="000729CF">
        <w:rPr>
          <w:rFonts w:ascii="Calibri" w:eastAsia="Calibri" w:hAnsi="Calibri" w:cs="Calibri"/>
          <w:sz w:val="22"/>
          <w:szCs w:val="22"/>
          <w:lang w:val="en-GB"/>
        </w:rPr>
        <w:t>GPR services support and facilitate other services to deliver against the 4 Council Plan priorities, including the aim of being a responsive council with well-run services at both a strategic and operational level. Helping the council to develop robust financial strategies, workforce plans, digital customer strategies, conduct effective communication, engagement and partnership working, and effective welfare reform responses is critical to maintaining sustainable, financially resilient and accessible council services.</w:t>
      </w:r>
    </w:p>
    <w:p w14:paraId="789D1813" w14:textId="77777777" w:rsidR="000729CF" w:rsidRPr="000729CF" w:rsidRDefault="000729CF" w:rsidP="000729CF">
      <w:pPr>
        <w:spacing w:before="120" w:line="276" w:lineRule="auto"/>
        <w:rPr>
          <w:rFonts w:ascii="Calibri" w:eastAsia="Calibri" w:hAnsi="Calibri" w:cs="Calibri"/>
          <w:sz w:val="22"/>
          <w:szCs w:val="22"/>
          <w:lang w:val="en-GB"/>
        </w:rPr>
      </w:pPr>
      <w:r w:rsidRPr="000729CF">
        <w:rPr>
          <w:rFonts w:ascii="Calibri" w:eastAsia="Calibri" w:hAnsi="Calibri" w:cs="Calibri"/>
          <w:sz w:val="22"/>
          <w:szCs w:val="22"/>
          <w:lang w:val="en-GB"/>
        </w:rPr>
        <w:t xml:space="preserve">A key determinant of the demands placed on GPR services is therefore the level of change experienced across the organisation. This has been and remains at very high levels due to the cumulative effect of the growing financial challenges in local government requiring ever greater innovation in everything from digital services to corporate debt management to financing strategies that help resources and services go further. This creates a tension between the need to provide cost effective support functions while ensuring that the council and its services have the support to make sound business judgements and decisions that minimise legal, financial, employment, equality, health &amp; safety, governance, internal control and other risks. Evidence of growing risks and poor mitigation of risks, as seen elsewhere, usually leads to reputational issues and ultimately service delivery failure as well as external audit and other scrutiny or challenge. </w:t>
      </w:r>
    </w:p>
    <w:p w14:paraId="3DB187BD" w14:textId="77777777" w:rsidR="000729CF" w:rsidRPr="000729CF" w:rsidRDefault="000729CF" w:rsidP="000729CF">
      <w:pPr>
        <w:spacing w:before="120" w:line="276" w:lineRule="auto"/>
        <w:rPr>
          <w:rFonts w:ascii="Calibri" w:eastAsia="Calibri" w:hAnsi="Calibri" w:cs="Calibri"/>
          <w:sz w:val="22"/>
          <w:szCs w:val="22"/>
          <w:lang w:val="en-GB"/>
        </w:rPr>
      </w:pPr>
      <w:r w:rsidRPr="000729CF">
        <w:rPr>
          <w:rFonts w:ascii="Calibri" w:eastAsia="Calibri" w:hAnsi="Calibri" w:cs="Calibri"/>
          <w:sz w:val="22"/>
          <w:szCs w:val="22"/>
          <w:lang w:val="en-GB"/>
        </w:rPr>
        <w:t>The escalation of the cost of living and welfare support are also a major part of the directorate’s work at all levels and are becoming increasingly complex, leading to a fundamental re-think of how to provide debt prevention, and responses to welfare reform and cost of living impacts to maximise their strategic and operational impact. This has become particularly apparent during the pandemic, and now the cost of living situation, which have inevitably exacerbated inequalities but have resulted in a very effective welfare and emergency assistance response supported by the Welfare, Revenues &amp; Business Support service and other professionals.</w:t>
      </w:r>
    </w:p>
    <w:p w14:paraId="5EB13ACB" w14:textId="77777777" w:rsidR="000729CF" w:rsidRPr="000729CF" w:rsidRDefault="000729CF" w:rsidP="000729CF">
      <w:pPr>
        <w:spacing w:before="120" w:line="276" w:lineRule="auto"/>
        <w:rPr>
          <w:rFonts w:ascii="Calibri" w:eastAsia="Calibri" w:hAnsi="Calibri" w:cs="Calibri"/>
          <w:sz w:val="22"/>
          <w:szCs w:val="22"/>
          <w:lang w:val="en-GB"/>
        </w:rPr>
      </w:pPr>
      <w:r w:rsidRPr="000729CF">
        <w:rPr>
          <w:rFonts w:ascii="Calibri" w:eastAsia="Calibri" w:hAnsi="Calibri" w:cs="Calibri"/>
          <w:sz w:val="22"/>
          <w:szCs w:val="22"/>
          <w:lang w:val="en-GB"/>
        </w:rPr>
        <w:t>GPR services underpin the authority’s governance framework, ensuring safe and legally compliant decision-making, as well as maintaining reviewing and improving the council’s internal control environment. Advisory and Business Partnering services within Finance, HR, IT&amp;D and Procurement help the organisation to maximise its use of resources, fully evaluate options, avoid costly fines, mistakes or non-compliance occurrences, and thereby deliver cashable and non-cashable savings or cost-avoidance. Similarly, Programme Management resources ensure effective oversight and delivery of major improvement programmes funded by the Modernisation Fund or Capital Investment.</w:t>
      </w:r>
    </w:p>
    <w:p w14:paraId="5029757B" w14:textId="77777777" w:rsidR="000729CF" w:rsidRPr="000729CF" w:rsidRDefault="000729CF" w:rsidP="000729CF">
      <w:pPr>
        <w:spacing w:before="120" w:line="276" w:lineRule="auto"/>
        <w:rPr>
          <w:rFonts w:ascii="Calibri" w:eastAsia="Calibri" w:hAnsi="Calibri" w:cs="Calibri"/>
          <w:sz w:val="22"/>
          <w:szCs w:val="22"/>
          <w:lang w:val="en-GB"/>
        </w:rPr>
      </w:pPr>
      <w:r w:rsidRPr="000729CF">
        <w:rPr>
          <w:rFonts w:ascii="Calibri" w:eastAsia="Calibri" w:hAnsi="Calibri" w:cs="Calibri"/>
          <w:sz w:val="22"/>
          <w:szCs w:val="22"/>
          <w:lang w:val="en-GB"/>
        </w:rPr>
        <w:t xml:space="preserve">These services are integral to front line delivery and work best when operating as a trusted Strategic Business Partner as part of both corporate and directorate management teams’ roles in developing strategic responses and solutions for delivery. </w:t>
      </w:r>
    </w:p>
    <w:p w14:paraId="618CD390" w14:textId="77777777" w:rsidR="000729CF" w:rsidRPr="000729CF" w:rsidRDefault="000729CF" w:rsidP="000729CF">
      <w:pPr>
        <w:shd w:val="clear" w:color="auto" w:fill="C5E0B3"/>
        <w:spacing w:before="120" w:after="120" w:line="276" w:lineRule="auto"/>
        <w:rPr>
          <w:rFonts w:ascii="Calibri" w:eastAsia="Calibri" w:hAnsi="Calibri" w:cs="Calibri"/>
          <w:b/>
          <w:bCs/>
          <w:sz w:val="22"/>
          <w:szCs w:val="22"/>
          <w:lang w:val="en-GB"/>
        </w:rPr>
      </w:pPr>
      <w:r w:rsidRPr="000729CF">
        <w:rPr>
          <w:rFonts w:ascii="Calibri" w:eastAsia="Calibri" w:hAnsi="Calibri" w:cs="Calibri"/>
          <w:b/>
          <w:bCs/>
          <w:sz w:val="22"/>
          <w:szCs w:val="22"/>
          <w:lang w:val="en-GB"/>
        </w:rPr>
        <w:t>A city to be proud of</w:t>
      </w:r>
    </w:p>
    <w:p w14:paraId="729D1A05" w14:textId="77777777" w:rsidR="000729CF" w:rsidRPr="000729CF" w:rsidRDefault="000729CF" w:rsidP="00CE70A3">
      <w:pPr>
        <w:numPr>
          <w:ilvl w:val="0"/>
          <w:numId w:val="37"/>
        </w:numPr>
        <w:spacing w:before="20" w:after="20" w:line="259" w:lineRule="auto"/>
        <w:ind w:left="284" w:hanging="284"/>
        <w:rPr>
          <w:rFonts w:ascii="Calibri" w:hAnsi="Calibri" w:cs="Calibri"/>
          <w:sz w:val="22"/>
          <w:szCs w:val="22"/>
          <w:lang w:val="en-GB" w:eastAsia="en-GB"/>
        </w:rPr>
      </w:pPr>
      <w:r w:rsidRPr="000729CF">
        <w:rPr>
          <w:rFonts w:ascii="Calibri" w:hAnsi="Calibri" w:cs="Calibri"/>
          <w:sz w:val="22"/>
          <w:szCs w:val="22"/>
          <w:lang w:val="en-GB" w:eastAsia="en-GB"/>
        </w:rPr>
        <w:t xml:space="preserve">The Policy team supports the development of underpinning plans and strategies, such as the Housing Strategy and Economic Strategy.  </w:t>
      </w:r>
    </w:p>
    <w:p w14:paraId="0FFC2270" w14:textId="77777777" w:rsidR="000729CF" w:rsidRPr="000729CF" w:rsidRDefault="000729CF" w:rsidP="00CE70A3">
      <w:pPr>
        <w:numPr>
          <w:ilvl w:val="0"/>
          <w:numId w:val="37"/>
        </w:numPr>
        <w:spacing w:before="20" w:after="20" w:line="259" w:lineRule="auto"/>
        <w:ind w:left="284" w:hanging="284"/>
        <w:rPr>
          <w:rFonts w:ascii="Calibri" w:hAnsi="Calibri" w:cs="Calibri"/>
          <w:sz w:val="22"/>
          <w:szCs w:val="22"/>
          <w:lang w:val="en-GB" w:eastAsia="en-GB"/>
        </w:rPr>
      </w:pPr>
      <w:r w:rsidRPr="000729CF">
        <w:rPr>
          <w:rFonts w:ascii="Calibri" w:hAnsi="Calibri" w:cs="Calibri"/>
          <w:sz w:val="22"/>
          <w:szCs w:val="22"/>
          <w:lang w:val="en-GB" w:eastAsia="en-GB"/>
        </w:rPr>
        <w:t xml:space="preserve">The Communications team plays a key place-shaping role in delivering this outcome including priority areas such as waste minimisation, promoting sustainability, publicising and consulting on regeneration and major developments, promoting cultural events and city travel. </w:t>
      </w:r>
    </w:p>
    <w:p w14:paraId="56C1D676" w14:textId="77777777" w:rsidR="000729CF" w:rsidRPr="000729CF" w:rsidRDefault="000729CF" w:rsidP="00CE70A3">
      <w:pPr>
        <w:numPr>
          <w:ilvl w:val="0"/>
          <w:numId w:val="37"/>
        </w:numPr>
        <w:spacing w:before="20" w:after="20" w:line="259" w:lineRule="auto"/>
        <w:ind w:left="284" w:hanging="284"/>
        <w:rPr>
          <w:rFonts w:ascii="Calibri" w:hAnsi="Calibri" w:cs="Calibri"/>
          <w:sz w:val="22"/>
          <w:szCs w:val="22"/>
          <w:lang w:val="en-GB" w:eastAsia="en-GB"/>
        </w:rPr>
      </w:pPr>
      <w:r w:rsidRPr="000729CF">
        <w:rPr>
          <w:rFonts w:ascii="Calibri" w:hAnsi="Calibri" w:cs="Calibri"/>
          <w:sz w:val="22"/>
          <w:szCs w:val="22"/>
          <w:lang w:val="en-GB" w:eastAsia="en-GB"/>
        </w:rPr>
        <w:t>The directorate will play a key role in reviewing potential re-financing options for Seaside Homes as well as supporting financial modelling and financing strategies for a wide range of initiatives including Home Purchase, New Homes for Neighbourhoods, the Housing Joint Venture and other estate regeneration and emergency and temporary accommodation schemes.</w:t>
      </w:r>
    </w:p>
    <w:p w14:paraId="654D5A69" w14:textId="77777777" w:rsidR="000729CF" w:rsidRPr="000729CF" w:rsidRDefault="000729CF" w:rsidP="000729CF">
      <w:pPr>
        <w:spacing w:before="20" w:after="20"/>
        <w:ind w:left="284"/>
        <w:rPr>
          <w:rFonts w:ascii="Calibri" w:hAnsi="Calibri" w:cs="Calibri"/>
          <w:sz w:val="22"/>
          <w:szCs w:val="22"/>
          <w:lang w:val="en-GB" w:eastAsia="en-GB"/>
        </w:rPr>
      </w:pPr>
    </w:p>
    <w:p w14:paraId="63925D69" w14:textId="77777777" w:rsidR="000729CF" w:rsidRPr="000729CF" w:rsidRDefault="000729CF" w:rsidP="000729CF">
      <w:pPr>
        <w:keepNext/>
        <w:shd w:val="clear" w:color="auto" w:fill="C5E0B3"/>
        <w:spacing w:after="200" w:line="276" w:lineRule="auto"/>
        <w:rPr>
          <w:rFonts w:ascii="Calibri" w:eastAsia="Calibri" w:hAnsi="Calibri" w:cs="Calibri"/>
          <w:b/>
          <w:bCs/>
          <w:sz w:val="22"/>
          <w:szCs w:val="22"/>
          <w:lang w:val="en-GB"/>
        </w:rPr>
      </w:pPr>
      <w:r w:rsidRPr="000729CF">
        <w:rPr>
          <w:rFonts w:ascii="Calibri" w:eastAsia="Calibri" w:hAnsi="Calibri" w:cs="Calibri"/>
          <w:b/>
          <w:bCs/>
          <w:sz w:val="22"/>
          <w:szCs w:val="22"/>
          <w:lang w:val="en-GB"/>
        </w:rPr>
        <w:t>A fair and inclusive city</w:t>
      </w:r>
    </w:p>
    <w:p w14:paraId="01167B3C" w14:textId="77777777" w:rsidR="000729CF" w:rsidRPr="000729CF" w:rsidRDefault="000729CF" w:rsidP="00CE70A3">
      <w:pPr>
        <w:numPr>
          <w:ilvl w:val="0"/>
          <w:numId w:val="37"/>
        </w:numPr>
        <w:spacing w:before="20" w:after="20" w:line="259" w:lineRule="auto"/>
        <w:rPr>
          <w:rFonts w:ascii="Calibri" w:hAnsi="Calibri" w:cs="Calibri"/>
          <w:sz w:val="22"/>
          <w:szCs w:val="22"/>
          <w:lang w:val="en-GB" w:eastAsia="en-GB"/>
        </w:rPr>
      </w:pPr>
      <w:r w:rsidRPr="000729CF">
        <w:rPr>
          <w:rFonts w:ascii="Calibri" w:hAnsi="Calibri" w:cs="Calibri"/>
          <w:sz w:val="22"/>
          <w:szCs w:val="22"/>
          <w:lang w:val="en-GB" w:eastAsia="en-GB"/>
        </w:rPr>
        <w:t>The Policy &amp; Communications team will refresh our strategic approach to community engagement, including our approach to digital engagement and consultation – enabling a more agile approach to listening and responding.</w:t>
      </w:r>
    </w:p>
    <w:p w14:paraId="56826A76" w14:textId="77777777" w:rsidR="000729CF" w:rsidRPr="000729CF" w:rsidRDefault="000729CF" w:rsidP="00CE70A3">
      <w:pPr>
        <w:numPr>
          <w:ilvl w:val="0"/>
          <w:numId w:val="37"/>
        </w:numPr>
        <w:spacing w:before="20" w:after="20" w:line="259" w:lineRule="auto"/>
        <w:rPr>
          <w:rFonts w:ascii="Calibri" w:hAnsi="Calibri" w:cs="Calibri"/>
          <w:sz w:val="22"/>
          <w:szCs w:val="22"/>
          <w:lang w:val="en-GB" w:eastAsia="en-GB"/>
        </w:rPr>
      </w:pPr>
      <w:r w:rsidRPr="000729CF">
        <w:rPr>
          <w:rFonts w:ascii="Calibri" w:hAnsi="Calibri" w:cs="Calibri"/>
          <w:sz w:val="22"/>
          <w:szCs w:val="22"/>
          <w:lang w:val="en-GB" w:eastAsia="en-GB"/>
        </w:rPr>
        <w:t xml:space="preserve">The Policy &amp; Communications team will work directly with communities to hear their ideas to improve the city through the council’s </w:t>
      </w:r>
      <w:hyperlink r:id="rId18" w:history="1">
        <w:r w:rsidRPr="000729CF">
          <w:rPr>
            <w:rFonts w:ascii="Calibri" w:hAnsi="Calibri" w:cs="Calibri"/>
            <w:color w:val="0000FF"/>
            <w:sz w:val="22"/>
            <w:szCs w:val="22"/>
            <w:u w:val="single"/>
            <w:lang w:val="en-GB" w:eastAsia="en-GB"/>
          </w:rPr>
          <w:t>Reimagine</w:t>
        </w:r>
      </w:hyperlink>
      <w:r w:rsidRPr="000729CF">
        <w:rPr>
          <w:rFonts w:ascii="Calibri" w:hAnsi="Calibri" w:cs="Calibri"/>
          <w:sz w:val="22"/>
          <w:szCs w:val="22"/>
          <w:lang w:val="en-GB" w:eastAsia="en-GB"/>
        </w:rPr>
        <w:t xml:space="preserve"> engagement programme</w:t>
      </w:r>
    </w:p>
    <w:p w14:paraId="643B1D83" w14:textId="77777777" w:rsidR="000729CF" w:rsidRPr="000729CF" w:rsidRDefault="000729CF" w:rsidP="00CE70A3">
      <w:pPr>
        <w:numPr>
          <w:ilvl w:val="0"/>
          <w:numId w:val="37"/>
        </w:numPr>
        <w:spacing w:before="20" w:after="20" w:line="259" w:lineRule="auto"/>
        <w:rPr>
          <w:rFonts w:ascii="Calibri" w:hAnsi="Calibri" w:cs="Calibri"/>
          <w:sz w:val="22"/>
          <w:szCs w:val="22"/>
          <w:lang w:val="en-GB" w:eastAsia="en-GB"/>
        </w:rPr>
      </w:pPr>
      <w:r w:rsidRPr="000729CF">
        <w:rPr>
          <w:rFonts w:ascii="Calibri" w:hAnsi="Calibri" w:cs="Calibri"/>
          <w:sz w:val="22"/>
          <w:szCs w:val="22"/>
          <w:lang w:val="en-GB" w:eastAsia="en-GB"/>
        </w:rPr>
        <w:t>The Policy team will reinvigorate partnership working across the city to support collaboration across city systems and drive positive change</w:t>
      </w:r>
    </w:p>
    <w:p w14:paraId="4AE81E6E" w14:textId="77777777" w:rsidR="000729CF" w:rsidRPr="000729CF" w:rsidRDefault="000729CF" w:rsidP="00CE70A3">
      <w:pPr>
        <w:numPr>
          <w:ilvl w:val="0"/>
          <w:numId w:val="37"/>
        </w:numPr>
        <w:spacing w:before="20" w:after="20" w:line="259" w:lineRule="auto"/>
        <w:rPr>
          <w:rFonts w:ascii="Calibri" w:hAnsi="Calibri" w:cs="Calibri"/>
          <w:sz w:val="22"/>
          <w:szCs w:val="22"/>
          <w:lang w:val="en-GB" w:eastAsia="en-GB"/>
        </w:rPr>
      </w:pPr>
      <w:r w:rsidRPr="000729CF">
        <w:rPr>
          <w:rFonts w:ascii="Calibri" w:hAnsi="Calibri" w:cs="Calibri"/>
          <w:sz w:val="22"/>
          <w:szCs w:val="22"/>
          <w:lang w:val="en-GB" w:eastAsia="en-GB"/>
        </w:rPr>
        <w:t>The Policy team will publish a Cost-of-Living Action Plan to set out how the council will help tackle the challenges exacerbated by the cost of living crisis</w:t>
      </w:r>
    </w:p>
    <w:p w14:paraId="45E434C2" w14:textId="77777777" w:rsidR="000729CF" w:rsidRPr="000729CF" w:rsidRDefault="000729CF" w:rsidP="00CE70A3">
      <w:pPr>
        <w:numPr>
          <w:ilvl w:val="0"/>
          <w:numId w:val="37"/>
        </w:numPr>
        <w:spacing w:before="20" w:after="20" w:line="259" w:lineRule="auto"/>
        <w:rPr>
          <w:rFonts w:ascii="Calibri" w:hAnsi="Calibri" w:cs="Calibri"/>
          <w:sz w:val="22"/>
          <w:szCs w:val="22"/>
          <w:lang w:val="en-GB" w:eastAsia="en-GB"/>
        </w:rPr>
      </w:pPr>
      <w:r w:rsidRPr="000729CF">
        <w:rPr>
          <w:rFonts w:ascii="Calibri" w:hAnsi="Calibri" w:cs="Calibri"/>
          <w:sz w:val="22"/>
          <w:szCs w:val="22"/>
          <w:lang w:val="en-GB" w:eastAsia="en-GB"/>
        </w:rPr>
        <w:t xml:space="preserve">The Communications team has a key role implementing anti-racism and accessible city strategies through internal and external communications. </w:t>
      </w:r>
    </w:p>
    <w:p w14:paraId="5EC8C54D" w14:textId="77777777" w:rsidR="000729CF" w:rsidRPr="000729CF" w:rsidRDefault="000729CF" w:rsidP="00CE70A3">
      <w:pPr>
        <w:numPr>
          <w:ilvl w:val="0"/>
          <w:numId w:val="37"/>
        </w:numPr>
        <w:spacing w:before="20" w:after="20" w:line="259" w:lineRule="auto"/>
        <w:ind w:left="284" w:hanging="284"/>
        <w:rPr>
          <w:rFonts w:ascii="Calibri" w:hAnsi="Calibri" w:cs="Calibri"/>
          <w:sz w:val="22"/>
          <w:szCs w:val="22"/>
          <w:lang w:val="en-GB" w:eastAsia="en-GB"/>
        </w:rPr>
      </w:pPr>
      <w:r w:rsidRPr="000729CF">
        <w:rPr>
          <w:rFonts w:ascii="Calibri" w:hAnsi="Calibri" w:cs="Calibri"/>
          <w:sz w:val="22"/>
          <w:szCs w:val="22"/>
          <w:lang w:val="en-GB" w:eastAsia="en-GB"/>
        </w:rPr>
        <w:t>Through procurement, ensuring that the city council's spending power is used to secure good value for money and, as far as possible with contract regulations and market conditions, to procure local services, and improve sustainability and social value.</w:t>
      </w:r>
    </w:p>
    <w:p w14:paraId="5745F81C" w14:textId="77777777" w:rsidR="000729CF" w:rsidRPr="000729CF" w:rsidRDefault="000729CF" w:rsidP="00CE70A3">
      <w:pPr>
        <w:numPr>
          <w:ilvl w:val="0"/>
          <w:numId w:val="37"/>
        </w:numPr>
        <w:spacing w:before="20" w:after="20" w:line="259" w:lineRule="auto"/>
        <w:ind w:left="284" w:hanging="284"/>
        <w:rPr>
          <w:rFonts w:ascii="Calibri" w:hAnsi="Calibri" w:cs="Calibri"/>
          <w:sz w:val="22"/>
          <w:szCs w:val="22"/>
          <w:lang w:val="en-GB" w:eastAsia="en-GB"/>
        </w:rPr>
      </w:pPr>
      <w:r w:rsidRPr="000729CF">
        <w:rPr>
          <w:rFonts w:ascii="Calibri" w:hAnsi="Calibri" w:cs="Calibri"/>
          <w:sz w:val="22"/>
          <w:szCs w:val="22"/>
          <w:lang w:val="en-GB" w:eastAsia="en-GB"/>
        </w:rPr>
        <w:t>Embed policies and practice concerning Social Value, Community Wealth Building, Sustainability and Modern Slavery across all contracts.</w:t>
      </w:r>
    </w:p>
    <w:p w14:paraId="324C1B8C" w14:textId="77777777" w:rsidR="000729CF" w:rsidRPr="000729CF" w:rsidRDefault="000729CF" w:rsidP="000729CF">
      <w:pPr>
        <w:spacing w:before="20" w:after="20"/>
        <w:ind w:left="284"/>
        <w:rPr>
          <w:rFonts w:ascii="Calibri" w:hAnsi="Calibri" w:cs="Calibri"/>
          <w:sz w:val="22"/>
          <w:szCs w:val="22"/>
          <w:lang w:val="en-GB" w:eastAsia="en-GB"/>
        </w:rPr>
      </w:pPr>
    </w:p>
    <w:p w14:paraId="2CC98761" w14:textId="77777777" w:rsidR="000729CF" w:rsidRPr="000729CF" w:rsidRDefault="000729CF" w:rsidP="000729CF">
      <w:pPr>
        <w:shd w:val="clear" w:color="auto" w:fill="C5E0B3"/>
        <w:spacing w:after="200" w:line="276" w:lineRule="auto"/>
        <w:rPr>
          <w:rFonts w:ascii="Calibri" w:eastAsia="Calibri" w:hAnsi="Calibri" w:cs="Calibri"/>
          <w:b/>
          <w:bCs/>
          <w:sz w:val="22"/>
          <w:szCs w:val="22"/>
          <w:lang w:val="en-GB"/>
        </w:rPr>
      </w:pPr>
      <w:r w:rsidRPr="000729CF">
        <w:rPr>
          <w:rFonts w:ascii="Calibri" w:eastAsia="Calibri" w:hAnsi="Calibri" w:cs="Calibri"/>
          <w:b/>
          <w:bCs/>
          <w:sz w:val="22"/>
          <w:szCs w:val="22"/>
          <w:lang w:val="en-GB"/>
        </w:rPr>
        <w:t>A healthy city where people thrive</w:t>
      </w:r>
    </w:p>
    <w:p w14:paraId="4A5B4C96" w14:textId="77777777" w:rsidR="000729CF" w:rsidRPr="000729CF" w:rsidRDefault="000729CF" w:rsidP="00CE70A3">
      <w:pPr>
        <w:numPr>
          <w:ilvl w:val="0"/>
          <w:numId w:val="37"/>
        </w:numPr>
        <w:spacing w:before="20" w:after="20" w:line="259" w:lineRule="auto"/>
        <w:ind w:left="284" w:hanging="284"/>
        <w:rPr>
          <w:rFonts w:ascii="Calibri" w:hAnsi="Calibri" w:cs="Calibri"/>
          <w:sz w:val="22"/>
          <w:szCs w:val="22"/>
          <w:lang w:val="en-GB" w:eastAsia="en-GB"/>
        </w:rPr>
      </w:pPr>
      <w:r w:rsidRPr="000729CF">
        <w:rPr>
          <w:rFonts w:ascii="Calibri" w:hAnsi="Calibri" w:cs="Calibri"/>
          <w:sz w:val="22"/>
          <w:szCs w:val="22"/>
          <w:lang w:val="en-GB" w:eastAsia="en-GB"/>
        </w:rPr>
        <w:t xml:space="preserve">The Policy team support the development of the Employment and Skills Plan </w:t>
      </w:r>
    </w:p>
    <w:p w14:paraId="2B95E0BF" w14:textId="77777777" w:rsidR="000729CF" w:rsidRPr="000729CF" w:rsidRDefault="000729CF" w:rsidP="00CE70A3">
      <w:pPr>
        <w:numPr>
          <w:ilvl w:val="0"/>
          <w:numId w:val="37"/>
        </w:numPr>
        <w:spacing w:before="20" w:after="20" w:line="259" w:lineRule="auto"/>
        <w:ind w:left="284" w:hanging="284"/>
        <w:rPr>
          <w:rFonts w:ascii="Calibri" w:hAnsi="Calibri" w:cs="Calibri"/>
          <w:sz w:val="22"/>
          <w:szCs w:val="22"/>
          <w:lang w:val="en-GB" w:eastAsia="en-GB"/>
        </w:rPr>
      </w:pPr>
      <w:r w:rsidRPr="000729CF">
        <w:rPr>
          <w:rFonts w:ascii="Calibri" w:hAnsi="Calibri" w:cs="Calibri"/>
          <w:sz w:val="22"/>
          <w:szCs w:val="22"/>
          <w:lang w:val="en-GB" w:eastAsia="en-GB"/>
        </w:rPr>
        <w:t>The Policy team will deliver the scrutiny function for the Health Overview and Scrutiny Committee and oversee the Health and Wellbeing Board</w:t>
      </w:r>
    </w:p>
    <w:p w14:paraId="2FDBD974" w14:textId="77777777" w:rsidR="000729CF" w:rsidRPr="000729CF" w:rsidRDefault="000729CF" w:rsidP="00CE70A3">
      <w:pPr>
        <w:numPr>
          <w:ilvl w:val="0"/>
          <w:numId w:val="37"/>
        </w:numPr>
        <w:spacing w:before="20" w:after="20" w:line="259" w:lineRule="auto"/>
        <w:ind w:left="284" w:hanging="284"/>
        <w:rPr>
          <w:rFonts w:ascii="Calibri" w:hAnsi="Calibri" w:cs="Calibri"/>
          <w:sz w:val="22"/>
          <w:szCs w:val="22"/>
          <w:lang w:val="en-GB" w:eastAsia="en-GB"/>
        </w:rPr>
      </w:pPr>
      <w:r w:rsidRPr="000729CF">
        <w:rPr>
          <w:rFonts w:ascii="Calibri" w:hAnsi="Calibri" w:cs="Calibri"/>
          <w:sz w:val="22"/>
          <w:szCs w:val="22"/>
          <w:lang w:val="en-GB" w:eastAsia="en-GB"/>
        </w:rPr>
        <w:t>Communications is an essential part of promoting health and wellbeing in the city and enabling behaviour change.</w:t>
      </w:r>
    </w:p>
    <w:p w14:paraId="2031F75B" w14:textId="77777777" w:rsidR="000729CF" w:rsidRPr="000729CF" w:rsidRDefault="000729CF" w:rsidP="00CE70A3">
      <w:pPr>
        <w:numPr>
          <w:ilvl w:val="0"/>
          <w:numId w:val="37"/>
        </w:numPr>
        <w:spacing w:before="20" w:after="20" w:line="259" w:lineRule="auto"/>
        <w:ind w:left="284" w:hanging="284"/>
        <w:rPr>
          <w:rFonts w:ascii="Calibri" w:hAnsi="Calibri" w:cs="Calibri"/>
          <w:sz w:val="22"/>
          <w:szCs w:val="22"/>
          <w:lang w:val="en-GB" w:eastAsia="en-GB"/>
        </w:rPr>
      </w:pPr>
      <w:r w:rsidRPr="000729CF">
        <w:rPr>
          <w:rFonts w:ascii="Calibri" w:hAnsi="Calibri" w:cs="Calibri"/>
          <w:sz w:val="22"/>
          <w:szCs w:val="22"/>
          <w:lang w:val="en-GB" w:eastAsia="en-GB"/>
        </w:rPr>
        <w:t xml:space="preserve">The people strategy for the organisation is delivered through ‘Our People Promise’ led by HROD. This programme is designed to ensure we have an engaged and motivated workforce who are able to deliver their best to the city enable all priorities to be supported. As a series of 5 commitments, it underpins HROD’s work in terms of wellbeing, equalities, development, reward and engagement. </w:t>
      </w:r>
    </w:p>
    <w:p w14:paraId="37EB2B16" w14:textId="77777777" w:rsidR="000729CF" w:rsidRPr="000729CF" w:rsidRDefault="000729CF" w:rsidP="00CE70A3">
      <w:pPr>
        <w:numPr>
          <w:ilvl w:val="0"/>
          <w:numId w:val="37"/>
        </w:numPr>
        <w:spacing w:before="20" w:after="20" w:line="259" w:lineRule="auto"/>
        <w:ind w:left="284" w:hanging="284"/>
        <w:rPr>
          <w:rFonts w:ascii="Calibri" w:hAnsi="Calibri" w:cs="Calibri"/>
          <w:sz w:val="22"/>
          <w:szCs w:val="22"/>
          <w:lang w:val="en-GB" w:eastAsia="en-GB"/>
        </w:rPr>
      </w:pPr>
      <w:r w:rsidRPr="000729CF">
        <w:rPr>
          <w:rFonts w:ascii="Calibri" w:hAnsi="Calibri" w:cs="Calibri"/>
          <w:sz w:val="22"/>
          <w:szCs w:val="22"/>
          <w:lang w:val="en-GB" w:eastAsia="en-GB"/>
        </w:rPr>
        <w:t xml:space="preserve">HROD also manages the Fair and Inclusive Action Plan (FIAP) which supports the organisation to become reflective of the community, and to improve the experience of all staff, including embedding the council’s Anti-Racism Strategy and approach in all council policies. </w:t>
      </w:r>
    </w:p>
    <w:p w14:paraId="53E0BA57" w14:textId="77777777" w:rsidR="000729CF" w:rsidRPr="000729CF" w:rsidRDefault="000729CF" w:rsidP="00CE70A3">
      <w:pPr>
        <w:numPr>
          <w:ilvl w:val="0"/>
          <w:numId w:val="37"/>
        </w:numPr>
        <w:spacing w:before="20" w:after="20" w:line="259" w:lineRule="auto"/>
        <w:ind w:left="284" w:hanging="284"/>
        <w:rPr>
          <w:rFonts w:ascii="Calibri" w:hAnsi="Calibri" w:cs="Calibri"/>
          <w:sz w:val="22"/>
          <w:szCs w:val="22"/>
          <w:lang w:val="en-GB" w:eastAsia="en-GB"/>
        </w:rPr>
      </w:pPr>
      <w:r w:rsidRPr="000729CF">
        <w:rPr>
          <w:rFonts w:ascii="Calibri" w:hAnsi="Calibri" w:cs="Calibri"/>
          <w:sz w:val="22"/>
          <w:szCs w:val="22"/>
          <w:lang w:val="en-GB" w:eastAsia="en-GB"/>
        </w:rPr>
        <w:t>Actively supporting the corporate aim of diversifying the workforce at all levels, recruiting and retaining staff from all of the city's communities.</w:t>
      </w:r>
    </w:p>
    <w:p w14:paraId="6F598327" w14:textId="77777777" w:rsidR="000729CF" w:rsidRPr="000729CF" w:rsidRDefault="000729CF" w:rsidP="00CE70A3">
      <w:pPr>
        <w:numPr>
          <w:ilvl w:val="0"/>
          <w:numId w:val="37"/>
        </w:numPr>
        <w:spacing w:before="20" w:after="20" w:line="259" w:lineRule="auto"/>
        <w:ind w:left="284" w:hanging="284"/>
        <w:rPr>
          <w:rFonts w:ascii="Calibri" w:hAnsi="Calibri" w:cs="Calibri"/>
          <w:sz w:val="22"/>
          <w:szCs w:val="22"/>
          <w:lang w:val="en-GB" w:eastAsia="en-GB"/>
        </w:rPr>
      </w:pPr>
      <w:r w:rsidRPr="000729CF">
        <w:rPr>
          <w:rFonts w:ascii="Calibri" w:hAnsi="Calibri" w:cs="Calibri"/>
          <w:sz w:val="22"/>
          <w:szCs w:val="22"/>
          <w:lang w:val="en-GB" w:eastAsia="en-GB"/>
        </w:rPr>
        <w:t>Supporting the organisation to have a reward framework in place that enables successful recruitment and retention of staff while ensuring a fair and transparent system.</w:t>
      </w:r>
    </w:p>
    <w:p w14:paraId="5809706B" w14:textId="77777777" w:rsidR="000729CF" w:rsidRPr="000729CF" w:rsidRDefault="000729CF" w:rsidP="00CE70A3">
      <w:pPr>
        <w:numPr>
          <w:ilvl w:val="0"/>
          <w:numId w:val="37"/>
        </w:numPr>
        <w:spacing w:before="20" w:after="20" w:line="259" w:lineRule="auto"/>
        <w:ind w:left="284" w:hanging="284"/>
        <w:rPr>
          <w:rFonts w:ascii="Calibri" w:hAnsi="Calibri" w:cs="Calibri"/>
          <w:sz w:val="22"/>
          <w:szCs w:val="22"/>
          <w:lang w:val="en-GB" w:eastAsia="en-GB"/>
        </w:rPr>
      </w:pPr>
      <w:r w:rsidRPr="000729CF">
        <w:rPr>
          <w:rFonts w:ascii="Calibri" w:hAnsi="Calibri" w:cs="Calibri"/>
          <w:sz w:val="22"/>
          <w:szCs w:val="22"/>
          <w:lang w:val="en-GB" w:eastAsia="en-GB"/>
        </w:rPr>
        <w:t xml:space="preserve">The HROD service takes a lead in managing industrial relations, ensuring issues are dealt with fairly and transparently, and where necessary supporting the resolution of disputes. </w:t>
      </w:r>
    </w:p>
    <w:p w14:paraId="7D2A9F72" w14:textId="77777777" w:rsidR="000729CF" w:rsidRPr="000729CF" w:rsidRDefault="000729CF" w:rsidP="00CE70A3">
      <w:pPr>
        <w:numPr>
          <w:ilvl w:val="0"/>
          <w:numId w:val="37"/>
        </w:numPr>
        <w:spacing w:before="20" w:after="20" w:line="259" w:lineRule="auto"/>
        <w:ind w:left="284" w:hanging="284"/>
        <w:rPr>
          <w:rFonts w:ascii="Calibri" w:hAnsi="Calibri" w:cs="Calibri"/>
          <w:sz w:val="22"/>
          <w:szCs w:val="22"/>
          <w:lang w:val="en-GB" w:eastAsia="en-GB"/>
        </w:rPr>
      </w:pPr>
      <w:r w:rsidRPr="000729CF">
        <w:rPr>
          <w:rFonts w:ascii="Calibri" w:hAnsi="Calibri" w:cs="Calibri"/>
          <w:sz w:val="22"/>
          <w:szCs w:val="22"/>
          <w:lang w:val="en-GB" w:eastAsia="en-GB"/>
        </w:rPr>
        <w:t xml:space="preserve">Supporting the organisation to ensure it fulfils its legal and moral health &amp; safety responsibilities to provide a safe working environment where staff are supported to be happy and well. </w:t>
      </w:r>
    </w:p>
    <w:p w14:paraId="6733CBCD" w14:textId="77777777" w:rsidR="000729CF" w:rsidRPr="000729CF" w:rsidRDefault="000729CF" w:rsidP="00CE70A3">
      <w:pPr>
        <w:numPr>
          <w:ilvl w:val="0"/>
          <w:numId w:val="37"/>
        </w:numPr>
        <w:spacing w:before="20" w:after="20" w:line="259" w:lineRule="auto"/>
        <w:ind w:left="284" w:hanging="284"/>
        <w:rPr>
          <w:rFonts w:ascii="Calibri" w:hAnsi="Calibri" w:cs="Calibri"/>
          <w:sz w:val="22"/>
          <w:szCs w:val="22"/>
          <w:lang w:val="en-GB" w:eastAsia="en-GB"/>
        </w:rPr>
      </w:pPr>
      <w:r w:rsidRPr="000729CF">
        <w:rPr>
          <w:rFonts w:ascii="Calibri" w:hAnsi="Calibri" w:cs="Calibri"/>
          <w:sz w:val="22"/>
          <w:szCs w:val="22"/>
          <w:lang w:val="en-GB" w:eastAsia="en-GB"/>
        </w:rPr>
        <w:t xml:space="preserve">Providing a comprehensive learning and development offer that supports employees through from induction to planning for retirement. The offer also supports the culture change of the organisation, and in particular the work to ensure the council is fairer and more inclusive. </w:t>
      </w:r>
    </w:p>
    <w:p w14:paraId="491E6D2F" w14:textId="77777777" w:rsidR="000729CF" w:rsidRPr="000729CF" w:rsidRDefault="000729CF" w:rsidP="000729CF">
      <w:pPr>
        <w:spacing w:before="20" w:after="20"/>
        <w:ind w:left="284"/>
        <w:rPr>
          <w:rFonts w:ascii="Calibri" w:hAnsi="Calibri" w:cs="Calibri"/>
          <w:sz w:val="22"/>
          <w:szCs w:val="22"/>
          <w:lang w:val="en-GB" w:eastAsia="en-GB"/>
        </w:rPr>
      </w:pPr>
    </w:p>
    <w:p w14:paraId="2F4F8BA0" w14:textId="77777777" w:rsidR="000729CF" w:rsidRPr="000729CF" w:rsidRDefault="000729CF" w:rsidP="000729CF">
      <w:pPr>
        <w:shd w:val="clear" w:color="auto" w:fill="C5E0B3"/>
        <w:spacing w:after="200" w:line="276" w:lineRule="auto"/>
        <w:rPr>
          <w:rFonts w:ascii="Calibri" w:eastAsia="Calibri" w:hAnsi="Calibri" w:cs="Calibri"/>
          <w:b/>
          <w:bCs/>
          <w:sz w:val="22"/>
          <w:szCs w:val="22"/>
          <w:lang w:val="en-GB"/>
        </w:rPr>
      </w:pPr>
      <w:r w:rsidRPr="000729CF">
        <w:rPr>
          <w:rFonts w:ascii="Calibri" w:eastAsia="Calibri" w:hAnsi="Calibri" w:cs="Calibri"/>
          <w:b/>
          <w:bCs/>
          <w:sz w:val="22"/>
          <w:szCs w:val="22"/>
          <w:lang w:val="en-GB"/>
        </w:rPr>
        <w:t xml:space="preserve">A responsive council with </w:t>
      </w:r>
      <w:proofErr w:type="spellStart"/>
      <w:r w:rsidRPr="000729CF">
        <w:rPr>
          <w:rFonts w:ascii="Calibri" w:eastAsia="Calibri" w:hAnsi="Calibri" w:cs="Calibri"/>
          <w:b/>
          <w:bCs/>
          <w:sz w:val="22"/>
          <w:szCs w:val="22"/>
          <w:lang w:val="en-GB"/>
        </w:rPr>
        <w:t>well run</w:t>
      </w:r>
      <w:proofErr w:type="spellEnd"/>
      <w:r w:rsidRPr="000729CF">
        <w:rPr>
          <w:rFonts w:ascii="Calibri" w:eastAsia="Calibri" w:hAnsi="Calibri" w:cs="Calibri"/>
          <w:b/>
          <w:bCs/>
          <w:sz w:val="22"/>
          <w:szCs w:val="22"/>
          <w:lang w:val="en-GB"/>
        </w:rPr>
        <w:t xml:space="preserve"> services</w:t>
      </w:r>
    </w:p>
    <w:p w14:paraId="19AC5404" w14:textId="77777777" w:rsidR="000729CF" w:rsidRPr="000729CF" w:rsidRDefault="000729CF" w:rsidP="00CE70A3">
      <w:pPr>
        <w:numPr>
          <w:ilvl w:val="0"/>
          <w:numId w:val="37"/>
        </w:numPr>
        <w:spacing w:before="20" w:after="20" w:line="259" w:lineRule="auto"/>
        <w:ind w:left="284" w:hanging="284"/>
        <w:rPr>
          <w:rFonts w:ascii="Calibri" w:hAnsi="Calibri" w:cs="Calibri"/>
          <w:sz w:val="22"/>
          <w:szCs w:val="22"/>
          <w:lang w:val="en-GB" w:eastAsia="en-GB"/>
        </w:rPr>
      </w:pPr>
      <w:r w:rsidRPr="000729CF">
        <w:rPr>
          <w:rFonts w:ascii="Calibri" w:hAnsi="Calibri" w:cs="Calibri"/>
          <w:sz w:val="22"/>
          <w:szCs w:val="22"/>
          <w:lang w:val="en-GB" w:eastAsia="en-GB"/>
        </w:rPr>
        <w:t>The Policy &amp; Communications team will help the council to proactively listen and respond to resident concerns, increase the use of digital channels of communication and enable collaboration with partners to support prevention and demand management.</w:t>
      </w:r>
    </w:p>
    <w:p w14:paraId="031FDD99" w14:textId="77777777" w:rsidR="000729CF" w:rsidRPr="000729CF" w:rsidRDefault="000729CF" w:rsidP="00CE70A3">
      <w:pPr>
        <w:numPr>
          <w:ilvl w:val="0"/>
          <w:numId w:val="37"/>
        </w:numPr>
        <w:spacing w:before="20" w:after="20" w:line="259" w:lineRule="auto"/>
        <w:ind w:left="284" w:hanging="284"/>
        <w:rPr>
          <w:rFonts w:ascii="Calibri" w:hAnsi="Calibri" w:cs="Calibri"/>
          <w:sz w:val="22"/>
          <w:szCs w:val="22"/>
          <w:lang w:val="en-GB" w:eastAsia="en-GB"/>
        </w:rPr>
      </w:pPr>
      <w:r w:rsidRPr="000729CF">
        <w:rPr>
          <w:rFonts w:ascii="Calibri" w:hAnsi="Calibri" w:cs="Calibri"/>
          <w:sz w:val="22"/>
          <w:szCs w:val="22"/>
          <w:lang w:val="en-GB" w:eastAsia="en-GB"/>
        </w:rPr>
        <w:t>The directorate provides a wide range of traded services to schools, from HR and payroll to health &amp; safety advice and support, to help them manage and administer a safe and effective school environment.</w:t>
      </w:r>
    </w:p>
    <w:p w14:paraId="7884D646" w14:textId="77777777" w:rsidR="000729CF" w:rsidRPr="000729CF" w:rsidRDefault="000729CF" w:rsidP="00CE70A3">
      <w:pPr>
        <w:numPr>
          <w:ilvl w:val="0"/>
          <w:numId w:val="37"/>
        </w:numPr>
        <w:spacing w:before="20" w:after="20" w:line="259" w:lineRule="auto"/>
        <w:ind w:left="284" w:hanging="284"/>
        <w:rPr>
          <w:rFonts w:ascii="Calibri" w:hAnsi="Calibri" w:cs="Calibri"/>
          <w:sz w:val="22"/>
          <w:szCs w:val="22"/>
          <w:lang w:val="en-GB" w:eastAsia="en-GB"/>
        </w:rPr>
      </w:pPr>
      <w:r w:rsidRPr="000729CF">
        <w:rPr>
          <w:rFonts w:ascii="Calibri" w:hAnsi="Calibri" w:cs="Calibri"/>
          <w:sz w:val="22"/>
          <w:szCs w:val="22"/>
          <w:lang w:val="en-GB" w:eastAsia="en-GB"/>
        </w:rPr>
        <w:t>Finance plays a key role in working with the Schools Forum to develop the annual Schools Budget across the 4 blocks of the Dedicated Schools Grant.</w:t>
      </w:r>
    </w:p>
    <w:p w14:paraId="1B1D3545" w14:textId="77777777" w:rsidR="000729CF" w:rsidRPr="000729CF" w:rsidRDefault="000729CF" w:rsidP="00CE70A3">
      <w:pPr>
        <w:numPr>
          <w:ilvl w:val="0"/>
          <w:numId w:val="37"/>
        </w:numPr>
        <w:spacing w:before="20" w:after="20" w:line="259" w:lineRule="auto"/>
        <w:ind w:left="284" w:hanging="284"/>
        <w:rPr>
          <w:rFonts w:ascii="Calibri" w:hAnsi="Calibri" w:cs="Calibri"/>
          <w:sz w:val="22"/>
          <w:szCs w:val="22"/>
          <w:lang w:val="en-GB" w:eastAsia="en-GB"/>
        </w:rPr>
      </w:pPr>
      <w:r w:rsidRPr="000729CF">
        <w:rPr>
          <w:rFonts w:ascii="Calibri" w:hAnsi="Calibri" w:cs="Calibri"/>
          <w:sz w:val="22"/>
          <w:szCs w:val="22"/>
          <w:lang w:val="en-GB" w:eastAsia="en-GB"/>
        </w:rPr>
        <w:t>The Customer, Modernisation &amp; Performance Insight service is central to corporate governance driving improvements in customer experience, modernisation and performance and risk management</w:t>
      </w:r>
    </w:p>
    <w:p w14:paraId="4A914998" w14:textId="77777777" w:rsidR="000729CF" w:rsidRPr="000729CF" w:rsidRDefault="000729CF" w:rsidP="000729CF">
      <w:pPr>
        <w:spacing w:after="200" w:line="276" w:lineRule="auto"/>
        <w:rPr>
          <w:rFonts w:ascii="Calibri" w:eastAsia="Calibri" w:hAnsi="Calibri" w:cs="Calibri"/>
          <w:color w:val="4F81BD"/>
          <w:sz w:val="22"/>
          <w:szCs w:val="22"/>
          <w:lang w:val="en-GB"/>
        </w:rPr>
      </w:pPr>
    </w:p>
    <w:p w14:paraId="42C12888" w14:textId="77777777" w:rsidR="000729CF" w:rsidRPr="000729CF" w:rsidRDefault="000729CF" w:rsidP="00CE70A3">
      <w:pPr>
        <w:numPr>
          <w:ilvl w:val="0"/>
          <w:numId w:val="37"/>
        </w:numPr>
        <w:spacing w:before="20" w:after="20" w:line="259" w:lineRule="auto"/>
        <w:ind w:left="284" w:hanging="284"/>
        <w:rPr>
          <w:rFonts w:ascii="Calibri" w:hAnsi="Calibri" w:cs="Calibri"/>
          <w:sz w:val="22"/>
          <w:szCs w:val="22"/>
          <w:lang w:val="en-GB" w:eastAsia="en-GB"/>
        </w:rPr>
      </w:pPr>
      <w:r w:rsidRPr="000729CF">
        <w:rPr>
          <w:rFonts w:ascii="Calibri" w:hAnsi="Calibri" w:cs="Calibri"/>
          <w:sz w:val="22"/>
          <w:szCs w:val="22"/>
          <w:lang w:val="en-GB" w:eastAsia="en-GB"/>
        </w:rPr>
        <w:t>Enable the successful delivery of digital improvement projects and programmes through the co-design and co-delivery of underpinning technologies, platforms and services in IT&amp;D to support services in delivering corporate priorities.</w:t>
      </w:r>
    </w:p>
    <w:p w14:paraId="073CBADB" w14:textId="77777777" w:rsidR="000729CF" w:rsidRPr="000729CF" w:rsidRDefault="000729CF" w:rsidP="00CE70A3">
      <w:pPr>
        <w:numPr>
          <w:ilvl w:val="0"/>
          <w:numId w:val="37"/>
        </w:numPr>
        <w:spacing w:before="20" w:after="20" w:line="259" w:lineRule="auto"/>
        <w:ind w:left="284" w:hanging="284"/>
        <w:rPr>
          <w:rFonts w:ascii="Calibri" w:hAnsi="Calibri" w:cs="Calibri"/>
          <w:sz w:val="22"/>
          <w:szCs w:val="22"/>
          <w:lang w:val="en-GB" w:eastAsia="en-GB"/>
        </w:rPr>
      </w:pPr>
      <w:r w:rsidRPr="000729CF">
        <w:rPr>
          <w:rFonts w:ascii="Calibri" w:hAnsi="Calibri" w:cs="Calibri"/>
          <w:sz w:val="22"/>
          <w:szCs w:val="22"/>
          <w:lang w:val="en-GB" w:eastAsia="en-GB"/>
        </w:rPr>
        <w:t>Develop a scalable and resilient IT&amp;D technical architecture which provides a secure, highly available platform for business services.</w:t>
      </w:r>
    </w:p>
    <w:p w14:paraId="3FD9280B" w14:textId="77777777" w:rsidR="000729CF" w:rsidRPr="000729CF" w:rsidRDefault="000729CF" w:rsidP="00CE70A3">
      <w:pPr>
        <w:numPr>
          <w:ilvl w:val="0"/>
          <w:numId w:val="37"/>
        </w:numPr>
        <w:spacing w:before="20" w:after="20" w:line="259" w:lineRule="auto"/>
        <w:ind w:left="284" w:hanging="284"/>
        <w:rPr>
          <w:rFonts w:ascii="Calibri" w:hAnsi="Calibri" w:cs="Calibri"/>
          <w:sz w:val="22"/>
          <w:szCs w:val="22"/>
          <w:lang w:val="en-GB" w:eastAsia="en-GB"/>
        </w:rPr>
      </w:pPr>
      <w:r w:rsidRPr="000729CF">
        <w:rPr>
          <w:rFonts w:ascii="Calibri" w:hAnsi="Calibri" w:cs="Calibri"/>
          <w:sz w:val="22"/>
          <w:szCs w:val="22"/>
          <w:lang w:val="en-GB" w:eastAsia="en-GB"/>
        </w:rPr>
        <w:t>Exploring alternative financing options for low or zero carbon initiatives through the government’s emerging Green Investment proposals as well as local financing options and other viable business cases.</w:t>
      </w:r>
    </w:p>
    <w:p w14:paraId="08E20897" w14:textId="77777777" w:rsidR="000729CF" w:rsidRPr="000729CF" w:rsidRDefault="000729CF" w:rsidP="00CE70A3">
      <w:pPr>
        <w:numPr>
          <w:ilvl w:val="0"/>
          <w:numId w:val="37"/>
        </w:numPr>
        <w:spacing w:before="20" w:after="20" w:line="259" w:lineRule="auto"/>
        <w:ind w:left="284" w:hanging="284"/>
        <w:rPr>
          <w:rFonts w:ascii="Calibri" w:hAnsi="Calibri" w:cs="Calibri"/>
          <w:sz w:val="22"/>
          <w:szCs w:val="22"/>
          <w:lang w:val="en-GB" w:eastAsia="en-GB"/>
        </w:rPr>
      </w:pPr>
      <w:r w:rsidRPr="000729CF">
        <w:rPr>
          <w:rFonts w:ascii="Calibri" w:hAnsi="Calibri" w:cs="Calibri"/>
          <w:sz w:val="22"/>
          <w:szCs w:val="22"/>
          <w:lang w:val="en-GB" w:eastAsia="en-GB"/>
        </w:rPr>
        <w:t>Assisting in the development of a 5-Year Capital Investment Programme that supports the council’s priorities including Housing, Sustainable Transport and Zero Carbon schemes, Regeneration &amp; Employment, Schools &amp; Learning, and IT &amp; Digital.</w:t>
      </w:r>
    </w:p>
    <w:p w14:paraId="62702D1E" w14:textId="77777777" w:rsidR="000729CF" w:rsidRPr="000729CF" w:rsidRDefault="000729CF" w:rsidP="000729CF">
      <w:pPr>
        <w:spacing w:before="20" w:after="20"/>
        <w:ind w:left="284"/>
        <w:rPr>
          <w:rFonts w:ascii="Calibri" w:hAnsi="Calibri" w:cs="Calibri"/>
          <w:sz w:val="22"/>
          <w:szCs w:val="22"/>
          <w:lang w:val="en-GB" w:eastAsia="en-GB"/>
        </w:rPr>
      </w:pPr>
    </w:p>
    <w:p w14:paraId="047FD4CF" w14:textId="77777777" w:rsidR="000729CF" w:rsidRPr="000729CF" w:rsidRDefault="000729CF" w:rsidP="000729CF">
      <w:pPr>
        <w:spacing w:before="20" w:after="20"/>
        <w:ind w:left="284"/>
        <w:rPr>
          <w:rFonts w:ascii="Calibri" w:hAnsi="Calibri" w:cs="Calibri"/>
          <w:sz w:val="22"/>
          <w:szCs w:val="22"/>
          <w:lang w:val="en-GB" w:eastAsia="en-GB"/>
        </w:rPr>
      </w:pPr>
    </w:p>
    <w:p w14:paraId="3713B4CF" w14:textId="77777777" w:rsidR="000729CF" w:rsidRPr="000729CF" w:rsidRDefault="000729CF" w:rsidP="000729CF">
      <w:pPr>
        <w:spacing w:before="20" w:after="20"/>
        <w:ind w:left="284"/>
        <w:rPr>
          <w:rFonts w:ascii="Calibri" w:hAnsi="Calibri" w:cs="Calibri"/>
          <w:sz w:val="22"/>
          <w:szCs w:val="22"/>
          <w:lang w:val="en-GB" w:eastAsia="en-GB"/>
        </w:rPr>
      </w:pPr>
    </w:p>
    <w:p w14:paraId="0A0C381A" w14:textId="77777777" w:rsidR="000729CF" w:rsidRPr="000729CF" w:rsidRDefault="000729CF" w:rsidP="00CE70A3">
      <w:pPr>
        <w:numPr>
          <w:ilvl w:val="0"/>
          <w:numId w:val="37"/>
        </w:numPr>
        <w:spacing w:before="20" w:after="20" w:line="259" w:lineRule="auto"/>
        <w:ind w:left="284" w:hanging="284"/>
        <w:rPr>
          <w:rFonts w:ascii="Calibri" w:hAnsi="Calibri" w:cs="Calibri"/>
          <w:sz w:val="22"/>
          <w:szCs w:val="22"/>
          <w:lang w:val="en-GB" w:eastAsia="en-GB"/>
        </w:rPr>
      </w:pPr>
      <w:r w:rsidRPr="000729CF">
        <w:rPr>
          <w:rFonts w:ascii="Calibri" w:hAnsi="Calibri" w:cs="Calibri"/>
          <w:sz w:val="22"/>
          <w:szCs w:val="22"/>
          <w:lang w:val="en-GB" w:eastAsia="en-GB"/>
        </w:rPr>
        <w:t xml:space="preserve">Continue to respond to the impact of the cost of living crisis and welfare reforms, including oversight of the council’s welfare and hardship support and assistance, working across services and with CVS partners. </w:t>
      </w:r>
    </w:p>
    <w:p w14:paraId="11D0FB30" w14:textId="77777777" w:rsidR="000729CF" w:rsidRPr="000729CF" w:rsidRDefault="000729CF" w:rsidP="00CE70A3">
      <w:pPr>
        <w:numPr>
          <w:ilvl w:val="0"/>
          <w:numId w:val="37"/>
        </w:numPr>
        <w:spacing w:before="20" w:after="20" w:line="259" w:lineRule="auto"/>
        <w:ind w:left="284" w:hanging="284"/>
        <w:rPr>
          <w:rFonts w:ascii="Calibri" w:hAnsi="Calibri" w:cs="Calibri"/>
          <w:sz w:val="22"/>
          <w:szCs w:val="22"/>
          <w:lang w:val="en-GB" w:eastAsia="en-GB"/>
        </w:rPr>
      </w:pPr>
      <w:r w:rsidRPr="000729CF">
        <w:rPr>
          <w:rFonts w:ascii="Calibri" w:hAnsi="Calibri" w:cs="Calibri"/>
          <w:sz w:val="22"/>
          <w:szCs w:val="22"/>
          <w:lang w:val="en-GB" w:eastAsia="en-GB"/>
        </w:rPr>
        <w:t>Identify ways to increase support for those struggling to afford the cost of housing. This will include making full use of discretionary payments and/or distributing government hardship funds as well as supporting the development of new build housing programmes and business cases.</w:t>
      </w:r>
    </w:p>
    <w:p w14:paraId="19412DB1" w14:textId="77777777" w:rsidR="000729CF" w:rsidRPr="000729CF" w:rsidRDefault="000729CF" w:rsidP="00CE70A3">
      <w:pPr>
        <w:numPr>
          <w:ilvl w:val="0"/>
          <w:numId w:val="37"/>
        </w:numPr>
        <w:spacing w:before="20" w:after="20" w:line="259" w:lineRule="auto"/>
        <w:ind w:left="284" w:hanging="284"/>
        <w:rPr>
          <w:rFonts w:ascii="Calibri" w:hAnsi="Calibri" w:cs="Calibri"/>
          <w:sz w:val="22"/>
          <w:szCs w:val="22"/>
          <w:lang w:val="en-GB" w:eastAsia="en-GB"/>
        </w:rPr>
      </w:pPr>
      <w:r w:rsidRPr="000729CF">
        <w:rPr>
          <w:rFonts w:ascii="Calibri" w:hAnsi="Calibri" w:cs="Calibri"/>
          <w:sz w:val="22"/>
          <w:szCs w:val="22"/>
          <w:lang w:val="en-GB" w:eastAsia="en-GB"/>
        </w:rPr>
        <w:t>Continue to work on examining the impacts of energy and food poverty on individuals and communities and co-develop strategies, lobbying tactics, and action plans with partners to assist those living in poverty including providing access to advice and support.</w:t>
      </w:r>
    </w:p>
    <w:p w14:paraId="74829D30" w14:textId="77777777" w:rsidR="000729CF" w:rsidRPr="000729CF" w:rsidRDefault="000729CF" w:rsidP="000729CF">
      <w:pPr>
        <w:spacing w:after="160" w:line="259" w:lineRule="auto"/>
        <w:rPr>
          <w:rFonts w:ascii="Calibri" w:eastAsia="Calibri" w:hAnsi="Calibri"/>
          <w:sz w:val="22"/>
          <w:szCs w:val="22"/>
          <w:lang w:val="en-GB"/>
        </w:rPr>
        <w:sectPr w:rsidR="000729CF" w:rsidRPr="000729CF" w:rsidSect="001604BB">
          <w:pgSz w:w="16838" w:h="11906" w:orient="landscape"/>
          <w:pgMar w:top="720" w:right="720" w:bottom="720" w:left="720" w:header="708" w:footer="708" w:gutter="0"/>
          <w:cols w:space="708"/>
          <w:docGrid w:linePitch="360"/>
        </w:sectPr>
      </w:pPr>
    </w:p>
    <w:tbl>
      <w:tblPr>
        <w:tblW w:w="5000" w:type="pct"/>
        <w:tblLook w:val="04A0" w:firstRow="1" w:lastRow="0" w:firstColumn="1" w:lastColumn="0" w:noHBand="0" w:noVBand="1"/>
      </w:tblPr>
      <w:tblGrid>
        <w:gridCol w:w="2689"/>
        <w:gridCol w:w="4352"/>
        <w:gridCol w:w="6928"/>
        <w:gridCol w:w="1419"/>
      </w:tblGrid>
      <w:tr w:rsidR="000729CF" w:rsidRPr="000729CF" w14:paraId="3B1C9F6F" w14:textId="77777777" w:rsidTr="00BC26AB">
        <w:trPr>
          <w:trHeight w:val="20"/>
          <w:tblHeader/>
        </w:trPr>
        <w:tc>
          <w:tcPr>
            <w:tcW w:w="874" w:type="pct"/>
            <w:vMerge w:val="restart"/>
            <w:tcBorders>
              <w:top w:val="single" w:sz="4" w:space="0" w:color="auto"/>
              <w:left w:val="single" w:sz="4" w:space="0" w:color="auto"/>
              <w:bottom w:val="single" w:sz="4" w:space="0" w:color="auto"/>
              <w:right w:val="single" w:sz="4" w:space="0" w:color="auto"/>
            </w:tcBorders>
            <w:shd w:val="clear" w:color="000000" w:fill="A6A6A6"/>
            <w:tcMar>
              <w:left w:w="45" w:type="dxa"/>
              <w:right w:w="45" w:type="dxa"/>
            </w:tcMar>
            <w:vAlign w:val="bottom"/>
            <w:hideMark/>
          </w:tcPr>
          <w:p w14:paraId="51D53BFD" w14:textId="77777777" w:rsidR="000729CF" w:rsidRPr="000729CF" w:rsidRDefault="000729CF" w:rsidP="000729CF">
            <w:pPr>
              <w:jc w:val="cente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Section</w:t>
            </w:r>
          </w:p>
        </w:tc>
        <w:tc>
          <w:tcPr>
            <w:tcW w:w="1414" w:type="pct"/>
            <w:vMerge w:val="restart"/>
            <w:tcBorders>
              <w:top w:val="single" w:sz="4" w:space="0" w:color="auto"/>
              <w:left w:val="single" w:sz="4" w:space="0" w:color="auto"/>
              <w:bottom w:val="single" w:sz="4" w:space="0" w:color="auto"/>
              <w:right w:val="single" w:sz="4" w:space="0" w:color="auto"/>
            </w:tcBorders>
            <w:shd w:val="clear" w:color="000000" w:fill="A6A6A6"/>
            <w:tcMar>
              <w:left w:w="45" w:type="dxa"/>
              <w:right w:w="45" w:type="dxa"/>
            </w:tcMar>
            <w:vAlign w:val="bottom"/>
            <w:hideMark/>
          </w:tcPr>
          <w:p w14:paraId="7C6B34FE" w14:textId="77777777" w:rsidR="000729CF" w:rsidRPr="000729CF" w:rsidRDefault="000729CF" w:rsidP="000729CF">
            <w:pPr>
              <w:jc w:val="cente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Service Area</w:t>
            </w:r>
          </w:p>
        </w:tc>
        <w:tc>
          <w:tcPr>
            <w:tcW w:w="2251" w:type="pct"/>
            <w:vMerge w:val="restart"/>
            <w:tcBorders>
              <w:top w:val="single" w:sz="4" w:space="0" w:color="auto"/>
              <w:left w:val="single" w:sz="4" w:space="0" w:color="auto"/>
              <w:bottom w:val="single" w:sz="4" w:space="0" w:color="auto"/>
              <w:right w:val="single" w:sz="4" w:space="0" w:color="auto"/>
            </w:tcBorders>
            <w:shd w:val="clear" w:color="000000" w:fill="A6A6A6"/>
            <w:tcMar>
              <w:left w:w="45" w:type="dxa"/>
              <w:right w:w="45" w:type="dxa"/>
            </w:tcMar>
            <w:vAlign w:val="bottom"/>
            <w:hideMark/>
          </w:tcPr>
          <w:p w14:paraId="37DCFD8B" w14:textId="77777777" w:rsidR="000729CF" w:rsidRPr="000729CF" w:rsidRDefault="000729CF" w:rsidP="000729CF">
            <w:pPr>
              <w:jc w:val="cente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Brief Summary of Budget Proposal/Strategy and Risks</w:t>
            </w:r>
          </w:p>
        </w:tc>
        <w:tc>
          <w:tcPr>
            <w:tcW w:w="461" w:type="pct"/>
            <w:tcBorders>
              <w:top w:val="single" w:sz="4" w:space="0" w:color="auto"/>
              <w:left w:val="nil"/>
              <w:bottom w:val="single" w:sz="4" w:space="0" w:color="auto"/>
              <w:right w:val="single" w:sz="4" w:space="0" w:color="auto"/>
            </w:tcBorders>
            <w:shd w:val="clear" w:color="000000" w:fill="A6A6A6"/>
            <w:tcMar>
              <w:left w:w="45" w:type="dxa"/>
              <w:right w:w="45" w:type="dxa"/>
            </w:tcMar>
            <w:vAlign w:val="bottom"/>
            <w:hideMark/>
          </w:tcPr>
          <w:p w14:paraId="33F78E58" w14:textId="77777777" w:rsidR="000729CF" w:rsidRPr="000729CF" w:rsidRDefault="000729CF" w:rsidP="000729CF">
            <w:pPr>
              <w:jc w:val="cente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Total Savings Proposed 2024/25</w:t>
            </w:r>
          </w:p>
        </w:tc>
      </w:tr>
      <w:tr w:rsidR="000729CF" w:rsidRPr="000729CF" w14:paraId="5FEAAB7E" w14:textId="77777777" w:rsidTr="00BC26AB">
        <w:trPr>
          <w:trHeight w:val="20"/>
          <w:tblHeader/>
        </w:trPr>
        <w:tc>
          <w:tcPr>
            <w:tcW w:w="874" w:type="pct"/>
            <w:vMerge/>
            <w:tcBorders>
              <w:top w:val="single" w:sz="4" w:space="0" w:color="auto"/>
              <w:left w:val="single" w:sz="4" w:space="0" w:color="auto"/>
              <w:bottom w:val="single" w:sz="4" w:space="0" w:color="auto"/>
              <w:right w:val="single" w:sz="4" w:space="0" w:color="auto"/>
            </w:tcBorders>
            <w:tcMar>
              <w:left w:w="45" w:type="dxa"/>
              <w:right w:w="45" w:type="dxa"/>
            </w:tcMar>
            <w:vAlign w:val="center"/>
            <w:hideMark/>
          </w:tcPr>
          <w:p w14:paraId="541D3A84" w14:textId="77777777" w:rsidR="000729CF" w:rsidRPr="000729CF" w:rsidRDefault="000729CF" w:rsidP="000729CF">
            <w:pPr>
              <w:rPr>
                <w:rFonts w:ascii="Calibri" w:hAnsi="Calibri" w:cs="Calibri"/>
                <w:b/>
                <w:bCs/>
                <w:color w:val="000000"/>
                <w:sz w:val="22"/>
                <w:szCs w:val="22"/>
                <w:lang w:val="en-GB" w:eastAsia="en-GB"/>
              </w:rPr>
            </w:pPr>
          </w:p>
        </w:tc>
        <w:tc>
          <w:tcPr>
            <w:tcW w:w="1414" w:type="pct"/>
            <w:vMerge/>
            <w:tcBorders>
              <w:top w:val="single" w:sz="4" w:space="0" w:color="auto"/>
              <w:left w:val="single" w:sz="4" w:space="0" w:color="auto"/>
              <w:bottom w:val="single" w:sz="4" w:space="0" w:color="auto"/>
              <w:right w:val="single" w:sz="4" w:space="0" w:color="auto"/>
            </w:tcBorders>
            <w:tcMar>
              <w:left w:w="45" w:type="dxa"/>
              <w:right w:w="45" w:type="dxa"/>
            </w:tcMar>
            <w:vAlign w:val="center"/>
            <w:hideMark/>
          </w:tcPr>
          <w:p w14:paraId="005AC7F4" w14:textId="77777777" w:rsidR="000729CF" w:rsidRPr="000729CF" w:rsidRDefault="000729CF" w:rsidP="000729CF">
            <w:pPr>
              <w:rPr>
                <w:rFonts w:ascii="Calibri" w:hAnsi="Calibri" w:cs="Calibri"/>
                <w:b/>
                <w:bCs/>
                <w:color w:val="000000"/>
                <w:sz w:val="22"/>
                <w:szCs w:val="22"/>
                <w:lang w:val="en-GB" w:eastAsia="en-GB"/>
              </w:rPr>
            </w:pPr>
          </w:p>
        </w:tc>
        <w:tc>
          <w:tcPr>
            <w:tcW w:w="2251" w:type="pct"/>
            <w:vMerge/>
            <w:tcBorders>
              <w:top w:val="single" w:sz="4" w:space="0" w:color="auto"/>
              <w:left w:val="single" w:sz="4" w:space="0" w:color="auto"/>
              <w:bottom w:val="single" w:sz="4" w:space="0" w:color="auto"/>
              <w:right w:val="single" w:sz="4" w:space="0" w:color="auto"/>
            </w:tcBorders>
            <w:tcMar>
              <w:left w:w="45" w:type="dxa"/>
              <w:right w:w="45" w:type="dxa"/>
            </w:tcMar>
            <w:vAlign w:val="center"/>
            <w:hideMark/>
          </w:tcPr>
          <w:p w14:paraId="35B581A1" w14:textId="77777777" w:rsidR="000729CF" w:rsidRPr="000729CF" w:rsidRDefault="000729CF" w:rsidP="000729CF">
            <w:pPr>
              <w:rPr>
                <w:rFonts w:ascii="Calibri" w:hAnsi="Calibri" w:cs="Calibri"/>
                <w:b/>
                <w:bCs/>
                <w:color w:val="000000"/>
                <w:sz w:val="22"/>
                <w:szCs w:val="22"/>
                <w:lang w:val="en-GB" w:eastAsia="en-GB"/>
              </w:rPr>
            </w:pPr>
          </w:p>
        </w:tc>
        <w:tc>
          <w:tcPr>
            <w:tcW w:w="461" w:type="pct"/>
            <w:tcBorders>
              <w:top w:val="single" w:sz="4" w:space="0" w:color="auto"/>
              <w:left w:val="nil"/>
              <w:bottom w:val="single" w:sz="4" w:space="0" w:color="auto"/>
              <w:right w:val="single" w:sz="4" w:space="0" w:color="auto"/>
            </w:tcBorders>
            <w:shd w:val="clear" w:color="000000" w:fill="A6A6A6"/>
            <w:tcMar>
              <w:left w:w="45" w:type="dxa"/>
              <w:right w:w="45" w:type="dxa"/>
            </w:tcMar>
            <w:vAlign w:val="bottom"/>
            <w:hideMark/>
          </w:tcPr>
          <w:p w14:paraId="0F3ADADB" w14:textId="77777777" w:rsidR="000729CF" w:rsidRPr="000729CF" w:rsidRDefault="000729CF" w:rsidP="000729CF">
            <w:pPr>
              <w:jc w:val="cente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£'000</w:t>
            </w:r>
          </w:p>
        </w:tc>
      </w:tr>
      <w:tr w:rsidR="000729CF" w:rsidRPr="000729CF" w14:paraId="6144978C" w14:textId="77777777" w:rsidTr="00BC26AB">
        <w:trPr>
          <w:trHeight w:val="20"/>
        </w:trPr>
        <w:tc>
          <w:tcPr>
            <w:tcW w:w="4539" w:type="pct"/>
            <w:gridSpan w:val="3"/>
            <w:tcBorders>
              <w:top w:val="single" w:sz="4" w:space="0" w:color="auto"/>
              <w:left w:val="single" w:sz="4" w:space="0" w:color="auto"/>
              <w:bottom w:val="single" w:sz="4" w:space="0" w:color="auto"/>
              <w:right w:val="nil"/>
            </w:tcBorders>
            <w:shd w:val="clear" w:color="000000" w:fill="000000"/>
            <w:noWrap/>
            <w:tcMar>
              <w:left w:w="45" w:type="dxa"/>
              <w:right w:w="45" w:type="dxa"/>
            </w:tcMar>
            <w:hideMark/>
          </w:tcPr>
          <w:p w14:paraId="48C1F9DB"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Governance, People &amp; Resources</w:t>
            </w:r>
          </w:p>
        </w:tc>
        <w:tc>
          <w:tcPr>
            <w:tcW w:w="461" w:type="pct"/>
            <w:tcBorders>
              <w:top w:val="single" w:sz="4" w:space="0" w:color="auto"/>
              <w:left w:val="nil"/>
              <w:bottom w:val="single" w:sz="4" w:space="0" w:color="auto"/>
              <w:right w:val="single" w:sz="4" w:space="0" w:color="auto"/>
            </w:tcBorders>
            <w:shd w:val="clear" w:color="000000" w:fill="000000"/>
            <w:noWrap/>
            <w:tcMar>
              <w:left w:w="45" w:type="dxa"/>
              <w:right w:w="45" w:type="dxa"/>
            </w:tcMar>
            <w:hideMark/>
          </w:tcPr>
          <w:p w14:paraId="549B34C7"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 </w:t>
            </w:r>
          </w:p>
        </w:tc>
      </w:tr>
      <w:tr w:rsidR="000729CF" w:rsidRPr="000729CF" w14:paraId="77A7A056" w14:textId="77777777" w:rsidTr="00BC26AB">
        <w:trPr>
          <w:trHeight w:val="20"/>
        </w:trPr>
        <w:tc>
          <w:tcPr>
            <w:tcW w:w="4539" w:type="pct"/>
            <w:gridSpan w:val="3"/>
            <w:tcBorders>
              <w:top w:val="single" w:sz="4" w:space="0" w:color="auto"/>
              <w:left w:val="single" w:sz="4" w:space="0" w:color="auto"/>
              <w:bottom w:val="single" w:sz="4" w:space="0" w:color="auto"/>
              <w:right w:val="nil"/>
            </w:tcBorders>
            <w:shd w:val="clear" w:color="000000" w:fill="000000"/>
            <w:noWrap/>
            <w:tcMar>
              <w:left w:w="45" w:type="dxa"/>
              <w:right w:w="45" w:type="dxa"/>
            </w:tcMar>
            <w:hideMark/>
          </w:tcPr>
          <w:p w14:paraId="1F76CD39"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Chief Executive Monitoring Office</w:t>
            </w:r>
          </w:p>
        </w:tc>
        <w:tc>
          <w:tcPr>
            <w:tcW w:w="461" w:type="pct"/>
            <w:tcBorders>
              <w:top w:val="single" w:sz="4" w:space="0" w:color="auto"/>
              <w:left w:val="nil"/>
              <w:bottom w:val="single" w:sz="4" w:space="0" w:color="auto"/>
              <w:right w:val="single" w:sz="4" w:space="0" w:color="auto"/>
            </w:tcBorders>
            <w:shd w:val="clear" w:color="000000" w:fill="000000"/>
            <w:noWrap/>
            <w:tcMar>
              <w:left w:w="45" w:type="dxa"/>
              <w:right w:w="45" w:type="dxa"/>
            </w:tcMar>
            <w:hideMark/>
          </w:tcPr>
          <w:p w14:paraId="2BABC4BF"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 </w:t>
            </w:r>
          </w:p>
        </w:tc>
      </w:tr>
      <w:tr w:rsidR="000729CF" w:rsidRPr="000729CF" w14:paraId="0E64023E" w14:textId="77777777" w:rsidTr="00BC26AB">
        <w:trPr>
          <w:trHeight w:val="20"/>
        </w:trPr>
        <w:tc>
          <w:tcPr>
            <w:tcW w:w="87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74BEF1FC"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Chief Executive &amp; Monitoring Officer</w:t>
            </w:r>
          </w:p>
        </w:tc>
        <w:tc>
          <w:tcPr>
            <w:tcW w:w="1414" w:type="pct"/>
            <w:tcBorders>
              <w:top w:val="nil"/>
              <w:left w:val="nil"/>
              <w:bottom w:val="single" w:sz="4" w:space="0" w:color="auto"/>
              <w:right w:val="single" w:sz="4" w:space="0" w:color="auto"/>
            </w:tcBorders>
            <w:shd w:val="clear" w:color="auto" w:fill="auto"/>
            <w:tcMar>
              <w:left w:w="45" w:type="dxa"/>
              <w:right w:w="45" w:type="dxa"/>
            </w:tcMar>
            <w:hideMark/>
          </w:tcPr>
          <w:p w14:paraId="5C563C5E"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Chief Executive, Monitoring Officer and support.</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7356CAAC"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No saving identified but the service will be reviewed as part of overall 'Organisational Redesign' principles.</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63AA113B"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0</w:t>
            </w:r>
          </w:p>
        </w:tc>
      </w:tr>
      <w:tr w:rsidR="000729CF" w:rsidRPr="000729CF" w14:paraId="779EC0F6" w14:textId="77777777" w:rsidTr="00BC26AB">
        <w:trPr>
          <w:trHeight w:val="20"/>
        </w:trPr>
        <w:tc>
          <w:tcPr>
            <w:tcW w:w="2288" w:type="pct"/>
            <w:gridSpan w:val="2"/>
            <w:tcBorders>
              <w:top w:val="single" w:sz="4" w:space="0" w:color="auto"/>
              <w:left w:val="single" w:sz="4" w:space="0" w:color="auto"/>
              <w:bottom w:val="single" w:sz="4" w:space="0" w:color="auto"/>
              <w:right w:val="single" w:sz="4" w:space="0" w:color="000000"/>
            </w:tcBorders>
            <w:shd w:val="clear" w:color="000000" w:fill="A6A6A6"/>
            <w:noWrap/>
            <w:tcMar>
              <w:left w:w="45" w:type="dxa"/>
              <w:right w:w="45" w:type="dxa"/>
            </w:tcMar>
            <w:hideMark/>
          </w:tcPr>
          <w:p w14:paraId="2DB6B707"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Chief Executive Monitoring Office Total</w:t>
            </w:r>
          </w:p>
        </w:tc>
        <w:tc>
          <w:tcPr>
            <w:tcW w:w="2251" w:type="pct"/>
            <w:tcBorders>
              <w:top w:val="nil"/>
              <w:left w:val="nil"/>
              <w:bottom w:val="single" w:sz="4" w:space="0" w:color="auto"/>
              <w:right w:val="single" w:sz="4" w:space="0" w:color="auto"/>
            </w:tcBorders>
            <w:shd w:val="clear" w:color="000000" w:fill="A6A6A6"/>
            <w:noWrap/>
            <w:tcMar>
              <w:left w:w="45" w:type="dxa"/>
              <w:right w:w="45" w:type="dxa"/>
            </w:tcMar>
            <w:hideMark/>
          </w:tcPr>
          <w:p w14:paraId="55984B5A"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w:t>
            </w:r>
          </w:p>
        </w:tc>
        <w:tc>
          <w:tcPr>
            <w:tcW w:w="461" w:type="pct"/>
            <w:tcBorders>
              <w:top w:val="nil"/>
              <w:left w:val="nil"/>
              <w:right w:val="single" w:sz="4" w:space="0" w:color="auto"/>
            </w:tcBorders>
            <w:shd w:val="clear" w:color="000000" w:fill="A6A6A6"/>
            <w:noWrap/>
            <w:tcMar>
              <w:left w:w="45" w:type="dxa"/>
              <w:right w:w="45" w:type="dxa"/>
            </w:tcMar>
            <w:hideMark/>
          </w:tcPr>
          <w:p w14:paraId="4E8FA44B"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0</w:t>
            </w:r>
          </w:p>
        </w:tc>
      </w:tr>
      <w:tr w:rsidR="000729CF" w:rsidRPr="000729CF" w14:paraId="7022FDFA" w14:textId="77777777" w:rsidTr="00BC26AB">
        <w:trPr>
          <w:trHeight w:val="20"/>
        </w:trPr>
        <w:tc>
          <w:tcPr>
            <w:tcW w:w="4539" w:type="pct"/>
            <w:gridSpan w:val="3"/>
            <w:tcBorders>
              <w:top w:val="single" w:sz="4" w:space="0" w:color="auto"/>
              <w:left w:val="single" w:sz="4" w:space="0" w:color="auto"/>
              <w:bottom w:val="single" w:sz="4" w:space="0" w:color="auto"/>
              <w:right w:val="nil"/>
            </w:tcBorders>
            <w:shd w:val="clear" w:color="000000" w:fill="000000"/>
            <w:noWrap/>
            <w:tcMar>
              <w:left w:w="45" w:type="dxa"/>
              <w:right w:w="45" w:type="dxa"/>
            </w:tcMar>
            <w:hideMark/>
          </w:tcPr>
          <w:p w14:paraId="205D96E7"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Policy, Communications &amp; Leadership Support Office</w:t>
            </w:r>
          </w:p>
        </w:tc>
        <w:tc>
          <w:tcPr>
            <w:tcW w:w="461" w:type="pct"/>
            <w:tcBorders>
              <w:top w:val="nil"/>
              <w:left w:val="nil"/>
              <w:bottom w:val="single" w:sz="4" w:space="0" w:color="auto"/>
              <w:right w:val="single" w:sz="4" w:space="0" w:color="auto"/>
            </w:tcBorders>
            <w:shd w:val="clear" w:color="000000" w:fill="000000"/>
            <w:noWrap/>
            <w:tcMar>
              <w:left w:w="45" w:type="dxa"/>
              <w:right w:w="45" w:type="dxa"/>
            </w:tcMar>
            <w:hideMark/>
          </w:tcPr>
          <w:p w14:paraId="4172E75F"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 </w:t>
            </w:r>
          </w:p>
        </w:tc>
      </w:tr>
      <w:tr w:rsidR="000729CF" w:rsidRPr="000729CF" w14:paraId="7140DABC" w14:textId="77777777" w:rsidTr="00BC26AB">
        <w:trPr>
          <w:trHeight w:val="20"/>
        </w:trPr>
        <w:tc>
          <w:tcPr>
            <w:tcW w:w="87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09765131"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Policy Partnership &amp; Scrutiny</w:t>
            </w:r>
          </w:p>
        </w:tc>
        <w:tc>
          <w:tcPr>
            <w:tcW w:w="1414" w:type="pct"/>
            <w:tcBorders>
              <w:top w:val="nil"/>
              <w:left w:val="nil"/>
              <w:bottom w:val="single" w:sz="4" w:space="0" w:color="auto"/>
              <w:right w:val="single" w:sz="4" w:space="0" w:color="auto"/>
            </w:tcBorders>
            <w:shd w:val="clear" w:color="auto" w:fill="auto"/>
            <w:tcMar>
              <w:left w:w="45" w:type="dxa"/>
              <w:right w:w="45" w:type="dxa"/>
            </w:tcMar>
            <w:hideMark/>
          </w:tcPr>
          <w:p w14:paraId="1B157189"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xml:space="preserve">The PPS team runs a policy, partnership, strategy and scrutiny service - priorities include setting the city vision and strategy, council plan, service strategy development (e.g. housing strategy), research and policy development (e.g. Cost of Living action plan), overseeing strategic cross city partnership working (e.g. the City Management Board, Brighton &amp; Hove Connected) as well as running thematic partnerships (e.g. Transport Partnership, Health &amp; Wellbeing Board), in addition to fulfilling a scrutiny function (HOSC). </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20B1591B"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The service is experiencing a budget pressure that needs to be managed as this is a non-statutory function. A small reduction in resources is required which will impact the team’s ability to support the council's partnership and engagement ambitions and will reduce support to service areas.</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4EB42D76"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0</w:t>
            </w:r>
          </w:p>
        </w:tc>
      </w:tr>
      <w:tr w:rsidR="000729CF" w:rsidRPr="000729CF" w14:paraId="7059D779" w14:textId="77777777" w:rsidTr="00BC26AB">
        <w:trPr>
          <w:trHeight w:val="20"/>
        </w:trPr>
        <w:tc>
          <w:tcPr>
            <w:tcW w:w="87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60145A74"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Leadership and Support Office</w:t>
            </w:r>
          </w:p>
        </w:tc>
        <w:tc>
          <w:tcPr>
            <w:tcW w:w="1414" w:type="pct"/>
            <w:tcBorders>
              <w:top w:val="nil"/>
              <w:left w:val="nil"/>
              <w:bottom w:val="single" w:sz="4" w:space="0" w:color="auto"/>
              <w:right w:val="single" w:sz="4" w:space="0" w:color="auto"/>
            </w:tcBorders>
            <w:shd w:val="clear" w:color="auto" w:fill="auto"/>
            <w:tcMar>
              <w:left w:w="45" w:type="dxa"/>
              <w:right w:w="45" w:type="dxa"/>
            </w:tcMar>
            <w:hideMark/>
          </w:tcPr>
          <w:p w14:paraId="07DEED3C"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The Leadership Support office ensures the efficient and effective running of the Leadership Office, ensuring effective systems and processes are in place to provide strategic and operational support.</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0E3FC927"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No saving identified but the service will be reviewed as part of overall 'Organisational Redesign' principles.</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4014930B"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0</w:t>
            </w:r>
          </w:p>
        </w:tc>
      </w:tr>
      <w:tr w:rsidR="000729CF" w:rsidRPr="000729CF" w14:paraId="2AF88D82" w14:textId="77777777" w:rsidTr="00BC26AB">
        <w:trPr>
          <w:trHeight w:val="20"/>
        </w:trPr>
        <w:tc>
          <w:tcPr>
            <w:tcW w:w="87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41AC2BED"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Communications </w:t>
            </w:r>
          </w:p>
        </w:tc>
        <w:tc>
          <w:tcPr>
            <w:tcW w:w="1414" w:type="pct"/>
            <w:tcBorders>
              <w:top w:val="nil"/>
              <w:left w:val="nil"/>
              <w:bottom w:val="single" w:sz="4" w:space="0" w:color="auto"/>
              <w:right w:val="single" w:sz="4" w:space="0" w:color="auto"/>
            </w:tcBorders>
            <w:shd w:val="clear" w:color="auto" w:fill="auto"/>
            <w:tcMar>
              <w:left w:w="45" w:type="dxa"/>
              <w:right w:w="45" w:type="dxa"/>
            </w:tcMar>
            <w:hideMark/>
          </w:tcPr>
          <w:p w14:paraId="051DFD64"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The Communications team supports delivery of council policy and services and the external relations of the whole council through strategic communications and public relations. Functions include: campaigns, marketing and copywriting; internal communications; media relations; social media management; digital content design; consultation; emergency and crisis communications.   </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6A8E9415"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There is currently a pressure on the budget for the service that needs to be managed as this is a non-statutory function. However, reducing resources in the Comms team budget will potentially increase budget pressures for services, weaken organisational resilience (e.g. to manage crisis and emergency comms) and mean that service needs cannot be fully met, reducing the impact of delivery. The proposed change to the service to manage pressures (and provide some saving), will likely lead to increased costs for other service areas and the loss of supporting systems (such as media monitoring and social listening). However, these costs are more easily managed and mitigated when spread across a wide range of services.</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7AD3D0A7"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11</w:t>
            </w:r>
          </w:p>
        </w:tc>
      </w:tr>
      <w:tr w:rsidR="000729CF" w:rsidRPr="000729CF" w14:paraId="123068E4" w14:textId="77777777" w:rsidTr="00BC26AB">
        <w:trPr>
          <w:trHeight w:val="20"/>
        </w:trPr>
        <w:tc>
          <w:tcPr>
            <w:tcW w:w="87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1C596B00"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Graphic Design Tean</w:t>
            </w:r>
          </w:p>
        </w:tc>
        <w:tc>
          <w:tcPr>
            <w:tcW w:w="1414" w:type="pct"/>
            <w:tcBorders>
              <w:top w:val="nil"/>
              <w:left w:val="nil"/>
              <w:bottom w:val="single" w:sz="4" w:space="0" w:color="auto"/>
              <w:right w:val="single" w:sz="4" w:space="0" w:color="auto"/>
            </w:tcBorders>
            <w:shd w:val="clear" w:color="auto" w:fill="auto"/>
            <w:tcMar>
              <w:left w:w="45" w:type="dxa"/>
              <w:right w:w="45" w:type="dxa"/>
            </w:tcMar>
            <w:hideMark/>
          </w:tcPr>
          <w:p w14:paraId="2D6AB060"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xml:space="preserve">Creating visual and accessible communications across digital and print media and animations to enable effective communications by the council and it's services to target audiences. The team also manage and protect the council's corporate brand guidelines to ensure consistency, recognition and positive reputation across it's communications and customer interactions with citizens, stakeholders and staff. </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70FD1063"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xml:space="preserve">The team successfully operate on a completely self-funding business model through internal recharges and income from external clients such as NHS partners. The team are paid through competitive charges for every creative design and print project needed by services or external customers and this model is now being replicated by other local authorities. The team are currently scoping how this business model can be scaled to part-fund the corporate communications team. </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376AAB0A"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13</w:t>
            </w:r>
          </w:p>
        </w:tc>
      </w:tr>
      <w:tr w:rsidR="000729CF" w:rsidRPr="000729CF" w14:paraId="3B505BBC" w14:textId="77777777" w:rsidTr="00BC26AB">
        <w:trPr>
          <w:trHeight w:val="20"/>
        </w:trPr>
        <w:tc>
          <w:tcPr>
            <w:tcW w:w="2288" w:type="pct"/>
            <w:gridSpan w:val="2"/>
            <w:tcBorders>
              <w:top w:val="single" w:sz="4" w:space="0" w:color="auto"/>
              <w:left w:val="single" w:sz="4" w:space="0" w:color="auto"/>
              <w:bottom w:val="single" w:sz="4" w:space="0" w:color="auto"/>
              <w:right w:val="single" w:sz="4" w:space="0" w:color="000000"/>
            </w:tcBorders>
            <w:shd w:val="clear" w:color="000000" w:fill="A6A6A6"/>
            <w:noWrap/>
            <w:tcMar>
              <w:left w:w="45" w:type="dxa"/>
              <w:right w:w="45" w:type="dxa"/>
            </w:tcMar>
            <w:hideMark/>
          </w:tcPr>
          <w:p w14:paraId="6634A687"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Policy &amp; Communications Total</w:t>
            </w:r>
          </w:p>
        </w:tc>
        <w:tc>
          <w:tcPr>
            <w:tcW w:w="2251" w:type="pct"/>
            <w:tcBorders>
              <w:top w:val="nil"/>
              <w:left w:val="nil"/>
              <w:bottom w:val="single" w:sz="4" w:space="0" w:color="auto"/>
              <w:right w:val="single" w:sz="4" w:space="0" w:color="auto"/>
            </w:tcBorders>
            <w:shd w:val="clear" w:color="000000" w:fill="A6A6A6"/>
            <w:noWrap/>
            <w:tcMar>
              <w:left w:w="45" w:type="dxa"/>
              <w:right w:w="45" w:type="dxa"/>
            </w:tcMar>
            <w:hideMark/>
          </w:tcPr>
          <w:p w14:paraId="0CE56FA0"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w:t>
            </w:r>
          </w:p>
        </w:tc>
        <w:tc>
          <w:tcPr>
            <w:tcW w:w="461" w:type="pct"/>
            <w:tcBorders>
              <w:top w:val="nil"/>
              <w:left w:val="nil"/>
              <w:bottom w:val="single" w:sz="4" w:space="0" w:color="auto"/>
              <w:right w:val="single" w:sz="4" w:space="0" w:color="auto"/>
            </w:tcBorders>
            <w:shd w:val="clear" w:color="000000" w:fill="A6A6A6"/>
            <w:noWrap/>
            <w:tcMar>
              <w:left w:w="45" w:type="dxa"/>
              <w:right w:w="45" w:type="dxa"/>
            </w:tcMar>
            <w:hideMark/>
          </w:tcPr>
          <w:p w14:paraId="58F7F3C9"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24</w:t>
            </w:r>
          </w:p>
        </w:tc>
      </w:tr>
      <w:tr w:rsidR="000729CF" w:rsidRPr="000729CF" w14:paraId="6DDAE653" w14:textId="77777777" w:rsidTr="00BC26AB">
        <w:trPr>
          <w:trHeight w:val="20"/>
        </w:trPr>
        <w:tc>
          <w:tcPr>
            <w:tcW w:w="4539" w:type="pct"/>
            <w:gridSpan w:val="3"/>
            <w:tcBorders>
              <w:top w:val="single" w:sz="4" w:space="0" w:color="auto"/>
              <w:left w:val="single" w:sz="4" w:space="0" w:color="auto"/>
              <w:bottom w:val="single" w:sz="4" w:space="0" w:color="auto"/>
              <w:right w:val="single" w:sz="4" w:space="0" w:color="auto"/>
            </w:tcBorders>
            <w:shd w:val="clear" w:color="000000" w:fill="000000"/>
            <w:noWrap/>
            <w:tcMar>
              <w:left w:w="45" w:type="dxa"/>
              <w:right w:w="45" w:type="dxa"/>
            </w:tcMar>
            <w:hideMark/>
          </w:tcPr>
          <w:p w14:paraId="14DBFC7D"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Legal &amp; Democratic Services</w:t>
            </w:r>
          </w:p>
        </w:tc>
        <w:tc>
          <w:tcPr>
            <w:tcW w:w="461" w:type="pct"/>
            <w:tcBorders>
              <w:top w:val="single" w:sz="4" w:space="0" w:color="auto"/>
              <w:left w:val="single" w:sz="4" w:space="0" w:color="auto"/>
              <w:bottom w:val="single" w:sz="4" w:space="0" w:color="auto"/>
              <w:right w:val="single" w:sz="4" w:space="0" w:color="auto"/>
            </w:tcBorders>
            <w:shd w:val="clear" w:color="000000" w:fill="000000"/>
            <w:noWrap/>
            <w:tcMar>
              <w:left w:w="45" w:type="dxa"/>
              <w:right w:w="45" w:type="dxa"/>
            </w:tcMar>
            <w:hideMark/>
          </w:tcPr>
          <w:p w14:paraId="5671FBEF"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 </w:t>
            </w:r>
          </w:p>
        </w:tc>
      </w:tr>
      <w:tr w:rsidR="000729CF" w:rsidRPr="000729CF" w14:paraId="369D4314" w14:textId="77777777" w:rsidTr="00BC26AB">
        <w:trPr>
          <w:trHeight w:val="20"/>
        </w:trPr>
        <w:tc>
          <w:tcPr>
            <w:tcW w:w="87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01C2EA94"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Democratic &amp; Civic Services </w:t>
            </w:r>
          </w:p>
        </w:tc>
        <w:tc>
          <w:tcPr>
            <w:tcW w:w="1414" w:type="pct"/>
            <w:tcBorders>
              <w:top w:val="nil"/>
              <w:left w:val="nil"/>
              <w:bottom w:val="single" w:sz="4" w:space="0" w:color="auto"/>
              <w:right w:val="single" w:sz="4" w:space="0" w:color="auto"/>
            </w:tcBorders>
            <w:shd w:val="clear" w:color="auto" w:fill="auto"/>
            <w:tcMar>
              <w:left w:w="45" w:type="dxa"/>
              <w:right w:w="45" w:type="dxa"/>
            </w:tcMar>
            <w:hideMark/>
          </w:tcPr>
          <w:p w14:paraId="2DADDCF3"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Democratic &amp; Civic Services </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02021E11"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A review of discretionary/statutory services highlighted that support to the Leadership and Political Groups is flagged as a Business Critical but non-statutory, discretionary function and therefore its affordability must be considered in the current financial context. A reduction of this support is therefore proposed.</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264816BE"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194</w:t>
            </w:r>
          </w:p>
        </w:tc>
      </w:tr>
      <w:tr w:rsidR="000729CF" w:rsidRPr="000729CF" w14:paraId="70FA4D19" w14:textId="77777777" w:rsidTr="00BC26AB">
        <w:trPr>
          <w:trHeight w:val="20"/>
        </w:trPr>
        <w:tc>
          <w:tcPr>
            <w:tcW w:w="87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4A232EC1"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Legal Services – Commercial </w:t>
            </w:r>
          </w:p>
        </w:tc>
        <w:tc>
          <w:tcPr>
            <w:tcW w:w="1414" w:type="pct"/>
            <w:tcBorders>
              <w:top w:val="nil"/>
              <w:left w:val="nil"/>
              <w:bottom w:val="single" w:sz="4" w:space="0" w:color="auto"/>
              <w:right w:val="single" w:sz="4" w:space="0" w:color="auto"/>
            </w:tcBorders>
            <w:shd w:val="clear" w:color="auto" w:fill="auto"/>
            <w:tcMar>
              <w:left w:w="45" w:type="dxa"/>
              <w:right w:w="45" w:type="dxa"/>
            </w:tcMar>
            <w:hideMark/>
          </w:tcPr>
          <w:p w14:paraId="42C58FCF"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Legal Services – Commercial </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302ACF0B"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Proposal: Remove a vacant Lawyer (Commercial) post from structure. Risk: High demand and inexperience in this area could impact on service delivery and ability to complete commercial work within reasonable deadlines.</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7555A07A"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68</w:t>
            </w:r>
          </w:p>
        </w:tc>
      </w:tr>
      <w:tr w:rsidR="000729CF" w:rsidRPr="000729CF" w14:paraId="72BEA0DF" w14:textId="77777777" w:rsidTr="00BC26AB">
        <w:trPr>
          <w:trHeight w:val="20"/>
        </w:trPr>
        <w:tc>
          <w:tcPr>
            <w:tcW w:w="87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4D6C9DC2"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Legal Services – Litigation &amp; Safeguarding </w:t>
            </w:r>
          </w:p>
        </w:tc>
        <w:tc>
          <w:tcPr>
            <w:tcW w:w="1414" w:type="pct"/>
            <w:tcBorders>
              <w:top w:val="nil"/>
              <w:left w:val="nil"/>
              <w:bottom w:val="single" w:sz="4" w:space="0" w:color="auto"/>
              <w:right w:val="single" w:sz="4" w:space="0" w:color="auto"/>
            </w:tcBorders>
            <w:shd w:val="clear" w:color="auto" w:fill="auto"/>
            <w:tcMar>
              <w:left w:w="45" w:type="dxa"/>
              <w:right w:w="45" w:type="dxa"/>
            </w:tcMar>
            <w:hideMark/>
          </w:tcPr>
          <w:p w14:paraId="5AED080C"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Legal Services – Litigation &amp; Safeguarding </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525A95C4"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Proposal: Remove a vacant Lawyer (Litigation &amp; Safeguarding) post from the structure. Risk: High demand in this area. May impact on service delivery and the ability to initiate/undertake litigation in-house.  £1k increased charge to Public Health for legal services.</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78305F22"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73</w:t>
            </w:r>
          </w:p>
        </w:tc>
      </w:tr>
      <w:tr w:rsidR="000729CF" w:rsidRPr="000729CF" w14:paraId="7F7CCCC3" w14:textId="77777777" w:rsidTr="00BC26AB">
        <w:trPr>
          <w:trHeight w:val="20"/>
        </w:trPr>
        <w:tc>
          <w:tcPr>
            <w:tcW w:w="87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162E7F3A"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Members Allowances</w:t>
            </w:r>
          </w:p>
        </w:tc>
        <w:tc>
          <w:tcPr>
            <w:tcW w:w="1414" w:type="pct"/>
            <w:tcBorders>
              <w:top w:val="nil"/>
              <w:left w:val="nil"/>
              <w:bottom w:val="single" w:sz="4" w:space="0" w:color="auto"/>
              <w:right w:val="single" w:sz="4" w:space="0" w:color="auto"/>
            </w:tcBorders>
            <w:shd w:val="clear" w:color="auto" w:fill="auto"/>
            <w:tcMar>
              <w:left w:w="45" w:type="dxa"/>
              <w:right w:w="45" w:type="dxa"/>
            </w:tcMar>
            <w:hideMark/>
          </w:tcPr>
          <w:p w14:paraId="10D3A36C"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Members Allowances</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2231276D"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No saving opportunity identified for 2024/25.</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52C2351F"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0</w:t>
            </w:r>
          </w:p>
        </w:tc>
      </w:tr>
      <w:tr w:rsidR="000729CF" w:rsidRPr="000729CF" w14:paraId="352F110C" w14:textId="77777777" w:rsidTr="00BC26AB">
        <w:trPr>
          <w:trHeight w:val="20"/>
        </w:trPr>
        <w:tc>
          <w:tcPr>
            <w:tcW w:w="2288" w:type="pct"/>
            <w:gridSpan w:val="2"/>
            <w:tcBorders>
              <w:top w:val="single" w:sz="4" w:space="0" w:color="auto"/>
              <w:left w:val="single" w:sz="4" w:space="0" w:color="auto"/>
              <w:bottom w:val="single" w:sz="4" w:space="0" w:color="auto"/>
              <w:right w:val="single" w:sz="4" w:space="0" w:color="000000"/>
            </w:tcBorders>
            <w:shd w:val="clear" w:color="000000" w:fill="A6A6A6"/>
            <w:noWrap/>
            <w:tcMar>
              <w:left w:w="45" w:type="dxa"/>
              <w:right w:w="45" w:type="dxa"/>
            </w:tcMar>
            <w:hideMark/>
          </w:tcPr>
          <w:p w14:paraId="71C84142"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Legal &amp; Democratic Services Total</w:t>
            </w:r>
          </w:p>
        </w:tc>
        <w:tc>
          <w:tcPr>
            <w:tcW w:w="2251" w:type="pct"/>
            <w:tcBorders>
              <w:top w:val="nil"/>
              <w:left w:val="nil"/>
              <w:bottom w:val="single" w:sz="4" w:space="0" w:color="auto"/>
              <w:right w:val="single" w:sz="4" w:space="0" w:color="auto"/>
            </w:tcBorders>
            <w:shd w:val="clear" w:color="000000" w:fill="A6A6A6"/>
            <w:noWrap/>
            <w:tcMar>
              <w:left w:w="45" w:type="dxa"/>
              <w:right w:w="45" w:type="dxa"/>
            </w:tcMar>
            <w:hideMark/>
          </w:tcPr>
          <w:p w14:paraId="2A7C7AE3"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w:t>
            </w:r>
          </w:p>
        </w:tc>
        <w:tc>
          <w:tcPr>
            <w:tcW w:w="461" w:type="pct"/>
            <w:tcBorders>
              <w:top w:val="nil"/>
              <w:left w:val="nil"/>
              <w:bottom w:val="single" w:sz="4" w:space="0" w:color="auto"/>
              <w:right w:val="single" w:sz="4" w:space="0" w:color="auto"/>
            </w:tcBorders>
            <w:shd w:val="clear" w:color="000000" w:fill="A6A6A6"/>
            <w:noWrap/>
            <w:tcMar>
              <w:left w:w="45" w:type="dxa"/>
              <w:right w:w="45" w:type="dxa"/>
            </w:tcMar>
            <w:hideMark/>
          </w:tcPr>
          <w:p w14:paraId="04831E53"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335</w:t>
            </w:r>
          </w:p>
        </w:tc>
      </w:tr>
      <w:tr w:rsidR="000729CF" w:rsidRPr="000729CF" w14:paraId="61D437D1" w14:textId="77777777" w:rsidTr="00BC26AB">
        <w:trPr>
          <w:trHeight w:val="20"/>
        </w:trPr>
        <w:tc>
          <w:tcPr>
            <w:tcW w:w="4539" w:type="pct"/>
            <w:gridSpan w:val="3"/>
            <w:tcBorders>
              <w:top w:val="single" w:sz="4" w:space="0" w:color="auto"/>
              <w:left w:val="single" w:sz="4" w:space="0" w:color="auto"/>
              <w:bottom w:val="single" w:sz="4" w:space="0" w:color="auto"/>
              <w:right w:val="single" w:sz="4" w:space="0" w:color="auto"/>
            </w:tcBorders>
            <w:shd w:val="clear" w:color="000000" w:fill="000000"/>
            <w:noWrap/>
            <w:tcMar>
              <w:left w:w="45" w:type="dxa"/>
              <w:right w:w="45" w:type="dxa"/>
            </w:tcMar>
            <w:hideMark/>
          </w:tcPr>
          <w:p w14:paraId="69ADCA5B"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Elections &amp; Land Charges</w:t>
            </w:r>
          </w:p>
        </w:tc>
        <w:tc>
          <w:tcPr>
            <w:tcW w:w="461" w:type="pct"/>
            <w:tcBorders>
              <w:top w:val="single" w:sz="4" w:space="0" w:color="auto"/>
              <w:left w:val="single" w:sz="4" w:space="0" w:color="auto"/>
              <w:bottom w:val="single" w:sz="4" w:space="0" w:color="auto"/>
              <w:right w:val="single" w:sz="4" w:space="0" w:color="auto"/>
            </w:tcBorders>
            <w:shd w:val="clear" w:color="000000" w:fill="000000"/>
            <w:noWrap/>
            <w:tcMar>
              <w:left w:w="45" w:type="dxa"/>
              <w:right w:w="45" w:type="dxa"/>
            </w:tcMar>
            <w:hideMark/>
          </w:tcPr>
          <w:p w14:paraId="4B38EC76"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 </w:t>
            </w:r>
          </w:p>
        </w:tc>
      </w:tr>
      <w:tr w:rsidR="000729CF" w:rsidRPr="000729CF" w14:paraId="54A588BD" w14:textId="77777777" w:rsidTr="00BC26AB">
        <w:trPr>
          <w:trHeight w:val="20"/>
        </w:trPr>
        <w:tc>
          <w:tcPr>
            <w:tcW w:w="87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256E3BAC"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Elections</w:t>
            </w:r>
          </w:p>
        </w:tc>
        <w:tc>
          <w:tcPr>
            <w:tcW w:w="1414" w:type="pct"/>
            <w:tcBorders>
              <w:top w:val="nil"/>
              <w:left w:val="nil"/>
              <w:bottom w:val="single" w:sz="4" w:space="0" w:color="auto"/>
              <w:right w:val="single" w:sz="4" w:space="0" w:color="auto"/>
            </w:tcBorders>
            <w:shd w:val="clear" w:color="auto" w:fill="auto"/>
            <w:tcMar>
              <w:left w:w="45" w:type="dxa"/>
              <w:right w:w="45" w:type="dxa"/>
            </w:tcMar>
            <w:hideMark/>
          </w:tcPr>
          <w:p w14:paraId="10F3FACC"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Elections</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7AE91842"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Proposal: Remove a vacant apprentice post from the Team Structure. Currently vacant and current Team working well following redesign.</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5B548600"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20</w:t>
            </w:r>
          </w:p>
        </w:tc>
      </w:tr>
      <w:tr w:rsidR="000729CF" w:rsidRPr="000729CF" w14:paraId="089027D2" w14:textId="77777777" w:rsidTr="00BC26AB">
        <w:trPr>
          <w:trHeight w:val="20"/>
        </w:trPr>
        <w:tc>
          <w:tcPr>
            <w:tcW w:w="87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6D7B9339"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Land Charges</w:t>
            </w:r>
          </w:p>
        </w:tc>
        <w:tc>
          <w:tcPr>
            <w:tcW w:w="1414" w:type="pct"/>
            <w:tcBorders>
              <w:top w:val="nil"/>
              <w:left w:val="nil"/>
              <w:bottom w:val="single" w:sz="4" w:space="0" w:color="auto"/>
              <w:right w:val="single" w:sz="4" w:space="0" w:color="auto"/>
            </w:tcBorders>
            <w:shd w:val="clear" w:color="auto" w:fill="auto"/>
            <w:tcMar>
              <w:left w:w="45" w:type="dxa"/>
              <w:right w:w="45" w:type="dxa"/>
            </w:tcMar>
            <w:hideMark/>
          </w:tcPr>
          <w:p w14:paraId="38CBE65F"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Land Charges</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01519D50"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No saving opportunity identified for 2024/25.</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330CAE86"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0</w:t>
            </w:r>
          </w:p>
        </w:tc>
      </w:tr>
      <w:tr w:rsidR="000729CF" w:rsidRPr="000729CF" w14:paraId="45BABD9A" w14:textId="77777777" w:rsidTr="00BC26AB">
        <w:trPr>
          <w:trHeight w:val="20"/>
        </w:trPr>
        <w:tc>
          <w:tcPr>
            <w:tcW w:w="2288" w:type="pct"/>
            <w:gridSpan w:val="2"/>
            <w:tcBorders>
              <w:top w:val="single" w:sz="4" w:space="0" w:color="auto"/>
              <w:left w:val="single" w:sz="4" w:space="0" w:color="auto"/>
              <w:bottom w:val="single" w:sz="4" w:space="0" w:color="auto"/>
              <w:right w:val="single" w:sz="4" w:space="0" w:color="000000"/>
            </w:tcBorders>
            <w:shd w:val="clear" w:color="000000" w:fill="A6A6A6"/>
            <w:noWrap/>
            <w:tcMar>
              <w:left w:w="45" w:type="dxa"/>
              <w:right w:w="45" w:type="dxa"/>
            </w:tcMar>
            <w:hideMark/>
          </w:tcPr>
          <w:p w14:paraId="1D5459CD"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Elections &amp; Land Charges Total</w:t>
            </w:r>
          </w:p>
        </w:tc>
        <w:tc>
          <w:tcPr>
            <w:tcW w:w="2251" w:type="pct"/>
            <w:tcBorders>
              <w:top w:val="nil"/>
              <w:left w:val="nil"/>
              <w:bottom w:val="single" w:sz="4" w:space="0" w:color="auto"/>
              <w:right w:val="single" w:sz="4" w:space="0" w:color="auto"/>
            </w:tcBorders>
            <w:shd w:val="clear" w:color="000000" w:fill="A6A6A6"/>
            <w:noWrap/>
            <w:tcMar>
              <w:left w:w="45" w:type="dxa"/>
              <w:right w:w="45" w:type="dxa"/>
            </w:tcMar>
            <w:hideMark/>
          </w:tcPr>
          <w:p w14:paraId="4805D9A3"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w:t>
            </w:r>
          </w:p>
        </w:tc>
        <w:tc>
          <w:tcPr>
            <w:tcW w:w="461" w:type="pct"/>
            <w:tcBorders>
              <w:top w:val="nil"/>
              <w:left w:val="nil"/>
              <w:bottom w:val="single" w:sz="4" w:space="0" w:color="auto"/>
              <w:right w:val="single" w:sz="4" w:space="0" w:color="auto"/>
            </w:tcBorders>
            <w:shd w:val="clear" w:color="000000" w:fill="A6A6A6"/>
            <w:noWrap/>
            <w:tcMar>
              <w:left w:w="45" w:type="dxa"/>
              <w:right w:w="45" w:type="dxa"/>
            </w:tcMar>
            <w:hideMark/>
          </w:tcPr>
          <w:p w14:paraId="237B2157"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20</w:t>
            </w:r>
          </w:p>
        </w:tc>
      </w:tr>
      <w:tr w:rsidR="000729CF" w:rsidRPr="000729CF" w14:paraId="0A84FF8B" w14:textId="77777777" w:rsidTr="00BC26AB">
        <w:trPr>
          <w:trHeight w:val="20"/>
        </w:trPr>
        <w:tc>
          <w:tcPr>
            <w:tcW w:w="4539" w:type="pct"/>
            <w:gridSpan w:val="3"/>
            <w:tcBorders>
              <w:top w:val="single" w:sz="4" w:space="0" w:color="auto"/>
              <w:left w:val="single" w:sz="4" w:space="0" w:color="auto"/>
              <w:bottom w:val="single" w:sz="4" w:space="0" w:color="auto"/>
              <w:right w:val="single" w:sz="4" w:space="0" w:color="auto"/>
            </w:tcBorders>
            <w:shd w:val="clear" w:color="000000" w:fill="000000"/>
            <w:noWrap/>
            <w:tcMar>
              <w:left w:w="45" w:type="dxa"/>
              <w:right w:w="45" w:type="dxa"/>
            </w:tcMar>
            <w:hideMark/>
          </w:tcPr>
          <w:p w14:paraId="2808A339" w14:textId="77777777" w:rsidR="000729CF" w:rsidRPr="000729CF" w:rsidRDefault="000729CF" w:rsidP="000729CF">
            <w:pPr>
              <w:keepNext/>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Customer Modernisation &amp; Performance insight</w:t>
            </w:r>
          </w:p>
        </w:tc>
        <w:tc>
          <w:tcPr>
            <w:tcW w:w="461" w:type="pct"/>
            <w:tcBorders>
              <w:top w:val="single" w:sz="4" w:space="0" w:color="auto"/>
              <w:left w:val="single" w:sz="4" w:space="0" w:color="auto"/>
              <w:bottom w:val="single" w:sz="4" w:space="0" w:color="auto"/>
              <w:right w:val="single" w:sz="4" w:space="0" w:color="auto"/>
            </w:tcBorders>
            <w:shd w:val="clear" w:color="000000" w:fill="000000"/>
            <w:noWrap/>
            <w:tcMar>
              <w:left w:w="45" w:type="dxa"/>
              <w:right w:w="45" w:type="dxa"/>
            </w:tcMar>
            <w:hideMark/>
          </w:tcPr>
          <w:p w14:paraId="6E6A9939"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 </w:t>
            </w:r>
          </w:p>
        </w:tc>
      </w:tr>
      <w:tr w:rsidR="000729CF" w:rsidRPr="000729CF" w14:paraId="11778B80" w14:textId="77777777" w:rsidTr="00BC26AB">
        <w:trPr>
          <w:trHeight w:val="20"/>
        </w:trPr>
        <w:tc>
          <w:tcPr>
            <w:tcW w:w="87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2B4C3743"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Customer Experience &amp; feedback</w:t>
            </w:r>
          </w:p>
        </w:tc>
        <w:tc>
          <w:tcPr>
            <w:tcW w:w="1414" w:type="pct"/>
            <w:tcBorders>
              <w:top w:val="nil"/>
              <w:left w:val="nil"/>
              <w:bottom w:val="single" w:sz="4" w:space="0" w:color="auto"/>
              <w:right w:val="single" w:sz="4" w:space="0" w:color="auto"/>
            </w:tcBorders>
            <w:shd w:val="clear" w:color="auto" w:fill="auto"/>
            <w:tcMar>
              <w:left w:w="45" w:type="dxa"/>
              <w:right w:w="45" w:type="dxa"/>
            </w:tcMar>
            <w:hideMark/>
          </w:tcPr>
          <w:p w14:paraId="25F0CEEC"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Customer Experience &amp; feedback</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223EF573"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No saving identified but the service will be reviewed as part of overall 'Organisational Redesign' principles.</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645AFBB7"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0</w:t>
            </w:r>
          </w:p>
        </w:tc>
      </w:tr>
      <w:tr w:rsidR="000729CF" w:rsidRPr="000729CF" w14:paraId="0915263B" w14:textId="77777777" w:rsidTr="00BC26AB">
        <w:trPr>
          <w:trHeight w:val="20"/>
        </w:trPr>
        <w:tc>
          <w:tcPr>
            <w:tcW w:w="87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322F762E"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Customer and Performance</w:t>
            </w:r>
          </w:p>
        </w:tc>
        <w:tc>
          <w:tcPr>
            <w:tcW w:w="1414" w:type="pct"/>
            <w:tcBorders>
              <w:top w:val="nil"/>
              <w:left w:val="nil"/>
              <w:bottom w:val="single" w:sz="4" w:space="0" w:color="auto"/>
              <w:right w:val="single" w:sz="4" w:space="0" w:color="auto"/>
            </w:tcBorders>
            <w:shd w:val="clear" w:color="auto" w:fill="auto"/>
            <w:tcMar>
              <w:left w:w="45" w:type="dxa"/>
              <w:right w:w="45" w:type="dxa"/>
            </w:tcMar>
            <w:hideMark/>
          </w:tcPr>
          <w:p w14:paraId="61D5A3E4"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Customer and Performance</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5BFD5238"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No saving identified but the service will be reviewed as part of overall 'Organisational Redesign' principles.</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204819DE"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0</w:t>
            </w:r>
          </w:p>
        </w:tc>
      </w:tr>
      <w:tr w:rsidR="000729CF" w:rsidRPr="000729CF" w14:paraId="050E294B" w14:textId="77777777" w:rsidTr="00BC26AB">
        <w:trPr>
          <w:trHeight w:val="20"/>
        </w:trPr>
        <w:tc>
          <w:tcPr>
            <w:tcW w:w="87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0B684AFA"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Corporate Programme Management Office</w:t>
            </w:r>
          </w:p>
        </w:tc>
        <w:tc>
          <w:tcPr>
            <w:tcW w:w="1414" w:type="pct"/>
            <w:tcBorders>
              <w:top w:val="nil"/>
              <w:left w:val="nil"/>
              <w:bottom w:val="single" w:sz="4" w:space="0" w:color="auto"/>
              <w:right w:val="single" w:sz="4" w:space="0" w:color="auto"/>
            </w:tcBorders>
            <w:shd w:val="clear" w:color="auto" w:fill="auto"/>
            <w:tcMar>
              <w:left w:w="45" w:type="dxa"/>
              <w:right w:w="45" w:type="dxa"/>
            </w:tcMar>
            <w:hideMark/>
          </w:tcPr>
          <w:p w14:paraId="3B110C5F"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Corporate Programme Management Office</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18147128"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No saving identified but the service will be reviewed as part of overall 'Organisational Redesign' principles.</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6345BA6F"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0</w:t>
            </w:r>
          </w:p>
        </w:tc>
      </w:tr>
      <w:tr w:rsidR="000729CF" w:rsidRPr="000729CF" w14:paraId="08EC917D" w14:textId="77777777" w:rsidTr="00BC26AB">
        <w:trPr>
          <w:trHeight w:val="20"/>
        </w:trPr>
        <w:tc>
          <w:tcPr>
            <w:tcW w:w="87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0B52C41E"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Information Rights Team</w:t>
            </w:r>
          </w:p>
        </w:tc>
        <w:tc>
          <w:tcPr>
            <w:tcW w:w="1414" w:type="pct"/>
            <w:tcBorders>
              <w:top w:val="nil"/>
              <w:left w:val="nil"/>
              <w:bottom w:val="single" w:sz="4" w:space="0" w:color="auto"/>
              <w:right w:val="single" w:sz="4" w:space="0" w:color="auto"/>
            </w:tcBorders>
            <w:shd w:val="clear" w:color="auto" w:fill="auto"/>
            <w:tcMar>
              <w:left w:w="45" w:type="dxa"/>
              <w:right w:w="45" w:type="dxa"/>
            </w:tcMar>
            <w:hideMark/>
          </w:tcPr>
          <w:p w14:paraId="013A6A46"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Information Rights Team</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390BBBD3"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Deletion of a vacant Information Rights Case Officer post. Currently the organisation is not complying with all ICO expectations and this will further add to compliance risks. There may be a risk to reputation if the demand continues to rise and the compliance rate falls significantly below the ICO expectations.</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12315091"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35</w:t>
            </w:r>
          </w:p>
        </w:tc>
      </w:tr>
      <w:tr w:rsidR="000729CF" w:rsidRPr="000729CF" w14:paraId="3EA4EAAF" w14:textId="77777777" w:rsidTr="00BC26AB">
        <w:trPr>
          <w:trHeight w:val="20"/>
        </w:trPr>
        <w:tc>
          <w:tcPr>
            <w:tcW w:w="2288" w:type="pct"/>
            <w:gridSpan w:val="2"/>
            <w:tcBorders>
              <w:top w:val="single" w:sz="4" w:space="0" w:color="auto"/>
              <w:left w:val="single" w:sz="4" w:space="0" w:color="auto"/>
              <w:bottom w:val="single" w:sz="4" w:space="0" w:color="auto"/>
              <w:right w:val="single" w:sz="4" w:space="0" w:color="000000"/>
            </w:tcBorders>
            <w:shd w:val="clear" w:color="000000" w:fill="A6A6A6"/>
            <w:noWrap/>
            <w:tcMar>
              <w:left w:w="45" w:type="dxa"/>
              <w:right w:w="45" w:type="dxa"/>
            </w:tcMar>
            <w:hideMark/>
          </w:tcPr>
          <w:p w14:paraId="76960E79"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Customer Modernisation &amp; Performance insight Total</w:t>
            </w:r>
          </w:p>
        </w:tc>
        <w:tc>
          <w:tcPr>
            <w:tcW w:w="2251" w:type="pct"/>
            <w:tcBorders>
              <w:top w:val="nil"/>
              <w:left w:val="nil"/>
              <w:bottom w:val="single" w:sz="4" w:space="0" w:color="auto"/>
              <w:right w:val="single" w:sz="4" w:space="0" w:color="auto"/>
            </w:tcBorders>
            <w:shd w:val="clear" w:color="000000" w:fill="A6A6A6"/>
            <w:noWrap/>
            <w:tcMar>
              <w:left w:w="45" w:type="dxa"/>
              <w:right w:w="45" w:type="dxa"/>
            </w:tcMar>
            <w:hideMark/>
          </w:tcPr>
          <w:p w14:paraId="75B61C48"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w:t>
            </w:r>
          </w:p>
        </w:tc>
        <w:tc>
          <w:tcPr>
            <w:tcW w:w="461" w:type="pct"/>
            <w:tcBorders>
              <w:top w:val="nil"/>
              <w:left w:val="nil"/>
              <w:bottom w:val="single" w:sz="4" w:space="0" w:color="auto"/>
              <w:right w:val="single" w:sz="4" w:space="0" w:color="auto"/>
            </w:tcBorders>
            <w:shd w:val="clear" w:color="000000" w:fill="A6A6A6"/>
            <w:noWrap/>
            <w:tcMar>
              <w:left w:w="45" w:type="dxa"/>
              <w:right w:w="45" w:type="dxa"/>
            </w:tcMar>
            <w:hideMark/>
          </w:tcPr>
          <w:p w14:paraId="6667FEC0"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35</w:t>
            </w:r>
          </w:p>
        </w:tc>
      </w:tr>
      <w:tr w:rsidR="000729CF" w:rsidRPr="000729CF" w14:paraId="127DFD57" w14:textId="77777777" w:rsidTr="00BC26AB">
        <w:trPr>
          <w:trHeight w:val="20"/>
        </w:trPr>
        <w:tc>
          <w:tcPr>
            <w:tcW w:w="4539" w:type="pct"/>
            <w:gridSpan w:val="3"/>
            <w:tcBorders>
              <w:top w:val="single" w:sz="4" w:space="0" w:color="auto"/>
              <w:left w:val="single" w:sz="4" w:space="0" w:color="auto"/>
              <w:bottom w:val="single" w:sz="4" w:space="0" w:color="auto"/>
              <w:right w:val="single" w:sz="4" w:space="0" w:color="auto"/>
            </w:tcBorders>
            <w:shd w:val="clear" w:color="000000" w:fill="000000"/>
            <w:noWrap/>
            <w:tcMar>
              <w:left w:w="45" w:type="dxa"/>
              <w:right w:w="45" w:type="dxa"/>
            </w:tcMar>
            <w:hideMark/>
          </w:tcPr>
          <w:p w14:paraId="57CC1ABB"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Finance</w:t>
            </w:r>
          </w:p>
        </w:tc>
        <w:tc>
          <w:tcPr>
            <w:tcW w:w="461" w:type="pct"/>
            <w:tcBorders>
              <w:top w:val="single" w:sz="4" w:space="0" w:color="auto"/>
              <w:left w:val="single" w:sz="4" w:space="0" w:color="auto"/>
              <w:bottom w:val="single" w:sz="4" w:space="0" w:color="auto"/>
              <w:right w:val="single" w:sz="4" w:space="0" w:color="auto"/>
            </w:tcBorders>
            <w:shd w:val="clear" w:color="000000" w:fill="000000"/>
            <w:noWrap/>
            <w:tcMar>
              <w:left w:w="45" w:type="dxa"/>
              <w:right w:w="45" w:type="dxa"/>
            </w:tcMar>
            <w:hideMark/>
          </w:tcPr>
          <w:p w14:paraId="4C2A6BFF"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 </w:t>
            </w:r>
          </w:p>
        </w:tc>
      </w:tr>
      <w:tr w:rsidR="000729CF" w:rsidRPr="000729CF" w14:paraId="08A29AA5" w14:textId="77777777" w:rsidTr="00BC26AB">
        <w:trPr>
          <w:trHeight w:val="20"/>
        </w:trPr>
        <w:tc>
          <w:tcPr>
            <w:tcW w:w="87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066CB512"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Financial Services</w:t>
            </w:r>
          </w:p>
        </w:tc>
        <w:tc>
          <w:tcPr>
            <w:tcW w:w="1414" w:type="pct"/>
            <w:tcBorders>
              <w:top w:val="nil"/>
              <w:left w:val="nil"/>
              <w:bottom w:val="single" w:sz="4" w:space="0" w:color="auto"/>
              <w:right w:val="single" w:sz="4" w:space="0" w:color="auto"/>
            </w:tcBorders>
            <w:shd w:val="clear" w:color="auto" w:fill="auto"/>
            <w:tcMar>
              <w:left w:w="45" w:type="dxa"/>
              <w:right w:w="45" w:type="dxa"/>
            </w:tcMar>
            <w:hideMark/>
          </w:tcPr>
          <w:p w14:paraId="136B2B70"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Provides a full range of financial services including the S1551 Chief Finance Officer, Financial Advice (Business Partnering) support to services, Medium-term Financial Planning and Annual Budget Preparation, Treasury Management, Taxation and Insurance services, management accounting, reporting and forecasting (TBM), account maintenance, and completion of statutory government returns and grant claims. It also provides contracted Services to Schools, South Downs National Park Authority, the Coast to Capital LEP and the Housing Joint Venture.</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116E2E7F"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Review the balance of support to services based on a further refinement of the risk-based approach to monitoring and advice. This will see some Budget Holders supported by a lower staffing FTE through deletion of a vacancy with a focus on prioritising support to higher risk, more complex budgets. Delivery Risk: Key risk is to customer service where budget holders will have reduced support and access to advice. There is also a potential impact on meeting deadlines such as monitoring timelines, grant claim or other government return deadlines.</w:t>
            </w:r>
            <w:r w:rsidRPr="000729CF">
              <w:rPr>
                <w:rFonts w:ascii="Calibri" w:hAnsi="Calibri" w:cs="Calibri"/>
                <w:color w:val="000000"/>
                <w:sz w:val="22"/>
                <w:szCs w:val="22"/>
                <w:lang w:val="en-GB" w:eastAsia="en-GB"/>
              </w:rPr>
              <w:br/>
              <w:t>There will also be a review of the capitalisation of support costs for the capital programme to align with other corporate and service charges to capital schemes following the very substantial increase in both the size, complexity and number of schemes in recent years and the associated increase in monitoring requirements, including advice to and monitoring of capital bids and awards.</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4AFA8A90"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144</w:t>
            </w:r>
          </w:p>
        </w:tc>
      </w:tr>
      <w:tr w:rsidR="000729CF" w:rsidRPr="000729CF" w14:paraId="3726A416" w14:textId="77777777" w:rsidTr="00BC26AB">
        <w:trPr>
          <w:trHeight w:val="20"/>
        </w:trPr>
        <w:tc>
          <w:tcPr>
            <w:tcW w:w="87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611367BC"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Audit (MOBO)</w:t>
            </w:r>
          </w:p>
        </w:tc>
        <w:tc>
          <w:tcPr>
            <w:tcW w:w="1414" w:type="pct"/>
            <w:tcBorders>
              <w:top w:val="nil"/>
              <w:left w:val="nil"/>
              <w:bottom w:val="single" w:sz="4" w:space="0" w:color="auto"/>
              <w:right w:val="single" w:sz="4" w:space="0" w:color="auto"/>
            </w:tcBorders>
            <w:shd w:val="clear" w:color="auto" w:fill="auto"/>
            <w:tcMar>
              <w:left w:w="45" w:type="dxa"/>
              <w:right w:w="45" w:type="dxa"/>
            </w:tcMar>
            <w:hideMark/>
          </w:tcPr>
          <w:p w14:paraId="407F6F30"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This budget relates to a number of small items including NAFN and training retained by BHCC. All other Internal Audit budgets are held within Orbis (See 'Contribution to Orbis'.</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73D960BF"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No saving opportunity identified for 2024/25.</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75617732"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0</w:t>
            </w:r>
          </w:p>
        </w:tc>
      </w:tr>
      <w:tr w:rsidR="000729CF" w:rsidRPr="000729CF" w14:paraId="6D6936F7" w14:textId="77777777" w:rsidTr="00BC26AB">
        <w:trPr>
          <w:trHeight w:val="20"/>
        </w:trPr>
        <w:tc>
          <w:tcPr>
            <w:tcW w:w="87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6071C19F"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Insurance (MOBO)</w:t>
            </w:r>
          </w:p>
        </w:tc>
        <w:tc>
          <w:tcPr>
            <w:tcW w:w="1414" w:type="pct"/>
            <w:tcBorders>
              <w:top w:val="nil"/>
              <w:left w:val="nil"/>
              <w:bottom w:val="single" w:sz="4" w:space="0" w:color="auto"/>
              <w:right w:val="single" w:sz="4" w:space="0" w:color="auto"/>
            </w:tcBorders>
            <w:shd w:val="clear" w:color="auto" w:fill="auto"/>
            <w:tcMar>
              <w:left w:w="45" w:type="dxa"/>
              <w:right w:w="45" w:type="dxa"/>
            </w:tcMar>
            <w:hideMark/>
          </w:tcPr>
          <w:p w14:paraId="071DE49B"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This budget relates to a number of small items including system licences retained by BHCC. All other Insurance budgets are held within Orbis (See 'Contribution to Orbis'.</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20D7BABE"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No saving opportunity identified for 2024/25.</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0F23D9DA"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0</w:t>
            </w:r>
          </w:p>
        </w:tc>
      </w:tr>
      <w:tr w:rsidR="000729CF" w:rsidRPr="000729CF" w14:paraId="32B66A02" w14:textId="77777777" w:rsidTr="00BC26AB">
        <w:trPr>
          <w:trHeight w:val="20"/>
        </w:trPr>
        <w:tc>
          <w:tcPr>
            <w:tcW w:w="2288" w:type="pct"/>
            <w:gridSpan w:val="2"/>
            <w:tcBorders>
              <w:top w:val="single" w:sz="4" w:space="0" w:color="auto"/>
              <w:left w:val="single" w:sz="4" w:space="0" w:color="auto"/>
              <w:bottom w:val="single" w:sz="4" w:space="0" w:color="auto"/>
              <w:right w:val="single" w:sz="4" w:space="0" w:color="000000"/>
            </w:tcBorders>
            <w:shd w:val="clear" w:color="000000" w:fill="A6A6A6"/>
            <w:noWrap/>
            <w:tcMar>
              <w:left w:w="45" w:type="dxa"/>
              <w:right w:w="45" w:type="dxa"/>
            </w:tcMar>
            <w:hideMark/>
          </w:tcPr>
          <w:p w14:paraId="786E9976"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Finance Total</w:t>
            </w:r>
          </w:p>
        </w:tc>
        <w:tc>
          <w:tcPr>
            <w:tcW w:w="2251" w:type="pct"/>
            <w:tcBorders>
              <w:top w:val="nil"/>
              <w:left w:val="nil"/>
              <w:bottom w:val="single" w:sz="4" w:space="0" w:color="auto"/>
              <w:right w:val="single" w:sz="4" w:space="0" w:color="auto"/>
            </w:tcBorders>
            <w:shd w:val="clear" w:color="000000" w:fill="A6A6A6"/>
            <w:noWrap/>
            <w:tcMar>
              <w:left w:w="45" w:type="dxa"/>
              <w:right w:w="45" w:type="dxa"/>
            </w:tcMar>
            <w:hideMark/>
          </w:tcPr>
          <w:p w14:paraId="46024E42"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w:t>
            </w:r>
          </w:p>
        </w:tc>
        <w:tc>
          <w:tcPr>
            <w:tcW w:w="461" w:type="pct"/>
            <w:tcBorders>
              <w:top w:val="nil"/>
              <w:left w:val="nil"/>
              <w:bottom w:val="single" w:sz="4" w:space="0" w:color="auto"/>
              <w:right w:val="single" w:sz="4" w:space="0" w:color="auto"/>
            </w:tcBorders>
            <w:shd w:val="clear" w:color="000000" w:fill="A6A6A6"/>
            <w:noWrap/>
            <w:tcMar>
              <w:left w:w="45" w:type="dxa"/>
              <w:right w:w="45" w:type="dxa"/>
            </w:tcMar>
            <w:hideMark/>
          </w:tcPr>
          <w:p w14:paraId="618126B2"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144</w:t>
            </w:r>
          </w:p>
        </w:tc>
      </w:tr>
      <w:tr w:rsidR="000729CF" w:rsidRPr="000729CF" w14:paraId="2AA29451" w14:textId="77777777" w:rsidTr="00BC26AB">
        <w:trPr>
          <w:trHeight w:val="20"/>
        </w:trPr>
        <w:tc>
          <w:tcPr>
            <w:tcW w:w="4539" w:type="pct"/>
            <w:gridSpan w:val="3"/>
            <w:tcBorders>
              <w:top w:val="single" w:sz="4" w:space="0" w:color="auto"/>
              <w:left w:val="single" w:sz="4" w:space="0" w:color="auto"/>
              <w:bottom w:val="single" w:sz="4" w:space="0" w:color="auto"/>
              <w:right w:val="single" w:sz="4" w:space="0" w:color="auto"/>
            </w:tcBorders>
            <w:shd w:val="clear" w:color="000000" w:fill="000000"/>
            <w:noWrap/>
            <w:tcMar>
              <w:left w:w="45" w:type="dxa"/>
              <w:right w:w="45" w:type="dxa"/>
            </w:tcMar>
            <w:hideMark/>
          </w:tcPr>
          <w:p w14:paraId="1B0DA56C"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Procurement (Mobo)</w:t>
            </w:r>
          </w:p>
        </w:tc>
        <w:tc>
          <w:tcPr>
            <w:tcW w:w="461" w:type="pct"/>
            <w:tcBorders>
              <w:top w:val="single" w:sz="4" w:space="0" w:color="auto"/>
              <w:left w:val="single" w:sz="4" w:space="0" w:color="auto"/>
              <w:bottom w:val="single" w:sz="4" w:space="0" w:color="auto"/>
              <w:right w:val="single" w:sz="4" w:space="0" w:color="auto"/>
            </w:tcBorders>
            <w:shd w:val="clear" w:color="000000" w:fill="000000"/>
            <w:noWrap/>
            <w:tcMar>
              <w:left w:w="45" w:type="dxa"/>
              <w:right w:w="45" w:type="dxa"/>
            </w:tcMar>
            <w:hideMark/>
          </w:tcPr>
          <w:p w14:paraId="758FD9C7"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 </w:t>
            </w:r>
          </w:p>
        </w:tc>
      </w:tr>
      <w:tr w:rsidR="000729CF" w:rsidRPr="000729CF" w14:paraId="00A238E7" w14:textId="77777777" w:rsidTr="00BC26AB">
        <w:trPr>
          <w:trHeight w:val="20"/>
        </w:trPr>
        <w:tc>
          <w:tcPr>
            <w:tcW w:w="87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3A20A5FE"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Procurement </w:t>
            </w:r>
          </w:p>
        </w:tc>
        <w:tc>
          <w:tcPr>
            <w:tcW w:w="1414" w:type="pct"/>
            <w:tcBorders>
              <w:top w:val="nil"/>
              <w:left w:val="nil"/>
              <w:bottom w:val="single" w:sz="4" w:space="0" w:color="auto"/>
              <w:right w:val="single" w:sz="4" w:space="0" w:color="auto"/>
            </w:tcBorders>
            <w:shd w:val="clear" w:color="auto" w:fill="auto"/>
            <w:tcMar>
              <w:left w:w="45" w:type="dxa"/>
              <w:right w:w="45" w:type="dxa"/>
            </w:tcMar>
            <w:hideMark/>
          </w:tcPr>
          <w:p w14:paraId="118CCE74"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This budget relates to a number of small items including system licences retained by BHCC. All other Procurement budgets are held within Orbis (See 'Contribution to Orbis'.</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61D8EF10"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No saving opportunity identified for 2024/25.</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5A58181F"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2</w:t>
            </w:r>
          </w:p>
        </w:tc>
      </w:tr>
      <w:tr w:rsidR="000729CF" w:rsidRPr="000729CF" w14:paraId="69FABDFE" w14:textId="77777777" w:rsidTr="00BC26AB">
        <w:trPr>
          <w:trHeight w:val="20"/>
        </w:trPr>
        <w:tc>
          <w:tcPr>
            <w:tcW w:w="2288" w:type="pct"/>
            <w:gridSpan w:val="2"/>
            <w:tcBorders>
              <w:top w:val="single" w:sz="4" w:space="0" w:color="auto"/>
              <w:left w:val="single" w:sz="4" w:space="0" w:color="auto"/>
              <w:bottom w:val="single" w:sz="4" w:space="0" w:color="auto"/>
              <w:right w:val="single" w:sz="4" w:space="0" w:color="000000"/>
            </w:tcBorders>
            <w:shd w:val="clear" w:color="000000" w:fill="A6A6A6"/>
            <w:noWrap/>
            <w:tcMar>
              <w:left w:w="45" w:type="dxa"/>
              <w:right w:w="45" w:type="dxa"/>
            </w:tcMar>
            <w:hideMark/>
          </w:tcPr>
          <w:p w14:paraId="6A6DAF03"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Procurement (Mobo) Total</w:t>
            </w:r>
          </w:p>
        </w:tc>
        <w:tc>
          <w:tcPr>
            <w:tcW w:w="2251" w:type="pct"/>
            <w:tcBorders>
              <w:top w:val="nil"/>
              <w:left w:val="nil"/>
              <w:bottom w:val="single" w:sz="4" w:space="0" w:color="auto"/>
              <w:right w:val="single" w:sz="4" w:space="0" w:color="auto"/>
            </w:tcBorders>
            <w:shd w:val="clear" w:color="000000" w:fill="A6A6A6"/>
            <w:noWrap/>
            <w:tcMar>
              <w:left w:w="45" w:type="dxa"/>
              <w:right w:w="45" w:type="dxa"/>
            </w:tcMar>
            <w:hideMark/>
          </w:tcPr>
          <w:p w14:paraId="0CDFEFAB"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w:t>
            </w:r>
          </w:p>
        </w:tc>
        <w:tc>
          <w:tcPr>
            <w:tcW w:w="461" w:type="pct"/>
            <w:tcBorders>
              <w:top w:val="nil"/>
              <w:left w:val="nil"/>
              <w:bottom w:val="single" w:sz="4" w:space="0" w:color="auto"/>
              <w:right w:val="single" w:sz="4" w:space="0" w:color="auto"/>
            </w:tcBorders>
            <w:shd w:val="clear" w:color="000000" w:fill="A6A6A6"/>
            <w:noWrap/>
            <w:tcMar>
              <w:left w:w="45" w:type="dxa"/>
              <w:right w:w="45" w:type="dxa"/>
            </w:tcMar>
            <w:hideMark/>
          </w:tcPr>
          <w:p w14:paraId="05FA2F71"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2</w:t>
            </w:r>
          </w:p>
        </w:tc>
      </w:tr>
      <w:tr w:rsidR="000729CF" w:rsidRPr="000729CF" w14:paraId="2CD8A627" w14:textId="77777777" w:rsidTr="00BC26AB">
        <w:trPr>
          <w:trHeight w:val="20"/>
        </w:trPr>
        <w:tc>
          <w:tcPr>
            <w:tcW w:w="4539" w:type="pct"/>
            <w:gridSpan w:val="3"/>
            <w:tcBorders>
              <w:top w:val="single" w:sz="4" w:space="0" w:color="auto"/>
              <w:left w:val="single" w:sz="4" w:space="0" w:color="auto"/>
              <w:bottom w:val="single" w:sz="4" w:space="0" w:color="auto"/>
              <w:right w:val="single" w:sz="4" w:space="0" w:color="auto"/>
            </w:tcBorders>
            <w:shd w:val="clear" w:color="000000" w:fill="000000"/>
            <w:noWrap/>
            <w:tcMar>
              <w:left w:w="45" w:type="dxa"/>
              <w:right w:w="45" w:type="dxa"/>
            </w:tcMar>
            <w:hideMark/>
          </w:tcPr>
          <w:p w14:paraId="53579F1A"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HR &amp; Organisational Development</w:t>
            </w:r>
          </w:p>
        </w:tc>
        <w:tc>
          <w:tcPr>
            <w:tcW w:w="461" w:type="pct"/>
            <w:tcBorders>
              <w:top w:val="single" w:sz="4" w:space="0" w:color="auto"/>
              <w:left w:val="single" w:sz="4" w:space="0" w:color="auto"/>
              <w:bottom w:val="single" w:sz="4" w:space="0" w:color="auto"/>
              <w:right w:val="single" w:sz="4" w:space="0" w:color="auto"/>
            </w:tcBorders>
            <w:shd w:val="clear" w:color="000000" w:fill="000000"/>
            <w:noWrap/>
            <w:tcMar>
              <w:left w:w="45" w:type="dxa"/>
              <w:right w:w="45" w:type="dxa"/>
            </w:tcMar>
            <w:hideMark/>
          </w:tcPr>
          <w:p w14:paraId="637F7C83"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 </w:t>
            </w:r>
          </w:p>
        </w:tc>
      </w:tr>
      <w:tr w:rsidR="000729CF" w:rsidRPr="000729CF" w14:paraId="53D1458E" w14:textId="77777777" w:rsidTr="00BC26AB">
        <w:trPr>
          <w:trHeight w:val="20"/>
        </w:trPr>
        <w:tc>
          <w:tcPr>
            <w:tcW w:w="87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0E6AE39D"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Health &amp; Safety and Occupational Health </w:t>
            </w:r>
          </w:p>
        </w:tc>
        <w:tc>
          <w:tcPr>
            <w:tcW w:w="1414" w:type="pct"/>
            <w:tcBorders>
              <w:top w:val="nil"/>
              <w:left w:val="nil"/>
              <w:bottom w:val="single" w:sz="4" w:space="0" w:color="auto"/>
              <w:right w:val="single" w:sz="4" w:space="0" w:color="auto"/>
            </w:tcBorders>
            <w:shd w:val="clear" w:color="auto" w:fill="auto"/>
            <w:tcMar>
              <w:left w:w="45" w:type="dxa"/>
              <w:right w:w="45" w:type="dxa"/>
            </w:tcMar>
            <w:hideMark/>
          </w:tcPr>
          <w:p w14:paraId="35AAAF6A"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Provision of competent H&amp;S advice in accordance with legislation, maintaining the councils H&amp;S Policy, Standards &amp; safety management framework Team Safety and undertaking a programme of audit activity to report on assurance. Carrying out incident investigations &amp; reporting to the Health &amp; Safety Executive (HSE) in accordance with legislation </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701843E1"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Proposal: reduction in hours for posts permanently funded by City Environment Management and Health &amp; Safety (supported by the service) - work allocation within CEM will be reprioritised accordingly. Delivery risk: Some impact on capacity on a permanent basis. </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6DF10ECA"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7</w:t>
            </w:r>
          </w:p>
        </w:tc>
      </w:tr>
      <w:tr w:rsidR="000729CF" w:rsidRPr="000729CF" w14:paraId="6C93E7BF" w14:textId="77777777" w:rsidTr="00BC26AB">
        <w:trPr>
          <w:trHeight w:val="20"/>
        </w:trPr>
        <w:tc>
          <w:tcPr>
            <w:tcW w:w="87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1E664143"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Learning &amp; Organisational Development</w:t>
            </w:r>
          </w:p>
        </w:tc>
        <w:tc>
          <w:tcPr>
            <w:tcW w:w="1414" w:type="pct"/>
            <w:tcBorders>
              <w:top w:val="nil"/>
              <w:left w:val="nil"/>
              <w:bottom w:val="single" w:sz="4" w:space="0" w:color="auto"/>
              <w:right w:val="single" w:sz="4" w:space="0" w:color="auto"/>
            </w:tcBorders>
            <w:shd w:val="clear" w:color="auto" w:fill="auto"/>
            <w:tcMar>
              <w:left w:w="45" w:type="dxa"/>
              <w:right w:w="45" w:type="dxa"/>
            </w:tcMar>
            <w:hideMark/>
          </w:tcPr>
          <w:p w14:paraId="53E277A9"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Delivery of Organisational Development and training for the organisation and wider social care sector. Supports the organisation to transform and modernise, develop skills for the future workforce and ensure current training and development is delivered to maintain necessary skills </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321583CF"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Proposal - Deletion of part-time vacant Learning &amp; OD consultant for Families, Children &amp; Learning, and integration of the work into a full time consultant role by increasing a 0.8 consultant FTE to 1.0 FTE. Saving of £27k, plus £3k reduction in operating budgets. Delivery risk - reduction in capacity to progress training commissioning. </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7E6E67E0"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30</w:t>
            </w:r>
          </w:p>
        </w:tc>
      </w:tr>
      <w:tr w:rsidR="000729CF" w:rsidRPr="000729CF" w14:paraId="3D0CA5B0" w14:textId="77777777" w:rsidTr="00BC26AB">
        <w:trPr>
          <w:trHeight w:val="20"/>
        </w:trPr>
        <w:tc>
          <w:tcPr>
            <w:tcW w:w="87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012E6F78"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HR Reward, Policy, Strategy, Advisory and Business Partnering</w:t>
            </w:r>
          </w:p>
        </w:tc>
        <w:tc>
          <w:tcPr>
            <w:tcW w:w="1414" w:type="pct"/>
            <w:tcBorders>
              <w:top w:val="nil"/>
              <w:left w:val="nil"/>
              <w:bottom w:val="single" w:sz="4" w:space="0" w:color="auto"/>
              <w:right w:val="single" w:sz="4" w:space="0" w:color="auto"/>
            </w:tcBorders>
            <w:shd w:val="clear" w:color="auto" w:fill="auto"/>
            <w:tcMar>
              <w:left w:w="45" w:type="dxa"/>
              <w:right w:w="45" w:type="dxa"/>
            </w:tcMar>
            <w:hideMark/>
          </w:tcPr>
          <w:p w14:paraId="6D77036A"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Delivery of the full HR service, including policy changes, advisory services and Business Partnering ensuring the organisation is supported with BAU support, and the development of strategies, plans and actions to develop the workforce of the future and enabling transformation and modernisation </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09CAFBE3"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Proposal - Deletion of vacant Wellbeing Manager role. The wellbeing aspects of the role that relate to protecting staff will transfer to Health and Safety, the Occupational Health and EAP contract management will transfer to the Contract Manager, with operational support for the contract being provided by the Advisory Service. Delivery risk - impact on workloads across HR, particularly on resources that are required to support change and transformation across the organisation.</w:t>
            </w:r>
            <w:r w:rsidRPr="000729CF">
              <w:rPr>
                <w:rFonts w:ascii="Calibri" w:hAnsi="Calibri" w:cs="Calibri"/>
                <w:color w:val="000000"/>
                <w:sz w:val="22"/>
                <w:szCs w:val="22"/>
                <w:lang w:val="en-GB" w:eastAsia="en-GB"/>
              </w:rPr>
              <w:br/>
              <w:t>Second proposal - Deletion of a vacant post from advisory, including the regrading of a scale 6 post to SO1/2. Delivery risk - Impact on resource available to manage change and transformation.</w:t>
            </w:r>
            <w:r w:rsidRPr="000729CF">
              <w:rPr>
                <w:rFonts w:ascii="Calibri" w:hAnsi="Calibri" w:cs="Calibri"/>
                <w:color w:val="000000"/>
                <w:sz w:val="22"/>
                <w:szCs w:val="22"/>
                <w:lang w:val="en-GB" w:eastAsia="en-GB"/>
              </w:rPr>
              <w:br/>
              <w:t>Third proposal - reduction in Business Partnering hours by 0.4 FTE in lieu of a reduction in hours by team member. Delivery risk - reduction in resource that will be needed to support the organisation to manage change and transformation</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4B2DF494"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139</w:t>
            </w:r>
          </w:p>
        </w:tc>
      </w:tr>
      <w:tr w:rsidR="000729CF" w:rsidRPr="000729CF" w14:paraId="56E801E4" w14:textId="77777777" w:rsidTr="00BC26AB">
        <w:trPr>
          <w:trHeight w:val="20"/>
        </w:trPr>
        <w:tc>
          <w:tcPr>
            <w:tcW w:w="87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293D1533"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Trades Union Support </w:t>
            </w:r>
          </w:p>
        </w:tc>
        <w:tc>
          <w:tcPr>
            <w:tcW w:w="1414" w:type="pct"/>
            <w:tcBorders>
              <w:top w:val="nil"/>
              <w:left w:val="nil"/>
              <w:bottom w:val="single" w:sz="4" w:space="0" w:color="auto"/>
              <w:right w:val="single" w:sz="4" w:space="0" w:color="auto"/>
            </w:tcBorders>
            <w:shd w:val="clear" w:color="auto" w:fill="auto"/>
            <w:tcMar>
              <w:left w:w="45" w:type="dxa"/>
              <w:right w:w="45" w:type="dxa"/>
            </w:tcMar>
            <w:hideMark/>
          </w:tcPr>
          <w:p w14:paraId="27630B36"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Trade Union facility time to support consultation, negotiation and individual case work across the council </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1DB1ED9D"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Proposal - Deletion of 1 FTE post from each recognised Trade Union to bring costs more in line with authority averages. The budget for one post sits as part of the HR budget and therefore a saving of 1 FTE post shows on this budget line. Delivery risk: Requires effective consultation and engagement with Trade Unions to help understand how casework can be managed. Second proposal - cease payment to GMB for accommodation as council accommodation is available if required. </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4DF54F17"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46</w:t>
            </w:r>
          </w:p>
        </w:tc>
      </w:tr>
      <w:tr w:rsidR="000729CF" w:rsidRPr="000729CF" w14:paraId="05E95701" w14:textId="77777777" w:rsidTr="00BC26AB">
        <w:trPr>
          <w:trHeight w:val="20"/>
        </w:trPr>
        <w:tc>
          <w:tcPr>
            <w:tcW w:w="87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1D9D6E2F"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Recruitment Team</w:t>
            </w:r>
          </w:p>
        </w:tc>
        <w:tc>
          <w:tcPr>
            <w:tcW w:w="1414" w:type="pct"/>
            <w:tcBorders>
              <w:top w:val="nil"/>
              <w:left w:val="nil"/>
              <w:bottom w:val="single" w:sz="4" w:space="0" w:color="auto"/>
              <w:right w:val="single" w:sz="4" w:space="0" w:color="auto"/>
            </w:tcBorders>
            <w:shd w:val="clear" w:color="auto" w:fill="auto"/>
            <w:tcMar>
              <w:left w:w="45" w:type="dxa"/>
              <w:right w:w="45" w:type="dxa"/>
            </w:tcMar>
            <w:hideMark/>
          </w:tcPr>
          <w:p w14:paraId="3B98B932"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6D058EE0"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No saving opportunity identified for 2024/25.</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09470DCE"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0</w:t>
            </w:r>
          </w:p>
        </w:tc>
      </w:tr>
      <w:tr w:rsidR="000729CF" w:rsidRPr="000729CF" w14:paraId="6D1B3892" w14:textId="77777777" w:rsidTr="00BC26AB">
        <w:trPr>
          <w:trHeight w:val="20"/>
        </w:trPr>
        <w:tc>
          <w:tcPr>
            <w:tcW w:w="2288" w:type="pct"/>
            <w:gridSpan w:val="2"/>
            <w:tcBorders>
              <w:top w:val="single" w:sz="4" w:space="0" w:color="auto"/>
              <w:left w:val="single" w:sz="4" w:space="0" w:color="auto"/>
              <w:bottom w:val="single" w:sz="4" w:space="0" w:color="auto"/>
              <w:right w:val="single" w:sz="4" w:space="0" w:color="000000"/>
            </w:tcBorders>
            <w:shd w:val="clear" w:color="000000" w:fill="A6A6A6"/>
            <w:noWrap/>
            <w:tcMar>
              <w:left w:w="45" w:type="dxa"/>
              <w:right w:w="45" w:type="dxa"/>
            </w:tcMar>
            <w:hideMark/>
          </w:tcPr>
          <w:p w14:paraId="63BB798F"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HR &amp; Organisational Development Total</w:t>
            </w:r>
          </w:p>
        </w:tc>
        <w:tc>
          <w:tcPr>
            <w:tcW w:w="2251" w:type="pct"/>
            <w:tcBorders>
              <w:top w:val="nil"/>
              <w:left w:val="nil"/>
              <w:bottom w:val="single" w:sz="4" w:space="0" w:color="auto"/>
              <w:right w:val="single" w:sz="4" w:space="0" w:color="auto"/>
            </w:tcBorders>
            <w:shd w:val="clear" w:color="000000" w:fill="A6A6A6"/>
            <w:noWrap/>
            <w:tcMar>
              <w:left w:w="45" w:type="dxa"/>
              <w:right w:w="45" w:type="dxa"/>
            </w:tcMar>
            <w:hideMark/>
          </w:tcPr>
          <w:p w14:paraId="2A3345A2"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w:t>
            </w:r>
          </w:p>
        </w:tc>
        <w:tc>
          <w:tcPr>
            <w:tcW w:w="461" w:type="pct"/>
            <w:tcBorders>
              <w:top w:val="nil"/>
              <w:left w:val="nil"/>
              <w:bottom w:val="single" w:sz="4" w:space="0" w:color="auto"/>
              <w:right w:val="single" w:sz="4" w:space="0" w:color="auto"/>
            </w:tcBorders>
            <w:shd w:val="clear" w:color="000000" w:fill="A6A6A6"/>
            <w:noWrap/>
            <w:tcMar>
              <w:left w:w="45" w:type="dxa"/>
              <w:right w:w="45" w:type="dxa"/>
            </w:tcMar>
            <w:hideMark/>
          </w:tcPr>
          <w:p w14:paraId="0C0313CC"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222</w:t>
            </w:r>
          </w:p>
        </w:tc>
      </w:tr>
      <w:tr w:rsidR="000729CF" w:rsidRPr="000729CF" w14:paraId="09E42AB8" w14:textId="77777777" w:rsidTr="00BC26AB">
        <w:trPr>
          <w:trHeight w:val="20"/>
        </w:trPr>
        <w:tc>
          <w:tcPr>
            <w:tcW w:w="4539" w:type="pct"/>
            <w:gridSpan w:val="3"/>
            <w:tcBorders>
              <w:top w:val="single" w:sz="4" w:space="0" w:color="auto"/>
              <w:left w:val="single" w:sz="4" w:space="0" w:color="auto"/>
              <w:bottom w:val="single" w:sz="4" w:space="0" w:color="auto"/>
              <w:right w:val="single" w:sz="4" w:space="0" w:color="auto"/>
            </w:tcBorders>
            <w:shd w:val="clear" w:color="000000" w:fill="000000"/>
            <w:noWrap/>
            <w:tcMar>
              <w:left w:w="45" w:type="dxa"/>
              <w:right w:w="45" w:type="dxa"/>
            </w:tcMar>
            <w:hideMark/>
          </w:tcPr>
          <w:p w14:paraId="48563379"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IT&amp;D (Mobo)</w:t>
            </w:r>
          </w:p>
        </w:tc>
        <w:tc>
          <w:tcPr>
            <w:tcW w:w="461" w:type="pct"/>
            <w:tcBorders>
              <w:top w:val="single" w:sz="4" w:space="0" w:color="auto"/>
              <w:left w:val="single" w:sz="4" w:space="0" w:color="auto"/>
              <w:bottom w:val="single" w:sz="4" w:space="0" w:color="auto"/>
              <w:right w:val="single" w:sz="4" w:space="0" w:color="auto"/>
            </w:tcBorders>
            <w:shd w:val="clear" w:color="000000" w:fill="000000"/>
            <w:noWrap/>
            <w:tcMar>
              <w:left w:w="45" w:type="dxa"/>
              <w:right w:w="45" w:type="dxa"/>
            </w:tcMar>
            <w:hideMark/>
          </w:tcPr>
          <w:p w14:paraId="2E017B4E"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 </w:t>
            </w:r>
          </w:p>
        </w:tc>
      </w:tr>
      <w:tr w:rsidR="000729CF" w:rsidRPr="000729CF" w14:paraId="54225E97" w14:textId="77777777" w:rsidTr="00BC26AB">
        <w:trPr>
          <w:trHeight w:val="20"/>
        </w:trPr>
        <w:tc>
          <w:tcPr>
            <w:tcW w:w="87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11477DFC"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Contracts</w:t>
            </w:r>
          </w:p>
        </w:tc>
        <w:tc>
          <w:tcPr>
            <w:tcW w:w="1414" w:type="pct"/>
            <w:tcBorders>
              <w:top w:val="nil"/>
              <w:left w:val="nil"/>
              <w:bottom w:val="single" w:sz="4" w:space="0" w:color="auto"/>
              <w:right w:val="single" w:sz="4" w:space="0" w:color="auto"/>
            </w:tcBorders>
            <w:shd w:val="clear" w:color="auto" w:fill="auto"/>
            <w:tcMar>
              <w:left w:w="45" w:type="dxa"/>
              <w:right w:w="45" w:type="dxa"/>
            </w:tcMar>
            <w:hideMark/>
          </w:tcPr>
          <w:p w14:paraId="7EB8D54E"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Software contracts for Council IT hardware, software and infrastructure. </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13DC0A59"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No saving opportunity identified for 2024/25 due to pressure on budgets but improved value for money from all contracts is sought when renewals or re-procurements are due.</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7B85B94B"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0</w:t>
            </w:r>
          </w:p>
        </w:tc>
      </w:tr>
      <w:tr w:rsidR="000729CF" w:rsidRPr="000729CF" w14:paraId="25DCCA01" w14:textId="77777777" w:rsidTr="00BC26AB">
        <w:trPr>
          <w:trHeight w:val="20"/>
        </w:trPr>
        <w:tc>
          <w:tcPr>
            <w:tcW w:w="874" w:type="pct"/>
            <w:tcBorders>
              <w:top w:val="nil"/>
              <w:left w:val="single" w:sz="4" w:space="0" w:color="auto"/>
              <w:bottom w:val="nil"/>
              <w:right w:val="single" w:sz="4" w:space="0" w:color="auto"/>
            </w:tcBorders>
            <w:shd w:val="clear" w:color="auto" w:fill="auto"/>
            <w:tcMar>
              <w:left w:w="45" w:type="dxa"/>
              <w:right w:w="45" w:type="dxa"/>
            </w:tcMar>
            <w:hideMark/>
          </w:tcPr>
          <w:p w14:paraId="4593B9DF"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Staffing </w:t>
            </w:r>
          </w:p>
        </w:tc>
        <w:tc>
          <w:tcPr>
            <w:tcW w:w="1414" w:type="pct"/>
            <w:tcBorders>
              <w:top w:val="nil"/>
              <w:left w:val="nil"/>
              <w:bottom w:val="nil"/>
              <w:right w:val="single" w:sz="4" w:space="0" w:color="auto"/>
            </w:tcBorders>
            <w:shd w:val="clear" w:color="auto" w:fill="auto"/>
            <w:tcMar>
              <w:left w:w="45" w:type="dxa"/>
              <w:right w:w="45" w:type="dxa"/>
            </w:tcMar>
            <w:hideMark/>
          </w:tcPr>
          <w:p w14:paraId="4F4E72E2"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Staff Budget</w:t>
            </w:r>
          </w:p>
        </w:tc>
        <w:tc>
          <w:tcPr>
            <w:tcW w:w="2251" w:type="pct"/>
            <w:tcBorders>
              <w:top w:val="nil"/>
              <w:left w:val="nil"/>
              <w:bottom w:val="nil"/>
              <w:right w:val="single" w:sz="4" w:space="0" w:color="auto"/>
            </w:tcBorders>
            <w:shd w:val="clear" w:color="auto" w:fill="auto"/>
            <w:tcMar>
              <w:left w:w="45" w:type="dxa"/>
              <w:right w:w="45" w:type="dxa"/>
            </w:tcMar>
            <w:hideMark/>
          </w:tcPr>
          <w:p w14:paraId="0F9A1DE6"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Current vacancies were reviewed and the lowest impact /lowest risk posts identified for permanent deletion. Five vacant posts will be deleted as follows:</w:t>
            </w:r>
            <w:r w:rsidRPr="000729CF">
              <w:rPr>
                <w:rFonts w:ascii="Calibri" w:hAnsi="Calibri" w:cs="Calibri"/>
                <w:color w:val="000000"/>
                <w:sz w:val="22"/>
                <w:szCs w:val="22"/>
                <w:lang w:val="en-GB" w:eastAsia="en-GB"/>
              </w:rPr>
              <w:br/>
            </w:r>
            <w:r w:rsidRPr="000729CF">
              <w:rPr>
                <w:rFonts w:ascii="Calibri" w:hAnsi="Calibri" w:cs="Calibri"/>
                <w:color w:val="000000"/>
                <w:sz w:val="22"/>
                <w:szCs w:val="22"/>
                <w:lang w:val="en-GB" w:eastAsia="en-GB"/>
              </w:rPr>
              <w:br/>
              <w:t xml:space="preserve">1 x Analytics Platform Lead - impacts to the ability to create and amend business intelligence and insight reports and dashboards, possible delays to the roll-out and adoption of Power BI).                               </w:t>
            </w:r>
            <w:r w:rsidRPr="000729CF">
              <w:rPr>
                <w:rFonts w:ascii="Calibri" w:hAnsi="Calibri" w:cs="Calibri"/>
                <w:color w:val="000000"/>
                <w:sz w:val="22"/>
                <w:szCs w:val="22"/>
                <w:lang w:val="en-GB" w:eastAsia="en-GB"/>
              </w:rPr>
              <w:br/>
              <w:t>1 x Apprentice within the cyber and IG compliance team - impacts to career opportunities and capacity to respond to data compliance and cyber resilience matters).</w:t>
            </w:r>
            <w:r w:rsidRPr="000729CF">
              <w:rPr>
                <w:rFonts w:ascii="Calibri" w:hAnsi="Calibri" w:cs="Calibri"/>
                <w:color w:val="000000"/>
                <w:sz w:val="22"/>
                <w:szCs w:val="22"/>
                <w:lang w:val="en-GB" w:eastAsia="en-GB"/>
              </w:rPr>
              <w:br/>
              <w:t xml:space="preserve">2 x ICT Project Officer - impacts include removal of junior project co-ordination capacity, greater workload on remaining project managers, further delays in starting and undertaking projects.                </w:t>
            </w:r>
            <w:r w:rsidRPr="000729CF">
              <w:rPr>
                <w:rFonts w:ascii="Calibri" w:hAnsi="Calibri" w:cs="Calibri"/>
                <w:color w:val="000000"/>
                <w:sz w:val="22"/>
                <w:szCs w:val="22"/>
                <w:lang w:val="en-GB" w:eastAsia="en-GB"/>
              </w:rPr>
              <w:br/>
              <w:t>1 x Senior Technician - impacts to speed of device (laptops etc) deployment and fixes).</w:t>
            </w:r>
            <w:r w:rsidRPr="000729CF">
              <w:rPr>
                <w:rFonts w:ascii="Calibri" w:hAnsi="Calibri" w:cs="Calibri"/>
                <w:color w:val="000000"/>
                <w:sz w:val="22"/>
                <w:szCs w:val="22"/>
                <w:lang w:val="en-GB" w:eastAsia="en-GB"/>
              </w:rPr>
              <w:br/>
            </w:r>
            <w:r w:rsidRPr="000729CF">
              <w:rPr>
                <w:rFonts w:ascii="Calibri" w:hAnsi="Calibri" w:cs="Calibri"/>
                <w:color w:val="000000"/>
                <w:sz w:val="22"/>
                <w:szCs w:val="22"/>
                <w:lang w:val="en-GB" w:eastAsia="en-GB"/>
              </w:rPr>
              <w:br/>
              <w:t>The overall impact is a further deterioration of the IT&amp;D core service offer: support call resolution and project work will take longer; capability gaps will be created exacerbating gaps created during previous savings; heightened reliance upon capital /project funding for agency resource to carry out specialist work; reduced operational resilience and heightened risks of service failures resulting from single points of failure and reduced cover during peak leave periods or unplanned absences such as sick leave.</w:t>
            </w:r>
          </w:p>
        </w:tc>
        <w:tc>
          <w:tcPr>
            <w:tcW w:w="461" w:type="pct"/>
            <w:tcBorders>
              <w:top w:val="nil"/>
              <w:left w:val="nil"/>
              <w:bottom w:val="nil"/>
              <w:right w:val="single" w:sz="4" w:space="0" w:color="auto"/>
            </w:tcBorders>
            <w:shd w:val="clear" w:color="auto" w:fill="auto"/>
            <w:tcMar>
              <w:left w:w="45" w:type="dxa"/>
              <w:right w:w="45" w:type="dxa"/>
            </w:tcMar>
            <w:hideMark/>
          </w:tcPr>
          <w:p w14:paraId="2679B335"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190</w:t>
            </w:r>
          </w:p>
        </w:tc>
      </w:tr>
      <w:tr w:rsidR="000729CF" w:rsidRPr="000729CF" w14:paraId="6E3FDB66" w14:textId="77777777" w:rsidTr="00BC26AB">
        <w:trPr>
          <w:trHeight w:val="20"/>
        </w:trPr>
        <w:tc>
          <w:tcPr>
            <w:tcW w:w="874" w:type="pct"/>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hideMark/>
          </w:tcPr>
          <w:p w14:paraId="223E425C"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Other</w:t>
            </w:r>
          </w:p>
        </w:tc>
        <w:tc>
          <w:tcPr>
            <w:tcW w:w="1414" w:type="pct"/>
            <w:tcBorders>
              <w:top w:val="single" w:sz="4" w:space="0" w:color="auto"/>
              <w:left w:val="nil"/>
              <w:bottom w:val="single" w:sz="4" w:space="0" w:color="auto"/>
              <w:right w:val="single" w:sz="4" w:space="0" w:color="auto"/>
            </w:tcBorders>
            <w:shd w:val="clear" w:color="auto" w:fill="auto"/>
            <w:tcMar>
              <w:left w:w="45" w:type="dxa"/>
              <w:right w:w="45" w:type="dxa"/>
            </w:tcMar>
            <w:hideMark/>
          </w:tcPr>
          <w:p w14:paraId="49848D87"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Misc. operational expenditure incl. hardware, software and subscriptions</w:t>
            </w:r>
          </w:p>
        </w:tc>
        <w:tc>
          <w:tcPr>
            <w:tcW w:w="2251" w:type="pct"/>
            <w:tcBorders>
              <w:top w:val="single" w:sz="4" w:space="0" w:color="auto"/>
              <w:left w:val="nil"/>
              <w:bottom w:val="single" w:sz="4" w:space="0" w:color="auto"/>
              <w:right w:val="single" w:sz="4" w:space="0" w:color="auto"/>
            </w:tcBorders>
            <w:shd w:val="clear" w:color="auto" w:fill="auto"/>
            <w:tcMar>
              <w:left w:w="45" w:type="dxa"/>
              <w:right w:w="45" w:type="dxa"/>
            </w:tcMar>
            <w:hideMark/>
          </w:tcPr>
          <w:p w14:paraId="7D36402B"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Target reduction of £25k from a contingency budget held to meet unplanned, urgent procurements of hardware and software. This reduces the council's resilience and ability to respond to unforeseen demands for hardware or software resources.</w:t>
            </w:r>
            <w:r w:rsidRPr="000729CF">
              <w:rPr>
                <w:rFonts w:ascii="Calibri" w:hAnsi="Calibri" w:cs="Calibri"/>
                <w:color w:val="000000"/>
                <w:sz w:val="22"/>
                <w:szCs w:val="22"/>
                <w:lang w:val="en-GB" w:eastAsia="en-GB"/>
              </w:rPr>
              <w:br/>
              <w:t>Also, a potential target saving of £19k linked to a review and upward adjustment of recharges to Public Health for IT&amp;D goods and services.</w:t>
            </w:r>
          </w:p>
        </w:tc>
        <w:tc>
          <w:tcPr>
            <w:tcW w:w="461" w:type="pct"/>
            <w:tcBorders>
              <w:top w:val="single" w:sz="4" w:space="0" w:color="auto"/>
              <w:left w:val="nil"/>
              <w:bottom w:val="single" w:sz="4" w:space="0" w:color="auto"/>
              <w:right w:val="single" w:sz="4" w:space="0" w:color="auto"/>
            </w:tcBorders>
            <w:shd w:val="clear" w:color="auto" w:fill="auto"/>
            <w:tcMar>
              <w:left w:w="45" w:type="dxa"/>
              <w:right w:w="45" w:type="dxa"/>
            </w:tcMar>
            <w:hideMark/>
          </w:tcPr>
          <w:p w14:paraId="2548A071"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44</w:t>
            </w:r>
          </w:p>
        </w:tc>
      </w:tr>
      <w:tr w:rsidR="000729CF" w:rsidRPr="000729CF" w14:paraId="2B379555" w14:textId="77777777" w:rsidTr="00BC26AB">
        <w:trPr>
          <w:trHeight w:val="20"/>
        </w:trPr>
        <w:tc>
          <w:tcPr>
            <w:tcW w:w="87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22D0DBC8"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Income</w:t>
            </w:r>
          </w:p>
        </w:tc>
        <w:tc>
          <w:tcPr>
            <w:tcW w:w="1414" w:type="pct"/>
            <w:tcBorders>
              <w:top w:val="nil"/>
              <w:left w:val="nil"/>
              <w:bottom w:val="single" w:sz="4" w:space="0" w:color="auto"/>
              <w:right w:val="single" w:sz="4" w:space="0" w:color="auto"/>
            </w:tcBorders>
            <w:shd w:val="clear" w:color="auto" w:fill="auto"/>
            <w:tcMar>
              <w:left w:w="45" w:type="dxa"/>
              <w:right w:w="45" w:type="dxa"/>
            </w:tcMar>
            <w:hideMark/>
          </w:tcPr>
          <w:p w14:paraId="418C47B8"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Traded income and service recharges</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3DA8434C"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Explore all possible options to ensure the costs of the service are covered by the income received from schools, and to remove the need for the general fund to subsidise the service by achieving a £415k saving.</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7B2A9232"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415</w:t>
            </w:r>
          </w:p>
        </w:tc>
      </w:tr>
      <w:tr w:rsidR="000729CF" w:rsidRPr="000729CF" w14:paraId="45FA0047" w14:textId="77777777" w:rsidTr="00BC26AB">
        <w:trPr>
          <w:trHeight w:val="20"/>
        </w:trPr>
        <w:tc>
          <w:tcPr>
            <w:tcW w:w="2288" w:type="pct"/>
            <w:gridSpan w:val="2"/>
            <w:tcBorders>
              <w:top w:val="single" w:sz="4" w:space="0" w:color="auto"/>
              <w:left w:val="single" w:sz="4" w:space="0" w:color="auto"/>
              <w:bottom w:val="single" w:sz="4" w:space="0" w:color="auto"/>
              <w:right w:val="single" w:sz="4" w:space="0" w:color="000000"/>
            </w:tcBorders>
            <w:shd w:val="clear" w:color="000000" w:fill="A6A6A6"/>
            <w:noWrap/>
            <w:tcMar>
              <w:left w:w="45" w:type="dxa"/>
              <w:right w:w="45" w:type="dxa"/>
            </w:tcMar>
            <w:hideMark/>
          </w:tcPr>
          <w:p w14:paraId="0E689973"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IT&amp;D (Mobo) Total</w:t>
            </w:r>
          </w:p>
        </w:tc>
        <w:tc>
          <w:tcPr>
            <w:tcW w:w="2251" w:type="pct"/>
            <w:tcBorders>
              <w:top w:val="nil"/>
              <w:left w:val="nil"/>
              <w:bottom w:val="single" w:sz="4" w:space="0" w:color="auto"/>
              <w:right w:val="single" w:sz="4" w:space="0" w:color="auto"/>
            </w:tcBorders>
            <w:shd w:val="clear" w:color="000000" w:fill="A6A6A6"/>
            <w:noWrap/>
            <w:tcMar>
              <w:left w:w="45" w:type="dxa"/>
              <w:right w:w="45" w:type="dxa"/>
            </w:tcMar>
            <w:hideMark/>
          </w:tcPr>
          <w:p w14:paraId="5DD393C3"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w:t>
            </w:r>
          </w:p>
        </w:tc>
        <w:tc>
          <w:tcPr>
            <w:tcW w:w="461" w:type="pct"/>
            <w:tcBorders>
              <w:top w:val="nil"/>
              <w:left w:val="nil"/>
              <w:bottom w:val="single" w:sz="4" w:space="0" w:color="auto"/>
              <w:right w:val="single" w:sz="4" w:space="0" w:color="auto"/>
            </w:tcBorders>
            <w:shd w:val="clear" w:color="000000" w:fill="A6A6A6"/>
            <w:noWrap/>
            <w:tcMar>
              <w:left w:w="45" w:type="dxa"/>
              <w:right w:w="45" w:type="dxa"/>
            </w:tcMar>
            <w:hideMark/>
          </w:tcPr>
          <w:p w14:paraId="18D88884"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649</w:t>
            </w:r>
          </w:p>
        </w:tc>
      </w:tr>
      <w:tr w:rsidR="000729CF" w:rsidRPr="000729CF" w14:paraId="7F2B3ACF" w14:textId="77777777" w:rsidTr="00BC26AB">
        <w:trPr>
          <w:trHeight w:val="20"/>
        </w:trPr>
        <w:tc>
          <w:tcPr>
            <w:tcW w:w="4539" w:type="pct"/>
            <w:gridSpan w:val="3"/>
            <w:tcBorders>
              <w:top w:val="single" w:sz="4" w:space="0" w:color="auto"/>
              <w:left w:val="single" w:sz="4" w:space="0" w:color="auto"/>
              <w:bottom w:val="single" w:sz="4" w:space="0" w:color="auto"/>
              <w:right w:val="single" w:sz="4" w:space="0" w:color="auto"/>
            </w:tcBorders>
            <w:shd w:val="clear" w:color="000000" w:fill="000000"/>
            <w:noWrap/>
            <w:tcMar>
              <w:left w:w="45" w:type="dxa"/>
              <w:right w:w="45" w:type="dxa"/>
            </w:tcMar>
            <w:hideMark/>
          </w:tcPr>
          <w:p w14:paraId="22E972D8"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Welfare Revenue &amp; Business Support</w:t>
            </w:r>
          </w:p>
        </w:tc>
        <w:tc>
          <w:tcPr>
            <w:tcW w:w="461" w:type="pct"/>
            <w:tcBorders>
              <w:top w:val="single" w:sz="4" w:space="0" w:color="auto"/>
              <w:left w:val="single" w:sz="4" w:space="0" w:color="auto"/>
              <w:bottom w:val="single" w:sz="4" w:space="0" w:color="auto"/>
              <w:right w:val="single" w:sz="4" w:space="0" w:color="auto"/>
            </w:tcBorders>
            <w:shd w:val="clear" w:color="000000" w:fill="000000"/>
            <w:noWrap/>
            <w:tcMar>
              <w:left w:w="45" w:type="dxa"/>
              <w:right w:w="45" w:type="dxa"/>
            </w:tcMar>
            <w:hideMark/>
          </w:tcPr>
          <w:p w14:paraId="70E79425"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 </w:t>
            </w:r>
          </w:p>
        </w:tc>
      </w:tr>
      <w:tr w:rsidR="000729CF" w:rsidRPr="000729CF" w14:paraId="58F85C57" w14:textId="77777777" w:rsidTr="00BC26AB">
        <w:trPr>
          <w:trHeight w:val="20"/>
        </w:trPr>
        <w:tc>
          <w:tcPr>
            <w:tcW w:w="87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387C22A4"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Accounts Payable, Accounts Receivable and Banking teams</w:t>
            </w:r>
          </w:p>
        </w:tc>
        <w:tc>
          <w:tcPr>
            <w:tcW w:w="1414" w:type="pct"/>
            <w:tcBorders>
              <w:top w:val="nil"/>
              <w:left w:val="nil"/>
              <w:bottom w:val="single" w:sz="4" w:space="0" w:color="auto"/>
              <w:right w:val="single" w:sz="4" w:space="0" w:color="auto"/>
            </w:tcBorders>
            <w:shd w:val="clear" w:color="auto" w:fill="auto"/>
            <w:tcMar>
              <w:left w:w="45" w:type="dxa"/>
              <w:right w:w="45" w:type="dxa"/>
            </w:tcMar>
            <w:hideMark/>
          </w:tcPr>
          <w:p w14:paraId="0D49C8C5"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Collection and administration of all debts through the corporate debt system. Payments to creditors and suppliers. Administrative support and controls for banking and payments systems within the council.</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62A7E337"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No saving opportunity identified in 2024/25. Significant savings were delivered during the period the service was within the Orbis Partnership. Future savings are dependent on decisions around the future of the council's major corporate financial systems.</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5DC490EA"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0</w:t>
            </w:r>
          </w:p>
        </w:tc>
      </w:tr>
      <w:tr w:rsidR="000729CF" w:rsidRPr="000729CF" w14:paraId="096E9F3B" w14:textId="77777777" w:rsidTr="00BC26AB">
        <w:trPr>
          <w:trHeight w:val="20"/>
        </w:trPr>
        <w:tc>
          <w:tcPr>
            <w:tcW w:w="87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4AFB4EB2"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Corporate Debt Team</w:t>
            </w:r>
          </w:p>
        </w:tc>
        <w:tc>
          <w:tcPr>
            <w:tcW w:w="1414" w:type="pct"/>
            <w:tcBorders>
              <w:top w:val="nil"/>
              <w:left w:val="nil"/>
              <w:bottom w:val="single" w:sz="4" w:space="0" w:color="auto"/>
              <w:right w:val="single" w:sz="4" w:space="0" w:color="auto"/>
            </w:tcBorders>
            <w:shd w:val="clear" w:color="auto" w:fill="auto"/>
            <w:tcMar>
              <w:left w:w="45" w:type="dxa"/>
              <w:right w:w="45" w:type="dxa"/>
            </w:tcMar>
            <w:hideMark/>
          </w:tcPr>
          <w:p w14:paraId="2606DB62"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Overseeing and monitoring the overall organisations debt performance. Targeted data analysis, training and intervention to improve performance.</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701AF479"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No saving opportunity identified in 2024/25. This small team ensures effective oversight and recovery of debt to minimise arrears and losses.</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5521B6CC"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0</w:t>
            </w:r>
          </w:p>
        </w:tc>
      </w:tr>
      <w:tr w:rsidR="000729CF" w:rsidRPr="000729CF" w14:paraId="7BE2C249" w14:textId="77777777" w:rsidTr="00BC26AB">
        <w:trPr>
          <w:trHeight w:val="20"/>
        </w:trPr>
        <w:tc>
          <w:tcPr>
            <w:tcW w:w="87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73DF5C38"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Payroll &amp; Pensions</w:t>
            </w:r>
          </w:p>
        </w:tc>
        <w:tc>
          <w:tcPr>
            <w:tcW w:w="1414" w:type="pct"/>
            <w:tcBorders>
              <w:top w:val="nil"/>
              <w:left w:val="nil"/>
              <w:bottom w:val="single" w:sz="4" w:space="0" w:color="auto"/>
              <w:right w:val="single" w:sz="4" w:space="0" w:color="auto"/>
            </w:tcBorders>
            <w:shd w:val="clear" w:color="auto" w:fill="auto"/>
            <w:tcMar>
              <w:left w:w="45" w:type="dxa"/>
              <w:right w:w="45" w:type="dxa"/>
            </w:tcMar>
            <w:hideMark/>
          </w:tcPr>
          <w:p w14:paraId="5AE1BC9D"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Administration of officer renumerations and retired officer renumerations.</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210DBF02"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No saving opportunity identified in 2024/25. This service has been and remains under severe pressure. Future savings are dependent on decisions around the future of the council's major corporate financial systems and necessary improvements to workflow automation.</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27657FC0"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0</w:t>
            </w:r>
          </w:p>
        </w:tc>
      </w:tr>
      <w:tr w:rsidR="000729CF" w:rsidRPr="000729CF" w14:paraId="13D85352" w14:textId="77777777" w:rsidTr="00BC26AB">
        <w:trPr>
          <w:trHeight w:val="20"/>
        </w:trPr>
        <w:tc>
          <w:tcPr>
            <w:tcW w:w="87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45446D0B"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WRBS Technical Systems teams</w:t>
            </w:r>
          </w:p>
        </w:tc>
        <w:tc>
          <w:tcPr>
            <w:tcW w:w="1414" w:type="pct"/>
            <w:tcBorders>
              <w:top w:val="nil"/>
              <w:left w:val="nil"/>
              <w:bottom w:val="single" w:sz="4" w:space="0" w:color="auto"/>
              <w:right w:val="single" w:sz="4" w:space="0" w:color="auto"/>
            </w:tcBorders>
            <w:shd w:val="clear" w:color="auto" w:fill="auto"/>
            <w:tcMar>
              <w:left w:w="45" w:type="dxa"/>
              <w:right w:w="45" w:type="dxa"/>
            </w:tcMar>
            <w:hideMark/>
          </w:tcPr>
          <w:p w14:paraId="6D182904"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Technical Systems support for all WRBS teams including general ledger, creditors, debtors, banking, human resources, payroll, council tax, business rates and housing benefits</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52EA7F7B"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No saving identified but the service will be reviewed as part of overall 'Organisational Redesign' principles.</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0929636F"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0</w:t>
            </w:r>
          </w:p>
        </w:tc>
      </w:tr>
      <w:tr w:rsidR="000729CF" w:rsidRPr="000729CF" w14:paraId="701857A6" w14:textId="77777777" w:rsidTr="00BC26AB">
        <w:trPr>
          <w:trHeight w:val="20"/>
        </w:trPr>
        <w:tc>
          <w:tcPr>
            <w:tcW w:w="87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6D013AE4"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Housing Benefit Administration</w:t>
            </w:r>
          </w:p>
        </w:tc>
        <w:tc>
          <w:tcPr>
            <w:tcW w:w="1414" w:type="pct"/>
            <w:tcBorders>
              <w:top w:val="nil"/>
              <w:left w:val="nil"/>
              <w:bottom w:val="single" w:sz="4" w:space="0" w:color="auto"/>
              <w:right w:val="single" w:sz="4" w:space="0" w:color="auto"/>
            </w:tcBorders>
            <w:shd w:val="clear" w:color="auto" w:fill="auto"/>
            <w:tcMar>
              <w:left w:w="45" w:type="dxa"/>
              <w:right w:w="45" w:type="dxa"/>
            </w:tcMar>
            <w:hideMark/>
          </w:tcPr>
          <w:p w14:paraId="633D2F51"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Statutory administration of national and local benefit schemes</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3D4D253F"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No saving opportunity identified in 2024/25. This service has been and remains under severe pressure with significant backlogs. Efforts are focused on reducing backlogs and improving customer response times.</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539AAE2A"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0</w:t>
            </w:r>
          </w:p>
        </w:tc>
      </w:tr>
      <w:tr w:rsidR="000729CF" w:rsidRPr="000729CF" w14:paraId="36B5EB37" w14:textId="77777777" w:rsidTr="00BC26AB">
        <w:trPr>
          <w:trHeight w:val="20"/>
        </w:trPr>
        <w:tc>
          <w:tcPr>
            <w:tcW w:w="87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70E765B3"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Council Tax Collection Teams</w:t>
            </w:r>
          </w:p>
        </w:tc>
        <w:tc>
          <w:tcPr>
            <w:tcW w:w="1414" w:type="pct"/>
            <w:tcBorders>
              <w:top w:val="nil"/>
              <w:left w:val="nil"/>
              <w:bottom w:val="single" w:sz="4" w:space="0" w:color="auto"/>
              <w:right w:val="single" w:sz="4" w:space="0" w:color="auto"/>
            </w:tcBorders>
            <w:shd w:val="clear" w:color="auto" w:fill="auto"/>
            <w:tcMar>
              <w:left w:w="45" w:type="dxa"/>
              <w:right w:w="45" w:type="dxa"/>
            </w:tcMar>
            <w:hideMark/>
          </w:tcPr>
          <w:p w14:paraId="78358187"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Statutory collection of council tax income</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37B721D6"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No saving opportunity identified in 2024/25. This service has been and remains under severe pressure with significant backlogs. Efforts are focused on reducing backlogs and improving customer response times.</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0799EA15"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0</w:t>
            </w:r>
          </w:p>
        </w:tc>
      </w:tr>
      <w:tr w:rsidR="000729CF" w:rsidRPr="000729CF" w14:paraId="25DBD1E3" w14:textId="77777777" w:rsidTr="00BC26AB">
        <w:trPr>
          <w:trHeight w:val="20"/>
        </w:trPr>
        <w:tc>
          <w:tcPr>
            <w:tcW w:w="87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7C0D70AC"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Business Rates Collection Team</w:t>
            </w:r>
          </w:p>
        </w:tc>
        <w:tc>
          <w:tcPr>
            <w:tcW w:w="1414" w:type="pct"/>
            <w:tcBorders>
              <w:top w:val="nil"/>
              <w:left w:val="nil"/>
              <w:bottom w:val="single" w:sz="4" w:space="0" w:color="auto"/>
              <w:right w:val="single" w:sz="4" w:space="0" w:color="auto"/>
            </w:tcBorders>
            <w:shd w:val="clear" w:color="auto" w:fill="auto"/>
            <w:tcMar>
              <w:left w:w="45" w:type="dxa"/>
              <w:right w:w="45" w:type="dxa"/>
            </w:tcMar>
            <w:hideMark/>
          </w:tcPr>
          <w:p w14:paraId="2AA87291"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Statutory collection of business rates income. Bailiffs service also included on this line.</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1B3FF6BA"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No saving opportunity identified in 2024/25. This service has been and remains under severe pressure with significant backlogs. Efforts are focused on reducing backlogs and improving customer response times.</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7FE8ED12"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0</w:t>
            </w:r>
          </w:p>
        </w:tc>
      </w:tr>
      <w:tr w:rsidR="000729CF" w:rsidRPr="000729CF" w14:paraId="43FD619A" w14:textId="77777777" w:rsidTr="00BC26AB">
        <w:trPr>
          <w:trHeight w:val="20"/>
        </w:trPr>
        <w:tc>
          <w:tcPr>
            <w:tcW w:w="87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7D0FBF29"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Council Tax S13A discounts</w:t>
            </w:r>
          </w:p>
        </w:tc>
        <w:tc>
          <w:tcPr>
            <w:tcW w:w="1414" w:type="pct"/>
            <w:tcBorders>
              <w:top w:val="nil"/>
              <w:left w:val="nil"/>
              <w:bottom w:val="single" w:sz="4" w:space="0" w:color="auto"/>
              <w:right w:val="single" w:sz="4" w:space="0" w:color="auto"/>
            </w:tcBorders>
            <w:shd w:val="clear" w:color="auto" w:fill="auto"/>
            <w:tcMar>
              <w:left w:w="45" w:type="dxa"/>
              <w:right w:w="45" w:type="dxa"/>
            </w:tcMar>
            <w:hideMark/>
          </w:tcPr>
          <w:p w14:paraId="602595F5"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Locally funded section 13A council tax discounts awarded for care leavers, difficult to let properties, and exceptional/unexpected situations, such as flooding).</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1CF6C0D5"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No saving opportunity identified as the budget supports key council priorities.</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41506347"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0</w:t>
            </w:r>
          </w:p>
        </w:tc>
      </w:tr>
      <w:tr w:rsidR="000729CF" w:rsidRPr="000729CF" w14:paraId="034D84C0" w14:textId="77777777" w:rsidTr="00BC26AB">
        <w:trPr>
          <w:trHeight w:val="20"/>
        </w:trPr>
        <w:tc>
          <w:tcPr>
            <w:tcW w:w="87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6A961D5F"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Local Welfare Assistance Schemes</w:t>
            </w:r>
          </w:p>
        </w:tc>
        <w:tc>
          <w:tcPr>
            <w:tcW w:w="1414" w:type="pct"/>
            <w:tcBorders>
              <w:top w:val="nil"/>
              <w:left w:val="nil"/>
              <w:bottom w:val="single" w:sz="4" w:space="0" w:color="auto"/>
              <w:right w:val="single" w:sz="4" w:space="0" w:color="auto"/>
            </w:tcBorders>
            <w:shd w:val="clear" w:color="auto" w:fill="auto"/>
            <w:tcMar>
              <w:left w:w="45" w:type="dxa"/>
              <w:right w:w="45" w:type="dxa"/>
            </w:tcMar>
            <w:hideMark/>
          </w:tcPr>
          <w:p w14:paraId="1BF1A9D8"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Awards of discretionary benefits and cost of living support schemes to lower income households.</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210D7F44"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Review the funding of welfare support resources to consider the provisional ending/reduction of the Household Support Fund which current provides all the funding for discretionary awards by this team. Without a significant discretionary fund to distribute, the remaining welfare resources will concentrate on prevention solutions i.e.. Welfare Advisory work, working in collaboration with other directorates and CVS partners.</w:t>
            </w:r>
            <w:r w:rsidRPr="000729CF">
              <w:rPr>
                <w:rFonts w:ascii="Calibri" w:hAnsi="Calibri" w:cs="Calibri"/>
                <w:color w:val="000000"/>
                <w:sz w:val="22"/>
                <w:szCs w:val="22"/>
                <w:lang w:val="en-GB" w:eastAsia="en-GB"/>
              </w:rPr>
              <w:br/>
              <w:t>Delivery Risk: Welfare support staff provide support to various cohorts of residents including those in hardship, those in need of welfare rights support, those affected by the Benefit Cap and other benefit related issues. While CVS support and resources are available, the overall quantum of support across the council and CVS would be reduced.</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1DD8053C"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256</w:t>
            </w:r>
          </w:p>
        </w:tc>
      </w:tr>
      <w:tr w:rsidR="000729CF" w:rsidRPr="000729CF" w14:paraId="3CFC9428" w14:textId="77777777" w:rsidTr="00BC26AB">
        <w:trPr>
          <w:trHeight w:val="20"/>
        </w:trPr>
        <w:tc>
          <w:tcPr>
            <w:tcW w:w="87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4FEA64D5"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Welfare Framework</w:t>
            </w:r>
          </w:p>
        </w:tc>
        <w:tc>
          <w:tcPr>
            <w:tcW w:w="1414" w:type="pct"/>
            <w:tcBorders>
              <w:top w:val="nil"/>
              <w:left w:val="nil"/>
              <w:bottom w:val="single" w:sz="4" w:space="0" w:color="auto"/>
              <w:right w:val="single" w:sz="4" w:space="0" w:color="auto"/>
            </w:tcBorders>
            <w:shd w:val="clear" w:color="auto" w:fill="auto"/>
            <w:tcMar>
              <w:left w:w="45" w:type="dxa"/>
              <w:right w:w="45" w:type="dxa"/>
            </w:tcMar>
            <w:hideMark/>
          </w:tcPr>
          <w:p w14:paraId="6E2B2A3A"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The organisation of local authority response to cost of living and welfare demands. Responding to government monitoring. Data Analysis to enable targeted welfare responses. Provision of resource and linkage to mental health and debt advice aspects of the response.</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08FFE4AA"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No saving opportunity identified - externally funded service.</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5BF40F52"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0</w:t>
            </w:r>
          </w:p>
        </w:tc>
      </w:tr>
      <w:tr w:rsidR="000729CF" w:rsidRPr="000729CF" w14:paraId="3F110425" w14:textId="77777777" w:rsidTr="00BC26AB">
        <w:trPr>
          <w:trHeight w:val="20"/>
        </w:trPr>
        <w:tc>
          <w:tcPr>
            <w:tcW w:w="87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40CC946E"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Welfare Advisory</w:t>
            </w:r>
          </w:p>
        </w:tc>
        <w:tc>
          <w:tcPr>
            <w:tcW w:w="1414" w:type="pct"/>
            <w:tcBorders>
              <w:top w:val="nil"/>
              <w:left w:val="nil"/>
              <w:bottom w:val="single" w:sz="4" w:space="0" w:color="auto"/>
              <w:right w:val="single" w:sz="4" w:space="0" w:color="auto"/>
            </w:tcBorders>
            <w:shd w:val="clear" w:color="auto" w:fill="auto"/>
            <w:tcMar>
              <w:left w:w="45" w:type="dxa"/>
              <w:right w:w="45" w:type="dxa"/>
            </w:tcMar>
            <w:hideMark/>
          </w:tcPr>
          <w:p w14:paraId="036707E5"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Specialist advice given to maximising income and claiming and appealing entitlements. Holistic solutions for low income households.</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22A69E0E"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No saving opportunity identified. Service enables optimisation of welfare benefits which has financial benefits for the council.</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6D0A4BF6"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0</w:t>
            </w:r>
          </w:p>
        </w:tc>
      </w:tr>
      <w:tr w:rsidR="000729CF" w:rsidRPr="000729CF" w14:paraId="22D2440A" w14:textId="77777777" w:rsidTr="00BC26AB">
        <w:trPr>
          <w:trHeight w:val="20"/>
        </w:trPr>
        <w:tc>
          <w:tcPr>
            <w:tcW w:w="87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0AD8C8F3"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WRBS Management &amp; Operations Support </w:t>
            </w:r>
          </w:p>
        </w:tc>
        <w:tc>
          <w:tcPr>
            <w:tcW w:w="1414" w:type="pct"/>
            <w:tcBorders>
              <w:top w:val="nil"/>
              <w:left w:val="nil"/>
              <w:bottom w:val="single" w:sz="4" w:space="0" w:color="auto"/>
              <w:right w:val="single" w:sz="4" w:space="0" w:color="auto"/>
            </w:tcBorders>
            <w:shd w:val="clear" w:color="auto" w:fill="auto"/>
            <w:tcMar>
              <w:left w:w="45" w:type="dxa"/>
              <w:right w:w="45" w:type="dxa"/>
            </w:tcMar>
            <w:hideMark/>
          </w:tcPr>
          <w:p w14:paraId="39A1CD06"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xml:space="preserve">Admin and Operations support team. </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0F43223E"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Reduction of senior management team by deleting a vacant Benefits Manager role.</w:t>
            </w:r>
            <w:r w:rsidRPr="000729CF">
              <w:rPr>
                <w:rFonts w:ascii="Calibri" w:hAnsi="Calibri" w:cs="Calibri"/>
                <w:color w:val="000000"/>
                <w:sz w:val="22"/>
                <w:szCs w:val="22"/>
                <w:lang w:val="en-GB" w:eastAsia="en-GB"/>
              </w:rPr>
              <w:br/>
              <w:t>Delivery Risk: Achievable through management reshuffling but results in the loss of an experienced, senior resource which will impact service delivery, organisation and performance.</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1D856DCE"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71</w:t>
            </w:r>
          </w:p>
        </w:tc>
      </w:tr>
      <w:tr w:rsidR="000729CF" w:rsidRPr="000729CF" w14:paraId="3AAF5AA6" w14:textId="77777777" w:rsidTr="00BC26AB">
        <w:trPr>
          <w:trHeight w:val="20"/>
        </w:trPr>
        <w:tc>
          <w:tcPr>
            <w:tcW w:w="2288" w:type="pct"/>
            <w:gridSpan w:val="2"/>
            <w:tcBorders>
              <w:top w:val="single" w:sz="4" w:space="0" w:color="auto"/>
              <w:left w:val="single" w:sz="4" w:space="0" w:color="auto"/>
              <w:bottom w:val="single" w:sz="4" w:space="0" w:color="auto"/>
              <w:right w:val="single" w:sz="4" w:space="0" w:color="000000"/>
            </w:tcBorders>
            <w:shd w:val="clear" w:color="000000" w:fill="A6A6A6"/>
            <w:noWrap/>
            <w:tcMar>
              <w:left w:w="45" w:type="dxa"/>
              <w:right w:w="45" w:type="dxa"/>
            </w:tcMar>
            <w:hideMark/>
          </w:tcPr>
          <w:p w14:paraId="7789030E"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Welfare Revenue &amp; Business Support Total</w:t>
            </w:r>
          </w:p>
        </w:tc>
        <w:tc>
          <w:tcPr>
            <w:tcW w:w="2251" w:type="pct"/>
            <w:tcBorders>
              <w:top w:val="nil"/>
              <w:left w:val="nil"/>
              <w:bottom w:val="single" w:sz="4" w:space="0" w:color="auto"/>
              <w:right w:val="single" w:sz="4" w:space="0" w:color="auto"/>
            </w:tcBorders>
            <w:shd w:val="clear" w:color="000000" w:fill="A6A6A6"/>
            <w:noWrap/>
            <w:tcMar>
              <w:left w:w="45" w:type="dxa"/>
              <w:right w:w="45" w:type="dxa"/>
            </w:tcMar>
            <w:hideMark/>
          </w:tcPr>
          <w:p w14:paraId="5E471E9B"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w:t>
            </w:r>
          </w:p>
        </w:tc>
        <w:tc>
          <w:tcPr>
            <w:tcW w:w="461" w:type="pct"/>
            <w:tcBorders>
              <w:top w:val="nil"/>
              <w:left w:val="nil"/>
              <w:bottom w:val="single" w:sz="4" w:space="0" w:color="auto"/>
              <w:right w:val="single" w:sz="4" w:space="0" w:color="auto"/>
            </w:tcBorders>
            <w:shd w:val="clear" w:color="000000" w:fill="A6A6A6"/>
            <w:noWrap/>
            <w:tcMar>
              <w:left w:w="45" w:type="dxa"/>
              <w:right w:w="45" w:type="dxa"/>
            </w:tcMar>
            <w:hideMark/>
          </w:tcPr>
          <w:p w14:paraId="696DF726"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327</w:t>
            </w:r>
          </w:p>
        </w:tc>
      </w:tr>
      <w:tr w:rsidR="000729CF" w:rsidRPr="000729CF" w14:paraId="51612AF6" w14:textId="77777777" w:rsidTr="00BC26AB">
        <w:trPr>
          <w:trHeight w:val="20"/>
        </w:trPr>
        <w:tc>
          <w:tcPr>
            <w:tcW w:w="4539" w:type="pct"/>
            <w:gridSpan w:val="3"/>
            <w:tcBorders>
              <w:top w:val="single" w:sz="4" w:space="0" w:color="auto"/>
              <w:left w:val="single" w:sz="4" w:space="0" w:color="auto"/>
              <w:bottom w:val="single" w:sz="4" w:space="0" w:color="auto"/>
              <w:right w:val="single" w:sz="4" w:space="0" w:color="auto"/>
            </w:tcBorders>
            <w:shd w:val="clear" w:color="000000" w:fill="000000"/>
            <w:noWrap/>
            <w:tcMar>
              <w:left w:w="45" w:type="dxa"/>
              <w:right w:w="45" w:type="dxa"/>
            </w:tcMar>
            <w:hideMark/>
          </w:tcPr>
          <w:p w14:paraId="74357715"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Contribution to Orbis</w:t>
            </w:r>
          </w:p>
        </w:tc>
        <w:tc>
          <w:tcPr>
            <w:tcW w:w="461" w:type="pct"/>
            <w:tcBorders>
              <w:top w:val="single" w:sz="4" w:space="0" w:color="auto"/>
              <w:left w:val="single" w:sz="4" w:space="0" w:color="auto"/>
              <w:bottom w:val="single" w:sz="4" w:space="0" w:color="auto"/>
              <w:right w:val="single" w:sz="4" w:space="0" w:color="auto"/>
            </w:tcBorders>
            <w:shd w:val="clear" w:color="000000" w:fill="000000"/>
            <w:noWrap/>
            <w:tcMar>
              <w:left w:w="45" w:type="dxa"/>
              <w:right w:w="45" w:type="dxa"/>
            </w:tcMar>
            <w:hideMark/>
          </w:tcPr>
          <w:p w14:paraId="4226463B"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 </w:t>
            </w:r>
          </w:p>
        </w:tc>
      </w:tr>
      <w:tr w:rsidR="000729CF" w:rsidRPr="000729CF" w14:paraId="2D221637" w14:textId="77777777" w:rsidTr="00BC26AB">
        <w:trPr>
          <w:trHeight w:val="20"/>
        </w:trPr>
        <w:tc>
          <w:tcPr>
            <w:tcW w:w="87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17B9FDEE"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Orbis Services</w:t>
            </w:r>
          </w:p>
        </w:tc>
        <w:tc>
          <w:tcPr>
            <w:tcW w:w="1414" w:type="pct"/>
            <w:tcBorders>
              <w:top w:val="nil"/>
              <w:left w:val="nil"/>
              <w:bottom w:val="single" w:sz="4" w:space="0" w:color="auto"/>
              <w:right w:val="single" w:sz="4" w:space="0" w:color="auto"/>
            </w:tcBorders>
            <w:shd w:val="clear" w:color="auto" w:fill="auto"/>
            <w:tcMar>
              <w:left w:w="45" w:type="dxa"/>
              <w:right w:w="45" w:type="dxa"/>
            </w:tcMar>
            <w:hideMark/>
          </w:tcPr>
          <w:p w14:paraId="554F4FC7"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Orbis Services refers to the Orbis Operational Budget which covers Internal Audit, Procurement and the Integrated elements of IT&amp;D, as well as Finance 'Centres of Expertise' for Treasury and Insurance. The contribution is based on an agreed contribution ratio (ACR) as specified in the Inter-Authority Agreement (IAA). There are also Sovereign-held budgets managed by Orbis services on behalf of the partners but where overall control rests with the funding authority (these are known as 'Mobo' budgets).</w:t>
            </w:r>
          </w:p>
        </w:tc>
        <w:tc>
          <w:tcPr>
            <w:tcW w:w="2251" w:type="pct"/>
            <w:tcBorders>
              <w:top w:val="nil"/>
              <w:left w:val="nil"/>
              <w:bottom w:val="single" w:sz="4" w:space="0" w:color="auto"/>
              <w:right w:val="single" w:sz="4" w:space="0" w:color="auto"/>
            </w:tcBorders>
            <w:shd w:val="clear" w:color="auto" w:fill="auto"/>
            <w:tcMar>
              <w:left w:w="45" w:type="dxa"/>
              <w:right w:w="45" w:type="dxa"/>
            </w:tcMar>
            <w:hideMark/>
          </w:tcPr>
          <w:p w14:paraId="5EB46799"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No saving opportunity identified for 2024/25. Reduction of Orbis budgets can only be through agreement with partners. The services are kept under annual review but no saving is proposed at this time.</w:t>
            </w:r>
          </w:p>
        </w:tc>
        <w:tc>
          <w:tcPr>
            <w:tcW w:w="461" w:type="pct"/>
            <w:tcBorders>
              <w:top w:val="nil"/>
              <w:left w:val="nil"/>
              <w:bottom w:val="single" w:sz="4" w:space="0" w:color="auto"/>
              <w:right w:val="single" w:sz="4" w:space="0" w:color="auto"/>
            </w:tcBorders>
            <w:shd w:val="clear" w:color="auto" w:fill="auto"/>
            <w:tcMar>
              <w:left w:w="45" w:type="dxa"/>
              <w:right w:w="45" w:type="dxa"/>
            </w:tcMar>
            <w:hideMark/>
          </w:tcPr>
          <w:p w14:paraId="49F73E69"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0</w:t>
            </w:r>
          </w:p>
        </w:tc>
      </w:tr>
      <w:tr w:rsidR="000729CF" w:rsidRPr="000729CF" w14:paraId="518EC405" w14:textId="77777777" w:rsidTr="00BC26AB">
        <w:trPr>
          <w:trHeight w:val="20"/>
        </w:trPr>
        <w:tc>
          <w:tcPr>
            <w:tcW w:w="2288" w:type="pct"/>
            <w:gridSpan w:val="2"/>
            <w:tcBorders>
              <w:top w:val="single" w:sz="4" w:space="0" w:color="auto"/>
              <w:left w:val="single" w:sz="4" w:space="0" w:color="auto"/>
              <w:bottom w:val="single" w:sz="4" w:space="0" w:color="auto"/>
              <w:right w:val="single" w:sz="4" w:space="0" w:color="000000"/>
            </w:tcBorders>
            <w:shd w:val="clear" w:color="000000" w:fill="A6A6A6"/>
            <w:noWrap/>
            <w:tcMar>
              <w:left w:w="45" w:type="dxa"/>
              <w:right w:w="45" w:type="dxa"/>
            </w:tcMar>
            <w:hideMark/>
          </w:tcPr>
          <w:p w14:paraId="0FBB0E2E"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Contribution to Orbis Total</w:t>
            </w:r>
          </w:p>
        </w:tc>
        <w:tc>
          <w:tcPr>
            <w:tcW w:w="2251" w:type="pct"/>
            <w:tcBorders>
              <w:top w:val="nil"/>
              <w:left w:val="nil"/>
              <w:bottom w:val="single" w:sz="4" w:space="0" w:color="auto"/>
              <w:right w:val="single" w:sz="4" w:space="0" w:color="auto"/>
            </w:tcBorders>
            <w:shd w:val="clear" w:color="000000" w:fill="A6A6A6"/>
            <w:noWrap/>
            <w:tcMar>
              <w:left w:w="45" w:type="dxa"/>
              <w:right w:w="45" w:type="dxa"/>
            </w:tcMar>
            <w:hideMark/>
          </w:tcPr>
          <w:p w14:paraId="161BB828"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w:t>
            </w:r>
          </w:p>
        </w:tc>
        <w:tc>
          <w:tcPr>
            <w:tcW w:w="461" w:type="pct"/>
            <w:tcBorders>
              <w:top w:val="nil"/>
              <w:left w:val="nil"/>
              <w:bottom w:val="single" w:sz="4" w:space="0" w:color="auto"/>
              <w:right w:val="single" w:sz="4" w:space="0" w:color="auto"/>
            </w:tcBorders>
            <w:shd w:val="clear" w:color="000000" w:fill="A6A6A6"/>
            <w:noWrap/>
            <w:tcMar>
              <w:left w:w="45" w:type="dxa"/>
              <w:right w:w="45" w:type="dxa"/>
            </w:tcMar>
            <w:hideMark/>
          </w:tcPr>
          <w:p w14:paraId="407487E9"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0</w:t>
            </w:r>
          </w:p>
        </w:tc>
      </w:tr>
      <w:tr w:rsidR="000729CF" w:rsidRPr="000729CF" w14:paraId="02C5DF7B" w14:textId="77777777" w:rsidTr="00BC26AB">
        <w:trPr>
          <w:trHeight w:val="20"/>
        </w:trPr>
        <w:tc>
          <w:tcPr>
            <w:tcW w:w="2288" w:type="pct"/>
            <w:gridSpan w:val="2"/>
            <w:tcBorders>
              <w:top w:val="single" w:sz="4" w:space="0" w:color="auto"/>
              <w:left w:val="single" w:sz="4" w:space="0" w:color="auto"/>
              <w:bottom w:val="single" w:sz="4" w:space="0" w:color="auto"/>
              <w:right w:val="single" w:sz="4" w:space="0" w:color="000000"/>
            </w:tcBorders>
            <w:shd w:val="clear" w:color="000000" w:fill="A6A6A6"/>
            <w:noWrap/>
            <w:tcMar>
              <w:left w:w="45" w:type="dxa"/>
              <w:right w:w="45" w:type="dxa"/>
            </w:tcMar>
            <w:hideMark/>
          </w:tcPr>
          <w:p w14:paraId="6D02CD81"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Governance, People &amp; Resources Total</w:t>
            </w:r>
          </w:p>
        </w:tc>
        <w:tc>
          <w:tcPr>
            <w:tcW w:w="2251" w:type="pct"/>
            <w:tcBorders>
              <w:top w:val="nil"/>
              <w:left w:val="nil"/>
              <w:bottom w:val="single" w:sz="4" w:space="0" w:color="auto"/>
              <w:right w:val="single" w:sz="4" w:space="0" w:color="auto"/>
            </w:tcBorders>
            <w:shd w:val="clear" w:color="000000" w:fill="A6A6A6"/>
            <w:noWrap/>
            <w:tcMar>
              <w:left w:w="45" w:type="dxa"/>
              <w:right w:w="45" w:type="dxa"/>
            </w:tcMar>
            <w:hideMark/>
          </w:tcPr>
          <w:p w14:paraId="1F92B7F7"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w:t>
            </w:r>
          </w:p>
        </w:tc>
        <w:tc>
          <w:tcPr>
            <w:tcW w:w="461" w:type="pct"/>
            <w:tcBorders>
              <w:top w:val="nil"/>
              <w:left w:val="nil"/>
              <w:bottom w:val="single" w:sz="4" w:space="0" w:color="auto"/>
              <w:right w:val="single" w:sz="4" w:space="0" w:color="auto"/>
            </w:tcBorders>
            <w:shd w:val="clear" w:color="000000" w:fill="A6A6A6"/>
            <w:noWrap/>
            <w:tcMar>
              <w:left w:w="45" w:type="dxa"/>
              <w:right w:w="45" w:type="dxa"/>
            </w:tcMar>
            <w:hideMark/>
          </w:tcPr>
          <w:p w14:paraId="5AA839FF"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1,758</w:t>
            </w:r>
          </w:p>
        </w:tc>
      </w:tr>
    </w:tbl>
    <w:p w14:paraId="7C1B1E1D" w14:textId="77777777" w:rsidR="000729CF" w:rsidRPr="000729CF" w:rsidRDefault="000729CF" w:rsidP="000729CF">
      <w:pPr>
        <w:spacing w:after="160" w:line="259" w:lineRule="auto"/>
        <w:rPr>
          <w:rFonts w:ascii="Calibri" w:eastAsia="Calibri" w:hAnsi="Calibri"/>
          <w:sz w:val="22"/>
          <w:szCs w:val="22"/>
          <w:lang w:val="en-GB"/>
        </w:rPr>
      </w:pPr>
    </w:p>
    <w:p w14:paraId="375F33BA" w14:textId="77777777" w:rsidR="000729CF" w:rsidRPr="000729CF" w:rsidRDefault="000729CF" w:rsidP="000729CF">
      <w:pPr>
        <w:spacing w:after="160" w:line="259" w:lineRule="auto"/>
        <w:rPr>
          <w:rFonts w:ascii="Calibri" w:eastAsia="Calibri" w:hAnsi="Calibri"/>
          <w:sz w:val="22"/>
          <w:szCs w:val="22"/>
          <w:lang w:val="en-GB"/>
        </w:rPr>
      </w:pPr>
    </w:p>
    <w:p w14:paraId="5A50346B" w14:textId="77777777" w:rsidR="000729CF" w:rsidRPr="000729CF" w:rsidRDefault="000729CF" w:rsidP="000729CF">
      <w:pPr>
        <w:spacing w:after="160" w:line="259" w:lineRule="auto"/>
        <w:rPr>
          <w:rFonts w:ascii="Calibri" w:eastAsia="Calibri" w:hAnsi="Calibri"/>
          <w:sz w:val="22"/>
          <w:szCs w:val="22"/>
          <w:lang w:val="en-GB"/>
        </w:rPr>
        <w:sectPr w:rsidR="000729CF" w:rsidRPr="000729CF" w:rsidSect="001604BB">
          <w:pgSz w:w="16838" w:h="11906" w:orient="landscape"/>
          <w:pgMar w:top="720" w:right="720" w:bottom="720" w:left="720" w:header="708" w:footer="708" w:gutter="0"/>
          <w:cols w:space="708"/>
          <w:docGrid w:linePitch="360"/>
        </w:sectPr>
      </w:pPr>
    </w:p>
    <w:tbl>
      <w:tblPr>
        <w:tblW w:w="5000" w:type="pct"/>
        <w:tblLook w:val="04A0" w:firstRow="1" w:lastRow="0" w:firstColumn="1" w:lastColumn="0" w:noHBand="0" w:noVBand="1"/>
      </w:tblPr>
      <w:tblGrid>
        <w:gridCol w:w="2690"/>
        <w:gridCol w:w="4392"/>
        <w:gridCol w:w="6949"/>
        <w:gridCol w:w="1357"/>
      </w:tblGrid>
      <w:tr w:rsidR="000729CF" w:rsidRPr="000729CF" w14:paraId="1968E12F" w14:textId="77777777" w:rsidTr="00BC26AB">
        <w:trPr>
          <w:trHeight w:val="20"/>
          <w:tblHeader/>
        </w:trPr>
        <w:tc>
          <w:tcPr>
            <w:tcW w:w="874" w:type="pct"/>
            <w:vMerge w:val="restart"/>
            <w:tcBorders>
              <w:top w:val="single" w:sz="4" w:space="0" w:color="auto"/>
              <w:left w:val="single" w:sz="4" w:space="0" w:color="auto"/>
              <w:bottom w:val="single" w:sz="4" w:space="0" w:color="000000"/>
              <w:right w:val="single" w:sz="4" w:space="0" w:color="auto"/>
            </w:tcBorders>
            <w:shd w:val="clear" w:color="000000" w:fill="A6A6A6"/>
            <w:tcMar>
              <w:left w:w="45" w:type="dxa"/>
              <w:right w:w="45" w:type="dxa"/>
            </w:tcMar>
            <w:vAlign w:val="bottom"/>
            <w:hideMark/>
          </w:tcPr>
          <w:p w14:paraId="51F7E282" w14:textId="77777777" w:rsidR="000729CF" w:rsidRPr="000729CF" w:rsidRDefault="000729CF" w:rsidP="000729CF">
            <w:pPr>
              <w:jc w:val="cente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Section</w:t>
            </w:r>
          </w:p>
        </w:tc>
        <w:tc>
          <w:tcPr>
            <w:tcW w:w="1427" w:type="pct"/>
            <w:vMerge w:val="restart"/>
            <w:tcBorders>
              <w:top w:val="single" w:sz="4" w:space="0" w:color="auto"/>
              <w:left w:val="single" w:sz="4" w:space="0" w:color="auto"/>
              <w:bottom w:val="single" w:sz="4" w:space="0" w:color="000000"/>
              <w:right w:val="single" w:sz="4" w:space="0" w:color="auto"/>
            </w:tcBorders>
            <w:shd w:val="clear" w:color="000000" w:fill="A6A6A6"/>
            <w:tcMar>
              <w:left w:w="45" w:type="dxa"/>
              <w:right w:w="45" w:type="dxa"/>
            </w:tcMar>
            <w:vAlign w:val="bottom"/>
            <w:hideMark/>
          </w:tcPr>
          <w:p w14:paraId="2DB975D0" w14:textId="77777777" w:rsidR="000729CF" w:rsidRPr="000729CF" w:rsidRDefault="000729CF" w:rsidP="000729CF">
            <w:pPr>
              <w:jc w:val="cente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Service Area</w:t>
            </w:r>
          </w:p>
        </w:tc>
        <w:tc>
          <w:tcPr>
            <w:tcW w:w="2258" w:type="pct"/>
            <w:vMerge w:val="restart"/>
            <w:tcBorders>
              <w:top w:val="single" w:sz="4" w:space="0" w:color="auto"/>
              <w:left w:val="single" w:sz="4" w:space="0" w:color="auto"/>
              <w:bottom w:val="single" w:sz="4" w:space="0" w:color="000000"/>
              <w:right w:val="single" w:sz="4" w:space="0" w:color="auto"/>
            </w:tcBorders>
            <w:shd w:val="clear" w:color="000000" w:fill="A6A6A6"/>
            <w:tcMar>
              <w:left w:w="45" w:type="dxa"/>
              <w:right w:w="45" w:type="dxa"/>
            </w:tcMar>
            <w:vAlign w:val="bottom"/>
            <w:hideMark/>
          </w:tcPr>
          <w:p w14:paraId="3EE96535" w14:textId="77777777" w:rsidR="000729CF" w:rsidRPr="000729CF" w:rsidRDefault="000729CF" w:rsidP="000729CF">
            <w:pPr>
              <w:jc w:val="cente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Brief Summary of Budget Proposal/Strategy and Risks</w:t>
            </w:r>
          </w:p>
        </w:tc>
        <w:tc>
          <w:tcPr>
            <w:tcW w:w="441" w:type="pct"/>
            <w:tcBorders>
              <w:top w:val="single" w:sz="4" w:space="0" w:color="auto"/>
              <w:left w:val="nil"/>
              <w:bottom w:val="single" w:sz="4" w:space="0" w:color="auto"/>
              <w:right w:val="single" w:sz="4" w:space="0" w:color="auto"/>
            </w:tcBorders>
            <w:shd w:val="clear" w:color="000000" w:fill="A6A6A6"/>
            <w:tcMar>
              <w:left w:w="45" w:type="dxa"/>
              <w:right w:w="45" w:type="dxa"/>
            </w:tcMar>
            <w:vAlign w:val="bottom"/>
            <w:hideMark/>
          </w:tcPr>
          <w:p w14:paraId="1ADC8862" w14:textId="77777777" w:rsidR="000729CF" w:rsidRPr="000729CF" w:rsidRDefault="000729CF" w:rsidP="000729CF">
            <w:pPr>
              <w:jc w:val="cente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Total Savings Proposed 2024/25</w:t>
            </w:r>
          </w:p>
        </w:tc>
      </w:tr>
      <w:tr w:rsidR="000729CF" w:rsidRPr="000729CF" w14:paraId="61F1BFEB" w14:textId="77777777" w:rsidTr="00BC26AB">
        <w:trPr>
          <w:trHeight w:val="20"/>
          <w:tblHeader/>
        </w:trPr>
        <w:tc>
          <w:tcPr>
            <w:tcW w:w="874" w:type="pct"/>
            <w:vMerge/>
            <w:tcBorders>
              <w:top w:val="single" w:sz="4" w:space="0" w:color="auto"/>
              <w:left w:val="single" w:sz="4" w:space="0" w:color="auto"/>
              <w:bottom w:val="single" w:sz="4" w:space="0" w:color="000000"/>
              <w:right w:val="single" w:sz="4" w:space="0" w:color="auto"/>
            </w:tcBorders>
            <w:tcMar>
              <w:left w:w="45" w:type="dxa"/>
              <w:right w:w="45" w:type="dxa"/>
            </w:tcMar>
            <w:vAlign w:val="center"/>
            <w:hideMark/>
          </w:tcPr>
          <w:p w14:paraId="679389C9" w14:textId="77777777" w:rsidR="000729CF" w:rsidRPr="000729CF" w:rsidRDefault="000729CF" w:rsidP="000729CF">
            <w:pPr>
              <w:rPr>
                <w:rFonts w:ascii="Calibri" w:hAnsi="Calibri" w:cs="Calibri"/>
                <w:b/>
                <w:bCs/>
                <w:color w:val="000000"/>
                <w:sz w:val="22"/>
                <w:szCs w:val="22"/>
                <w:lang w:val="en-GB" w:eastAsia="en-GB"/>
              </w:rPr>
            </w:pPr>
          </w:p>
        </w:tc>
        <w:tc>
          <w:tcPr>
            <w:tcW w:w="1427" w:type="pct"/>
            <w:vMerge/>
            <w:tcBorders>
              <w:top w:val="single" w:sz="4" w:space="0" w:color="auto"/>
              <w:left w:val="single" w:sz="4" w:space="0" w:color="auto"/>
              <w:bottom w:val="single" w:sz="4" w:space="0" w:color="000000"/>
              <w:right w:val="single" w:sz="4" w:space="0" w:color="auto"/>
            </w:tcBorders>
            <w:tcMar>
              <w:left w:w="45" w:type="dxa"/>
              <w:right w:w="45" w:type="dxa"/>
            </w:tcMar>
            <w:vAlign w:val="center"/>
            <w:hideMark/>
          </w:tcPr>
          <w:p w14:paraId="2219C953" w14:textId="77777777" w:rsidR="000729CF" w:rsidRPr="000729CF" w:rsidRDefault="000729CF" w:rsidP="000729CF">
            <w:pPr>
              <w:rPr>
                <w:rFonts w:ascii="Calibri" w:hAnsi="Calibri" w:cs="Calibri"/>
                <w:b/>
                <w:bCs/>
                <w:color w:val="000000"/>
                <w:sz w:val="22"/>
                <w:szCs w:val="22"/>
                <w:lang w:val="en-GB" w:eastAsia="en-GB"/>
              </w:rPr>
            </w:pPr>
          </w:p>
        </w:tc>
        <w:tc>
          <w:tcPr>
            <w:tcW w:w="2258" w:type="pct"/>
            <w:vMerge/>
            <w:tcBorders>
              <w:top w:val="single" w:sz="4" w:space="0" w:color="auto"/>
              <w:left w:val="single" w:sz="4" w:space="0" w:color="auto"/>
              <w:bottom w:val="single" w:sz="4" w:space="0" w:color="000000"/>
              <w:right w:val="single" w:sz="4" w:space="0" w:color="auto"/>
            </w:tcBorders>
            <w:tcMar>
              <w:left w:w="45" w:type="dxa"/>
              <w:right w:w="45" w:type="dxa"/>
            </w:tcMar>
            <w:vAlign w:val="center"/>
            <w:hideMark/>
          </w:tcPr>
          <w:p w14:paraId="524D3ECE" w14:textId="77777777" w:rsidR="000729CF" w:rsidRPr="000729CF" w:rsidRDefault="000729CF" w:rsidP="000729CF">
            <w:pPr>
              <w:rPr>
                <w:rFonts w:ascii="Calibri" w:hAnsi="Calibri" w:cs="Calibri"/>
                <w:b/>
                <w:bCs/>
                <w:color w:val="000000"/>
                <w:sz w:val="22"/>
                <w:szCs w:val="22"/>
                <w:lang w:val="en-GB" w:eastAsia="en-GB"/>
              </w:rPr>
            </w:pPr>
          </w:p>
        </w:tc>
        <w:tc>
          <w:tcPr>
            <w:tcW w:w="441" w:type="pct"/>
            <w:tcBorders>
              <w:top w:val="nil"/>
              <w:left w:val="nil"/>
              <w:bottom w:val="single" w:sz="4" w:space="0" w:color="auto"/>
              <w:right w:val="single" w:sz="4" w:space="0" w:color="auto"/>
            </w:tcBorders>
            <w:shd w:val="clear" w:color="000000" w:fill="A6A6A6"/>
            <w:tcMar>
              <w:left w:w="45" w:type="dxa"/>
              <w:right w:w="45" w:type="dxa"/>
            </w:tcMar>
            <w:vAlign w:val="bottom"/>
            <w:hideMark/>
          </w:tcPr>
          <w:p w14:paraId="786F53E0" w14:textId="77777777" w:rsidR="000729CF" w:rsidRPr="000729CF" w:rsidRDefault="000729CF" w:rsidP="000729CF">
            <w:pPr>
              <w:jc w:val="cente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£'000</w:t>
            </w:r>
          </w:p>
        </w:tc>
      </w:tr>
      <w:tr w:rsidR="000729CF" w:rsidRPr="000729CF" w14:paraId="5B929440" w14:textId="77777777" w:rsidTr="00BC26AB">
        <w:trPr>
          <w:trHeight w:val="20"/>
        </w:trPr>
        <w:tc>
          <w:tcPr>
            <w:tcW w:w="4559" w:type="pct"/>
            <w:gridSpan w:val="3"/>
            <w:tcBorders>
              <w:top w:val="single" w:sz="4" w:space="0" w:color="auto"/>
              <w:left w:val="single" w:sz="4" w:space="0" w:color="auto"/>
              <w:bottom w:val="single" w:sz="4" w:space="0" w:color="auto"/>
              <w:right w:val="single" w:sz="4" w:space="0" w:color="auto"/>
            </w:tcBorders>
            <w:shd w:val="clear" w:color="000000" w:fill="000000"/>
            <w:noWrap/>
            <w:tcMar>
              <w:left w:w="45" w:type="dxa"/>
              <w:right w:w="45" w:type="dxa"/>
            </w:tcMar>
            <w:hideMark/>
          </w:tcPr>
          <w:p w14:paraId="125C8AD7"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Corporately-held Budgets</w:t>
            </w:r>
          </w:p>
        </w:tc>
        <w:tc>
          <w:tcPr>
            <w:tcW w:w="441" w:type="pct"/>
            <w:tcBorders>
              <w:top w:val="single" w:sz="4" w:space="0" w:color="auto"/>
              <w:left w:val="single" w:sz="4" w:space="0" w:color="auto"/>
              <w:bottom w:val="single" w:sz="4" w:space="0" w:color="auto"/>
              <w:right w:val="single" w:sz="4" w:space="0" w:color="auto"/>
            </w:tcBorders>
            <w:shd w:val="clear" w:color="000000" w:fill="000000"/>
            <w:noWrap/>
            <w:tcMar>
              <w:left w:w="45" w:type="dxa"/>
              <w:right w:w="45" w:type="dxa"/>
            </w:tcMar>
            <w:hideMark/>
          </w:tcPr>
          <w:p w14:paraId="0347263D"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 </w:t>
            </w:r>
          </w:p>
        </w:tc>
      </w:tr>
      <w:tr w:rsidR="000729CF" w:rsidRPr="000729CF" w14:paraId="6114990A" w14:textId="77777777" w:rsidTr="00BC26AB">
        <w:trPr>
          <w:trHeight w:val="20"/>
        </w:trPr>
        <w:tc>
          <w:tcPr>
            <w:tcW w:w="4559" w:type="pct"/>
            <w:gridSpan w:val="3"/>
            <w:tcBorders>
              <w:top w:val="single" w:sz="4" w:space="0" w:color="auto"/>
              <w:left w:val="single" w:sz="4" w:space="0" w:color="auto"/>
              <w:bottom w:val="single" w:sz="4" w:space="0" w:color="auto"/>
              <w:right w:val="single" w:sz="4" w:space="0" w:color="auto"/>
            </w:tcBorders>
            <w:shd w:val="clear" w:color="000000" w:fill="000000"/>
            <w:noWrap/>
            <w:tcMar>
              <w:left w:w="45" w:type="dxa"/>
              <w:right w:w="45" w:type="dxa"/>
            </w:tcMar>
            <w:hideMark/>
          </w:tcPr>
          <w:p w14:paraId="214E4DE5"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Bulk Insurance Premia</w:t>
            </w:r>
          </w:p>
        </w:tc>
        <w:tc>
          <w:tcPr>
            <w:tcW w:w="441" w:type="pct"/>
            <w:tcBorders>
              <w:top w:val="single" w:sz="4" w:space="0" w:color="auto"/>
              <w:left w:val="single" w:sz="4" w:space="0" w:color="auto"/>
              <w:bottom w:val="single" w:sz="4" w:space="0" w:color="auto"/>
              <w:right w:val="single" w:sz="4" w:space="0" w:color="auto"/>
            </w:tcBorders>
            <w:shd w:val="clear" w:color="000000" w:fill="000000"/>
            <w:noWrap/>
            <w:tcMar>
              <w:left w:w="45" w:type="dxa"/>
              <w:right w:w="45" w:type="dxa"/>
            </w:tcMar>
            <w:hideMark/>
          </w:tcPr>
          <w:p w14:paraId="540F1139"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 </w:t>
            </w:r>
          </w:p>
        </w:tc>
      </w:tr>
      <w:tr w:rsidR="000729CF" w:rsidRPr="000729CF" w14:paraId="07AA1027" w14:textId="77777777" w:rsidTr="00BC26AB">
        <w:trPr>
          <w:trHeight w:val="20"/>
        </w:trPr>
        <w:tc>
          <w:tcPr>
            <w:tcW w:w="87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6E3FEC99"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Insurance</w:t>
            </w:r>
          </w:p>
        </w:tc>
        <w:tc>
          <w:tcPr>
            <w:tcW w:w="1427" w:type="pct"/>
            <w:tcBorders>
              <w:top w:val="nil"/>
              <w:left w:val="nil"/>
              <w:bottom w:val="single" w:sz="4" w:space="0" w:color="auto"/>
              <w:right w:val="single" w:sz="4" w:space="0" w:color="auto"/>
            </w:tcBorders>
            <w:shd w:val="clear" w:color="auto" w:fill="auto"/>
            <w:tcMar>
              <w:left w:w="45" w:type="dxa"/>
              <w:right w:w="45" w:type="dxa"/>
            </w:tcMar>
            <w:hideMark/>
          </w:tcPr>
          <w:p w14:paraId="25648CDD"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Premiums &amp; Excesses/deductibles/self insurance</w:t>
            </w:r>
          </w:p>
        </w:tc>
        <w:tc>
          <w:tcPr>
            <w:tcW w:w="2258" w:type="pct"/>
            <w:tcBorders>
              <w:top w:val="nil"/>
              <w:left w:val="nil"/>
              <w:bottom w:val="single" w:sz="4" w:space="0" w:color="auto"/>
              <w:right w:val="single" w:sz="4" w:space="0" w:color="auto"/>
            </w:tcBorders>
            <w:shd w:val="clear" w:color="auto" w:fill="auto"/>
            <w:tcMar>
              <w:left w:w="45" w:type="dxa"/>
              <w:right w:w="45" w:type="dxa"/>
            </w:tcMar>
            <w:hideMark/>
          </w:tcPr>
          <w:p w14:paraId="1D7CC7B0"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1" w:type="pct"/>
            <w:tcBorders>
              <w:top w:val="nil"/>
              <w:left w:val="nil"/>
              <w:bottom w:val="single" w:sz="4" w:space="0" w:color="auto"/>
              <w:right w:val="single" w:sz="4" w:space="0" w:color="auto"/>
            </w:tcBorders>
            <w:shd w:val="clear" w:color="auto" w:fill="auto"/>
            <w:tcMar>
              <w:left w:w="45" w:type="dxa"/>
              <w:right w:w="45" w:type="dxa"/>
            </w:tcMar>
            <w:hideMark/>
          </w:tcPr>
          <w:p w14:paraId="570576C4"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0</w:t>
            </w:r>
          </w:p>
        </w:tc>
      </w:tr>
      <w:tr w:rsidR="000729CF" w:rsidRPr="000729CF" w14:paraId="5E8925BB" w14:textId="77777777" w:rsidTr="00BC26AB">
        <w:trPr>
          <w:trHeight w:val="20"/>
        </w:trPr>
        <w:tc>
          <w:tcPr>
            <w:tcW w:w="2301" w:type="pct"/>
            <w:gridSpan w:val="2"/>
            <w:tcBorders>
              <w:top w:val="single" w:sz="4" w:space="0" w:color="auto"/>
              <w:left w:val="single" w:sz="4" w:space="0" w:color="auto"/>
              <w:bottom w:val="single" w:sz="4" w:space="0" w:color="auto"/>
              <w:right w:val="single" w:sz="4" w:space="0" w:color="000000"/>
            </w:tcBorders>
            <w:shd w:val="clear" w:color="000000" w:fill="A6A6A6"/>
            <w:noWrap/>
            <w:tcMar>
              <w:left w:w="45" w:type="dxa"/>
              <w:right w:w="45" w:type="dxa"/>
            </w:tcMar>
            <w:hideMark/>
          </w:tcPr>
          <w:p w14:paraId="223A5E91"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Bulk Insurance Premia Total</w:t>
            </w:r>
          </w:p>
        </w:tc>
        <w:tc>
          <w:tcPr>
            <w:tcW w:w="2258" w:type="pct"/>
            <w:tcBorders>
              <w:top w:val="nil"/>
              <w:left w:val="nil"/>
              <w:bottom w:val="single" w:sz="4" w:space="0" w:color="auto"/>
              <w:right w:val="single" w:sz="4" w:space="0" w:color="auto"/>
            </w:tcBorders>
            <w:shd w:val="clear" w:color="000000" w:fill="A6A6A6"/>
            <w:noWrap/>
            <w:tcMar>
              <w:left w:w="45" w:type="dxa"/>
              <w:right w:w="45" w:type="dxa"/>
            </w:tcMar>
            <w:hideMark/>
          </w:tcPr>
          <w:p w14:paraId="344AB592"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w:t>
            </w:r>
          </w:p>
        </w:tc>
        <w:tc>
          <w:tcPr>
            <w:tcW w:w="441" w:type="pct"/>
            <w:tcBorders>
              <w:top w:val="nil"/>
              <w:left w:val="nil"/>
              <w:bottom w:val="single" w:sz="4" w:space="0" w:color="auto"/>
              <w:right w:val="single" w:sz="4" w:space="0" w:color="auto"/>
            </w:tcBorders>
            <w:shd w:val="clear" w:color="000000" w:fill="A6A6A6"/>
            <w:noWrap/>
            <w:tcMar>
              <w:left w:w="45" w:type="dxa"/>
              <w:right w:w="45" w:type="dxa"/>
            </w:tcMar>
            <w:hideMark/>
          </w:tcPr>
          <w:p w14:paraId="31247429"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0</w:t>
            </w:r>
          </w:p>
        </w:tc>
      </w:tr>
      <w:tr w:rsidR="000729CF" w:rsidRPr="000729CF" w14:paraId="46DE5162" w14:textId="77777777" w:rsidTr="00BC26AB">
        <w:trPr>
          <w:trHeight w:val="20"/>
        </w:trPr>
        <w:tc>
          <w:tcPr>
            <w:tcW w:w="4559" w:type="pct"/>
            <w:gridSpan w:val="3"/>
            <w:tcBorders>
              <w:top w:val="single" w:sz="4" w:space="0" w:color="auto"/>
              <w:left w:val="single" w:sz="4" w:space="0" w:color="auto"/>
              <w:bottom w:val="single" w:sz="4" w:space="0" w:color="auto"/>
              <w:right w:val="single" w:sz="4" w:space="0" w:color="auto"/>
            </w:tcBorders>
            <w:shd w:val="clear" w:color="000000" w:fill="000000"/>
            <w:noWrap/>
            <w:tcMar>
              <w:left w:w="45" w:type="dxa"/>
              <w:right w:w="45" w:type="dxa"/>
            </w:tcMar>
            <w:hideMark/>
          </w:tcPr>
          <w:p w14:paraId="4E7952CC"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Capital Financing Costs</w:t>
            </w:r>
          </w:p>
        </w:tc>
        <w:tc>
          <w:tcPr>
            <w:tcW w:w="441" w:type="pct"/>
            <w:tcBorders>
              <w:top w:val="single" w:sz="4" w:space="0" w:color="auto"/>
              <w:left w:val="single" w:sz="4" w:space="0" w:color="auto"/>
              <w:bottom w:val="single" w:sz="4" w:space="0" w:color="auto"/>
              <w:right w:val="single" w:sz="4" w:space="0" w:color="auto"/>
            </w:tcBorders>
            <w:shd w:val="clear" w:color="000000" w:fill="000000"/>
            <w:noWrap/>
            <w:tcMar>
              <w:left w:w="45" w:type="dxa"/>
              <w:right w:w="45" w:type="dxa"/>
            </w:tcMar>
            <w:hideMark/>
          </w:tcPr>
          <w:p w14:paraId="1F6A2A1D"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 </w:t>
            </w:r>
          </w:p>
        </w:tc>
      </w:tr>
      <w:tr w:rsidR="000729CF" w:rsidRPr="000729CF" w14:paraId="3D782493" w14:textId="77777777" w:rsidTr="00BC26AB">
        <w:trPr>
          <w:trHeight w:val="20"/>
        </w:trPr>
        <w:tc>
          <w:tcPr>
            <w:tcW w:w="87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59E4F4F1"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Capital Financing Costs</w:t>
            </w:r>
          </w:p>
        </w:tc>
        <w:tc>
          <w:tcPr>
            <w:tcW w:w="1427" w:type="pct"/>
            <w:tcBorders>
              <w:top w:val="nil"/>
              <w:left w:val="nil"/>
              <w:bottom w:val="single" w:sz="4" w:space="0" w:color="auto"/>
              <w:right w:val="single" w:sz="4" w:space="0" w:color="auto"/>
            </w:tcBorders>
            <w:shd w:val="clear" w:color="auto" w:fill="auto"/>
            <w:tcMar>
              <w:left w:w="45" w:type="dxa"/>
              <w:right w:w="45" w:type="dxa"/>
            </w:tcMar>
            <w:hideMark/>
          </w:tcPr>
          <w:p w14:paraId="3F95A14F"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Debt and investment interest</w:t>
            </w:r>
          </w:p>
        </w:tc>
        <w:tc>
          <w:tcPr>
            <w:tcW w:w="2258" w:type="pct"/>
            <w:tcBorders>
              <w:top w:val="nil"/>
              <w:left w:val="nil"/>
              <w:bottom w:val="single" w:sz="4" w:space="0" w:color="auto"/>
              <w:right w:val="single" w:sz="4" w:space="0" w:color="auto"/>
            </w:tcBorders>
            <w:shd w:val="clear" w:color="auto" w:fill="auto"/>
            <w:tcMar>
              <w:left w:w="45" w:type="dxa"/>
              <w:right w:w="45" w:type="dxa"/>
            </w:tcMar>
            <w:hideMark/>
          </w:tcPr>
          <w:p w14:paraId="6A5A32C8"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1" w:type="pct"/>
            <w:tcBorders>
              <w:top w:val="nil"/>
              <w:left w:val="nil"/>
              <w:bottom w:val="single" w:sz="4" w:space="0" w:color="auto"/>
              <w:right w:val="single" w:sz="4" w:space="0" w:color="auto"/>
            </w:tcBorders>
            <w:shd w:val="clear" w:color="auto" w:fill="auto"/>
            <w:tcMar>
              <w:left w:w="45" w:type="dxa"/>
              <w:right w:w="45" w:type="dxa"/>
            </w:tcMar>
            <w:hideMark/>
          </w:tcPr>
          <w:p w14:paraId="215B0FC1"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0</w:t>
            </w:r>
          </w:p>
        </w:tc>
      </w:tr>
      <w:tr w:rsidR="000729CF" w:rsidRPr="000729CF" w14:paraId="1C002589" w14:textId="77777777" w:rsidTr="00BC26AB">
        <w:trPr>
          <w:trHeight w:val="20"/>
        </w:trPr>
        <w:tc>
          <w:tcPr>
            <w:tcW w:w="2301" w:type="pct"/>
            <w:gridSpan w:val="2"/>
            <w:tcBorders>
              <w:top w:val="single" w:sz="4" w:space="0" w:color="auto"/>
              <w:left w:val="single" w:sz="4" w:space="0" w:color="auto"/>
              <w:bottom w:val="single" w:sz="4" w:space="0" w:color="auto"/>
              <w:right w:val="single" w:sz="4" w:space="0" w:color="000000"/>
            </w:tcBorders>
            <w:shd w:val="clear" w:color="000000" w:fill="A6A6A6"/>
            <w:noWrap/>
            <w:tcMar>
              <w:left w:w="45" w:type="dxa"/>
              <w:right w:w="45" w:type="dxa"/>
            </w:tcMar>
            <w:hideMark/>
          </w:tcPr>
          <w:p w14:paraId="451FDD7D"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Capital Financing Costs Total</w:t>
            </w:r>
          </w:p>
        </w:tc>
        <w:tc>
          <w:tcPr>
            <w:tcW w:w="2258" w:type="pct"/>
            <w:tcBorders>
              <w:top w:val="nil"/>
              <w:left w:val="nil"/>
              <w:bottom w:val="single" w:sz="4" w:space="0" w:color="auto"/>
              <w:right w:val="single" w:sz="4" w:space="0" w:color="auto"/>
            </w:tcBorders>
            <w:shd w:val="clear" w:color="000000" w:fill="A6A6A6"/>
            <w:noWrap/>
            <w:tcMar>
              <w:left w:w="45" w:type="dxa"/>
              <w:right w:w="45" w:type="dxa"/>
            </w:tcMar>
            <w:hideMark/>
          </w:tcPr>
          <w:p w14:paraId="7280E630"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w:t>
            </w:r>
          </w:p>
        </w:tc>
        <w:tc>
          <w:tcPr>
            <w:tcW w:w="441" w:type="pct"/>
            <w:tcBorders>
              <w:top w:val="nil"/>
              <w:left w:val="nil"/>
              <w:bottom w:val="single" w:sz="4" w:space="0" w:color="auto"/>
              <w:right w:val="single" w:sz="4" w:space="0" w:color="auto"/>
            </w:tcBorders>
            <w:shd w:val="clear" w:color="000000" w:fill="A6A6A6"/>
            <w:noWrap/>
            <w:tcMar>
              <w:left w:w="45" w:type="dxa"/>
              <w:right w:w="45" w:type="dxa"/>
            </w:tcMar>
            <w:hideMark/>
          </w:tcPr>
          <w:p w14:paraId="560BC136"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0</w:t>
            </w:r>
          </w:p>
        </w:tc>
      </w:tr>
      <w:tr w:rsidR="000729CF" w:rsidRPr="000729CF" w14:paraId="4BB86A56" w14:textId="77777777" w:rsidTr="00BC26AB">
        <w:trPr>
          <w:trHeight w:val="20"/>
        </w:trPr>
        <w:tc>
          <w:tcPr>
            <w:tcW w:w="4559" w:type="pct"/>
            <w:gridSpan w:val="3"/>
            <w:tcBorders>
              <w:top w:val="single" w:sz="4" w:space="0" w:color="auto"/>
              <w:left w:val="single" w:sz="4" w:space="0" w:color="auto"/>
              <w:bottom w:val="single" w:sz="4" w:space="0" w:color="auto"/>
              <w:right w:val="single" w:sz="4" w:space="0" w:color="auto"/>
            </w:tcBorders>
            <w:shd w:val="clear" w:color="000000" w:fill="000000"/>
            <w:noWrap/>
            <w:tcMar>
              <w:left w:w="45" w:type="dxa"/>
              <w:right w:w="45" w:type="dxa"/>
            </w:tcMar>
            <w:hideMark/>
          </w:tcPr>
          <w:p w14:paraId="4CACC858"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Levies &amp; Precepts</w:t>
            </w:r>
          </w:p>
        </w:tc>
        <w:tc>
          <w:tcPr>
            <w:tcW w:w="441" w:type="pct"/>
            <w:tcBorders>
              <w:top w:val="single" w:sz="4" w:space="0" w:color="auto"/>
              <w:left w:val="single" w:sz="4" w:space="0" w:color="auto"/>
              <w:bottom w:val="single" w:sz="4" w:space="0" w:color="auto"/>
              <w:right w:val="single" w:sz="4" w:space="0" w:color="auto"/>
            </w:tcBorders>
            <w:shd w:val="clear" w:color="000000" w:fill="000000"/>
            <w:noWrap/>
            <w:tcMar>
              <w:left w:w="45" w:type="dxa"/>
              <w:right w:w="45" w:type="dxa"/>
            </w:tcMar>
            <w:hideMark/>
          </w:tcPr>
          <w:p w14:paraId="1B8EAE10"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 </w:t>
            </w:r>
          </w:p>
        </w:tc>
      </w:tr>
      <w:tr w:rsidR="000729CF" w:rsidRPr="000729CF" w14:paraId="7447C163" w14:textId="77777777" w:rsidTr="00BC26AB">
        <w:trPr>
          <w:trHeight w:val="20"/>
        </w:trPr>
        <w:tc>
          <w:tcPr>
            <w:tcW w:w="87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7CD44CDD"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Levies &amp; Precepts</w:t>
            </w:r>
          </w:p>
        </w:tc>
        <w:tc>
          <w:tcPr>
            <w:tcW w:w="1427" w:type="pct"/>
            <w:tcBorders>
              <w:top w:val="nil"/>
              <w:left w:val="nil"/>
              <w:bottom w:val="single" w:sz="4" w:space="0" w:color="auto"/>
              <w:right w:val="single" w:sz="4" w:space="0" w:color="auto"/>
            </w:tcBorders>
            <w:shd w:val="clear" w:color="auto" w:fill="auto"/>
            <w:tcMar>
              <w:left w:w="45" w:type="dxa"/>
              <w:right w:w="45" w:type="dxa"/>
            </w:tcMar>
            <w:hideMark/>
          </w:tcPr>
          <w:p w14:paraId="7795C280"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Levies &amp; Precepts including: Sussex Inshore Fisheries &amp; Conservation Area, Environment Agency and Enclosure Committees</w:t>
            </w:r>
          </w:p>
        </w:tc>
        <w:tc>
          <w:tcPr>
            <w:tcW w:w="2258" w:type="pct"/>
            <w:tcBorders>
              <w:top w:val="nil"/>
              <w:left w:val="nil"/>
              <w:bottom w:val="single" w:sz="4" w:space="0" w:color="auto"/>
              <w:right w:val="single" w:sz="4" w:space="0" w:color="auto"/>
            </w:tcBorders>
            <w:shd w:val="clear" w:color="auto" w:fill="auto"/>
            <w:tcMar>
              <w:left w:w="45" w:type="dxa"/>
              <w:right w:w="45" w:type="dxa"/>
            </w:tcMar>
            <w:hideMark/>
          </w:tcPr>
          <w:p w14:paraId="4753B165"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1" w:type="pct"/>
            <w:tcBorders>
              <w:top w:val="nil"/>
              <w:left w:val="nil"/>
              <w:bottom w:val="single" w:sz="4" w:space="0" w:color="auto"/>
              <w:right w:val="single" w:sz="4" w:space="0" w:color="auto"/>
            </w:tcBorders>
            <w:shd w:val="clear" w:color="auto" w:fill="auto"/>
            <w:tcMar>
              <w:left w:w="45" w:type="dxa"/>
              <w:right w:w="45" w:type="dxa"/>
            </w:tcMar>
            <w:hideMark/>
          </w:tcPr>
          <w:p w14:paraId="70C94422"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0</w:t>
            </w:r>
          </w:p>
        </w:tc>
      </w:tr>
      <w:tr w:rsidR="000729CF" w:rsidRPr="000729CF" w14:paraId="344400D1" w14:textId="77777777" w:rsidTr="00BC26AB">
        <w:trPr>
          <w:trHeight w:val="20"/>
        </w:trPr>
        <w:tc>
          <w:tcPr>
            <w:tcW w:w="2301" w:type="pct"/>
            <w:gridSpan w:val="2"/>
            <w:tcBorders>
              <w:top w:val="single" w:sz="4" w:space="0" w:color="auto"/>
              <w:left w:val="single" w:sz="4" w:space="0" w:color="auto"/>
              <w:bottom w:val="single" w:sz="4" w:space="0" w:color="auto"/>
              <w:right w:val="single" w:sz="4" w:space="0" w:color="000000"/>
            </w:tcBorders>
            <w:shd w:val="clear" w:color="000000" w:fill="A6A6A6"/>
            <w:noWrap/>
            <w:tcMar>
              <w:left w:w="45" w:type="dxa"/>
              <w:right w:w="45" w:type="dxa"/>
            </w:tcMar>
            <w:hideMark/>
          </w:tcPr>
          <w:p w14:paraId="7FD2E8AC"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Levies &amp; Precepts Total</w:t>
            </w:r>
          </w:p>
        </w:tc>
        <w:tc>
          <w:tcPr>
            <w:tcW w:w="2258" w:type="pct"/>
            <w:tcBorders>
              <w:top w:val="nil"/>
              <w:left w:val="nil"/>
              <w:bottom w:val="single" w:sz="4" w:space="0" w:color="auto"/>
              <w:right w:val="single" w:sz="4" w:space="0" w:color="auto"/>
            </w:tcBorders>
            <w:shd w:val="clear" w:color="000000" w:fill="A6A6A6"/>
            <w:noWrap/>
            <w:tcMar>
              <w:left w:w="45" w:type="dxa"/>
              <w:right w:w="45" w:type="dxa"/>
            </w:tcMar>
            <w:hideMark/>
          </w:tcPr>
          <w:p w14:paraId="59351C79"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w:t>
            </w:r>
          </w:p>
        </w:tc>
        <w:tc>
          <w:tcPr>
            <w:tcW w:w="441" w:type="pct"/>
            <w:tcBorders>
              <w:top w:val="nil"/>
              <w:left w:val="nil"/>
              <w:bottom w:val="single" w:sz="4" w:space="0" w:color="auto"/>
              <w:right w:val="single" w:sz="4" w:space="0" w:color="auto"/>
            </w:tcBorders>
            <w:shd w:val="clear" w:color="000000" w:fill="A6A6A6"/>
            <w:noWrap/>
            <w:tcMar>
              <w:left w:w="45" w:type="dxa"/>
              <w:right w:w="45" w:type="dxa"/>
            </w:tcMar>
            <w:hideMark/>
          </w:tcPr>
          <w:p w14:paraId="65922FE3"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0</w:t>
            </w:r>
          </w:p>
        </w:tc>
      </w:tr>
      <w:tr w:rsidR="000729CF" w:rsidRPr="000729CF" w14:paraId="2604BC19" w14:textId="77777777" w:rsidTr="00BC26AB">
        <w:trPr>
          <w:trHeight w:val="20"/>
        </w:trPr>
        <w:tc>
          <w:tcPr>
            <w:tcW w:w="4559" w:type="pct"/>
            <w:gridSpan w:val="3"/>
            <w:tcBorders>
              <w:top w:val="single" w:sz="4" w:space="0" w:color="auto"/>
              <w:left w:val="single" w:sz="4" w:space="0" w:color="auto"/>
              <w:bottom w:val="single" w:sz="4" w:space="0" w:color="auto"/>
              <w:right w:val="single" w:sz="4" w:space="0" w:color="auto"/>
            </w:tcBorders>
            <w:shd w:val="clear" w:color="000000" w:fill="000000"/>
            <w:noWrap/>
            <w:tcMar>
              <w:left w:w="45" w:type="dxa"/>
              <w:right w:w="45" w:type="dxa"/>
            </w:tcMar>
            <w:hideMark/>
          </w:tcPr>
          <w:p w14:paraId="2FE0143D"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Unallocated Contingency &amp; Risk Provisions</w:t>
            </w:r>
          </w:p>
        </w:tc>
        <w:tc>
          <w:tcPr>
            <w:tcW w:w="441" w:type="pct"/>
            <w:tcBorders>
              <w:top w:val="single" w:sz="4" w:space="0" w:color="auto"/>
              <w:left w:val="single" w:sz="4" w:space="0" w:color="auto"/>
              <w:bottom w:val="single" w:sz="4" w:space="0" w:color="auto"/>
              <w:right w:val="single" w:sz="4" w:space="0" w:color="auto"/>
            </w:tcBorders>
            <w:shd w:val="clear" w:color="000000" w:fill="000000"/>
            <w:noWrap/>
            <w:tcMar>
              <w:left w:w="45" w:type="dxa"/>
              <w:right w:w="45" w:type="dxa"/>
            </w:tcMar>
            <w:hideMark/>
          </w:tcPr>
          <w:p w14:paraId="4275387C"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 </w:t>
            </w:r>
          </w:p>
        </w:tc>
      </w:tr>
      <w:tr w:rsidR="000729CF" w:rsidRPr="000729CF" w14:paraId="299B3221" w14:textId="77777777" w:rsidTr="00BC26AB">
        <w:trPr>
          <w:trHeight w:val="20"/>
        </w:trPr>
        <w:tc>
          <w:tcPr>
            <w:tcW w:w="87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1EB0D6C3"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Contingency &amp; Risk Provisions</w:t>
            </w:r>
          </w:p>
        </w:tc>
        <w:tc>
          <w:tcPr>
            <w:tcW w:w="1427" w:type="pct"/>
            <w:tcBorders>
              <w:top w:val="nil"/>
              <w:left w:val="nil"/>
              <w:bottom w:val="single" w:sz="4" w:space="0" w:color="auto"/>
              <w:right w:val="single" w:sz="4" w:space="0" w:color="auto"/>
            </w:tcBorders>
            <w:shd w:val="clear" w:color="auto" w:fill="auto"/>
            <w:tcMar>
              <w:left w:w="45" w:type="dxa"/>
              <w:right w:w="45" w:type="dxa"/>
            </w:tcMar>
            <w:hideMark/>
          </w:tcPr>
          <w:p w14:paraId="012BBBDA"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Risk Provisions &amp; other contingency items</w:t>
            </w:r>
          </w:p>
        </w:tc>
        <w:tc>
          <w:tcPr>
            <w:tcW w:w="2258" w:type="pct"/>
            <w:tcBorders>
              <w:top w:val="nil"/>
              <w:left w:val="nil"/>
              <w:bottom w:val="single" w:sz="4" w:space="0" w:color="auto"/>
              <w:right w:val="single" w:sz="4" w:space="0" w:color="auto"/>
            </w:tcBorders>
            <w:shd w:val="clear" w:color="auto" w:fill="auto"/>
            <w:tcMar>
              <w:left w:w="45" w:type="dxa"/>
              <w:right w:w="45" w:type="dxa"/>
            </w:tcMar>
            <w:hideMark/>
          </w:tcPr>
          <w:p w14:paraId="05D258D7"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w:t>
            </w:r>
          </w:p>
        </w:tc>
        <w:tc>
          <w:tcPr>
            <w:tcW w:w="441" w:type="pct"/>
            <w:tcBorders>
              <w:top w:val="nil"/>
              <w:left w:val="nil"/>
              <w:bottom w:val="single" w:sz="4" w:space="0" w:color="auto"/>
              <w:right w:val="single" w:sz="4" w:space="0" w:color="auto"/>
            </w:tcBorders>
            <w:shd w:val="clear" w:color="auto" w:fill="auto"/>
            <w:tcMar>
              <w:left w:w="45" w:type="dxa"/>
              <w:right w:w="45" w:type="dxa"/>
            </w:tcMar>
            <w:hideMark/>
          </w:tcPr>
          <w:p w14:paraId="71A6DDE3"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0</w:t>
            </w:r>
          </w:p>
        </w:tc>
      </w:tr>
      <w:tr w:rsidR="000729CF" w:rsidRPr="000729CF" w14:paraId="7BF723CC" w14:textId="77777777" w:rsidTr="00BC26AB">
        <w:trPr>
          <w:trHeight w:val="20"/>
        </w:trPr>
        <w:tc>
          <w:tcPr>
            <w:tcW w:w="2301" w:type="pct"/>
            <w:gridSpan w:val="2"/>
            <w:tcBorders>
              <w:top w:val="single" w:sz="4" w:space="0" w:color="auto"/>
              <w:left w:val="single" w:sz="4" w:space="0" w:color="auto"/>
              <w:bottom w:val="single" w:sz="4" w:space="0" w:color="auto"/>
              <w:right w:val="single" w:sz="4" w:space="0" w:color="000000"/>
            </w:tcBorders>
            <w:shd w:val="clear" w:color="000000" w:fill="A6A6A6"/>
            <w:noWrap/>
            <w:tcMar>
              <w:left w:w="45" w:type="dxa"/>
              <w:right w:w="45" w:type="dxa"/>
            </w:tcMar>
            <w:hideMark/>
          </w:tcPr>
          <w:p w14:paraId="41DEDC5A"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Unallocated Contingency &amp; Risk Provisions Total</w:t>
            </w:r>
          </w:p>
        </w:tc>
        <w:tc>
          <w:tcPr>
            <w:tcW w:w="2258" w:type="pct"/>
            <w:tcBorders>
              <w:top w:val="nil"/>
              <w:left w:val="nil"/>
              <w:bottom w:val="single" w:sz="4" w:space="0" w:color="auto"/>
              <w:right w:val="single" w:sz="4" w:space="0" w:color="auto"/>
            </w:tcBorders>
            <w:shd w:val="clear" w:color="000000" w:fill="A6A6A6"/>
            <w:noWrap/>
            <w:tcMar>
              <w:left w:w="45" w:type="dxa"/>
              <w:right w:w="45" w:type="dxa"/>
            </w:tcMar>
            <w:hideMark/>
          </w:tcPr>
          <w:p w14:paraId="1DB843A9"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w:t>
            </w:r>
          </w:p>
        </w:tc>
        <w:tc>
          <w:tcPr>
            <w:tcW w:w="441" w:type="pct"/>
            <w:tcBorders>
              <w:top w:val="nil"/>
              <w:left w:val="nil"/>
              <w:bottom w:val="single" w:sz="4" w:space="0" w:color="auto"/>
              <w:right w:val="single" w:sz="4" w:space="0" w:color="auto"/>
            </w:tcBorders>
            <w:shd w:val="clear" w:color="000000" w:fill="A6A6A6"/>
            <w:noWrap/>
            <w:tcMar>
              <w:left w:w="45" w:type="dxa"/>
              <w:right w:w="45" w:type="dxa"/>
            </w:tcMar>
            <w:hideMark/>
          </w:tcPr>
          <w:p w14:paraId="41087180"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0</w:t>
            </w:r>
          </w:p>
        </w:tc>
      </w:tr>
      <w:tr w:rsidR="000729CF" w:rsidRPr="000729CF" w14:paraId="71ECF54D" w14:textId="77777777" w:rsidTr="00BC26AB">
        <w:trPr>
          <w:trHeight w:val="20"/>
        </w:trPr>
        <w:tc>
          <w:tcPr>
            <w:tcW w:w="4559" w:type="pct"/>
            <w:gridSpan w:val="3"/>
            <w:tcBorders>
              <w:top w:val="single" w:sz="4" w:space="0" w:color="auto"/>
              <w:left w:val="single" w:sz="4" w:space="0" w:color="auto"/>
              <w:bottom w:val="single" w:sz="4" w:space="0" w:color="auto"/>
              <w:right w:val="single" w:sz="4" w:space="0" w:color="auto"/>
            </w:tcBorders>
            <w:shd w:val="clear" w:color="000000" w:fill="000000"/>
            <w:noWrap/>
            <w:tcMar>
              <w:left w:w="45" w:type="dxa"/>
              <w:right w:w="45" w:type="dxa"/>
            </w:tcMar>
            <w:hideMark/>
          </w:tcPr>
          <w:p w14:paraId="53254351"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Unringfenced Grants</w:t>
            </w:r>
          </w:p>
        </w:tc>
        <w:tc>
          <w:tcPr>
            <w:tcW w:w="441" w:type="pct"/>
            <w:tcBorders>
              <w:top w:val="single" w:sz="4" w:space="0" w:color="auto"/>
              <w:left w:val="single" w:sz="4" w:space="0" w:color="auto"/>
              <w:bottom w:val="single" w:sz="4" w:space="0" w:color="auto"/>
              <w:right w:val="single" w:sz="4" w:space="0" w:color="auto"/>
            </w:tcBorders>
            <w:shd w:val="clear" w:color="000000" w:fill="000000"/>
            <w:noWrap/>
            <w:tcMar>
              <w:left w:w="45" w:type="dxa"/>
              <w:right w:w="45" w:type="dxa"/>
            </w:tcMar>
            <w:hideMark/>
          </w:tcPr>
          <w:p w14:paraId="57945E27"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 </w:t>
            </w:r>
          </w:p>
        </w:tc>
      </w:tr>
      <w:tr w:rsidR="000729CF" w:rsidRPr="000729CF" w14:paraId="2F19E77B" w14:textId="77777777" w:rsidTr="00BC26AB">
        <w:trPr>
          <w:trHeight w:val="20"/>
        </w:trPr>
        <w:tc>
          <w:tcPr>
            <w:tcW w:w="87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2A8B83D5"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Unringfenced Grants</w:t>
            </w:r>
          </w:p>
        </w:tc>
        <w:tc>
          <w:tcPr>
            <w:tcW w:w="1427" w:type="pct"/>
            <w:tcBorders>
              <w:top w:val="nil"/>
              <w:left w:val="nil"/>
              <w:bottom w:val="single" w:sz="4" w:space="0" w:color="auto"/>
              <w:right w:val="single" w:sz="4" w:space="0" w:color="auto"/>
            </w:tcBorders>
            <w:shd w:val="clear" w:color="auto" w:fill="auto"/>
            <w:tcMar>
              <w:left w:w="45" w:type="dxa"/>
              <w:right w:w="45" w:type="dxa"/>
            </w:tcMar>
            <w:hideMark/>
          </w:tcPr>
          <w:p w14:paraId="454D5BC5"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Unringfenced grants including: S31 Business Rates Retention (BRR) Scheme, New Homes Bonus and DLUHC Services Grant.</w:t>
            </w:r>
          </w:p>
        </w:tc>
        <w:tc>
          <w:tcPr>
            <w:tcW w:w="2258" w:type="pct"/>
            <w:tcBorders>
              <w:top w:val="nil"/>
              <w:left w:val="nil"/>
              <w:bottom w:val="single" w:sz="4" w:space="0" w:color="auto"/>
              <w:right w:val="single" w:sz="4" w:space="0" w:color="auto"/>
            </w:tcBorders>
            <w:shd w:val="clear" w:color="auto" w:fill="auto"/>
            <w:tcMar>
              <w:left w:w="45" w:type="dxa"/>
              <w:right w:w="45" w:type="dxa"/>
            </w:tcMar>
            <w:hideMark/>
          </w:tcPr>
          <w:p w14:paraId="43C662CB"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w:t>
            </w:r>
          </w:p>
        </w:tc>
        <w:tc>
          <w:tcPr>
            <w:tcW w:w="441" w:type="pct"/>
            <w:tcBorders>
              <w:top w:val="nil"/>
              <w:left w:val="nil"/>
              <w:bottom w:val="single" w:sz="4" w:space="0" w:color="auto"/>
              <w:right w:val="single" w:sz="4" w:space="0" w:color="auto"/>
            </w:tcBorders>
            <w:shd w:val="clear" w:color="auto" w:fill="auto"/>
            <w:tcMar>
              <w:left w:w="45" w:type="dxa"/>
              <w:right w:w="45" w:type="dxa"/>
            </w:tcMar>
            <w:hideMark/>
          </w:tcPr>
          <w:p w14:paraId="2CC8D180"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0</w:t>
            </w:r>
          </w:p>
        </w:tc>
      </w:tr>
      <w:tr w:rsidR="000729CF" w:rsidRPr="000729CF" w14:paraId="3A5FF876" w14:textId="77777777" w:rsidTr="00BC26AB">
        <w:trPr>
          <w:trHeight w:val="20"/>
        </w:trPr>
        <w:tc>
          <w:tcPr>
            <w:tcW w:w="2301" w:type="pct"/>
            <w:gridSpan w:val="2"/>
            <w:tcBorders>
              <w:top w:val="single" w:sz="4" w:space="0" w:color="auto"/>
              <w:left w:val="single" w:sz="4" w:space="0" w:color="auto"/>
              <w:bottom w:val="single" w:sz="4" w:space="0" w:color="auto"/>
              <w:right w:val="single" w:sz="4" w:space="0" w:color="000000"/>
            </w:tcBorders>
            <w:shd w:val="clear" w:color="000000" w:fill="A6A6A6"/>
            <w:noWrap/>
            <w:tcMar>
              <w:left w:w="45" w:type="dxa"/>
              <w:right w:w="45" w:type="dxa"/>
            </w:tcMar>
            <w:hideMark/>
          </w:tcPr>
          <w:p w14:paraId="0FD21435"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Unringfenced Grants Total</w:t>
            </w:r>
          </w:p>
        </w:tc>
        <w:tc>
          <w:tcPr>
            <w:tcW w:w="2258" w:type="pct"/>
            <w:tcBorders>
              <w:top w:val="nil"/>
              <w:left w:val="nil"/>
              <w:bottom w:val="single" w:sz="4" w:space="0" w:color="auto"/>
              <w:right w:val="single" w:sz="4" w:space="0" w:color="auto"/>
            </w:tcBorders>
            <w:shd w:val="clear" w:color="000000" w:fill="A6A6A6"/>
            <w:noWrap/>
            <w:tcMar>
              <w:left w:w="45" w:type="dxa"/>
              <w:right w:w="45" w:type="dxa"/>
            </w:tcMar>
            <w:hideMark/>
          </w:tcPr>
          <w:p w14:paraId="095DE36A"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w:t>
            </w:r>
          </w:p>
        </w:tc>
        <w:tc>
          <w:tcPr>
            <w:tcW w:w="441" w:type="pct"/>
            <w:tcBorders>
              <w:top w:val="nil"/>
              <w:left w:val="nil"/>
              <w:bottom w:val="single" w:sz="4" w:space="0" w:color="auto"/>
              <w:right w:val="single" w:sz="4" w:space="0" w:color="auto"/>
            </w:tcBorders>
            <w:shd w:val="clear" w:color="000000" w:fill="A6A6A6"/>
            <w:noWrap/>
            <w:tcMar>
              <w:left w:w="45" w:type="dxa"/>
              <w:right w:w="45" w:type="dxa"/>
            </w:tcMar>
            <w:hideMark/>
          </w:tcPr>
          <w:p w14:paraId="71EA08C9"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0</w:t>
            </w:r>
          </w:p>
        </w:tc>
      </w:tr>
      <w:tr w:rsidR="000729CF" w:rsidRPr="000729CF" w14:paraId="7280038C" w14:textId="77777777" w:rsidTr="00BC26AB">
        <w:trPr>
          <w:trHeight w:val="20"/>
        </w:trPr>
        <w:tc>
          <w:tcPr>
            <w:tcW w:w="4559" w:type="pct"/>
            <w:gridSpan w:val="3"/>
            <w:tcBorders>
              <w:top w:val="single" w:sz="4" w:space="0" w:color="auto"/>
              <w:left w:val="single" w:sz="4" w:space="0" w:color="auto"/>
              <w:bottom w:val="single" w:sz="4" w:space="0" w:color="auto"/>
              <w:right w:val="single" w:sz="4" w:space="0" w:color="auto"/>
            </w:tcBorders>
            <w:shd w:val="clear" w:color="000000" w:fill="000000"/>
            <w:noWrap/>
            <w:tcMar>
              <w:left w:w="45" w:type="dxa"/>
              <w:right w:w="45" w:type="dxa"/>
            </w:tcMar>
            <w:hideMark/>
          </w:tcPr>
          <w:p w14:paraId="0ECBA102"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Housing Benefit Subsidy</w:t>
            </w:r>
          </w:p>
        </w:tc>
        <w:tc>
          <w:tcPr>
            <w:tcW w:w="441" w:type="pct"/>
            <w:tcBorders>
              <w:top w:val="single" w:sz="4" w:space="0" w:color="auto"/>
              <w:left w:val="single" w:sz="4" w:space="0" w:color="auto"/>
              <w:bottom w:val="single" w:sz="4" w:space="0" w:color="auto"/>
              <w:right w:val="single" w:sz="4" w:space="0" w:color="auto"/>
            </w:tcBorders>
            <w:shd w:val="clear" w:color="000000" w:fill="000000"/>
            <w:noWrap/>
            <w:tcMar>
              <w:left w:w="45" w:type="dxa"/>
              <w:right w:w="45" w:type="dxa"/>
            </w:tcMar>
            <w:hideMark/>
          </w:tcPr>
          <w:p w14:paraId="34EC90E9"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 </w:t>
            </w:r>
          </w:p>
        </w:tc>
      </w:tr>
      <w:tr w:rsidR="000729CF" w:rsidRPr="000729CF" w14:paraId="6AFAEB05" w14:textId="77777777" w:rsidTr="00BC26AB">
        <w:trPr>
          <w:trHeight w:val="20"/>
        </w:trPr>
        <w:tc>
          <w:tcPr>
            <w:tcW w:w="87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341507F3"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Housing Benefits</w:t>
            </w:r>
          </w:p>
        </w:tc>
        <w:tc>
          <w:tcPr>
            <w:tcW w:w="1427" w:type="pct"/>
            <w:tcBorders>
              <w:top w:val="nil"/>
              <w:left w:val="nil"/>
              <w:bottom w:val="single" w:sz="4" w:space="0" w:color="auto"/>
              <w:right w:val="single" w:sz="4" w:space="0" w:color="auto"/>
            </w:tcBorders>
            <w:shd w:val="clear" w:color="auto" w:fill="auto"/>
            <w:tcMar>
              <w:left w:w="45" w:type="dxa"/>
              <w:right w:w="45" w:type="dxa"/>
            </w:tcMar>
            <w:hideMark/>
          </w:tcPr>
          <w:p w14:paraId="25DEB2F2"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The costs and  subsidy income relating to payment of Rent Allowances and Rent Rebates under Housing Benefit regulations. Also includes income received from recovery of overpayments.</w:t>
            </w:r>
          </w:p>
        </w:tc>
        <w:tc>
          <w:tcPr>
            <w:tcW w:w="2258" w:type="pct"/>
            <w:tcBorders>
              <w:top w:val="nil"/>
              <w:left w:val="nil"/>
              <w:bottom w:val="single" w:sz="4" w:space="0" w:color="auto"/>
              <w:right w:val="single" w:sz="4" w:space="0" w:color="auto"/>
            </w:tcBorders>
            <w:shd w:val="clear" w:color="auto" w:fill="auto"/>
            <w:tcMar>
              <w:left w:w="45" w:type="dxa"/>
              <w:right w:w="45" w:type="dxa"/>
            </w:tcMar>
            <w:hideMark/>
          </w:tcPr>
          <w:p w14:paraId="6B83B432"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w:t>
            </w:r>
          </w:p>
        </w:tc>
        <w:tc>
          <w:tcPr>
            <w:tcW w:w="441" w:type="pct"/>
            <w:tcBorders>
              <w:top w:val="nil"/>
              <w:left w:val="nil"/>
              <w:bottom w:val="single" w:sz="4" w:space="0" w:color="auto"/>
              <w:right w:val="single" w:sz="4" w:space="0" w:color="auto"/>
            </w:tcBorders>
            <w:shd w:val="clear" w:color="auto" w:fill="auto"/>
            <w:tcMar>
              <w:left w:w="45" w:type="dxa"/>
              <w:right w:w="45" w:type="dxa"/>
            </w:tcMar>
            <w:hideMark/>
          </w:tcPr>
          <w:p w14:paraId="36A4CA8A"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0</w:t>
            </w:r>
          </w:p>
        </w:tc>
      </w:tr>
      <w:tr w:rsidR="000729CF" w:rsidRPr="000729CF" w14:paraId="5BBC4926" w14:textId="77777777" w:rsidTr="00BC26AB">
        <w:trPr>
          <w:trHeight w:val="20"/>
        </w:trPr>
        <w:tc>
          <w:tcPr>
            <w:tcW w:w="2301" w:type="pct"/>
            <w:gridSpan w:val="2"/>
            <w:tcBorders>
              <w:top w:val="single" w:sz="4" w:space="0" w:color="auto"/>
              <w:left w:val="single" w:sz="4" w:space="0" w:color="auto"/>
              <w:bottom w:val="single" w:sz="4" w:space="0" w:color="auto"/>
              <w:right w:val="single" w:sz="4" w:space="0" w:color="000000"/>
            </w:tcBorders>
            <w:shd w:val="clear" w:color="000000" w:fill="A6A6A6"/>
            <w:noWrap/>
            <w:tcMar>
              <w:left w:w="45" w:type="dxa"/>
              <w:right w:w="45" w:type="dxa"/>
            </w:tcMar>
            <w:hideMark/>
          </w:tcPr>
          <w:p w14:paraId="37170552"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Housing Benefit Subsidy Total</w:t>
            </w:r>
          </w:p>
        </w:tc>
        <w:tc>
          <w:tcPr>
            <w:tcW w:w="2258" w:type="pct"/>
            <w:tcBorders>
              <w:top w:val="nil"/>
              <w:left w:val="nil"/>
              <w:bottom w:val="single" w:sz="4" w:space="0" w:color="auto"/>
              <w:right w:val="single" w:sz="4" w:space="0" w:color="auto"/>
            </w:tcBorders>
            <w:shd w:val="clear" w:color="000000" w:fill="A6A6A6"/>
            <w:noWrap/>
            <w:tcMar>
              <w:left w:w="45" w:type="dxa"/>
              <w:right w:w="45" w:type="dxa"/>
            </w:tcMar>
            <w:hideMark/>
          </w:tcPr>
          <w:p w14:paraId="0933E0DA"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w:t>
            </w:r>
          </w:p>
        </w:tc>
        <w:tc>
          <w:tcPr>
            <w:tcW w:w="441" w:type="pct"/>
            <w:tcBorders>
              <w:top w:val="nil"/>
              <w:left w:val="nil"/>
              <w:bottom w:val="single" w:sz="4" w:space="0" w:color="auto"/>
              <w:right w:val="single" w:sz="4" w:space="0" w:color="auto"/>
            </w:tcBorders>
            <w:shd w:val="clear" w:color="000000" w:fill="A6A6A6"/>
            <w:noWrap/>
            <w:tcMar>
              <w:left w:w="45" w:type="dxa"/>
              <w:right w:w="45" w:type="dxa"/>
            </w:tcMar>
            <w:hideMark/>
          </w:tcPr>
          <w:p w14:paraId="2645B84E"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0</w:t>
            </w:r>
          </w:p>
        </w:tc>
      </w:tr>
      <w:tr w:rsidR="000729CF" w:rsidRPr="000729CF" w14:paraId="0714AAC2" w14:textId="77777777" w:rsidTr="00BC26AB">
        <w:trPr>
          <w:trHeight w:val="20"/>
        </w:trPr>
        <w:tc>
          <w:tcPr>
            <w:tcW w:w="4559" w:type="pct"/>
            <w:gridSpan w:val="3"/>
            <w:tcBorders>
              <w:top w:val="single" w:sz="4" w:space="0" w:color="auto"/>
              <w:left w:val="single" w:sz="4" w:space="0" w:color="auto"/>
              <w:bottom w:val="single" w:sz="4" w:space="0" w:color="auto"/>
              <w:right w:val="single" w:sz="4" w:space="0" w:color="auto"/>
            </w:tcBorders>
            <w:shd w:val="clear" w:color="000000" w:fill="000000"/>
            <w:noWrap/>
            <w:tcMar>
              <w:left w:w="45" w:type="dxa"/>
              <w:right w:w="45" w:type="dxa"/>
            </w:tcMar>
            <w:hideMark/>
          </w:tcPr>
          <w:p w14:paraId="614F1536"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Other Corporate Items</w:t>
            </w:r>
          </w:p>
        </w:tc>
        <w:tc>
          <w:tcPr>
            <w:tcW w:w="441" w:type="pct"/>
            <w:tcBorders>
              <w:top w:val="single" w:sz="4" w:space="0" w:color="auto"/>
              <w:left w:val="single" w:sz="4" w:space="0" w:color="auto"/>
              <w:bottom w:val="single" w:sz="4" w:space="0" w:color="auto"/>
              <w:right w:val="single" w:sz="4" w:space="0" w:color="auto"/>
            </w:tcBorders>
            <w:shd w:val="clear" w:color="000000" w:fill="000000"/>
            <w:noWrap/>
            <w:tcMar>
              <w:left w:w="45" w:type="dxa"/>
              <w:right w:w="45" w:type="dxa"/>
            </w:tcMar>
            <w:hideMark/>
          </w:tcPr>
          <w:p w14:paraId="31EDB3BA" w14:textId="77777777" w:rsidR="000729CF" w:rsidRPr="000729CF" w:rsidRDefault="000729CF" w:rsidP="000729CF">
            <w:pPr>
              <w:rPr>
                <w:rFonts w:ascii="Calibri" w:hAnsi="Calibri" w:cs="Calibri"/>
                <w:b/>
                <w:bCs/>
                <w:i/>
                <w:iCs/>
                <w:color w:val="FFFFFF"/>
                <w:sz w:val="22"/>
                <w:szCs w:val="22"/>
                <w:lang w:val="en-GB" w:eastAsia="en-GB"/>
              </w:rPr>
            </w:pPr>
            <w:r w:rsidRPr="000729CF">
              <w:rPr>
                <w:rFonts w:ascii="Calibri" w:hAnsi="Calibri" w:cs="Calibri"/>
                <w:b/>
                <w:bCs/>
                <w:i/>
                <w:iCs/>
                <w:color w:val="FFFFFF"/>
                <w:sz w:val="22"/>
                <w:szCs w:val="22"/>
                <w:lang w:val="en-GB" w:eastAsia="en-GB"/>
              </w:rPr>
              <w:t> </w:t>
            </w:r>
          </w:p>
        </w:tc>
      </w:tr>
      <w:tr w:rsidR="000729CF" w:rsidRPr="000729CF" w14:paraId="5DCBAA66" w14:textId="77777777" w:rsidTr="00BC26AB">
        <w:trPr>
          <w:trHeight w:val="20"/>
        </w:trPr>
        <w:tc>
          <w:tcPr>
            <w:tcW w:w="87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3EE79331"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Corporate Pension Costs</w:t>
            </w:r>
          </w:p>
        </w:tc>
        <w:tc>
          <w:tcPr>
            <w:tcW w:w="1427" w:type="pct"/>
            <w:tcBorders>
              <w:top w:val="nil"/>
              <w:left w:val="nil"/>
              <w:bottom w:val="single" w:sz="4" w:space="0" w:color="auto"/>
              <w:right w:val="single" w:sz="4" w:space="0" w:color="auto"/>
            </w:tcBorders>
            <w:shd w:val="clear" w:color="auto" w:fill="auto"/>
            <w:tcMar>
              <w:left w:w="45" w:type="dxa"/>
              <w:right w:w="45" w:type="dxa"/>
            </w:tcMar>
            <w:hideMark/>
          </w:tcPr>
          <w:p w14:paraId="550699EA"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Corporate pension costs - historic retirement decisions</w:t>
            </w:r>
          </w:p>
        </w:tc>
        <w:tc>
          <w:tcPr>
            <w:tcW w:w="2258" w:type="pct"/>
            <w:tcBorders>
              <w:top w:val="nil"/>
              <w:left w:val="nil"/>
              <w:bottom w:val="single" w:sz="4" w:space="0" w:color="auto"/>
              <w:right w:val="single" w:sz="4" w:space="0" w:color="auto"/>
            </w:tcBorders>
            <w:shd w:val="clear" w:color="auto" w:fill="auto"/>
            <w:tcMar>
              <w:left w:w="45" w:type="dxa"/>
              <w:right w:w="45" w:type="dxa"/>
            </w:tcMar>
            <w:hideMark/>
          </w:tcPr>
          <w:p w14:paraId="794B7B0C"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w:t>
            </w:r>
          </w:p>
        </w:tc>
        <w:tc>
          <w:tcPr>
            <w:tcW w:w="441" w:type="pct"/>
            <w:tcBorders>
              <w:top w:val="nil"/>
              <w:left w:val="nil"/>
              <w:bottom w:val="single" w:sz="4" w:space="0" w:color="auto"/>
              <w:right w:val="single" w:sz="4" w:space="0" w:color="auto"/>
            </w:tcBorders>
            <w:shd w:val="clear" w:color="auto" w:fill="auto"/>
            <w:tcMar>
              <w:left w:w="45" w:type="dxa"/>
              <w:right w:w="45" w:type="dxa"/>
            </w:tcMar>
            <w:hideMark/>
          </w:tcPr>
          <w:p w14:paraId="5FBC81C7"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0</w:t>
            </w:r>
          </w:p>
        </w:tc>
      </w:tr>
      <w:tr w:rsidR="000729CF" w:rsidRPr="000729CF" w14:paraId="13F6EBF2" w14:textId="77777777" w:rsidTr="00BC26AB">
        <w:trPr>
          <w:trHeight w:val="20"/>
        </w:trPr>
        <w:tc>
          <w:tcPr>
            <w:tcW w:w="87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6954F59A"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Contribution from Reserves</w:t>
            </w:r>
          </w:p>
        </w:tc>
        <w:tc>
          <w:tcPr>
            <w:tcW w:w="1427" w:type="pct"/>
            <w:tcBorders>
              <w:top w:val="nil"/>
              <w:left w:val="nil"/>
              <w:bottom w:val="single" w:sz="4" w:space="0" w:color="auto"/>
              <w:right w:val="single" w:sz="4" w:space="0" w:color="auto"/>
            </w:tcBorders>
            <w:shd w:val="clear" w:color="auto" w:fill="auto"/>
            <w:tcMar>
              <w:left w:w="45" w:type="dxa"/>
              <w:right w:w="45" w:type="dxa"/>
            </w:tcMar>
            <w:hideMark/>
          </w:tcPr>
          <w:p w14:paraId="7B5EFA05"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Budgeted contribution from reserves to support revenue budget.</w:t>
            </w:r>
          </w:p>
        </w:tc>
        <w:tc>
          <w:tcPr>
            <w:tcW w:w="2258" w:type="pct"/>
            <w:tcBorders>
              <w:top w:val="nil"/>
              <w:left w:val="nil"/>
              <w:bottom w:val="single" w:sz="4" w:space="0" w:color="auto"/>
              <w:right w:val="single" w:sz="4" w:space="0" w:color="auto"/>
            </w:tcBorders>
            <w:shd w:val="clear" w:color="auto" w:fill="auto"/>
            <w:tcMar>
              <w:left w:w="45" w:type="dxa"/>
              <w:right w:w="45" w:type="dxa"/>
            </w:tcMar>
            <w:hideMark/>
          </w:tcPr>
          <w:p w14:paraId="05AA934C"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w:t>
            </w:r>
          </w:p>
        </w:tc>
        <w:tc>
          <w:tcPr>
            <w:tcW w:w="441" w:type="pct"/>
            <w:tcBorders>
              <w:top w:val="nil"/>
              <w:left w:val="nil"/>
              <w:bottom w:val="single" w:sz="4" w:space="0" w:color="auto"/>
              <w:right w:val="single" w:sz="4" w:space="0" w:color="auto"/>
            </w:tcBorders>
            <w:shd w:val="clear" w:color="auto" w:fill="auto"/>
            <w:tcMar>
              <w:left w:w="45" w:type="dxa"/>
              <w:right w:w="45" w:type="dxa"/>
            </w:tcMar>
            <w:hideMark/>
          </w:tcPr>
          <w:p w14:paraId="7BE17949"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0</w:t>
            </w:r>
          </w:p>
        </w:tc>
      </w:tr>
      <w:tr w:rsidR="000729CF" w:rsidRPr="000729CF" w14:paraId="503BF992" w14:textId="77777777" w:rsidTr="00BC26AB">
        <w:trPr>
          <w:trHeight w:val="20"/>
        </w:trPr>
        <w:tc>
          <w:tcPr>
            <w:tcW w:w="87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02C6514C"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Other corporate budgets</w:t>
            </w:r>
          </w:p>
        </w:tc>
        <w:tc>
          <w:tcPr>
            <w:tcW w:w="1427" w:type="pct"/>
            <w:tcBorders>
              <w:top w:val="nil"/>
              <w:left w:val="nil"/>
              <w:bottom w:val="single" w:sz="4" w:space="0" w:color="auto"/>
              <w:right w:val="single" w:sz="4" w:space="0" w:color="auto"/>
            </w:tcBorders>
            <w:shd w:val="clear" w:color="auto" w:fill="auto"/>
            <w:tcMar>
              <w:left w:w="45" w:type="dxa"/>
              <w:right w:w="45" w:type="dxa"/>
            </w:tcMar>
            <w:hideMark/>
          </w:tcPr>
          <w:p w14:paraId="0D2994CC"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Budget for annual unallocated income (e.g. returned cheques).</w:t>
            </w:r>
          </w:p>
        </w:tc>
        <w:tc>
          <w:tcPr>
            <w:tcW w:w="2258" w:type="pct"/>
            <w:tcBorders>
              <w:top w:val="nil"/>
              <w:left w:val="nil"/>
              <w:bottom w:val="single" w:sz="4" w:space="0" w:color="auto"/>
              <w:right w:val="single" w:sz="4" w:space="0" w:color="auto"/>
            </w:tcBorders>
            <w:shd w:val="clear" w:color="auto" w:fill="auto"/>
            <w:tcMar>
              <w:left w:w="45" w:type="dxa"/>
              <w:right w:w="45" w:type="dxa"/>
            </w:tcMar>
            <w:hideMark/>
          </w:tcPr>
          <w:p w14:paraId="0F3E14D4"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 </w:t>
            </w:r>
          </w:p>
        </w:tc>
        <w:tc>
          <w:tcPr>
            <w:tcW w:w="441" w:type="pct"/>
            <w:tcBorders>
              <w:top w:val="nil"/>
              <w:left w:val="nil"/>
              <w:bottom w:val="single" w:sz="4" w:space="0" w:color="auto"/>
              <w:right w:val="single" w:sz="4" w:space="0" w:color="auto"/>
            </w:tcBorders>
            <w:shd w:val="clear" w:color="auto" w:fill="auto"/>
            <w:tcMar>
              <w:left w:w="45" w:type="dxa"/>
              <w:right w:w="45" w:type="dxa"/>
            </w:tcMar>
            <w:hideMark/>
          </w:tcPr>
          <w:p w14:paraId="5BB1D4C2"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0</w:t>
            </w:r>
          </w:p>
        </w:tc>
      </w:tr>
      <w:tr w:rsidR="000729CF" w:rsidRPr="000729CF" w14:paraId="02089EA0" w14:textId="77777777" w:rsidTr="00BC26AB">
        <w:trPr>
          <w:trHeight w:val="20"/>
        </w:trPr>
        <w:tc>
          <w:tcPr>
            <w:tcW w:w="874" w:type="pct"/>
            <w:tcBorders>
              <w:top w:val="nil"/>
              <w:left w:val="single" w:sz="4" w:space="0" w:color="auto"/>
              <w:bottom w:val="single" w:sz="4" w:space="0" w:color="auto"/>
              <w:right w:val="single" w:sz="4" w:space="0" w:color="auto"/>
            </w:tcBorders>
            <w:shd w:val="clear" w:color="auto" w:fill="auto"/>
            <w:tcMar>
              <w:left w:w="45" w:type="dxa"/>
              <w:right w:w="45" w:type="dxa"/>
            </w:tcMar>
            <w:hideMark/>
          </w:tcPr>
          <w:p w14:paraId="27E2252A"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VFM Savings - Senior Management</w:t>
            </w:r>
          </w:p>
        </w:tc>
        <w:tc>
          <w:tcPr>
            <w:tcW w:w="1427" w:type="pct"/>
            <w:tcBorders>
              <w:top w:val="nil"/>
              <w:left w:val="nil"/>
              <w:bottom w:val="single" w:sz="4" w:space="0" w:color="auto"/>
              <w:right w:val="single" w:sz="4" w:space="0" w:color="auto"/>
            </w:tcBorders>
            <w:shd w:val="clear" w:color="auto" w:fill="auto"/>
            <w:tcMar>
              <w:left w:w="45" w:type="dxa"/>
              <w:right w:w="45" w:type="dxa"/>
            </w:tcMar>
            <w:hideMark/>
          </w:tcPr>
          <w:p w14:paraId="29B88EE8"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2023/24 council wide saving aimed at achieving a further management reduction or delayering across the council's senior management tiers.</w:t>
            </w:r>
          </w:p>
        </w:tc>
        <w:tc>
          <w:tcPr>
            <w:tcW w:w="2258" w:type="pct"/>
            <w:tcBorders>
              <w:top w:val="nil"/>
              <w:left w:val="nil"/>
              <w:bottom w:val="single" w:sz="4" w:space="0" w:color="auto"/>
              <w:right w:val="single" w:sz="4" w:space="0" w:color="auto"/>
            </w:tcBorders>
            <w:shd w:val="clear" w:color="auto" w:fill="auto"/>
            <w:tcMar>
              <w:left w:w="45" w:type="dxa"/>
              <w:right w:w="45" w:type="dxa"/>
            </w:tcMar>
            <w:hideMark/>
          </w:tcPr>
          <w:p w14:paraId="284F1B2C"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A significant programme of Organisational Redesign will be undertaken in the context of the authority's financial context and needing to operate with a lower level overall staffing. While staffing proposals are contained elsewhere within services, this saving will focus on organisational design principles that will review management spans and layers, the efficiency of administrative and business support roles, and potential rationalisation and efficiencies across around 11 functional areas, for example, commissioning and contract management and customer service roles.</w:t>
            </w:r>
          </w:p>
        </w:tc>
        <w:tc>
          <w:tcPr>
            <w:tcW w:w="441" w:type="pct"/>
            <w:tcBorders>
              <w:top w:val="nil"/>
              <w:left w:val="nil"/>
              <w:bottom w:val="single" w:sz="4" w:space="0" w:color="auto"/>
              <w:right w:val="single" w:sz="4" w:space="0" w:color="auto"/>
            </w:tcBorders>
            <w:shd w:val="clear" w:color="auto" w:fill="auto"/>
            <w:tcMar>
              <w:left w:w="45" w:type="dxa"/>
              <w:right w:w="45" w:type="dxa"/>
            </w:tcMar>
            <w:hideMark/>
          </w:tcPr>
          <w:p w14:paraId="7DD225FF" w14:textId="77777777" w:rsidR="000729CF" w:rsidRPr="000729CF" w:rsidRDefault="000729CF" w:rsidP="000729CF">
            <w:pPr>
              <w:jc w:val="right"/>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2,475</w:t>
            </w:r>
          </w:p>
        </w:tc>
      </w:tr>
      <w:tr w:rsidR="000729CF" w:rsidRPr="000729CF" w14:paraId="2777D423" w14:textId="77777777" w:rsidTr="00BC26AB">
        <w:trPr>
          <w:trHeight w:val="20"/>
        </w:trPr>
        <w:tc>
          <w:tcPr>
            <w:tcW w:w="2301" w:type="pct"/>
            <w:gridSpan w:val="2"/>
            <w:tcBorders>
              <w:top w:val="single" w:sz="4" w:space="0" w:color="auto"/>
              <w:left w:val="single" w:sz="4" w:space="0" w:color="auto"/>
              <w:bottom w:val="single" w:sz="4" w:space="0" w:color="auto"/>
              <w:right w:val="single" w:sz="4" w:space="0" w:color="000000"/>
            </w:tcBorders>
            <w:shd w:val="clear" w:color="000000" w:fill="A6A6A6"/>
            <w:noWrap/>
            <w:tcMar>
              <w:left w:w="45" w:type="dxa"/>
              <w:right w:w="45" w:type="dxa"/>
            </w:tcMar>
            <w:hideMark/>
          </w:tcPr>
          <w:p w14:paraId="1FBA24B0"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Other Corporate Items Total</w:t>
            </w:r>
          </w:p>
        </w:tc>
        <w:tc>
          <w:tcPr>
            <w:tcW w:w="2258" w:type="pct"/>
            <w:tcBorders>
              <w:top w:val="nil"/>
              <w:left w:val="nil"/>
              <w:bottom w:val="single" w:sz="4" w:space="0" w:color="auto"/>
              <w:right w:val="single" w:sz="4" w:space="0" w:color="auto"/>
            </w:tcBorders>
            <w:shd w:val="clear" w:color="000000" w:fill="A6A6A6"/>
            <w:noWrap/>
            <w:tcMar>
              <w:left w:w="45" w:type="dxa"/>
              <w:right w:w="45" w:type="dxa"/>
            </w:tcMar>
            <w:hideMark/>
          </w:tcPr>
          <w:p w14:paraId="431E2F22"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w:t>
            </w:r>
          </w:p>
        </w:tc>
        <w:tc>
          <w:tcPr>
            <w:tcW w:w="441" w:type="pct"/>
            <w:tcBorders>
              <w:top w:val="nil"/>
              <w:left w:val="nil"/>
              <w:bottom w:val="single" w:sz="4" w:space="0" w:color="auto"/>
              <w:right w:val="single" w:sz="4" w:space="0" w:color="auto"/>
            </w:tcBorders>
            <w:shd w:val="clear" w:color="000000" w:fill="A6A6A6"/>
            <w:noWrap/>
            <w:tcMar>
              <w:left w:w="45" w:type="dxa"/>
              <w:right w:w="45" w:type="dxa"/>
            </w:tcMar>
            <w:hideMark/>
          </w:tcPr>
          <w:p w14:paraId="780308DC"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2,475</w:t>
            </w:r>
          </w:p>
        </w:tc>
      </w:tr>
      <w:tr w:rsidR="000729CF" w:rsidRPr="000729CF" w14:paraId="0724DDFD" w14:textId="77777777" w:rsidTr="00BC26AB">
        <w:trPr>
          <w:trHeight w:val="20"/>
        </w:trPr>
        <w:tc>
          <w:tcPr>
            <w:tcW w:w="2301" w:type="pct"/>
            <w:gridSpan w:val="2"/>
            <w:tcBorders>
              <w:top w:val="single" w:sz="4" w:space="0" w:color="auto"/>
              <w:left w:val="single" w:sz="4" w:space="0" w:color="auto"/>
              <w:bottom w:val="single" w:sz="4" w:space="0" w:color="auto"/>
              <w:right w:val="single" w:sz="4" w:space="0" w:color="000000"/>
            </w:tcBorders>
            <w:shd w:val="clear" w:color="000000" w:fill="A6A6A6"/>
            <w:noWrap/>
            <w:tcMar>
              <w:left w:w="45" w:type="dxa"/>
              <w:right w:w="45" w:type="dxa"/>
            </w:tcMar>
            <w:hideMark/>
          </w:tcPr>
          <w:p w14:paraId="3B121211"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Corporately-held Budgets Total</w:t>
            </w:r>
          </w:p>
        </w:tc>
        <w:tc>
          <w:tcPr>
            <w:tcW w:w="2258" w:type="pct"/>
            <w:tcBorders>
              <w:top w:val="nil"/>
              <w:left w:val="nil"/>
              <w:bottom w:val="single" w:sz="4" w:space="0" w:color="auto"/>
              <w:right w:val="single" w:sz="4" w:space="0" w:color="auto"/>
            </w:tcBorders>
            <w:shd w:val="clear" w:color="000000" w:fill="A6A6A6"/>
            <w:noWrap/>
            <w:tcMar>
              <w:left w:w="45" w:type="dxa"/>
              <w:right w:w="45" w:type="dxa"/>
            </w:tcMar>
            <w:hideMark/>
          </w:tcPr>
          <w:p w14:paraId="3F4BD75D" w14:textId="77777777" w:rsidR="000729CF" w:rsidRPr="000729CF" w:rsidRDefault="000729CF" w:rsidP="000729CF">
            <w:pPr>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 </w:t>
            </w:r>
          </w:p>
        </w:tc>
        <w:tc>
          <w:tcPr>
            <w:tcW w:w="441" w:type="pct"/>
            <w:tcBorders>
              <w:top w:val="nil"/>
              <w:left w:val="nil"/>
              <w:bottom w:val="single" w:sz="4" w:space="0" w:color="auto"/>
              <w:right w:val="single" w:sz="4" w:space="0" w:color="auto"/>
            </w:tcBorders>
            <w:shd w:val="clear" w:color="000000" w:fill="A6A6A6"/>
            <w:noWrap/>
            <w:tcMar>
              <w:left w:w="45" w:type="dxa"/>
              <w:right w:w="45" w:type="dxa"/>
            </w:tcMar>
            <w:hideMark/>
          </w:tcPr>
          <w:p w14:paraId="5B91E5AC" w14:textId="77777777" w:rsidR="000729CF" w:rsidRPr="000729CF" w:rsidRDefault="000729CF" w:rsidP="000729CF">
            <w:pPr>
              <w:jc w:val="right"/>
              <w:rPr>
                <w:rFonts w:ascii="Calibri" w:hAnsi="Calibri" w:cs="Calibri"/>
                <w:b/>
                <w:bCs/>
                <w:color w:val="000000"/>
                <w:sz w:val="22"/>
                <w:szCs w:val="22"/>
                <w:lang w:val="en-GB" w:eastAsia="en-GB"/>
              </w:rPr>
            </w:pPr>
            <w:r w:rsidRPr="000729CF">
              <w:rPr>
                <w:rFonts w:ascii="Calibri" w:hAnsi="Calibri" w:cs="Calibri"/>
                <w:b/>
                <w:bCs/>
                <w:color w:val="000000"/>
                <w:sz w:val="22"/>
                <w:szCs w:val="22"/>
                <w:lang w:val="en-GB" w:eastAsia="en-GB"/>
              </w:rPr>
              <w:t>2,475</w:t>
            </w:r>
          </w:p>
        </w:tc>
      </w:tr>
    </w:tbl>
    <w:p w14:paraId="2C64F8F8" w14:textId="77777777" w:rsidR="000729CF" w:rsidRPr="000729CF" w:rsidRDefault="000729CF" w:rsidP="000729CF">
      <w:pPr>
        <w:spacing w:after="160" w:line="259" w:lineRule="auto"/>
        <w:rPr>
          <w:rFonts w:ascii="Calibri" w:eastAsia="Calibri" w:hAnsi="Calibri"/>
          <w:sz w:val="22"/>
          <w:szCs w:val="22"/>
          <w:lang w:val="en-GB"/>
        </w:rPr>
        <w:sectPr w:rsidR="000729CF" w:rsidRPr="000729CF" w:rsidSect="001604BB">
          <w:pgSz w:w="16838" w:h="11906" w:orient="landscape"/>
          <w:pgMar w:top="720" w:right="720" w:bottom="720" w:left="720" w:header="708" w:footer="708" w:gutter="0"/>
          <w:cols w:space="708"/>
          <w:docGrid w:linePitch="360"/>
        </w:sectPr>
      </w:pPr>
    </w:p>
    <w:tbl>
      <w:tblPr>
        <w:tblW w:w="5000" w:type="pct"/>
        <w:tblLook w:val="04A0" w:firstRow="1" w:lastRow="0" w:firstColumn="1" w:lastColumn="0" w:noHBand="0" w:noVBand="1"/>
      </w:tblPr>
      <w:tblGrid>
        <w:gridCol w:w="8608"/>
        <w:gridCol w:w="1376"/>
        <w:gridCol w:w="1376"/>
        <w:gridCol w:w="1376"/>
        <w:gridCol w:w="1326"/>
        <w:gridCol w:w="1326"/>
      </w:tblGrid>
      <w:tr w:rsidR="000729CF" w:rsidRPr="000729CF" w14:paraId="64FF2588" w14:textId="77777777" w:rsidTr="000729CF">
        <w:trPr>
          <w:trHeight w:val="20"/>
        </w:trPr>
        <w:tc>
          <w:tcPr>
            <w:tcW w:w="2797" w:type="pct"/>
            <w:tcBorders>
              <w:top w:val="single" w:sz="4" w:space="0" w:color="auto"/>
              <w:left w:val="single" w:sz="4" w:space="0" w:color="auto"/>
              <w:bottom w:val="nil"/>
              <w:right w:val="single" w:sz="4" w:space="0" w:color="auto"/>
            </w:tcBorders>
            <w:shd w:val="clear" w:color="auto" w:fill="BFBFBF"/>
            <w:noWrap/>
            <w:tcMar>
              <w:left w:w="45" w:type="dxa"/>
              <w:right w:w="45" w:type="dxa"/>
            </w:tcMar>
            <w:vAlign w:val="bottom"/>
            <w:hideMark/>
          </w:tcPr>
          <w:p w14:paraId="38B01591" w14:textId="77777777" w:rsidR="000729CF" w:rsidRPr="000729CF" w:rsidRDefault="000729CF" w:rsidP="000729CF">
            <w:pPr>
              <w:rPr>
                <w:rFonts w:ascii="Calibri" w:hAnsi="Calibri" w:cs="Calibri"/>
                <w:b/>
                <w:bCs/>
                <w:sz w:val="22"/>
                <w:szCs w:val="22"/>
                <w:lang w:val="en-GB" w:eastAsia="en-GB"/>
              </w:rPr>
            </w:pPr>
            <w:r w:rsidRPr="000729CF">
              <w:rPr>
                <w:rFonts w:ascii="Calibri" w:hAnsi="Calibri" w:cs="Calibri"/>
                <w:b/>
                <w:bCs/>
                <w:sz w:val="22"/>
                <w:szCs w:val="22"/>
                <w:lang w:val="en-GB" w:eastAsia="en-GB"/>
              </w:rPr>
              <w:t> </w:t>
            </w:r>
          </w:p>
        </w:tc>
        <w:tc>
          <w:tcPr>
            <w:tcW w:w="447" w:type="pct"/>
            <w:tcBorders>
              <w:top w:val="single" w:sz="4" w:space="0" w:color="auto"/>
              <w:left w:val="nil"/>
              <w:bottom w:val="nil"/>
              <w:right w:val="single" w:sz="4" w:space="0" w:color="auto"/>
            </w:tcBorders>
            <w:shd w:val="clear" w:color="auto" w:fill="BFBFBF"/>
            <w:tcMar>
              <w:left w:w="45" w:type="dxa"/>
              <w:right w:w="45" w:type="dxa"/>
            </w:tcMar>
            <w:vAlign w:val="bottom"/>
            <w:hideMark/>
          </w:tcPr>
          <w:p w14:paraId="56381C7D" w14:textId="77777777" w:rsidR="000729CF" w:rsidRPr="000729CF" w:rsidRDefault="000729CF" w:rsidP="000729CF">
            <w:pPr>
              <w:jc w:val="center"/>
              <w:rPr>
                <w:rFonts w:ascii="Calibri" w:hAnsi="Calibri" w:cs="Calibri"/>
                <w:sz w:val="22"/>
                <w:szCs w:val="22"/>
                <w:lang w:val="en-GB" w:eastAsia="en-GB"/>
              </w:rPr>
            </w:pPr>
            <w:r w:rsidRPr="000729CF">
              <w:rPr>
                <w:rFonts w:ascii="Calibri" w:hAnsi="Calibri" w:cs="Calibri"/>
                <w:sz w:val="22"/>
                <w:szCs w:val="22"/>
                <w:lang w:val="en-GB" w:eastAsia="en-GB"/>
              </w:rPr>
              <w:t>Year 1 Budget</w:t>
            </w:r>
          </w:p>
        </w:tc>
        <w:tc>
          <w:tcPr>
            <w:tcW w:w="447" w:type="pct"/>
            <w:tcBorders>
              <w:top w:val="single" w:sz="4" w:space="0" w:color="auto"/>
              <w:left w:val="nil"/>
              <w:bottom w:val="nil"/>
              <w:right w:val="single" w:sz="4" w:space="0" w:color="auto"/>
            </w:tcBorders>
            <w:shd w:val="clear" w:color="auto" w:fill="BFBFBF"/>
            <w:tcMar>
              <w:left w:w="45" w:type="dxa"/>
              <w:right w:w="45" w:type="dxa"/>
            </w:tcMar>
            <w:vAlign w:val="bottom"/>
            <w:hideMark/>
          </w:tcPr>
          <w:p w14:paraId="41A9C5D2" w14:textId="77777777" w:rsidR="000729CF" w:rsidRPr="000729CF" w:rsidRDefault="000729CF" w:rsidP="000729CF">
            <w:pPr>
              <w:jc w:val="center"/>
              <w:rPr>
                <w:rFonts w:ascii="Calibri" w:hAnsi="Calibri" w:cs="Calibri"/>
                <w:sz w:val="22"/>
                <w:szCs w:val="22"/>
                <w:lang w:val="en-GB" w:eastAsia="en-GB"/>
              </w:rPr>
            </w:pPr>
            <w:r w:rsidRPr="000729CF">
              <w:rPr>
                <w:rFonts w:ascii="Calibri" w:hAnsi="Calibri" w:cs="Calibri"/>
                <w:sz w:val="22"/>
                <w:szCs w:val="22"/>
                <w:lang w:val="en-GB" w:eastAsia="en-GB"/>
              </w:rPr>
              <w:t>Year 2 Budget</w:t>
            </w:r>
          </w:p>
        </w:tc>
        <w:tc>
          <w:tcPr>
            <w:tcW w:w="447" w:type="pct"/>
            <w:tcBorders>
              <w:top w:val="single" w:sz="4" w:space="0" w:color="auto"/>
              <w:left w:val="nil"/>
              <w:bottom w:val="nil"/>
              <w:right w:val="single" w:sz="4" w:space="0" w:color="auto"/>
            </w:tcBorders>
            <w:shd w:val="clear" w:color="auto" w:fill="BFBFBF"/>
            <w:tcMar>
              <w:left w:w="45" w:type="dxa"/>
              <w:right w:w="45" w:type="dxa"/>
            </w:tcMar>
            <w:vAlign w:val="bottom"/>
            <w:hideMark/>
          </w:tcPr>
          <w:p w14:paraId="2916DE09" w14:textId="77777777" w:rsidR="000729CF" w:rsidRPr="000729CF" w:rsidRDefault="000729CF" w:rsidP="000729CF">
            <w:pPr>
              <w:jc w:val="center"/>
              <w:rPr>
                <w:rFonts w:ascii="Calibri" w:hAnsi="Calibri" w:cs="Calibri"/>
                <w:sz w:val="22"/>
                <w:szCs w:val="22"/>
                <w:lang w:val="en-GB" w:eastAsia="en-GB"/>
              </w:rPr>
            </w:pPr>
            <w:r w:rsidRPr="000729CF">
              <w:rPr>
                <w:rFonts w:ascii="Calibri" w:hAnsi="Calibri" w:cs="Calibri"/>
                <w:sz w:val="22"/>
                <w:szCs w:val="22"/>
                <w:lang w:val="en-GB" w:eastAsia="en-GB"/>
              </w:rPr>
              <w:t>Year 3 Budget</w:t>
            </w:r>
          </w:p>
        </w:tc>
        <w:tc>
          <w:tcPr>
            <w:tcW w:w="431" w:type="pct"/>
            <w:tcBorders>
              <w:top w:val="single" w:sz="4" w:space="0" w:color="auto"/>
              <w:left w:val="nil"/>
              <w:bottom w:val="nil"/>
              <w:right w:val="single" w:sz="4" w:space="0" w:color="auto"/>
            </w:tcBorders>
            <w:shd w:val="clear" w:color="auto" w:fill="BFBFBF"/>
            <w:tcMar>
              <w:left w:w="45" w:type="dxa"/>
              <w:right w:w="45" w:type="dxa"/>
            </w:tcMar>
            <w:vAlign w:val="bottom"/>
            <w:hideMark/>
          </w:tcPr>
          <w:p w14:paraId="6D50C374" w14:textId="77777777" w:rsidR="000729CF" w:rsidRPr="000729CF" w:rsidRDefault="000729CF" w:rsidP="000729CF">
            <w:pPr>
              <w:jc w:val="center"/>
              <w:rPr>
                <w:rFonts w:ascii="Calibri" w:hAnsi="Calibri" w:cs="Calibri"/>
                <w:sz w:val="22"/>
                <w:szCs w:val="22"/>
                <w:lang w:val="en-GB" w:eastAsia="en-GB"/>
              </w:rPr>
            </w:pPr>
            <w:r w:rsidRPr="000729CF">
              <w:rPr>
                <w:rFonts w:ascii="Calibri" w:hAnsi="Calibri" w:cs="Calibri"/>
                <w:sz w:val="22"/>
                <w:szCs w:val="22"/>
                <w:lang w:val="en-GB" w:eastAsia="en-GB"/>
              </w:rPr>
              <w:t>Year 4 Budget</w:t>
            </w:r>
          </w:p>
        </w:tc>
        <w:tc>
          <w:tcPr>
            <w:tcW w:w="431" w:type="pct"/>
            <w:tcBorders>
              <w:top w:val="single" w:sz="4" w:space="0" w:color="auto"/>
              <w:left w:val="nil"/>
              <w:bottom w:val="nil"/>
              <w:right w:val="single" w:sz="4" w:space="0" w:color="auto"/>
            </w:tcBorders>
            <w:shd w:val="clear" w:color="auto" w:fill="BFBFBF"/>
            <w:tcMar>
              <w:left w:w="45" w:type="dxa"/>
              <w:right w:w="45" w:type="dxa"/>
            </w:tcMar>
            <w:vAlign w:val="bottom"/>
            <w:hideMark/>
          </w:tcPr>
          <w:p w14:paraId="4E671E38" w14:textId="77777777" w:rsidR="000729CF" w:rsidRPr="000729CF" w:rsidRDefault="000729CF" w:rsidP="000729CF">
            <w:pPr>
              <w:jc w:val="center"/>
              <w:rPr>
                <w:rFonts w:ascii="Calibri" w:hAnsi="Calibri" w:cs="Calibri"/>
                <w:sz w:val="22"/>
                <w:szCs w:val="22"/>
                <w:lang w:val="en-GB" w:eastAsia="en-GB"/>
              </w:rPr>
            </w:pPr>
            <w:r w:rsidRPr="000729CF">
              <w:rPr>
                <w:rFonts w:ascii="Calibri" w:hAnsi="Calibri" w:cs="Calibri"/>
                <w:sz w:val="22"/>
                <w:szCs w:val="22"/>
                <w:lang w:val="en-GB" w:eastAsia="en-GB"/>
              </w:rPr>
              <w:t>Year 5 Budget</w:t>
            </w:r>
          </w:p>
        </w:tc>
      </w:tr>
      <w:tr w:rsidR="000729CF" w:rsidRPr="000729CF" w14:paraId="44A2CEE1" w14:textId="77777777" w:rsidTr="000729CF">
        <w:trPr>
          <w:trHeight w:val="20"/>
        </w:trPr>
        <w:tc>
          <w:tcPr>
            <w:tcW w:w="2797" w:type="pct"/>
            <w:tcBorders>
              <w:top w:val="nil"/>
              <w:left w:val="single" w:sz="4" w:space="0" w:color="auto"/>
              <w:bottom w:val="nil"/>
              <w:right w:val="single" w:sz="4" w:space="0" w:color="auto"/>
            </w:tcBorders>
            <w:shd w:val="clear" w:color="auto" w:fill="BFBFBF"/>
            <w:noWrap/>
            <w:tcMar>
              <w:left w:w="45" w:type="dxa"/>
              <w:right w:w="45" w:type="dxa"/>
            </w:tcMar>
            <w:vAlign w:val="bottom"/>
            <w:hideMark/>
          </w:tcPr>
          <w:p w14:paraId="2B4FAE6B" w14:textId="77777777" w:rsidR="000729CF" w:rsidRPr="000729CF" w:rsidRDefault="000729CF" w:rsidP="000729CF">
            <w:pPr>
              <w:rPr>
                <w:rFonts w:ascii="Calibri" w:hAnsi="Calibri" w:cs="Calibri"/>
                <w:b/>
                <w:bCs/>
                <w:sz w:val="22"/>
                <w:szCs w:val="22"/>
                <w:lang w:val="en-GB" w:eastAsia="en-GB"/>
              </w:rPr>
            </w:pPr>
            <w:r w:rsidRPr="000729CF">
              <w:rPr>
                <w:rFonts w:ascii="Calibri" w:hAnsi="Calibri" w:cs="Calibri"/>
                <w:b/>
                <w:bCs/>
                <w:sz w:val="22"/>
                <w:szCs w:val="22"/>
                <w:lang w:val="en-GB" w:eastAsia="en-GB"/>
              </w:rPr>
              <w:t>Capital Investment Programme</w:t>
            </w:r>
          </w:p>
        </w:tc>
        <w:tc>
          <w:tcPr>
            <w:tcW w:w="447" w:type="pct"/>
            <w:tcBorders>
              <w:top w:val="single" w:sz="4" w:space="0" w:color="auto"/>
              <w:left w:val="nil"/>
              <w:bottom w:val="nil"/>
              <w:right w:val="single" w:sz="4" w:space="0" w:color="auto"/>
            </w:tcBorders>
            <w:shd w:val="clear" w:color="auto" w:fill="BFBFBF"/>
            <w:noWrap/>
            <w:tcMar>
              <w:left w:w="45" w:type="dxa"/>
              <w:right w:w="45" w:type="dxa"/>
            </w:tcMar>
            <w:vAlign w:val="bottom"/>
            <w:hideMark/>
          </w:tcPr>
          <w:p w14:paraId="2AE31ACF"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2024/25</w:t>
            </w:r>
          </w:p>
        </w:tc>
        <w:tc>
          <w:tcPr>
            <w:tcW w:w="447" w:type="pct"/>
            <w:tcBorders>
              <w:top w:val="single" w:sz="4" w:space="0" w:color="auto"/>
              <w:left w:val="nil"/>
              <w:bottom w:val="nil"/>
              <w:right w:val="single" w:sz="4" w:space="0" w:color="auto"/>
            </w:tcBorders>
            <w:shd w:val="clear" w:color="auto" w:fill="BFBFBF"/>
            <w:noWrap/>
            <w:tcMar>
              <w:left w:w="45" w:type="dxa"/>
              <w:right w:w="45" w:type="dxa"/>
            </w:tcMar>
            <w:vAlign w:val="bottom"/>
            <w:hideMark/>
          </w:tcPr>
          <w:p w14:paraId="65884C2A"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2025/26</w:t>
            </w:r>
          </w:p>
        </w:tc>
        <w:tc>
          <w:tcPr>
            <w:tcW w:w="447" w:type="pct"/>
            <w:tcBorders>
              <w:top w:val="single" w:sz="4" w:space="0" w:color="auto"/>
              <w:left w:val="nil"/>
              <w:bottom w:val="nil"/>
              <w:right w:val="single" w:sz="4" w:space="0" w:color="auto"/>
            </w:tcBorders>
            <w:shd w:val="clear" w:color="auto" w:fill="BFBFBF"/>
            <w:noWrap/>
            <w:tcMar>
              <w:left w:w="45" w:type="dxa"/>
              <w:right w:w="45" w:type="dxa"/>
            </w:tcMar>
            <w:vAlign w:val="bottom"/>
            <w:hideMark/>
          </w:tcPr>
          <w:p w14:paraId="38DEE6B6"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2026/27</w:t>
            </w:r>
          </w:p>
        </w:tc>
        <w:tc>
          <w:tcPr>
            <w:tcW w:w="431" w:type="pct"/>
            <w:tcBorders>
              <w:top w:val="single" w:sz="4" w:space="0" w:color="auto"/>
              <w:left w:val="nil"/>
              <w:bottom w:val="nil"/>
              <w:right w:val="single" w:sz="4" w:space="0" w:color="auto"/>
            </w:tcBorders>
            <w:shd w:val="clear" w:color="auto" w:fill="BFBFBF"/>
            <w:noWrap/>
            <w:tcMar>
              <w:left w:w="45" w:type="dxa"/>
              <w:right w:w="45" w:type="dxa"/>
            </w:tcMar>
            <w:vAlign w:val="bottom"/>
            <w:hideMark/>
          </w:tcPr>
          <w:p w14:paraId="5A45ACD5"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2027/28</w:t>
            </w:r>
          </w:p>
        </w:tc>
        <w:tc>
          <w:tcPr>
            <w:tcW w:w="431" w:type="pct"/>
            <w:tcBorders>
              <w:top w:val="single" w:sz="4" w:space="0" w:color="auto"/>
              <w:left w:val="nil"/>
              <w:bottom w:val="nil"/>
              <w:right w:val="single" w:sz="4" w:space="0" w:color="auto"/>
            </w:tcBorders>
            <w:shd w:val="clear" w:color="auto" w:fill="BFBFBF"/>
            <w:noWrap/>
            <w:tcMar>
              <w:left w:w="45" w:type="dxa"/>
              <w:right w:w="45" w:type="dxa"/>
            </w:tcMar>
            <w:vAlign w:val="bottom"/>
            <w:hideMark/>
          </w:tcPr>
          <w:p w14:paraId="3E04439E"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2028/29</w:t>
            </w:r>
          </w:p>
        </w:tc>
      </w:tr>
      <w:tr w:rsidR="000729CF" w:rsidRPr="000729CF" w14:paraId="05D3CFD5" w14:textId="77777777" w:rsidTr="000729CF">
        <w:trPr>
          <w:trHeight w:val="20"/>
        </w:trPr>
        <w:tc>
          <w:tcPr>
            <w:tcW w:w="2797" w:type="pct"/>
            <w:tcBorders>
              <w:top w:val="nil"/>
              <w:left w:val="single" w:sz="4" w:space="0" w:color="auto"/>
              <w:bottom w:val="single" w:sz="4" w:space="0" w:color="auto"/>
              <w:right w:val="single" w:sz="4" w:space="0" w:color="auto"/>
            </w:tcBorders>
            <w:shd w:val="clear" w:color="auto" w:fill="BFBFBF"/>
            <w:noWrap/>
            <w:tcMar>
              <w:left w:w="45" w:type="dxa"/>
              <w:right w:w="45" w:type="dxa"/>
            </w:tcMar>
            <w:vAlign w:val="bottom"/>
            <w:hideMark/>
          </w:tcPr>
          <w:p w14:paraId="34E75658"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single" w:sz="4" w:space="0" w:color="auto"/>
              <w:right w:val="single" w:sz="4" w:space="0" w:color="auto"/>
            </w:tcBorders>
            <w:shd w:val="clear" w:color="auto" w:fill="BFBFBF"/>
            <w:noWrap/>
            <w:tcMar>
              <w:left w:w="45" w:type="dxa"/>
              <w:right w:w="45" w:type="dxa"/>
            </w:tcMar>
            <w:vAlign w:val="bottom"/>
            <w:hideMark/>
          </w:tcPr>
          <w:p w14:paraId="29E8482F"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£000</w:t>
            </w:r>
          </w:p>
        </w:tc>
        <w:tc>
          <w:tcPr>
            <w:tcW w:w="447" w:type="pct"/>
            <w:tcBorders>
              <w:top w:val="nil"/>
              <w:left w:val="nil"/>
              <w:bottom w:val="single" w:sz="4" w:space="0" w:color="auto"/>
              <w:right w:val="single" w:sz="4" w:space="0" w:color="auto"/>
            </w:tcBorders>
            <w:shd w:val="clear" w:color="auto" w:fill="BFBFBF"/>
            <w:noWrap/>
            <w:tcMar>
              <w:left w:w="45" w:type="dxa"/>
              <w:right w:w="45" w:type="dxa"/>
            </w:tcMar>
            <w:vAlign w:val="bottom"/>
            <w:hideMark/>
          </w:tcPr>
          <w:p w14:paraId="4F260139"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£000</w:t>
            </w:r>
          </w:p>
        </w:tc>
        <w:tc>
          <w:tcPr>
            <w:tcW w:w="447" w:type="pct"/>
            <w:tcBorders>
              <w:top w:val="nil"/>
              <w:left w:val="nil"/>
              <w:bottom w:val="single" w:sz="4" w:space="0" w:color="auto"/>
              <w:right w:val="single" w:sz="4" w:space="0" w:color="auto"/>
            </w:tcBorders>
            <w:shd w:val="clear" w:color="auto" w:fill="BFBFBF"/>
            <w:noWrap/>
            <w:tcMar>
              <w:left w:w="45" w:type="dxa"/>
              <w:right w:w="45" w:type="dxa"/>
            </w:tcMar>
            <w:vAlign w:val="bottom"/>
            <w:hideMark/>
          </w:tcPr>
          <w:p w14:paraId="0009D2DC"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£000</w:t>
            </w:r>
          </w:p>
        </w:tc>
        <w:tc>
          <w:tcPr>
            <w:tcW w:w="431" w:type="pct"/>
            <w:tcBorders>
              <w:top w:val="nil"/>
              <w:left w:val="nil"/>
              <w:bottom w:val="single" w:sz="4" w:space="0" w:color="auto"/>
              <w:right w:val="single" w:sz="4" w:space="0" w:color="auto"/>
            </w:tcBorders>
            <w:shd w:val="clear" w:color="auto" w:fill="BFBFBF"/>
            <w:noWrap/>
            <w:tcMar>
              <w:left w:w="45" w:type="dxa"/>
              <w:right w:w="45" w:type="dxa"/>
            </w:tcMar>
            <w:vAlign w:val="bottom"/>
            <w:hideMark/>
          </w:tcPr>
          <w:p w14:paraId="13EAEBA9"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£000</w:t>
            </w:r>
          </w:p>
        </w:tc>
        <w:tc>
          <w:tcPr>
            <w:tcW w:w="431" w:type="pct"/>
            <w:tcBorders>
              <w:top w:val="nil"/>
              <w:left w:val="nil"/>
              <w:bottom w:val="single" w:sz="4" w:space="0" w:color="auto"/>
              <w:right w:val="single" w:sz="4" w:space="0" w:color="auto"/>
            </w:tcBorders>
            <w:shd w:val="clear" w:color="auto" w:fill="BFBFBF"/>
            <w:noWrap/>
            <w:tcMar>
              <w:left w:w="45" w:type="dxa"/>
              <w:right w:w="45" w:type="dxa"/>
            </w:tcMar>
            <w:vAlign w:val="bottom"/>
            <w:hideMark/>
          </w:tcPr>
          <w:p w14:paraId="365F6C8B"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£000</w:t>
            </w:r>
          </w:p>
        </w:tc>
      </w:tr>
      <w:tr w:rsidR="000729CF" w:rsidRPr="000729CF" w14:paraId="3640DD27"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29D8DCA5"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F957D9B"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5009115"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1CA8A27"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7222C47E"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3AD91D2B"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r>
      <w:tr w:rsidR="000729CF" w:rsidRPr="000729CF" w14:paraId="798D3788"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7170F589" w14:textId="77777777" w:rsidR="000729CF" w:rsidRPr="000729CF" w:rsidRDefault="000729CF" w:rsidP="000729CF">
            <w:pPr>
              <w:rPr>
                <w:rFonts w:ascii="Calibri" w:hAnsi="Calibri" w:cs="Calibri"/>
                <w:b/>
                <w:bCs/>
                <w:sz w:val="22"/>
                <w:szCs w:val="22"/>
                <w:u w:val="single"/>
                <w:lang w:val="en-GB" w:eastAsia="en-GB"/>
              </w:rPr>
            </w:pPr>
            <w:r w:rsidRPr="000729CF">
              <w:rPr>
                <w:rFonts w:ascii="Calibri" w:hAnsi="Calibri" w:cs="Calibri"/>
                <w:b/>
                <w:bCs/>
                <w:sz w:val="22"/>
                <w:szCs w:val="22"/>
                <w:u w:val="single"/>
                <w:lang w:val="en-GB" w:eastAsia="en-GB"/>
              </w:rPr>
              <w:t>Approved Schemes</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58876D8"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F43E981"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5B61B3B5"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4E380949"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56C909E3"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r>
      <w:tr w:rsidR="000729CF" w:rsidRPr="000729CF" w14:paraId="2FF1860B"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39985617"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Families, Children &amp; Learning</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42B899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6,986</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54A72DF"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9,112</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425A90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33D17CF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06B38492"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0ADBD1C6"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5FB025E4"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Health &amp; Adult Social Care</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3AA8A2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5,200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081AF7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3,703</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A361B4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18C1A74C"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583BD80A"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5D5B6706"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2E0B601D"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Economy, Environment &amp; Culture</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5730172"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67,393</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80B1BC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30,872</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D355EF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4,000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1388C9A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2,500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01ACCDAF"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2,500</w:t>
            </w:r>
          </w:p>
        </w:tc>
      </w:tr>
      <w:tr w:rsidR="000729CF" w:rsidRPr="000729CF" w14:paraId="6321FDA4"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168C30B8"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Housing, Neighbourhood &amp; Communities - GF</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B35BDAA"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1,849</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7B9ECC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2BDC68B"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500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35768F26"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500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205E77A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500</w:t>
            </w:r>
          </w:p>
        </w:tc>
      </w:tr>
      <w:tr w:rsidR="000729CF" w:rsidRPr="000729CF" w14:paraId="2CF126FF"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2A0C5598"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Governance, People &amp; Resources</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63C79F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6,680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91FD91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2,320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5D8117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1,570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2D22A7FF"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40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2593AA1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40</w:t>
            </w:r>
          </w:p>
        </w:tc>
      </w:tr>
      <w:tr w:rsidR="000729CF" w:rsidRPr="000729CF" w14:paraId="155F3B01"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3A71DB08"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Housing, Neighbourhood &amp; Communities - HRA</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CEC85F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35,557</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58DB45B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F0D7AA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7327535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46B47E5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68748469"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01674AB7"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2AA0E8B"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0FCCFF4"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DC28067"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29C4FB89"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04F28F6A"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r>
      <w:tr w:rsidR="000729CF" w:rsidRPr="000729CF" w14:paraId="590BD9B6"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5908A51B" w14:textId="77777777" w:rsidR="000729CF" w:rsidRPr="000729CF" w:rsidRDefault="000729CF" w:rsidP="000729CF">
            <w:pPr>
              <w:rPr>
                <w:rFonts w:ascii="Calibri" w:hAnsi="Calibri" w:cs="Calibri"/>
                <w:b/>
                <w:bCs/>
                <w:sz w:val="22"/>
                <w:szCs w:val="22"/>
                <w:u w:val="single"/>
                <w:lang w:val="en-GB" w:eastAsia="en-GB"/>
              </w:rPr>
            </w:pPr>
            <w:r w:rsidRPr="000729CF">
              <w:rPr>
                <w:rFonts w:ascii="Calibri" w:hAnsi="Calibri" w:cs="Calibri"/>
                <w:b/>
                <w:bCs/>
                <w:sz w:val="22"/>
                <w:szCs w:val="22"/>
                <w:u w:val="single"/>
                <w:lang w:val="en-GB" w:eastAsia="en-GB"/>
              </w:rPr>
              <w:t>Identified Schemes Not Yet approved</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BB2EB67"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59FDAC27"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3C236EC"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7CC1E501"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357B5F82"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r>
      <w:tr w:rsidR="000729CF" w:rsidRPr="000729CF" w14:paraId="42DFFE8B"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36AC1301"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Families, Children &amp; Learning</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261D8D2"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4,750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EC7A06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4,700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B610DB2"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4,650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65574FB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4,600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6198ED9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4,600</w:t>
            </w:r>
          </w:p>
        </w:tc>
      </w:tr>
      <w:tr w:rsidR="000729CF" w:rsidRPr="000729CF" w14:paraId="4D2C755A"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2634ECEB"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Health &amp; Adult Social Care</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5771C5B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2BAEF3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8782D3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500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556B196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500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08B970E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500</w:t>
            </w:r>
          </w:p>
        </w:tc>
      </w:tr>
      <w:tr w:rsidR="000729CF" w:rsidRPr="000729CF" w14:paraId="701DFC69"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3D9EE313"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Economy, Environment &amp; Culture</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37A208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23,792</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F3E9F9A"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36,164</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07DB88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16,500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621BF35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12,674</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65545A6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15,237</w:t>
            </w:r>
          </w:p>
        </w:tc>
      </w:tr>
      <w:tr w:rsidR="000729CF" w:rsidRPr="000729CF" w14:paraId="0BCCEDBA"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496928CD"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Housing, Neighbourhood &amp; Communities - GF</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24F269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2,000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188AB8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1,000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3291BC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1,000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1B1AA06B"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1,000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6788F286"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1,000</w:t>
            </w:r>
          </w:p>
        </w:tc>
      </w:tr>
      <w:tr w:rsidR="000729CF" w:rsidRPr="000729CF" w14:paraId="6EEFF855"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4FC8B363"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Governance, People &amp; Resources</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196CD5B"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3,331</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151079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260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C9CABB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260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31740ACF"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1,000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4BCF68B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1,000</w:t>
            </w:r>
          </w:p>
        </w:tc>
      </w:tr>
      <w:tr w:rsidR="000729CF" w:rsidRPr="000729CF" w14:paraId="54F59F7E"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0716D143"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Housing, Neighbourhood &amp; Communities - HRA</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166BEE6"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53,432</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DB642F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70,806</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432D2AB"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60,281</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6CC8D00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60,945</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6EE1513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63,091</w:t>
            </w:r>
          </w:p>
        </w:tc>
      </w:tr>
      <w:tr w:rsidR="000729CF" w:rsidRPr="000729CF" w14:paraId="0B33C827" w14:textId="77777777" w:rsidTr="00BC26AB">
        <w:trPr>
          <w:trHeight w:val="20"/>
        </w:trPr>
        <w:tc>
          <w:tcPr>
            <w:tcW w:w="2797" w:type="pct"/>
            <w:tcBorders>
              <w:top w:val="nil"/>
              <w:left w:val="single" w:sz="4" w:space="0" w:color="auto"/>
              <w:bottom w:val="single" w:sz="4" w:space="0" w:color="auto"/>
              <w:right w:val="single" w:sz="4" w:space="0" w:color="auto"/>
            </w:tcBorders>
            <w:shd w:val="clear" w:color="auto" w:fill="auto"/>
            <w:noWrap/>
            <w:tcMar>
              <w:left w:w="45" w:type="dxa"/>
              <w:right w:w="45" w:type="dxa"/>
            </w:tcMar>
            <w:vAlign w:val="bottom"/>
            <w:hideMark/>
          </w:tcPr>
          <w:p w14:paraId="6DF48FFE"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5A4500B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438D5E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373CB7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7C50D942"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44ABBB0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w:t>
            </w:r>
          </w:p>
        </w:tc>
      </w:tr>
      <w:tr w:rsidR="000729CF" w:rsidRPr="000729CF" w14:paraId="449FE531" w14:textId="77777777" w:rsidTr="00BC26AB">
        <w:trPr>
          <w:trHeight w:val="20"/>
        </w:trPr>
        <w:tc>
          <w:tcPr>
            <w:tcW w:w="2797" w:type="pct"/>
            <w:tcBorders>
              <w:top w:val="nil"/>
              <w:left w:val="single" w:sz="4" w:space="0" w:color="auto"/>
              <w:bottom w:val="nil"/>
              <w:right w:val="nil"/>
            </w:tcBorders>
            <w:shd w:val="clear" w:color="000000" w:fill="C0C0C0"/>
            <w:noWrap/>
            <w:tcMar>
              <w:left w:w="45" w:type="dxa"/>
              <w:right w:w="45" w:type="dxa"/>
            </w:tcMar>
            <w:vAlign w:val="bottom"/>
            <w:hideMark/>
          </w:tcPr>
          <w:p w14:paraId="5C923F42" w14:textId="77777777" w:rsidR="000729CF" w:rsidRPr="000729CF" w:rsidRDefault="000729CF" w:rsidP="000729CF">
            <w:pPr>
              <w:rPr>
                <w:rFonts w:ascii="Calibri" w:hAnsi="Calibri" w:cs="Calibri"/>
                <w:b/>
                <w:bCs/>
                <w:sz w:val="22"/>
                <w:szCs w:val="22"/>
                <w:lang w:val="en-GB" w:eastAsia="en-GB"/>
              </w:rPr>
            </w:pPr>
            <w:r w:rsidRPr="000729CF">
              <w:rPr>
                <w:rFonts w:ascii="Calibri" w:hAnsi="Calibri" w:cs="Calibri"/>
                <w:b/>
                <w:bCs/>
                <w:sz w:val="22"/>
                <w:szCs w:val="22"/>
                <w:lang w:val="en-GB" w:eastAsia="en-GB"/>
              </w:rPr>
              <w:t>Total</w:t>
            </w:r>
          </w:p>
        </w:tc>
        <w:tc>
          <w:tcPr>
            <w:tcW w:w="447" w:type="pct"/>
            <w:tcBorders>
              <w:top w:val="single" w:sz="4" w:space="0" w:color="auto"/>
              <w:left w:val="single" w:sz="4" w:space="0" w:color="auto"/>
              <w:bottom w:val="single" w:sz="4" w:space="0" w:color="auto"/>
              <w:right w:val="single" w:sz="4" w:space="0" w:color="auto"/>
            </w:tcBorders>
            <w:shd w:val="clear" w:color="000000" w:fill="C0C0C0"/>
            <w:noWrap/>
            <w:tcMar>
              <w:left w:w="45" w:type="dxa"/>
              <w:right w:w="45" w:type="dxa"/>
            </w:tcMar>
            <w:vAlign w:val="bottom"/>
            <w:hideMark/>
          </w:tcPr>
          <w:p w14:paraId="71919E91"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211,470</w:t>
            </w:r>
          </w:p>
        </w:tc>
        <w:tc>
          <w:tcPr>
            <w:tcW w:w="447" w:type="pct"/>
            <w:tcBorders>
              <w:top w:val="single" w:sz="4" w:space="0" w:color="auto"/>
              <w:left w:val="nil"/>
              <w:bottom w:val="single" w:sz="4" w:space="0" w:color="auto"/>
              <w:right w:val="single" w:sz="4" w:space="0" w:color="auto"/>
            </w:tcBorders>
            <w:shd w:val="clear" w:color="000000" w:fill="C0C0C0"/>
            <w:noWrap/>
            <w:tcMar>
              <w:left w:w="45" w:type="dxa"/>
              <w:right w:w="45" w:type="dxa"/>
            </w:tcMar>
            <w:vAlign w:val="bottom"/>
            <w:hideMark/>
          </w:tcPr>
          <w:p w14:paraId="7A7D0779"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159,937</w:t>
            </w:r>
          </w:p>
        </w:tc>
        <w:tc>
          <w:tcPr>
            <w:tcW w:w="447" w:type="pct"/>
            <w:tcBorders>
              <w:top w:val="single" w:sz="4" w:space="0" w:color="auto"/>
              <w:left w:val="nil"/>
              <w:bottom w:val="single" w:sz="4" w:space="0" w:color="auto"/>
              <w:right w:val="single" w:sz="4" w:space="0" w:color="auto"/>
            </w:tcBorders>
            <w:shd w:val="clear" w:color="000000" w:fill="C0C0C0"/>
            <w:noWrap/>
            <w:tcMar>
              <w:left w:w="45" w:type="dxa"/>
              <w:right w:w="45" w:type="dxa"/>
            </w:tcMar>
            <w:vAlign w:val="bottom"/>
            <w:hideMark/>
          </w:tcPr>
          <w:p w14:paraId="2994B541"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89,261</w:t>
            </w:r>
          </w:p>
        </w:tc>
        <w:tc>
          <w:tcPr>
            <w:tcW w:w="431" w:type="pct"/>
            <w:tcBorders>
              <w:top w:val="single" w:sz="4" w:space="0" w:color="auto"/>
              <w:left w:val="nil"/>
              <w:bottom w:val="single" w:sz="4" w:space="0" w:color="auto"/>
              <w:right w:val="single" w:sz="4" w:space="0" w:color="auto"/>
            </w:tcBorders>
            <w:shd w:val="clear" w:color="000000" w:fill="C0C0C0"/>
            <w:noWrap/>
            <w:tcMar>
              <w:left w:w="45" w:type="dxa"/>
              <w:right w:w="45" w:type="dxa"/>
            </w:tcMar>
            <w:vAlign w:val="bottom"/>
            <w:hideMark/>
          </w:tcPr>
          <w:p w14:paraId="48FA41AD"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83,759</w:t>
            </w:r>
          </w:p>
        </w:tc>
        <w:tc>
          <w:tcPr>
            <w:tcW w:w="431" w:type="pct"/>
            <w:tcBorders>
              <w:top w:val="single" w:sz="4" w:space="0" w:color="auto"/>
              <w:left w:val="nil"/>
              <w:bottom w:val="single" w:sz="4" w:space="0" w:color="auto"/>
              <w:right w:val="single" w:sz="4" w:space="0" w:color="auto"/>
            </w:tcBorders>
            <w:shd w:val="clear" w:color="000000" w:fill="C0C0C0"/>
            <w:noWrap/>
            <w:tcMar>
              <w:left w:w="45" w:type="dxa"/>
              <w:right w:w="45" w:type="dxa"/>
            </w:tcMar>
            <w:vAlign w:val="bottom"/>
            <w:hideMark/>
          </w:tcPr>
          <w:p w14:paraId="43B65321"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88,468</w:t>
            </w:r>
          </w:p>
        </w:tc>
      </w:tr>
      <w:tr w:rsidR="000729CF" w:rsidRPr="000729CF" w14:paraId="57D994CA" w14:textId="77777777" w:rsidTr="00BC26AB">
        <w:trPr>
          <w:trHeight w:val="20"/>
        </w:trPr>
        <w:tc>
          <w:tcPr>
            <w:tcW w:w="2797" w:type="pct"/>
            <w:tcBorders>
              <w:top w:val="single" w:sz="4" w:space="0" w:color="auto"/>
              <w:left w:val="single" w:sz="4" w:space="0" w:color="auto"/>
              <w:bottom w:val="nil"/>
              <w:right w:val="single" w:sz="4" w:space="0" w:color="auto"/>
            </w:tcBorders>
            <w:shd w:val="clear" w:color="auto" w:fill="auto"/>
            <w:noWrap/>
            <w:tcMar>
              <w:left w:w="45" w:type="dxa"/>
              <w:right w:w="45" w:type="dxa"/>
            </w:tcMar>
            <w:vAlign w:val="bottom"/>
            <w:hideMark/>
          </w:tcPr>
          <w:p w14:paraId="4528583A"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7CD713A"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5F7D94D6"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FC3BC9E"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4327E24C"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6C2162D6"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r>
      <w:tr w:rsidR="000729CF" w:rsidRPr="000729CF" w14:paraId="55650D87"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512DFCB2" w14:textId="77777777" w:rsidR="000729CF" w:rsidRPr="000729CF" w:rsidRDefault="000729CF" w:rsidP="000729CF">
            <w:pPr>
              <w:rPr>
                <w:rFonts w:ascii="Calibri" w:hAnsi="Calibri" w:cs="Calibri"/>
                <w:b/>
                <w:bCs/>
                <w:sz w:val="22"/>
                <w:szCs w:val="22"/>
                <w:u w:val="single"/>
                <w:lang w:val="en-GB" w:eastAsia="en-GB"/>
              </w:rPr>
            </w:pPr>
            <w:r w:rsidRPr="000729CF">
              <w:rPr>
                <w:rFonts w:ascii="Calibri" w:hAnsi="Calibri" w:cs="Calibri"/>
                <w:b/>
                <w:bCs/>
                <w:sz w:val="22"/>
                <w:szCs w:val="22"/>
                <w:u w:val="single"/>
                <w:lang w:val="en-GB" w:eastAsia="en-GB"/>
              </w:rPr>
              <w:t>Funded by:</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C442768"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DA8AC75"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AECB8BB"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0677A891"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378A72DB"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r>
      <w:tr w:rsidR="000729CF" w:rsidRPr="000729CF" w14:paraId="4C677BD9"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20C4E94F"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Government Grants (non ringfenced)</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D37397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16,890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AA3714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18,112</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B3E7B3A"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12,950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670A3B42"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8,900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0E902EF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9,080</w:t>
            </w:r>
          </w:p>
        </w:tc>
      </w:tr>
      <w:tr w:rsidR="000729CF" w:rsidRPr="000729CF" w14:paraId="62BC13BF"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390708CD"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Government Grants (ringfenced)</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5DE9799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34,538</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0E9620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10,625</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46282C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2,180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023FFD2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2,180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6BDEF07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2,000</w:t>
            </w:r>
          </w:p>
        </w:tc>
      </w:tr>
      <w:tr w:rsidR="000729CF" w:rsidRPr="000729CF" w14:paraId="69BFE82D"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644E635F"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Capital Receipts</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E471D5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21,576</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93C4BD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5,983</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935954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4,550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37AB89B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3,590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4ACE5C8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2,500</w:t>
            </w:r>
          </w:p>
        </w:tc>
      </w:tr>
      <w:tr w:rsidR="000729CF" w:rsidRPr="000729CF" w14:paraId="773A0AE8"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023AF758"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Capital Reserves</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B2F9B26"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693</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5C5FD2C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3260232"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442F133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5D007FF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2FF0DEEB"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08C160DE"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Specific Reserves</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DADDE6A"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1,942</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23A8A7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1,000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ADD9CF6"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1,000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52DB850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1,000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4A8A1FC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1,000</w:t>
            </w:r>
          </w:p>
        </w:tc>
      </w:tr>
      <w:tr w:rsidR="000729CF" w:rsidRPr="000729CF" w14:paraId="3B1F4390"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46A4B2DD"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External Contributions</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76EABCA"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6,992</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BC1469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2,614</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0BED3E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23D3D062"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2,000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0FEE116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455</w:t>
            </w:r>
          </w:p>
        </w:tc>
      </w:tr>
      <w:tr w:rsidR="000729CF" w:rsidRPr="000729CF" w14:paraId="30B51020"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396FB14C"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Direct Revenue Funding - General Fund</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CF17D1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1,070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759867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08887A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500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00C803C2"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500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1444DBE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500</w:t>
            </w:r>
          </w:p>
        </w:tc>
      </w:tr>
      <w:tr w:rsidR="000729CF" w:rsidRPr="000729CF" w14:paraId="5E1E6884"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2D386D7C"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HRA Revenue Contribution to Capital</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8CD05AC"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16,516</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C5F94F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17,345</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9E2215F"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18,255</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1326ECF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19,098</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575E779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20,017</w:t>
            </w:r>
          </w:p>
        </w:tc>
      </w:tr>
      <w:tr w:rsidR="000729CF" w:rsidRPr="000729CF" w14:paraId="54BBAE1A"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4F9C848A"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Borrowing</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295944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111,253</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F65273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103,758</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69EBCF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49,826</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72C3B13B"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46,491</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5873276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52,916</w:t>
            </w:r>
          </w:p>
        </w:tc>
      </w:tr>
      <w:tr w:rsidR="000729CF" w:rsidRPr="000729CF" w14:paraId="34768D75" w14:textId="77777777" w:rsidTr="00BC26AB">
        <w:trPr>
          <w:trHeight w:val="20"/>
        </w:trPr>
        <w:tc>
          <w:tcPr>
            <w:tcW w:w="2797" w:type="pct"/>
            <w:tcBorders>
              <w:top w:val="nil"/>
              <w:left w:val="single" w:sz="4" w:space="0" w:color="auto"/>
              <w:bottom w:val="single" w:sz="4" w:space="0" w:color="auto"/>
              <w:right w:val="single" w:sz="4" w:space="0" w:color="auto"/>
            </w:tcBorders>
            <w:shd w:val="clear" w:color="auto" w:fill="auto"/>
            <w:noWrap/>
            <w:tcMar>
              <w:left w:w="45" w:type="dxa"/>
              <w:right w:w="45" w:type="dxa"/>
            </w:tcMar>
            <w:vAlign w:val="bottom"/>
            <w:hideMark/>
          </w:tcPr>
          <w:p w14:paraId="3F12F5CF"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single" w:sz="4" w:space="0" w:color="auto"/>
              <w:right w:val="single" w:sz="4" w:space="0" w:color="auto"/>
            </w:tcBorders>
            <w:shd w:val="clear" w:color="auto" w:fill="auto"/>
            <w:noWrap/>
            <w:tcMar>
              <w:left w:w="45" w:type="dxa"/>
              <w:right w:w="45" w:type="dxa"/>
            </w:tcMar>
            <w:vAlign w:val="bottom"/>
            <w:hideMark/>
          </w:tcPr>
          <w:p w14:paraId="556CE249"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single" w:sz="4" w:space="0" w:color="auto"/>
              <w:right w:val="single" w:sz="4" w:space="0" w:color="auto"/>
            </w:tcBorders>
            <w:shd w:val="clear" w:color="auto" w:fill="auto"/>
            <w:noWrap/>
            <w:tcMar>
              <w:left w:w="45" w:type="dxa"/>
              <w:right w:w="45" w:type="dxa"/>
            </w:tcMar>
            <w:vAlign w:val="bottom"/>
            <w:hideMark/>
          </w:tcPr>
          <w:p w14:paraId="4D31ED6D"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single" w:sz="4" w:space="0" w:color="auto"/>
              <w:right w:val="single" w:sz="4" w:space="0" w:color="auto"/>
            </w:tcBorders>
            <w:shd w:val="clear" w:color="auto" w:fill="auto"/>
            <w:noWrap/>
            <w:tcMar>
              <w:left w:w="45" w:type="dxa"/>
              <w:right w:w="45" w:type="dxa"/>
            </w:tcMar>
            <w:vAlign w:val="bottom"/>
            <w:hideMark/>
          </w:tcPr>
          <w:p w14:paraId="0F6E3F73"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single" w:sz="4" w:space="0" w:color="auto"/>
              <w:right w:val="single" w:sz="4" w:space="0" w:color="auto"/>
            </w:tcBorders>
            <w:shd w:val="clear" w:color="auto" w:fill="auto"/>
            <w:noWrap/>
            <w:tcMar>
              <w:left w:w="45" w:type="dxa"/>
              <w:right w:w="45" w:type="dxa"/>
            </w:tcMar>
            <w:vAlign w:val="bottom"/>
            <w:hideMark/>
          </w:tcPr>
          <w:p w14:paraId="1384D1E2"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single" w:sz="4" w:space="0" w:color="auto"/>
              <w:right w:val="single" w:sz="4" w:space="0" w:color="auto"/>
            </w:tcBorders>
            <w:shd w:val="clear" w:color="auto" w:fill="auto"/>
            <w:noWrap/>
            <w:tcMar>
              <w:left w:w="45" w:type="dxa"/>
              <w:right w:w="45" w:type="dxa"/>
            </w:tcMar>
            <w:vAlign w:val="bottom"/>
            <w:hideMark/>
          </w:tcPr>
          <w:p w14:paraId="697479EE"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r>
      <w:tr w:rsidR="000729CF" w:rsidRPr="000729CF" w14:paraId="120F980B" w14:textId="77777777" w:rsidTr="00BC26AB">
        <w:trPr>
          <w:trHeight w:val="20"/>
        </w:trPr>
        <w:tc>
          <w:tcPr>
            <w:tcW w:w="2797" w:type="pct"/>
            <w:tcBorders>
              <w:top w:val="nil"/>
              <w:left w:val="single" w:sz="4" w:space="0" w:color="auto"/>
              <w:bottom w:val="single" w:sz="4" w:space="0" w:color="auto"/>
              <w:right w:val="nil"/>
            </w:tcBorders>
            <w:shd w:val="clear" w:color="000000" w:fill="C0C0C0"/>
            <w:noWrap/>
            <w:tcMar>
              <w:left w:w="45" w:type="dxa"/>
              <w:right w:w="45" w:type="dxa"/>
            </w:tcMar>
            <w:vAlign w:val="bottom"/>
            <w:hideMark/>
          </w:tcPr>
          <w:p w14:paraId="431D8DDB" w14:textId="77777777" w:rsidR="000729CF" w:rsidRPr="000729CF" w:rsidRDefault="000729CF" w:rsidP="000729CF">
            <w:pPr>
              <w:rPr>
                <w:rFonts w:ascii="Calibri" w:hAnsi="Calibri" w:cs="Calibri"/>
                <w:b/>
                <w:bCs/>
                <w:sz w:val="22"/>
                <w:szCs w:val="22"/>
                <w:lang w:val="en-GB" w:eastAsia="en-GB"/>
              </w:rPr>
            </w:pPr>
            <w:r w:rsidRPr="000729CF">
              <w:rPr>
                <w:rFonts w:ascii="Calibri" w:hAnsi="Calibri" w:cs="Calibri"/>
                <w:b/>
                <w:bCs/>
                <w:sz w:val="22"/>
                <w:szCs w:val="22"/>
                <w:lang w:val="en-GB" w:eastAsia="en-GB"/>
              </w:rPr>
              <w:t>Total Funding</w:t>
            </w:r>
          </w:p>
        </w:tc>
        <w:tc>
          <w:tcPr>
            <w:tcW w:w="447" w:type="pct"/>
            <w:tcBorders>
              <w:top w:val="nil"/>
              <w:left w:val="single" w:sz="4" w:space="0" w:color="auto"/>
              <w:bottom w:val="single" w:sz="4" w:space="0" w:color="auto"/>
              <w:right w:val="single" w:sz="4" w:space="0" w:color="auto"/>
            </w:tcBorders>
            <w:shd w:val="clear" w:color="000000" w:fill="C0C0C0"/>
            <w:noWrap/>
            <w:tcMar>
              <w:left w:w="45" w:type="dxa"/>
              <w:right w:w="45" w:type="dxa"/>
            </w:tcMar>
            <w:vAlign w:val="bottom"/>
            <w:hideMark/>
          </w:tcPr>
          <w:p w14:paraId="5FD7E7EB"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211,470</w:t>
            </w:r>
          </w:p>
        </w:tc>
        <w:tc>
          <w:tcPr>
            <w:tcW w:w="447" w:type="pct"/>
            <w:tcBorders>
              <w:top w:val="nil"/>
              <w:left w:val="nil"/>
              <w:bottom w:val="single" w:sz="4" w:space="0" w:color="auto"/>
              <w:right w:val="single" w:sz="4" w:space="0" w:color="auto"/>
            </w:tcBorders>
            <w:shd w:val="clear" w:color="000000" w:fill="C0C0C0"/>
            <w:noWrap/>
            <w:tcMar>
              <w:left w:w="45" w:type="dxa"/>
              <w:right w:w="45" w:type="dxa"/>
            </w:tcMar>
            <w:vAlign w:val="bottom"/>
            <w:hideMark/>
          </w:tcPr>
          <w:p w14:paraId="78E908A5"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159,937</w:t>
            </w:r>
          </w:p>
        </w:tc>
        <w:tc>
          <w:tcPr>
            <w:tcW w:w="447" w:type="pct"/>
            <w:tcBorders>
              <w:top w:val="nil"/>
              <w:left w:val="nil"/>
              <w:bottom w:val="single" w:sz="4" w:space="0" w:color="auto"/>
              <w:right w:val="single" w:sz="4" w:space="0" w:color="auto"/>
            </w:tcBorders>
            <w:shd w:val="clear" w:color="000000" w:fill="C0C0C0"/>
            <w:noWrap/>
            <w:tcMar>
              <w:left w:w="45" w:type="dxa"/>
              <w:right w:w="45" w:type="dxa"/>
            </w:tcMar>
            <w:vAlign w:val="bottom"/>
            <w:hideMark/>
          </w:tcPr>
          <w:p w14:paraId="1EFD9FD3"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89,261</w:t>
            </w:r>
          </w:p>
        </w:tc>
        <w:tc>
          <w:tcPr>
            <w:tcW w:w="431" w:type="pct"/>
            <w:tcBorders>
              <w:top w:val="nil"/>
              <w:left w:val="nil"/>
              <w:bottom w:val="single" w:sz="4" w:space="0" w:color="auto"/>
              <w:right w:val="single" w:sz="4" w:space="0" w:color="auto"/>
            </w:tcBorders>
            <w:shd w:val="clear" w:color="000000" w:fill="C0C0C0"/>
            <w:noWrap/>
            <w:tcMar>
              <w:left w:w="45" w:type="dxa"/>
              <w:right w:w="45" w:type="dxa"/>
            </w:tcMar>
            <w:vAlign w:val="bottom"/>
            <w:hideMark/>
          </w:tcPr>
          <w:p w14:paraId="02E91B20"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83,759</w:t>
            </w:r>
          </w:p>
        </w:tc>
        <w:tc>
          <w:tcPr>
            <w:tcW w:w="431" w:type="pct"/>
            <w:tcBorders>
              <w:top w:val="nil"/>
              <w:left w:val="nil"/>
              <w:bottom w:val="single" w:sz="4" w:space="0" w:color="auto"/>
              <w:right w:val="single" w:sz="4" w:space="0" w:color="auto"/>
            </w:tcBorders>
            <w:shd w:val="clear" w:color="000000" w:fill="C0C0C0"/>
            <w:noWrap/>
            <w:tcMar>
              <w:left w:w="45" w:type="dxa"/>
              <w:right w:w="45" w:type="dxa"/>
            </w:tcMar>
            <w:vAlign w:val="bottom"/>
            <w:hideMark/>
          </w:tcPr>
          <w:p w14:paraId="43C25A50"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88,468</w:t>
            </w:r>
          </w:p>
        </w:tc>
      </w:tr>
    </w:tbl>
    <w:p w14:paraId="7B489477" w14:textId="77777777" w:rsidR="000729CF" w:rsidRPr="000729CF" w:rsidRDefault="000729CF" w:rsidP="000729CF">
      <w:pPr>
        <w:spacing w:after="160" w:line="259" w:lineRule="auto"/>
        <w:rPr>
          <w:rFonts w:ascii="Calibri" w:eastAsia="Calibri" w:hAnsi="Calibri"/>
          <w:b/>
          <w:bCs/>
          <w:sz w:val="28"/>
          <w:szCs w:val="28"/>
          <w:lang w:val="en-GB"/>
        </w:rPr>
      </w:pPr>
    </w:p>
    <w:tbl>
      <w:tblPr>
        <w:tblW w:w="5000" w:type="pct"/>
        <w:tblLook w:val="04A0" w:firstRow="1" w:lastRow="0" w:firstColumn="1" w:lastColumn="0" w:noHBand="0" w:noVBand="1"/>
      </w:tblPr>
      <w:tblGrid>
        <w:gridCol w:w="8608"/>
        <w:gridCol w:w="1376"/>
        <w:gridCol w:w="1376"/>
        <w:gridCol w:w="1376"/>
        <w:gridCol w:w="1326"/>
        <w:gridCol w:w="1326"/>
      </w:tblGrid>
      <w:tr w:rsidR="000729CF" w:rsidRPr="000729CF" w14:paraId="4487FE12" w14:textId="77777777" w:rsidTr="000729CF">
        <w:trPr>
          <w:trHeight w:val="20"/>
        </w:trPr>
        <w:tc>
          <w:tcPr>
            <w:tcW w:w="2797" w:type="pct"/>
            <w:tcBorders>
              <w:top w:val="single" w:sz="4" w:space="0" w:color="auto"/>
              <w:left w:val="single" w:sz="4" w:space="0" w:color="auto"/>
              <w:bottom w:val="nil"/>
              <w:right w:val="single" w:sz="4" w:space="0" w:color="auto"/>
            </w:tcBorders>
            <w:shd w:val="clear" w:color="auto" w:fill="BFBFBF"/>
            <w:noWrap/>
            <w:tcMar>
              <w:left w:w="45" w:type="dxa"/>
              <w:right w:w="45" w:type="dxa"/>
            </w:tcMar>
            <w:vAlign w:val="bottom"/>
            <w:hideMark/>
          </w:tcPr>
          <w:p w14:paraId="2A749B75" w14:textId="77777777" w:rsidR="000729CF" w:rsidRPr="000729CF" w:rsidRDefault="000729CF" w:rsidP="000729CF">
            <w:pPr>
              <w:rPr>
                <w:rFonts w:ascii="Calibri" w:hAnsi="Calibri" w:cs="Calibri"/>
                <w:b/>
                <w:bCs/>
                <w:sz w:val="22"/>
                <w:szCs w:val="22"/>
                <w:lang w:val="en-GB" w:eastAsia="en-GB"/>
              </w:rPr>
            </w:pPr>
            <w:r w:rsidRPr="000729CF">
              <w:rPr>
                <w:rFonts w:ascii="Calibri" w:hAnsi="Calibri" w:cs="Calibri"/>
                <w:b/>
                <w:bCs/>
                <w:sz w:val="22"/>
                <w:szCs w:val="22"/>
                <w:lang w:val="en-GB" w:eastAsia="en-GB"/>
              </w:rPr>
              <w:t> </w:t>
            </w:r>
          </w:p>
        </w:tc>
        <w:tc>
          <w:tcPr>
            <w:tcW w:w="447" w:type="pct"/>
            <w:tcBorders>
              <w:top w:val="single" w:sz="4" w:space="0" w:color="auto"/>
              <w:left w:val="nil"/>
              <w:bottom w:val="nil"/>
              <w:right w:val="single" w:sz="4" w:space="0" w:color="auto"/>
            </w:tcBorders>
            <w:shd w:val="clear" w:color="auto" w:fill="BFBFBF"/>
            <w:tcMar>
              <w:left w:w="45" w:type="dxa"/>
              <w:right w:w="45" w:type="dxa"/>
            </w:tcMar>
            <w:vAlign w:val="bottom"/>
            <w:hideMark/>
          </w:tcPr>
          <w:p w14:paraId="567CA5A7" w14:textId="77777777" w:rsidR="000729CF" w:rsidRPr="000729CF" w:rsidRDefault="000729CF" w:rsidP="000729CF">
            <w:pPr>
              <w:jc w:val="center"/>
              <w:rPr>
                <w:rFonts w:ascii="Calibri" w:hAnsi="Calibri" w:cs="Calibri"/>
                <w:sz w:val="22"/>
                <w:szCs w:val="22"/>
                <w:lang w:val="en-GB" w:eastAsia="en-GB"/>
              </w:rPr>
            </w:pPr>
            <w:r w:rsidRPr="000729CF">
              <w:rPr>
                <w:rFonts w:ascii="Calibri" w:hAnsi="Calibri" w:cs="Calibri"/>
                <w:sz w:val="22"/>
                <w:szCs w:val="22"/>
                <w:lang w:val="en-GB" w:eastAsia="en-GB"/>
              </w:rPr>
              <w:t>Year 1 Budget</w:t>
            </w:r>
          </w:p>
        </w:tc>
        <w:tc>
          <w:tcPr>
            <w:tcW w:w="447" w:type="pct"/>
            <w:tcBorders>
              <w:top w:val="single" w:sz="4" w:space="0" w:color="auto"/>
              <w:left w:val="nil"/>
              <w:bottom w:val="nil"/>
              <w:right w:val="single" w:sz="4" w:space="0" w:color="auto"/>
            </w:tcBorders>
            <w:shd w:val="clear" w:color="auto" w:fill="BFBFBF"/>
            <w:tcMar>
              <w:left w:w="45" w:type="dxa"/>
              <w:right w:w="45" w:type="dxa"/>
            </w:tcMar>
            <w:vAlign w:val="bottom"/>
            <w:hideMark/>
          </w:tcPr>
          <w:p w14:paraId="06EBE2D2" w14:textId="77777777" w:rsidR="000729CF" w:rsidRPr="000729CF" w:rsidRDefault="000729CF" w:rsidP="000729CF">
            <w:pPr>
              <w:jc w:val="center"/>
              <w:rPr>
                <w:rFonts w:ascii="Calibri" w:hAnsi="Calibri" w:cs="Calibri"/>
                <w:sz w:val="22"/>
                <w:szCs w:val="22"/>
                <w:lang w:val="en-GB" w:eastAsia="en-GB"/>
              </w:rPr>
            </w:pPr>
            <w:r w:rsidRPr="000729CF">
              <w:rPr>
                <w:rFonts w:ascii="Calibri" w:hAnsi="Calibri" w:cs="Calibri"/>
                <w:sz w:val="22"/>
                <w:szCs w:val="22"/>
                <w:lang w:val="en-GB" w:eastAsia="en-GB"/>
              </w:rPr>
              <w:t>Year 2 Budget</w:t>
            </w:r>
          </w:p>
        </w:tc>
        <w:tc>
          <w:tcPr>
            <w:tcW w:w="447" w:type="pct"/>
            <w:tcBorders>
              <w:top w:val="single" w:sz="4" w:space="0" w:color="auto"/>
              <w:left w:val="nil"/>
              <w:bottom w:val="nil"/>
              <w:right w:val="single" w:sz="4" w:space="0" w:color="auto"/>
            </w:tcBorders>
            <w:shd w:val="clear" w:color="auto" w:fill="BFBFBF"/>
            <w:tcMar>
              <w:left w:w="45" w:type="dxa"/>
              <w:right w:w="45" w:type="dxa"/>
            </w:tcMar>
            <w:vAlign w:val="bottom"/>
            <w:hideMark/>
          </w:tcPr>
          <w:p w14:paraId="22693C07" w14:textId="77777777" w:rsidR="000729CF" w:rsidRPr="000729CF" w:rsidRDefault="000729CF" w:rsidP="000729CF">
            <w:pPr>
              <w:jc w:val="center"/>
              <w:rPr>
                <w:rFonts w:ascii="Calibri" w:hAnsi="Calibri" w:cs="Calibri"/>
                <w:sz w:val="22"/>
                <w:szCs w:val="22"/>
                <w:lang w:val="en-GB" w:eastAsia="en-GB"/>
              </w:rPr>
            </w:pPr>
            <w:r w:rsidRPr="000729CF">
              <w:rPr>
                <w:rFonts w:ascii="Calibri" w:hAnsi="Calibri" w:cs="Calibri"/>
                <w:sz w:val="22"/>
                <w:szCs w:val="22"/>
                <w:lang w:val="en-GB" w:eastAsia="en-GB"/>
              </w:rPr>
              <w:t>Year 3 Budget</w:t>
            </w:r>
          </w:p>
        </w:tc>
        <w:tc>
          <w:tcPr>
            <w:tcW w:w="431" w:type="pct"/>
            <w:tcBorders>
              <w:top w:val="single" w:sz="4" w:space="0" w:color="auto"/>
              <w:left w:val="nil"/>
              <w:bottom w:val="nil"/>
              <w:right w:val="single" w:sz="4" w:space="0" w:color="auto"/>
            </w:tcBorders>
            <w:shd w:val="clear" w:color="auto" w:fill="BFBFBF"/>
            <w:tcMar>
              <w:left w:w="45" w:type="dxa"/>
              <w:right w:w="45" w:type="dxa"/>
            </w:tcMar>
            <w:vAlign w:val="bottom"/>
            <w:hideMark/>
          </w:tcPr>
          <w:p w14:paraId="3A3092B0" w14:textId="77777777" w:rsidR="000729CF" w:rsidRPr="000729CF" w:rsidRDefault="000729CF" w:rsidP="000729CF">
            <w:pPr>
              <w:jc w:val="center"/>
              <w:rPr>
                <w:rFonts w:ascii="Calibri" w:hAnsi="Calibri" w:cs="Calibri"/>
                <w:sz w:val="22"/>
                <w:szCs w:val="22"/>
                <w:lang w:val="en-GB" w:eastAsia="en-GB"/>
              </w:rPr>
            </w:pPr>
            <w:r w:rsidRPr="000729CF">
              <w:rPr>
                <w:rFonts w:ascii="Calibri" w:hAnsi="Calibri" w:cs="Calibri"/>
                <w:sz w:val="22"/>
                <w:szCs w:val="22"/>
                <w:lang w:val="en-GB" w:eastAsia="en-GB"/>
              </w:rPr>
              <w:t>Year 4 Budget</w:t>
            </w:r>
          </w:p>
        </w:tc>
        <w:tc>
          <w:tcPr>
            <w:tcW w:w="431" w:type="pct"/>
            <w:tcBorders>
              <w:top w:val="single" w:sz="4" w:space="0" w:color="auto"/>
              <w:left w:val="nil"/>
              <w:bottom w:val="nil"/>
              <w:right w:val="single" w:sz="4" w:space="0" w:color="auto"/>
            </w:tcBorders>
            <w:shd w:val="clear" w:color="auto" w:fill="BFBFBF"/>
            <w:tcMar>
              <w:left w:w="45" w:type="dxa"/>
              <w:right w:w="45" w:type="dxa"/>
            </w:tcMar>
            <w:vAlign w:val="bottom"/>
            <w:hideMark/>
          </w:tcPr>
          <w:p w14:paraId="747841FA" w14:textId="77777777" w:rsidR="000729CF" w:rsidRPr="000729CF" w:rsidRDefault="000729CF" w:rsidP="000729CF">
            <w:pPr>
              <w:jc w:val="center"/>
              <w:rPr>
                <w:rFonts w:ascii="Calibri" w:hAnsi="Calibri" w:cs="Calibri"/>
                <w:sz w:val="22"/>
                <w:szCs w:val="22"/>
                <w:lang w:val="en-GB" w:eastAsia="en-GB"/>
              </w:rPr>
            </w:pPr>
            <w:r w:rsidRPr="000729CF">
              <w:rPr>
                <w:rFonts w:ascii="Calibri" w:hAnsi="Calibri" w:cs="Calibri"/>
                <w:sz w:val="22"/>
                <w:szCs w:val="22"/>
                <w:lang w:val="en-GB" w:eastAsia="en-GB"/>
              </w:rPr>
              <w:t>Year 5 Budget</w:t>
            </w:r>
          </w:p>
        </w:tc>
      </w:tr>
      <w:tr w:rsidR="000729CF" w:rsidRPr="000729CF" w14:paraId="00CC91F2" w14:textId="77777777" w:rsidTr="000729CF">
        <w:trPr>
          <w:trHeight w:val="20"/>
        </w:trPr>
        <w:tc>
          <w:tcPr>
            <w:tcW w:w="2797" w:type="pct"/>
            <w:tcBorders>
              <w:top w:val="nil"/>
              <w:left w:val="single" w:sz="4" w:space="0" w:color="auto"/>
              <w:bottom w:val="nil"/>
              <w:right w:val="single" w:sz="4" w:space="0" w:color="auto"/>
            </w:tcBorders>
            <w:shd w:val="clear" w:color="auto" w:fill="BFBFBF"/>
            <w:noWrap/>
            <w:tcMar>
              <w:left w:w="45" w:type="dxa"/>
              <w:right w:w="45" w:type="dxa"/>
            </w:tcMar>
            <w:vAlign w:val="bottom"/>
            <w:hideMark/>
          </w:tcPr>
          <w:p w14:paraId="302AC1E5" w14:textId="77777777" w:rsidR="000729CF" w:rsidRPr="000729CF" w:rsidRDefault="000729CF" w:rsidP="000729CF">
            <w:pPr>
              <w:rPr>
                <w:rFonts w:ascii="Calibri" w:hAnsi="Calibri" w:cs="Calibri"/>
                <w:b/>
                <w:bCs/>
                <w:sz w:val="22"/>
                <w:szCs w:val="22"/>
                <w:lang w:val="en-GB" w:eastAsia="en-GB"/>
              </w:rPr>
            </w:pPr>
            <w:r w:rsidRPr="000729CF">
              <w:rPr>
                <w:rFonts w:ascii="Calibri" w:hAnsi="Calibri" w:cs="Calibri"/>
                <w:b/>
                <w:bCs/>
                <w:sz w:val="22"/>
                <w:szCs w:val="22"/>
                <w:lang w:val="en-GB" w:eastAsia="en-GB"/>
              </w:rPr>
              <w:t>Families, Children &amp; Learning</w:t>
            </w:r>
          </w:p>
        </w:tc>
        <w:tc>
          <w:tcPr>
            <w:tcW w:w="447" w:type="pct"/>
            <w:tcBorders>
              <w:top w:val="single" w:sz="4" w:space="0" w:color="auto"/>
              <w:left w:val="nil"/>
              <w:bottom w:val="nil"/>
              <w:right w:val="single" w:sz="4" w:space="0" w:color="auto"/>
            </w:tcBorders>
            <w:shd w:val="clear" w:color="auto" w:fill="BFBFBF"/>
            <w:noWrap/>
            <w:tcMar>
              <w:left w:w="45" w:type="dxa"/>
              <w:right w:w="45" w:type="dxa"/>
            </w:tcMar>
            <w:vAlign w:val="bottom"/>
            <w:hideMark/>
          </w:tcPr>
          <w:p w14:paraId="735D415C"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2024/25</w:t>
            </w:r>
          </w:p>
        </w:tc>
        <w:tc>
          <w:tcPr>
            <w:tcW w:w="447" w:type="pct"/>
            <w:tcBorders>
              <w:top w:val="single" w:sz="4" w:space="0" w:color="auto"/>
              <w:left w:val="nil"/>
              <w:bottom w:val="nil"/>
              <w:right w:val="single" w:sz="4" w:space="0" w:color="auto"/>
            </w:tcBorders>
            <w:shd w:val="clear" w:color="auto" w:fill="BFBFBF"/>
            <w:noWrap/>
            <w:tcMar>
              <w:left w:w="45" w:type="dxa"/>
              <w:right w:w="45" w:type="dxa"/>
            </w:tcMar>
            <w:vAlign w:val="bottom"/>
            <w:hideMark/>
          </w:tcPr>
          <w:p w14:paraId="5BA15816"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2025/26</w:t>
            </w:r>
          </w:p>
        </w:tc>
        <w:tc>
          <w:tcPr>
            <w:tcW w:w="447" w:type="pct"/>
            <w:tcBorders>
              <w:top w:val="single" w:sz="4" w:space="0" w:color="auto"/>
              <w:left w:val="nil"/>
              <w:bottom w:val="nil"/>
              <w:right w:val="single" w:sz="4" w:space="0" w:color="auto"/>
            </w:tcBorders>
            <w:shd w:val="clear" w:color="auto" w:fill="BFBFBF"/>
            <w:noWrap/>
            <w:tcMar>
              <w:left w:w="45" w:type="dxa"/>
              <w:right w:w="45" w:type="dxa"/>
            </w:tcMar>
            <w:vAlign w:val="bottom"/>
            <w:hideMark/>
          </w:tcPr>
          <w:p w14:paraId="57BD32F6"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2026/27</w:t>
            </w:r>
          </w:p>
        </w:tc>
        <w:tc>
          <w:tcPr>
            <w:tcW w:w="431" w:type="pct"/>
            <w:tcBorders>
              <w:top w:val="single" w:sz="4" w:space="0" w:color="auto"/>
              <w:left w:val="nil"/>
              <w:bottom w:val="nil"/>
              <w:right w:val="single" w:sz="4" w:space="0" w:color="auto"/>
            </w:tcBorders>
            <w:shd w:val="clear" w:color="auto" w:fill="BFBFBF"/>
            <w:noWrap/>
            <w:tcMar>
              <w:left w:w="45" w:type="dxa"/>
              <w:right w:w="45" w:type="dxa"/>
            </w:tcMar>
            <w:vAlign w:val="bottom"/>
            <w:hideMark/>
          </w:tcPr>
          <w:p w14:paraId="1058E196"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2027/28</w:t>
            </w:r>
          </w:p>
        </w:tc>
        <w:tc>
          <w:tcPr>
            <w:tcW w:w="431" w:type="pct"/>
            <w:tcBorders>
              <w:top w:val="single" w:sz="4" w:space="0" w:color="auto"/>
              <w:left w:val="nil"/>
              <w:bottom w:val="nil"/>
              <w:right w:val="single" w:sz="4" w:space="0" w:color="auto"/>
            </w:tcBorders>
            <w:shd w:val="clear" w:color="auto" w:fill="BFBFBF"/>
            <w:noWrap/>
            <w:tcMar>
              <w:left w:w="45" w:type="dxa"/>
              <w:right w:w="45" w:type="dxa"/>
            </w:tcMar>
            <w:vAlign w:val="bottom"/>
            <w:hideMark/>
          </w:tcPr>
          <w:p w14:paraId="3CD2DF48"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2028/29</w:t>
            </w:r>
          </w:p>
        </w:tc>
      </w:tr>
      <w:tr w:rsidR="000729CF" w:rsidRPr="000729CF" w14:paraId="7AAE7963" w14:textId="77777777" w:rsidTr="000729CF">
        <w:trPr>
          <w:trHeight w:val="20"/>
        </w:trPr>
        <w:tc>
          <w:tcPr>
            <w:tcW w:w="2797" w:type="pct"/>
            <w:tcBorders>
              <w:top w:val="nil"/>
              <w:left w:val="single" w:sz="4" w:space="0" w:color="auto"/>
              <w:bottom w:val="single" w:sz="4" w:space="0" w:color="auto"/>
              <w:right w:val="single" w:sz="4" w:space="0" w:color="auto"/>
            </w:tcBorders>
            <w:shd w:val="clear" w:color="auto" w:fill="BFBFBF"/>
            <w:noWrap/>
            <w:tcMar>
              <w:left w:w="45" w:type="dxa"/>
              <w:right w:w="45" w:type="dxa"/>
            </w:tcMar>
            <w:vAlign w:val="bottom"/>
            <w:hideMark/>
          </w:tcPr>
          <w:p w14:paraId="43079AA6"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single" w:sz="4" w:space="0" w:color="auto"/>
              <w:right w:val="single" w:sz="4" w:space="0" w:color="auto"/>
            </w:tcBorders>
            <w:shd w:val="clear" w:color="auto" w:fill="BFBFBF"/>
            <w:noWrap/>
            <w:tcMar>
              <w:left w:w="45" w:type="dxa"/>
              <w:right w:w="45" w:type="dxa"/>
            </w:tcMar>
            <w:vAlign w:val="bottom"/>
            <w:hideMark/>
          </w:tcPr>
          <w:p w14:paraId="15C4B2D1"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£000</w:t>
            </w:r>
          </w:p>
        </w:tc>
        <w:tc>
          <w:tcPr>
            <w:tcW w:w="447" w:type="pct"/>
            <w:tcBorders>
              <w:top w:val="nil"/>
              <w:left w:val="nil"/>
              <w:bottom w:val="single" w:sz="4" w:space="0" w:color="auto"/>
              <w:right w:val="single" w:sz="4" w:space="0" w:color="auto"/>
            </w:tcBorders>
            <w:shd w:val="clear" w:color="auto" w:fill="BFBFBF"/>
            <w:noWrap/>
            <w:tcMar>
              <w:left w:w="45" w:type="dxa"/>
              <w:right w:w="45" w:type="dxa"/>
            </w:tcMar>
            <w:vAlign w:val="bottom"/>
            <w:hideMark/>
          </w:tcPr>
          <w:p w14:paraId="360CB911"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£000</w:t>
            </w:r>
          </w:p>
        </w:tc>
        <w:tc>
          <w:tcPr>
            <w:tcW w:w="447" w:type="pct"/>
            <w:tcBorders>
              <w:top w:val="nil"/>
              <w:left w:val="nil"/>
              <w:bottom w:val="single" w:sz="4" w:space="0" w:color="auto"/>
              <w:right w:val="single" w:sz="4" w:space="0" w:color="auto"/>
            </w:tcBorders>
            <w:shd w:val="clear" w:color="auto" w:fill="BFBFBF"/>
            <w:noWrap/>
            <w:tcMar>
              <w:left w:w="45" w:type="dxa"/>
              <w:right w:w="45" w:type="dxa"/>
            </w:tcMar>
            <w:vAlign w:val="bottom"/>
            <w:hideMark/>
          </w:tcPr>
          <w:p w14:paraId="2124A369"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£000</w:t>
            </w:r>
          </w:p>
        </w:tc>
        <w:tc>
          <w:tcPr>
            <w:tcW w:w="431" w:type="pct"/>
            <w:tcBorders>
              <w:top w:val="nil"/>
              <w:left w:val="nil"/>
              <w:bottom w:val="single" w:sz="4" w:space="0" w:color="auto"/>
              <w:right w:val="single" w:sz="4" w:space="0" w:color="auto"/>
            </w:tcBorders>
            <w:shd w:val="clear" w:color="auto" w:fill="BFBFBF"/>
            <w:noWrap/>
            <w:tcMar>
              <w:left w:w="45" w:type="dxa"/>
              <w:right w:w="45" w:type="dxa"/>
            </w:tcMar>
            <w:vAlign w:val="bottom"/>
            <w:hideMark/>
          </w:tcPr>
          <w:p w14:paraId="159DABA5"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£000</w:t>
            </w:r>
          </w:p>
        </w:tc>
        <w:tc>
          <w:tcPr>
            <w:tcW w:w="431" w:type="pct"/>
            <w:tcBorders>
              <w:top w:val="nil"/>
              <w:left w:val="nil"/>
              <w:bottom w:val="single" w:sz="4" w:space="0" w:color="auto"/>
              <w:right w:val="single" w:sz="4" w:space="0" w:color="auto"/>
            </w:tcBorders>
            <w:shd w:val="clear" w:color="auto" w:fill="BFBFBF"/>
            <w:noWrap/>
            <w:tcMar>
              <w:left w:w="45" w:type="dxa"/>
              <w:right w:w="45" w:type="dxa"/>
            </w:tcMar>
            <w:vAlign w:val="bottom"/>
            <w:hideMark/>
          </w:tcPr>
          <w:p w14:paraId="5CCE8AC4"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£000</w:t>
            </w:r>
          </w:p>
        </w:tc>
      </w:tr>
      <w:tr w:rsidR="000729CF" w:rsidRPr="000729CF" w14:paraId="0FA17F7B"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1273B24B"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B8BAD4D"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8845CCF"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8E93229"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35363B3E"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7C8B8606"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r>
      <w:tr w:rsidR="000729CF" w:rsidRPr="000729CF" w14:paraId="13E621E7"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41A4495B" w14:textId="77777777" w:rsidR="000729CF" w:rsidRPr="000729CF" w:rsidRDefault="000729CF" w:rsidP="000729CF">
            <w:pPr>
              <w:rPr>
                <w:rFonts w:ascii="Calibri" w:hAnsi="Calibri" w:cs="Calibri"/>
                <w:b/>
                <w:bCs/>
                <w:sz w:val="22"/>
                <w:szCs w:val="22"/>
                <w:u w:val="single"/>
                <w:lang w:val="en-GB" w:eastAsia="en-GB"/>
              </w:rPr>
            </w:pPr>
            <w:r w:rsidRPr="000729CF">
              <w:rPr>
                <w:rFonts w:ascii="Calibri" w:hAnsi="Calibri" w:cs="Calibri"/>
                <w:b/>
                <w:bCs/>
                <w:sz w:val="22"/>
                <w:szCs w:val="22"/>
                <w:u w:val="single"/>
                <w:lang w:val="en-GB" w:eastAsia="en-GB"/>
              </w:rPr>
              <w:t>Approved Schemes</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569F0053"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CDC48F2"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9E728C2"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541360D5"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0676BABA"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r>
      <w:tr w:rsidR="000729CF" w:rsidRPr="000729CF" w14:paraId="294E63FE"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7EAF5476"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Brighton Youth Centre</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7481FE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1,300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4FC2C6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93FEBDF"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144880F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3C873022"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56ECDA57"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3F5EC05F"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Schools Investment</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3106BFB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2,000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AF5F36C"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6,112</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888608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22ED1E3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7DAC52A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3358DB90"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578122A1"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Universal Free School Meals</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101A715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192</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17A5A2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DE0DA8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262BBFB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7766871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6D3BD769"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72EC004C"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High Needs Provision Capital</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2D44D6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2,534</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5AA7AE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3,000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839CDE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5C9C020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6806F04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4CD57973"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2BC3C345"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Education Capital Maintenance 2023/24</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026E5B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364</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F485BE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55FB6BE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2966C6AC"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66E07AD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3F68BEF8"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34A10778"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Impulse Education Management System</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0A8668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95</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771298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B52B82B"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3F70365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4EE196F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6DDCFD18"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30731001"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Cardinal Newman 4G Pitch &amp; Changing Rooms</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939BD0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7154DAB"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75185B2"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2D82B8B6"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0AF4D6B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69C6392D"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51E675C8"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1141616F"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443A8C2"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2ADCE42"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60CE5ACB"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677E0D04"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r>
      <w:tr w:rsidR="000729CF" w:rsidRPr="000729CF" w14:paraId="4C85FAB3"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748C74AC" w14:textId="77777777" w:rsidR="000729CF" w:rsidRPr="000729CF" w:rsidRDefault="000729CF" w:rsidP="000729CF">
            <w:pPr>
              <w:rPr>
                <w:rFonts w:ascii="Calibri" w:hAnsi="Calibri" w:cs="Calibri"/>
                <w:b/>
                <w:bCs/>
                <w:sz w:val="22"/>
                <w:szCs w:val="22"/>
                <w:u w:val="single"/>
                <w:lang w:val="en-GB" w:eastAsia="en-GB"/>
              </w:rPr>
            </w:pPr>
            <w:r w:rsidRPr="000729CF">
              <w:rPr>
                <w:rFonts w:ascii="Calibri" w:hAnsi="Calibri" w:cs="Calibri"/>
                <w:b/>
                <w:bCs/>
                <w:sz w:val="22"/>
                <w:szCs w:val="22"/>
                <w:u w:val="single"/>
                <w:lang w:val="en-GB" w:eastAsia="en-GB"/>
              </w:rPr>
              <w:t>Identified Schemes Not Yet approved</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4B64D7F4"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6BD9403"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1E43844"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0B4F683E"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005EB658"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r>
      <w:tr w:rsidR="000729CF" w:rsidRPr="000729CF" w14:paraId="5F8FDCB7"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4AEF8FBA"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Education Capital Maintenance Grant</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6369AD9B"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3,750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83607BF"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3,700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BD40E9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3,650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113FA4E6"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3,600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51A5C55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3,600</w:t>
            </w:r>
          </w:p>
        </w:tc>
      </w:tr>
      <w:tr w:rsidR="000729CF" w:rsidRPr="000729CF" w14:paraId="00BA0F7A"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2D1330F9"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Devolved Formula Capital Grant</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544A87CA"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A48273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D15A38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500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52303D0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500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1FA10E9B"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500</w:t>
            </w:r>
          </w:p>
        </w:tc>
      </w:tr>
      <w:tr w:rsidR="000729CF" w:rsidRPr="000729CF" w14:paraId="26CD4A18"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7CF07383"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Structural Maintenance Contribution</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2F8C71A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9F041C6"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51180E5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500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22E9F48C"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500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04575E6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500</w:t>
            </w:r>
          </w:p>
        </w:tc>
      </w:tr>
      <w:tr w:rsidR="000729CF" w:rsidRPr="000729CF" w14:paraId="21070BDB"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2CA048CC"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Brighton Youth Centre</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1C1577E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EA6935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576E6A8F"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41FACB96"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4D6118F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272BF7CC" w14:textId="77777777" w:rsidTr="00BC26AB">
        <w:trPr>
          <w:trHeight w:val="20"/>
        </w:trPr>
        <w:tc>
          <w:tcPr>
            <w:tcW w:w="2797" w:type="pct"/>
            <w:tcBorders>
              <w:top w:val="single" w:sz="4" w:space="0" w:color="auto"/>
              <w:left w:val="single" w:sz="4" w:space="0" w:color="auto"/>
              <w:bottom w:val="single" w:sz="4" w:space="0" w:color="auto"/>
              <w:right w:val="single" w:sz="4" w:space="0" w:color="auto"/>
            </w:tcBorders>
            <w:shd w:val="clear" w:color="000000" w:fill="BFBFBF"/>
            <w:noWrap/>
            <w:tcMar>
              <w:left w:w="45" w:type="dxa"/>
              <w:right w:w="45" w:type="dxa"/>
            </w:tcMar>
            <w:vAlign w:val="bottom"/>
            <w:hideMark/>
          </w:tcPr>
          <w:p w14:paraId="265E816A" w14:textId="77777777" w:rsidR="000729CF" w:rsidRPr="000729CF" w:rsidRDefault="000729CF" w:rsidP="000729CF">
            <w:pPr>
              <w:rPr>
                <w:rFonts w:ascii="Calibri" w:hAnsi="Calibri" w:cs="Calibri"/>
                <w:b/>
                <w:bCs/>
                <w:sz w:val="22"/>
                <w:szCs w:val="22"/>
                <w:lang w:val="en-GB" w:eastAsia="en-GB"/>
              </w:rPr>
            </w:pPr>
            <w:r w:rsidRPr="000729CF">
              <w:rPr>
                <w:rFonts w:ascii="Calibri" w:hAnsi="Calibri" w:cs="Calibri"/>
                <w:b/>
                <w:bCs/>
                <w:sz w:val="22"/>
                <w:szCs w:val="22"/>
                <w:lang w:val="en-GB" w:eastAsia="en-GB"/>
              </w:rPr>
              <w:t>Total Families, Children &amp; Learning</w:t>
            </w:r>
          </w:p>
        </w:tc>
        <w:tc>
          <w:tcPr>
            <w:tcW w:w="447" w:type="pct"/>
            <w:tcBorders>
              <w:top w:val="single" w:sz="4" w:space="0" w:color="auto"/>
              <w:left w:val="nil"/>
              <w:bottom w:val="single" w:sz="4" w:space="0" w:color="auto"/>
              <w:right w:val="single" w:sz="4" w:space="0" w:color="auto"/>
            </w:tcBorders>
            <w:shd w:val="clear" w:color="000000" w:fill="BFBFBF"/>
            <w:noWrap/>
            <w:tcMar>
              <w:left w:w="45" w:type="dxa"/>
              <w:right w:w="45" w:type="dxa"/>
            </w:tcMar>
            <w:vAlign w:val="bottom"/>
            <w:hideMark/>
          </w:tcPr>
          <w:p w14:paraId="12978379"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11,736</w:t>
            </w:r>
          </w:p>
        </w:tc>
        <w:tc>
          <w:tcPr>
            <w:tcW w:w="447" w:type="pct"/>
            <w:tcBorders>
              <w:top w:val="single" w:sz="4" w:space="0" w:color="auto"/>
              <w:left w:val="nil"/>
              <w:bottom w:val="single" w:sz="4" w:space="0" w:color="auto"/>
              <w:right w:val="single" w:sz="4" w:space="0" w:color="auto"/>
            </w:tcBorders>
            <w:shd w:val="clear" w:color="000000" w:fill="BFBFBF"/>
            <w:noWrap/>
            <w:tcMar>
              <w:left w:w="45" w:type="dxa"/>
              <w:right w:w="45" w:type="dxa"/>
            </w:tcMar>
            <w:vAlign w:val="bottom"/>
            <w:hideMark/>
          </w:tcPr>
          <w:p w14:paraId="599B62C4"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13,812</w:t>
            </w:r>
          </w:p>
        </w:tc>
        <w:tc>
          <w:tcPr>
            <w:tcW w:w="447" w:type="pct"/>
            <w:tcBorders>
              <w:top w:val="single" w:sz="4" w:space="0" w:color="auto"/>
              <w:left w:val="nil"/>
              <w:bottom w:val="single" w:sz="4" w:space="0" w:color="auto"/>
              <w:right w:val="single" w:sz="4" w:space="0" w:color="auto"/>
            </w:tcBorders>
            <w:shd w:val="clear" w:color="000000" w:fill="BFBFBF"/>
            <w:noWrap/>
            <w:tcMar>
              <w:left w:w="45" w:type="dxa"/>
              <w:right w:w="45" w:type="dxa"/>
            </w:tcMar>
            <w:vAlign w:val="bottom"/>
            <w:hideMark/>
          </w:tcPr>
          <w:p w14:paraId="3928E0AE"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4,650</w:t>
            </w:r>
          </w:p>
        </w:tc>
        <w:tc>
          <w:tcPr>
            <w:tcW w:w="431" w:type="pct"/>
            <w:tcBorders>
              <w:top w:val="single" w:sz="4" w:space="0" w:color="auto"/>
              <w:left w:val="nil"/>
              <w:bottom w:val="single" w:sz="4" w:space="0" w:color="auto"/>
              <w:right w:val="single" w:sz="4" w:space="0" w:color="auto"/>
            </w:tcBorders>
            <w:shd w:val="clear" w:color="000000" w:fill="BFBFBF"/>
            <w:noWrap/>
            <w:tcMar>
              <w:left w:w="45" w:type="dxa"/>
              <w:right w:w="45" w:type="dxa"/>
            </w:tcMar>
            <w:vAlign w:val="bottom"/>
            <w:hideMark/>
          </w:tcPr>
          <w:p w14:paraId="70404721"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4,600</w:t>
            </w:r>
          </w:p>
        </w:tc>
        <w:tc>
          <w:tcPr>
            <w:tcW w:w="431" w:type="pct"/>
            <w:tcBorders>
              <w:top w:val="single" w:sz="4" w:space="0" w:color="auto"/>
              <w:left w:val="nil"/>
              <w:bottom w:val="single" w:sz="4" w:space="0" w:color="auto"/>
              <w:right w:val="single" w:sz="4" w:space="0" w:color="auto"/>
            </w:tcBorders>
            <w:shd w:val="clear" w:color="000000" w:fill="BFBFBF"/>
            <w:noWrap/>
            <w:tcMar>
              <w:left w:w="45" w:type="dxa"/>
              <w:right w:w="45" w:type="dxa"/>
            </w:tcMar>
            <w:vAlign w:val="bottom"/>
            <w:hideMark/>
          </w:tcPr>
          <w:p w14:paraId="6CF5A79C"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4,600</w:t>
            </w:r>
          </w:p>
        </w:tc>
      </w:tr>
    </w:tbl>
    <w:p w14:paraId="5CCE04C8" w14:textId="77777777" w:rsidR="000729CF" w:rsidRPr="000729CF" w:rsidRDefault="000729CF" w:rsidP="000729CF">
      <w:pPr>
        <w:spacing w:after="160" w:line="259" w:lineRule="auto"/>
        <w:rPr>
          <w:rFonts w:ascii="Calibri" w:eastAsia="Calibri" w:hAnsi="Calibri"/>
          <w:b/>
          <w:bCs/>
          <w:sz w:val="28"/>
          <w:szCs w:val="28"/>
          <w:lang w:val="en-GB"/>
        </w:rPr>
      </w:pPr>
    </w:p>
    <w:tbl>
      <w:tblPr>
        <w:tblW w:w="5000" w:type="pct"/>
        <w:tblLook w:val="04A0" w:firstRow="1" w:lastRow="0" w:firstColumn="1" w:lastColumn="0" w:noHBand="0" w:noVBand="1"/>
      </w:tblPr>
      <w:tblGrid>
        <w:gridCol w:w="8608"/>
        <w:gridCol w:w="1376"/>
        <w:gridCol w:w="1376"/>
        <w:gridCol w:w="1376"/>
        <w:gridCol w:w="1326"/>
        <w:gridCol w:w="1326"/>
      </w:tblGrid>
      <w:tr w:rsidR="000729CF" w:rsidRPr="000729CF" w14:paraId="45725768" w14:textId="77777777" w:rsidTr="000729CF">
        <w:trPr>
          <w:trHeight w:val="20"/>
        </w:trPr>
        <w:tc>
          <w:tcPr>
            <w:tcW w:w="2797" w:type="pct"/>
            <w:tcBorders>
              <w:top w:val="single" w:sz="4" w:space="0" w:color="auto"/>
              <w:left w:val="single" w:sz="4" w:space="0" w:color="auto"/>
              <w:bottom w:val="nil"/>
              <w:right w:val="single" w:sz="4" w:space="0" w:color="auto"/>
            </w:tcBorders>
            <w:shd w:val="clear" w:color="auto" w:fill="BFBFBF"/>
            <w:noWrap/>
            <w:tcMar>
              <w:left w:w="45" w:type="dxa"/>
              <w:right w:w="45" w:type="dxa"/>
            </w:tcMar>
            <w:vAlign w:val="bottom"/>
            <w:hideMark/>
          </w:tcPr>
          <w:p w14:paraId="669A44EB" w14:textId="77777777" w:rsidR="000729CF" w:rsidRPr="000729CF" w:rsidRDefault="000729CF" w:rsidP="000729CF">
            <w:pPr>
              <w:rPr>
                <w:rFonts w:ascii="Calibri" w:hAnsi="Calibri" w:cs="Calibri"/>
                <w:b/>
                <w:bCs/>
                <w:sz w:val="22"/>
                <w:szCs w:val="22"/>
                <w:lang w:val="en-GB" w:eastAsia="en-GB"/>
              </w:rPr>
            </w:pPr>
            <w:r w:rsidRPr="000729CF">
              <w:rPr>
                <w:rFonts w:ascii="Calibri" w:hAnsi="Calibri" w:cs="Calibri"/>
                <w:b/>
                <w:bCs/>
                <w:sz w:val="22"/>
                <w:szCs w:val="22"/>
                <w:lang w:val="en-GB" w:eastAsia="en-GB"/>
              </w:rPr>
              <w:t> </w:t>
            </w:r>
          </w:p>
        </w:tc>
        <w:tc>
          <w:tcPr>
            <w:tcW w:w="447" w:type="pct"/>
            <w:tcBorders>
              <w:top w:val="single" w:sz="4" w:space="0" w:color="auto"/>
              <w:left w:val="nil"/>
              <w:bottom w:val="nil"/>
              <w:right w:val="single" w:sz="4" w:space="0" w:color="auto"/>
            </w:tcBorders>
            <w:shd w:val="clear" w:color="auto" w:fill="BFBFBF"/>
            <w:tcMar>
              <w:left w:w="45" w:type="dxa"/>
              <w:right w:w="45" w:type="dxa"/>
            </w:tcMar>
            <w:vAlign w:val="bottom"/>
            <w:hideMark/>
          </w:tcPr>
          <w:p w14:paraId="4752EA86" w14:textId="77777777" w:rsidR="000729CF" w:rsidRPr="000729CF" w:rsidRDefault="000729CF" w:rsidP="000729CF">
            <w:pPr>
              <w:jc w:val="center"/>
              <w:rPr>
                <w:rFonts w:ascii="Calibri" w:hAnsi="Calibri" w:cs="Calibri"/>
                <w:sz w:val="22"/>
                <w:szCs w:val="22"/>
                <w:lang w:val="en-GB" w:eastAsia="en-GB"/>
              </w:rPr>
            </w:pPr>
            <w:r w:rsidRPr="000729CF">
              <w:rPr>
                <w:rFonts w:ascii="Calibri" w:hAnsi="Calibri" w:cs="Calibri"/>
                <w:sz w:val="22"/>
                <w:szCs w:val="22"/>
                <w:lang w:val="en-GB" w:eastAsia="en-GB"/>
              </w:rPr>
              <w:t>Year 1 Budget</w:t>
            </w:r>
          </w:p>
        </w:tc>
        <w:tc>
          <w:tcPr>
            <w:tcW w:w="447" w:type="pct"/>
            <w:tcBorders>
              <w:top w:val="single" w:sz="4" w:space="0" w:color="auto"/>
              <w:left w:val="nil"/>
              <w:bottom w:val="nil"/>
              <w:right w:val="single" w:sz="4" w:space="0" w:color="auto"/>
            </w:tcBorders>
            <w:shd w:val="clear" w:color="auto" w:fill="BFBFBF"/>
            <w:tcMar>
              <w:left w:w="45" w:type="dxa"/>
              <w:right w:w="45" w:type="dxa"/>
            </w:tcMar>
            <w:vAlign w:val="bottom"/>
            <w:hideMark/>
          </w:tcPr>
          <w:p w14:paraId="52FBF9E2" w14:textId="77777777" w:rsidR="000729CF" w:rsidRPr="000729CF" w:rsidRDefault="000729CF" w:rsidP="000729CF">
            <w:pPr>
              <w:jc w:val="center"/>
              <w:rPr>
                <w:rFonts w:ascii="Calibri" w:hAnsi="Calibri" w:cs="Calibri"/>
                <w:sz w:val="22"/>
                <w:szCs w:val="22"/>
                <w:lang w:val="en-GB" w:eastAsia="en-GB"/>
              </w:rPr>
            </w:pPr>
            <w:r w:rsidRPr="000729CF">
              <w:rPr>
                <w:rFonts w:ascii="Calibri" w:hAnsi="Calibri" w:cs="Calibri"/>
                <w:sz w:val="22"/>
                <w:szCs w:val="22"/>
                <w:lang w:val="en-GB" w:eastAsia="en-GB"/>
              </w:rPr>
              <w:t>Year 2 Budget</w:t>
            </w:r>
          </w:p>
        </w:tc>
        <w:tc>
          <w:tcPr>
            <w:tcW w:w="447" w:type="pct"/>
            <w:tcBorders>
              <w:top w:val="single" w:sz="4" w:space="0" w:color="auto"/>
              <w:left w:val="nil"/>
              <w:bottom w:val="nil"/>
              <w:right w:val="single" w:sz="4" w:space="0" w:color="auto"/>
            </w:tcBorders>
            <w:shd w:val="clear" w:color="auto" w:fill="BFBFBF"/>
            <w:tcMar>
              <w:left w:w="45" w:type="dxa"/>
              <w:right w:w="45" w:type="dxa"/>
            </w:tcMar>
            <w:vAlign w:val="bottom"/>
            <w:hideMark/>
          </w:tcPr>
          <w:p w14:paraId="27AE3FD3" w14:textId="77777777" w:rsidR="000729CF" w:rsidRPr="000729CF" w:rsidRDefault="000729CF" w:rsidP="000729CF">
            <w:pPr>
              <w:jc w:val="center"/>
              <w:rPr>
                <w:rFonts w:ascii="Calibri" w:hAnsi="Calibri" w:cs="Calibri"/>
                <w:sz w:val="22"/>
                <w:szCs w:val="22"/>
                <w:lang w:val="en-GB" w:eastAsia="en-GB"/>
              </w:rPr>
            </w:pPr>
            <w:r w:rsidRPr="000729CF">
              <w:rPr>
                <w:rFonts w:ascii="Calibri" w:hAnsi="Calibri" w:cs="Calibri"/>
                <w:sz w:val="22"/>
                <w:szCs w:val="22"/>
                <w:lang w:val="en-GB" w:eastAsia="en-GB"/>
              </w:rPr>
              <w:t>Year 3 Budget</w:t>
            </w:r>
          </w:p>
        </w:tc>
        <w:tc>
          <w:tcPr>
            <w:tcW w:w="431" w:type="pct"/>
            <w:tcBorders>
              <w:top w:val="single" w:sz="4" w:space="0" w:color="auto"/>
              <w:left w:val="nil"/>
              <w:bottom w:val="nil"/>
              <w:right w:val="single" w:sz="4" w:space="0" w:color="auto"/>
            </w:tcBorders>
            <w:shd w:val="clear" w:color="auto" w:fill="BFBFBF"/>
            <w:tcMar>
              <w:left w:w="45" w:type="dxa"/>
              <w:right w:w="45" w:type="dxa"/>
            </w:tcMar>
            <w:vAlign w:val="bottom"/>
            <w:hideMark/>
          </w:tcPr>
          <w:p w14:paraId="62D34AA1" w14:textId="77777777" w:rsidR="000729CF" w:rsidRPr="000729CF" w:rsidRDefault="000729CF" w:rsidP="000729CF">
            <w:pPr>
              <w:jc w:val="center"/>
              <w:rPr>
                <w:rFonts w:ascii="Calibri" w:hAnsi="Calibri" w:cs="Calibri"/>
                <w:sz w:val="22"/>
                <w:szCs w:val="22"/>
                <w:lang w:val="en-GB" w:eastAsia="en-GB"/>
              </w:rPr>
            </w:pPr>
            <w:r w:rsidRPr="000729CF">
              <w:rPr>
                <w:rFonts w:ascii="Calibri" w:hAnsi="Calibri" w:cs="Calibri"/>
                <w:sz w:val="22"/>
                <w:szCs w:val="22"/>
                <w:lang w:val="en-GB" w:eastAsia="en-GB"/>
              </w:rPr>
              <w:t>Year 4 Budget</w:t>
            </w:r>
          </w:p>
        </w:tc>
        <w:tc>
          <w:tcPr>
            <w:tcW w:w="431" w:type="pct"/>
            <w:tcBorders>
              <w:top w:val="single" w:sz="4" w:space="0" w:color="auto"/>
              <w:left w:val="nil"/>
              <w:bottom w:val="nil"/>
              <w:right w:val="single" w:sz="4" w:space="0" w:color="auto"/>
            </w:tcBorders>
            <w:shd w:val="clear" w:color="auto" w:fill="BFBFBF"/>
            <w:tcMar>
              <w:left w:w="45" w:type="dxa"/>
              <w:right w:w="45" w:type="dxa"/>
            </w:tcMar>
            <w:vAlign w:val="bottom"/>
            <w:hideMark/>
          </w:tcPr>
          <w:p w14:paraId="5EE2FF8B" w14:textId="77777777" w:rsidR="000729CF" w:rsidRPr="000729CF" w:rsidRDefault="000729CF" w:rsidP="000729CF">
            <w:pPr>
              <w:jc w:val="center"/>
              <w:rPr>
                <w:rFonts w:ascii="Calibri" w:hAnsi="Calibri" w:cs="Calibri"/>
                <w:sz w:val="22"/>
                <w:szCs w:val="22"/>
                <w:lang w:val="en-GB" w:eastAsia="en-GB"/>
              </w:rPr>
            </w:pPr>
            <w:r w:rsidRPr="000729CF">
              <w:rPr>
                <w:rFonts w:ascii="Calibri" w:hAnsi="Calibri" w:cs="Calibri"/>
                <w:sz w:val="22"/>
                <w:szCs w:val="22"/>
                <w:lang w:val="en-GB" w:eastAsia="en-GB"/>
              </w:rPr>
              <w:t>Year 5 Budget</w:t>
            </w:r>
          </w:p>
        </w:tc>
      </w:tr>
      <w:tr w:rsidR="000729CF" w:rsidRPr="000729CF" w14:paraId="04601A3C" w14:textId="77777777" w:rsidTr="000729CF">
        <w:trPr>
          <w:trHeight w:val="20"/>
        </w:trPr>
        <w:tc>
          <w:tcPr>
            <w:tcW w:w="2797" w:type="pct"/>
            <w:tcBorders>
              <w:top w:val="nil"/>
              <w:left w:val="single" w:sz="4" w:space="0" w:color="auto"/>
              <w:bottom w:val="nil"/>
              <w:right w:val="single" w:sz="4" w:space="0" w:color="auto"/>
            </w:tcBorders>
            <w:shd w:val="clear" w:color="auto" w:fill="BFBFBF"/>
            <w:noWrap/>
            <w:tcMar>
              <w:left w:w="45" w:type="dxa"/>
              <w:right w:w="45" w:type="dxa"/>
            </w:tcMar>
            <w:vAlign w:val="bottom"/>
            <w:hideMark/>
          </w:tcPr>
          <w:p w14:paraId="4E8FF770" w14:textId="77777777" w:rsidR="000729CF" w:rsidRPr="000729CF" w:rsidRDefault="000729CF" w:rsidP="000729CF">
            <w:pPr>
              <w:rPr>
                <w:rFonts w:ascii="Calibri" w:hAnsi="Calibri" w:cs="Calibri"/>
                <w:b/>
                <w:bCs/>
                <w:sz w:val="22"/>
                <w:szCs w:val="22"/>
                <w:lang w:val="en-GB" w:eastAsia="en-GB"/>
              </w:rPr>
            </w:pPr>
            <w:r w:rsidRPr="000729CF">
              <w:rPr>
                <w:rFonts w:ascii="Calibri" w:hAnsi="Calibri" w:cs="Calibri"/>
                <w:b/>
                <w:bCs/>
                <w:sz w:val="22"/>
                <w:szCs w:val="22"/>
                <w:lang w:val="en-GB" w:eastAsia="en-GB"/>
              </w:rPr>
              <w:t>Health &amp; Adult Social Care</w:t>
            </w:r>
          </w:p>
        </w:tc>
        <w:tc>
          <w:tcPr>
            <w:tcW w:w="447" w:type="pct"/>
            <w:tcBorders>
              <w:top w:val="single" w:sz="4" w:space="0" w:color="auto"/>
              <w:left w:val="nil"/>
              <w:bottom w:val="nil"/>
              <w:right w:val="single" w:sz="4" w:space="0" w:color="auto"/>
            </w:tcBorders>
            <w:shd w:val="clear" w:color="auto" w:fill="BFBFBF"/>
            <w:noWrap/>
            <w:tcMar>
              <w:left w:w="45" w:type="dxa"/>
              <w:right w:w="45" w:type="dxa"/>
            </w:tcMar>
            <w:vAlign w:val="bottom"/>
            <w:hideMark/>
          </w:tcPr>
          <w:p w14:paraId="0414688C"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2024/25</w:t>
            </w:r>
          </w:p>
        </w:tc>
        <w:tc>
          <w:tcPr>
            <w:tcW w:w="447" w:type="pct"/>
            <w:tcBorders>
              <w:top w:val="single" w:sz="4" w:space="0" w:color="auto"/>
              <w:left w:val="nil"/>
              <w:bottom w:val="nil"/>
              <w:right w:val="single" w:sz="4" w:space="0" w:color="auto"/>
            </w:tcBorders>
            <w:shd w:val="clear" w:color="auto" w:fill="BFBFBF"/>
            <w:noWrap/>
            <w:tcMar>
              <w:left w:w="45" w:type="dxa"/>
              <w:right w:w="45" w:type="dxa"/>
            </w:tcMar>
            <w:vAlign w:val="bottom"/>
            <w:hideMark/>
          </w:tcPr>
          <w:p w14:paraId="1DFB62B5"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2025/26</w:t>
            </w:r>
          </w:p>
        </w:tc>
        <w:tc>
          <w:tcPr>
            <w:tcW w:w="447" w:type="pct"/>
            <w:tcBorders>
              <w:top w:val="single" w:sz="4" w:space="0" w:color="auto"/>
              <w:left w:val="nil"/>
              <w:bottom w:val="nil"/>
              <w:right w:val="single" w:sz="4" w:space="0" w:color="auto"/>
            </w:tcBorders>
            <w:shd w:val="clear" w:color="auto" w:fill="BFBFBF"/>
            <w:noWrap/>
            <w:tcMar>
              <w:left w:w="45" w:type="dxa"/>
              <w:right w:w="45" w:type="dxa"/>
            </w:tcMar>
            <w:vAlign w:val="bottom"/>
            <w:hideMark/>
          </w:tcPr>
          <w:p w14:paraId="500674CC"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2026/27</w:t>
            </w:r>
          </w:p>
        </w:tc>
        <w:tc>
          <w:tcPr>
            <w:tcW w:w="431" w:type="pct"/>
            <w:tcBorders>
              <w:top w:val="single" w:sz="4" w:space="0" w:color="auto"/>
              <w:left w:val="nil"/>
              <w:bottom w:val="nil"/>
              <w:right w:val="single" w:sz="4" w:space="0" w:color="auto"/>
            </w:tcBorders>
            <w:shd w:val="clear" w:color="auto" w:fill="BFBFBF"/>
            <w:noWrap/>
            <w:tcMar>
              <w:left w:w="45" w:type="dxa"/>
              <w:right w:w="45" w:type="dxa"/>
            </w:tcMar>
            <w:vAlign w:val="bottom"/>
            <w:hideMark/>
          </w:tcPr>
          <w:p w14:paraId="22BB950C"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2027/28</w:t>
            </w:r>
          </w:p>
        </w:tc>
        <w:tc>
          <w:tcPr>
            <w:tcW w:w="431" w:type="pct"/>
            <w:tcBorders>
              <w:top w:val="single" w:sz="4" w:space="0" w:color="auto"/>
              <w:left w:val="nil"/>
              <w:bottom w:val="nil"/>
              <w:right w:val="single" w:sz="4" w:space="0" w:color="auto"/>
            </w:tcBorders>
            <w:shd w:val="clear" w:color="auto" w:fill="BFBFBF"/>
            <w:noWrap/>
            <w:tcMar>
              <w:left w:w="45" w:type="dxa"/>
              <w:right w:w="45" w:type="dxa"/>
            </w:tcMar>
            <w:vAlign w:val="bottom"/>
            <w:hideMark/>
          </w:tcPr>
          <w:p w14:paraId="1151A628"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2028/29</w:t>
            </w:r>
          </w:p>
        </w:tc>
      </w:tr>
      <w:tr w:rsidR="000729CF" w:rsidRPr="000729CF" w14:paraId="522C5E3A" w14:textId="77777777" w:rsidTr="000729CF">
        <w:trPr>
          <w:trHeight w:val="20"/>
        </w:trPr>
        <w:tc>
          <w:tcPr>
            <w:tcW w:w="2797" w:type="pct"/>
            <w:tcBorders>
              <w:top w:val="nil"/>
              <w:left w:val="single" w:sz="4" w:space="0" w:color="auto"/>
              <w:bottom w:val="single" w:sz="4" w:space="0" w:color="auto"/>
              <w:right w:val="single" w:sz="4" w:space="0" w:color="auto"/>
            </w:tcBorders>
            <w:shd w:val="clear" w:color="auto" w:fill="BFBFBF"/>
            <w:noWrap/>
            <w:tcMar>
              <w:left w:w="45" w:type="dxa"/>
              <w:right w:w="45" w:type="dxa"/>
            </w:tcMar>
            <w:vAlign w:val="bottom"/>
            <w:hideMark/>
          </w:tcPr>
          <w:p w14:paraId="75DB3122"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single" w:sz="4" w:space="0" w:color="auto"/>
              <w:right w:val="single" w:sz="4" w:space="0" w:color="auto"/>
            </w:tcBorders>
            <w:shd w:val="clear" w:color="auto" w:fill="BFBFBF"/>
            <w:noWrap/>
            <w:tcMar>
              <w:left w:w="45" w:type="dxa"/>
              <w:right w:w="45" w:type="dxa"/>
            </w:tcMar>
            <w:vAlign w:val="bottom"/>
            <w:hideMark/>
          </w:tcPr>
          <w:p w14:paraId="74F8CE2C"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£000</w:t>
            </w:r>
          </w:p>
        </w:tc>
        <w:tc>
          <w:tcPr>
            <w:tcW w:w="447" w:type="pct"/>
            <w:tcBorders>
              <w:top w:val="nil"/>
              <w:left w:val="nil"/>
              <w:bottom w:val="single" w:sz="4" w:space="0" w:color="auto"/>
              <w:right w:val="single" w:sz="4" w:space="0" w:color="auto"/>
            </w:tcBorders>
            <w:shd w:val="clear" w:color="auto" w:fill="BFBFBF"/>
            <w:noWrap/>
            <w:tcMar>
              <w:left w:w="45" w:type="dxa"/>
              <w:right w:w="45" w:type="dxa"/>
            </w:tcMar>
            <w:vAlign w:val="bottom"/>
            <w:hideMark/>
          </w:tcPr>
          <w:p w14:paraId="080A72B0"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£000</w:t>
            </w:r>
          </w:p>
        </w:tc>
        <w:tc>
          <w:tcPr>
            <w:tcW w:w="447" w:type="pct"/>
            <w:tcBorders>
              <w:top w:val="nil"/>
              <w:left w:val="nil"/>
              <w:bottom w:val="single" w:sz="4" w:space="0" w:color="auto"/>
              <w:right w:val="single" w:sz="4" w:space="0" w:color="auto"/>
            </w:tcBorders>
            <w:shd w:val="clear" w:color="auto" w:fill="BFBFBF"/>
            <w:noWrap/>
            <w:tcMar>
              <w:left w:w="45" w:type="dxa"/>
              <w:right w:w="45" w:type="dxa"/>
            </w:tcMar>
            <w:vAlign w:val="bottom"/>
            <w:hideMark/>
          </w:tcPr>
          <w:p w14:paraId="13DE716E"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£000</w:t>
            </w:r>
          </w:p>
        </w:tc>
        <w:tc>
          <w:tcPr>
            <w:tcW w:w="431" w:type="pct"/>
            <w:tcBorders>
              <w:top w:val="nil"/>
              <w:left w:val="nil"/>
              <w:bottom w:val="single" w:sz="4" w:space="0" w:color="auto"/>
              <w:right w:val="single" w:sz="4" w:space="0" w:color="auto"/>
            </w:tcBorders>
            <w:shd w:val="clear" w:color="auto" w:fill="BFBFBF"/>
            <w:noWrap/>
            <w:tcMar>
              <w:left w:w="45" w:type="dxa"/>
              <w:right w:w="45" w:type="dxa"/>
            </w:tcMar>
            <w:vAlign w:val="bottom"/>
            <w:hideMark/>
          </w:tcPr>
          <w:p w14:paraId="57B231DF"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£000</w:t>
            </w:r>
          </w:p>
        </w:tc>
        <w:tc>
          <w:tcPr>
            <w:tcW w:w="431" w:type="pct"/>
            <w:tcBorders>
              <w:top w:val="nil"/>
              <w:left w:val="nil"/>
              <w:bottom w:val="single" w:sz="4" w:space="0" w:color="auto"/>
              <w:right w:val="single" w:sz="4" w:space="0" w:color="auto"/>
            </w:tcBorders>
            <w:shd w:val="clear" w:color="auto" w:fill="BFBFBF"/>
            <w:noWrap/>
            <w:tcMar>
              <w:left w:w="45" w:type="dxa"/>
              <w:right w:w="45" w:type="dxa"/>
            </w:tcMar>
            <w:vAlign w:val="bottom"/>
            <w:hideMark/>
          </w:tcPr>
          <w:p w14:paraId="6A301898"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£000</w:t>
            </w:r>
          </w:p>
        </w:tc>
      </w:tr>
      <w:tr w:rsidR="000729CF" w:rsidRPr="000729CF" w14:paraId="70C8B854"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0B27BD33"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E92171C"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58D4EE3"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9181967"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5C93746F"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1FE6B55F"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r>
      <w:tr w:rsidR="000729CF" w:rsidRPr="000729CF" w14:paraId="4884F7A0" w14:textId="77777777" w:rsidTr="00BC26AB">
        <w:trPr>
          <w:trHeight w:val="20"/>
        </w:trPr>
        <w:tc>
          <w:tcPr>
            <w:tcW w:w="2797" w:type="pct"/>
            <w:tcBorders>
              <w:top w:val="nil"/>
              <w:left w:val="single" w:sz="4" w:space="0" w:color="auto"/>
              <w:right w:val="single" w:sz="4" w:space="0" w:color="auto"/>
            </w:tcBorders>
            <w:shd w:val="clear" w:color="auto" w:fill="auto"/>
            <w:noWrap/>
            <w:tcMar>
              <w:left w:w="45" w:type="dxa"/>
              <w:right w:w="45" w:type="dxa"/>
            </w:tcMar>
            <w:vAlign w:val="bottom"/>
            <w:hideMark/>
          </w:tcPr>
          <w:p w14:paraId="5F545EE8" w14:textId="77777777" w:rsidR="000729CF" w:rsidRPr="000729CF" w:rsidRDefault="000729CF" w:rsidP="000729CF">
            <w:pPr>
              <w:rPr>
                <w:rFonts w:ascii="Calibri" w:hAnsi="Calibri" w:cs="Calibri"/>
                <w:b/>
                <w:bCs/>
                <w:sz w:val="22"/>
                <w:szCs w:val="22"/>
                <w:u w:val="single"/>
                <w:lang w:val="en-GB" w:eastAsia="en-GB"/>
              </w:rPr>
            </w:pPr>
            <w:r w:rsidRPr="000729CF">
              <w:rPr>
                <w:rFonts w:ascii="Calibri" w:hAnsi="Calibri" w:cs="Calibri"/>
                <w:b/>
                <w:bCs/>
                <w:sz w:val="22"/>
                <w:szCs w:val="22"/>
                <w:u w:val="single"/>
                <w:lang w:val="en-GB" w:eastAsia="en-GB"/>
              </w:rPr>
              <w:t>Approved Schemes</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2C9D5CE"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541C0C69"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53150A69"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693D380E"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6C9C7016"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r>
      <w:tr w:rsidR="000729CF" w:rsidRPr="000729CF" w14:paraId="05199783"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301C83E0"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Knoll House Building Works</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50FBFE8B"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5,200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E60EFF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3,703</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7E3A06B"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128DE4B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688D058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33F43974"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41D6280C"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4FCB3BAF"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2BD94EC"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E06EE3C"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6AEE5F18"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55C2F9C1"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r>
      <w:tr w:rsidR="000729CF" w:rsidRPr="000729CF" w14:paraId="1A374DDB"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3B4CF6E6" w14:textId="77777777" w:rsidR="000729CF" w:rsidRPr="000729CF" w:rsidRDefault="000729CF" w:rsidP="000729CF">
            <w:pPr>
              <w:rPr>
                <w:rFonts w:ascii="Calibri" w:hAnsi="Calibri" w:cs="Calibri"/>
                <w:b/>
                <w:bCs/>
                <w:sz w:val="22"/>
                <w:szCs w:val="22"/>
                <w:u w:val="single"/>
                <w:lang w:val="en-GB" w:eastAsia="en-GB"/>
              </w:rPr>
            </w:pPr>
            <w:r w:rsidRPr="000729CF">
              <w:rPr>
                <w:rFonts w:ascii="Calibri" w:hAnsi="Calibri" w:cs="Calibri"/>
                <w:b/>
                <w:bCs/>
                <w:sz w:val="22"/>
                <w:szCs w:val="22"/>
                <w:u w:val="single"/>
                <w:lang w:val="en-GB" w:eastAsia="en-GB"/>
              </w:rPr>
              <w:t>Identified Schemes Not Yet approved</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12A8B4A4"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D26BE4F"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25FC886"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2F9C7ED8"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21BAE6DC"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r>
      <w:tr w:rsidR="000729CF" w:rsidRPr="000729CF" w14:paraId="1FE5C4C8"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56B28C6B"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Better Care Funding - Capital Grant</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1AC1D81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98C91F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0C7E0B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500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4F0459E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500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74F96D5F"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500</w:t>
            </w:r>
          </w:p>
        </w:tc>
      </w:tr>
      <w:tr w:rsidR="000729CF" w:rsidRPr="000729CF" w14:paraId="467C45F3" w14:textId="77777777" w:rsidTr="00BC26AB">
        <w:trPr>
          <w:trHeight w:val="20"/>
        </w:trPr>
        <w:tc>
          <w:tcPr>
            <w:tcW w:w="2797" w:type="pct"/>
            <w:tcBorders>
              <w:top w:val="single" w:sz="4" w:space="0" w:color="auto"/>
              <w:left w:val="single" w:sz="4" w:space="0" w:color="auto"/>
              <w:bottom w:val="single" w:sz="4" w:space="0" w:color="auto"/>
              <w:right w:val="single" w:sz="4" w:space="0" w:color="auto"/>
            </w:tcBorders>
            <w:shd w:val="clear" w:color="000000" w:fill="BFBFBF"/>
            <w:noWrap/>
            <w:tcMar>
              <w:left w:w="45" w:type="dxa"/>
              <w:right w:w="45" w:type="dxa"/>
            </w:tcMar>
            <w:vAlign w:val="bottom"/>
            <w:hideMark/>
          </w:tcPr>
          <w:p w14:paraId="4CBAFC74" w14:textId="77777777" w:rsidR="000729CF" w:rsidRPr="000729CF" w:rsidRDefault="000729CF" w:rsidP="000729CF">
            <w:pPr>
              <w:rPr>
                <w:rFonts w:ascii="Calibri" w:hAnsi="Calibri" w:cs="Calibri"/>
                <w:b/>
                <w:bCs/>
                <w:sz w:val="22"/>
                <w:szCs w:val="22"/>
                <w:lang w:val="en-GB" w:eastAsia="en-GB"/>
              </w:rPr>
            </w:pPr>
            <w:r w:rsidRPr="000729CF">
              <w:rPr>
                <w:rFonts w:ascii="Calibri" w:hAnsi="Calibri" w:cs="Calibri"/>
                <w:b/>
                <w:bCs/>
                <w:sz w:val="22"/>
                <w:szCs w:val="22"/>
                <w:lang w:val="en-GB" w:eastAsia="en-GB"/>
              </w:rPr>
              <w:t>Total Health &amp; Adult Social Care</w:t>
            </w:r>
          </w:p>
        </w:tc>
        <w:tc>
          <w:tcPr>
            <w:tcW w:w="447" w:type="pct"/>
            <w:tcBorders>
              <w:top w:val="single" w:sz="4" w:space="0" w:color="auto"/>
              <w:left w:val="nil"/>
              <w:bottom w:val="single" w:sz="4" w:space="0" w:color="auto"/>
              <w:right w:val="single" w:sz="4" w:space="0" w:color="auto"/>
            </w:tcBorders>
            <w:shd w:val="clear" w:color="000000" w:fill="BFBFBF"/>
            <w:noWrap/>
            <w:tcMar>
              <w:left w:w="45" w:type="dxa"/>
              <w:right w:w="45" w:type="dxa"/>
            </w:tcMar>
            <w:vAlign w:val="bottom"/>
            <w:hideMark/>
          </w:tcPr>
          <w:p w14:paraId="3C73D924"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5,700</w:t>
            </w:r>
          </w:p>
        </w:tc>
        <w:tc>
          <w:tcPr>
            <w:tcW w:w="447" w:type="pct"/>
            <w:tcBorders>
              <w:top w:val="single" w:sz="4" w:space="0" w:color="auto"/>
              <w:left w:val="nil"/>
              <w:bottom w:val="single" w:sz="4" w:space="0" w:color="auto"/>
              <w:right w:val="single" w:sz="4" w:space="0" w:color="auto"/>
            </w:tcBorders>
            <w:shd w:val="clear" w:color="000000" w:fill="BFBFBF"/>
            <w:noWrap/>
            <w:tcMar>
              <w:left w:w="45" w:type="dxa"/>
              <w:right w:w="45" w:type="dxa"/>
            </w:tcMar>
            <w:vAlign w:val="bottom"/>
            <w:hideMark/>
          </w:tcPr>
          <w:p w14:paraId="435DFC3D"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4,203</w:t>
            </w:r>
          </w:p>
        </w:tc>
        <w:tc>
          <w:tcPr>
            <w:tcW w:w="447" w:type="pct"/>
            <w:tcBorders>
              <w:top w:val="single" w:sz="4" w:space="0" w:color="auto"/>
              <w:left w:val="nil"/>
              <w:bottom w:val="single" w:sz="4" w:space="0" w:color="auto"/>
              <w:right w:val="single" w:sz="4" w:space="0" w:color="auto"/>
            </w:tcBorders>
            <w:shd w:val="clear" w:color="000000" w:fill="BFBFBF"/>
            <w:noWrap/>
            <w:tcMar>
              <w:left w:w="45" w:type="dxa"/>
              <w:right w:w="45" w:type="dxa"/>
            </w:tcMar>
            <w:vAlign w:val="bottom"/>
            <w:hideMark/>
          </w:tcPr>
          <w:p w14:paraId="07A298EA"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500</w:t>
            </w:r>
          </w:p>
        </w:tc>
        <w:tc>
          <w:tcPr>
            <w:tcW w:w="431" w:type="pct"/>
            <w:tcBorders>
              <w:top w:val="single" w:sz="4" w:space="0" w:color="auto"/>
              <w:left w:val="nil"/>
              <w:bottom w:val="single" w:sz="4" w:space="0" w:color="auto"/>
              <w:right w:val="single" w:sz="4" w:space="0" w:color="auto"/>
            </w:tcBorders>
            <w:shd w:val="clear" w:color="000000" w:fill="BFBFBF"/>
            <w:noWrap/>
            <w:tcMar>
              <w:left w:w="45" w:type="dxa"/>
              <w:right w:w="45" w:type="dxa"/>
            </w:tcMar>
            <w:vAlign w:val="bottom"/>
            <w:hideMark/>
          </w:tcPr>
          <w:p w14:paraId="03D0F9F1"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500</w:t>
            </w:r>
          </w:p>
        </w:tc>
        <w:tc>
          <w:tcPr>
            <w:tcW w:w="431" w:type="pct"/>
            <w:tcBorders>
              <w:top w:val="single" w:sz="4" w:space="0" w:color="auto"/>
              <w:left w:val="nil"/>
              <w:bottom w:val="single" w:sz="4" w:space="0" w:color="auto"/>
              <w:right w:val="single" w:sz="4" w:space="0" w:color="auto"/>
            </w:tcBorders>
            <w:shd w:val="clear" w:color="000000" w:fill="BFBFBF"/>
            <w:noWrap/>
            <w:tcMar>
              <w:left w:w="45" w:type="dxa"/>
              <w:right w:w="45" w:type="dxa"/>
            </w:tcMar>
            <w:vAlign w:val="bottom"/>
            <w:hideMark/>
          </w:tcPr>
          <w:p w14:paraId="0311371F"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500</w:t>
            </w:r>
          </w:p>
        </w:tc>
      </w:tr>
    </w:tbl>
    <w:p w14:paraId="28946322" w14:textId="77777777" w:rsidR="000729CF" w:rsidRPr="000729CF" w:rsidRDefault="000729CF" w:rsidP="000729CF">
      <w:pPr>
        <w:spacing w:after="160" w:line="259" w:lineRule="auto"/>
        <w:rPr>
          <w:rFonts w:ascii="Calibri" w:eastAsia="Calibri" w:hAnsi="Calibri"/>
          <w:b/>
          <w:bCs/>
          <w:sz w:val="28"/>
          <w:szCs w:val="28"/>
          <w:lang w:val="en-GB"/>
        </w:rPr>
      </w:pPr>
    </w:p>
    <w:p w14:paraId="5FABD063" w14:textId="77777777" w:rsidR="000729CF" w:rsidRPr="000729CF" w:rsidRDefault="000729CF" w:rsidP="000729CF">
      <w:pPr>
        <w:spacing w:after="160" w:line="259" w:lineRule="auto"/>
        <w:rPr>
          <w:rFonts w:ascii="Calibri" w:eastAsia="Calibri" w:hAnsi="Calibri"/>
          <w:b/>
          <w:bCs/>
          <w:sz w:val="28"/>
          <w:szCs w:val="28"/>
          <w:lang w:val="en-GB"/>
        </w:rPr>
      </w:pPr>
    </w:p>
    <w:tbl>
      <w:tblPr>
        <w:tblW w:w="5000" w:type="pct"/>
        <w:tblLook w:val="04A0" w:firstRow="1" w:lastRow="0" w:firstColumn="1" w:lastColumn="0" w:noHBand="0" w:noVBand="1"/>
      </w:tblPr>
      <w:tblGrid>
        <w:gridCol w:w="8608"/>
        <w:gridCol w:w="1376"/>
        <w:gridCol w:w="1376"/>
        <w:gridCol w:w="1376"/>
        <w:gridCol w:w="1326"/>
        <w:gridCol w:w="1326"/>
      </w:tblGrid>
      <w:tr w:rsidR="000729CF" w:rsidRPr="000729CF" w14:paraId="243BD7E2" w14:textId="77777777" w:rsidTr="000729CF">
        <w:trPr>
          <w:trHeight w:val="20"/>
          <w:tblHeader/>
        </w:trPr>
        <w:tc>
          <w:tcPr>
            <w:tcW w:w="2797" w:type="pct"/>
            <w:tcBorders>
              <w:top w:val="single" w:sz="4" w:space="0" w:color="auto"/>
              <w:left w:val="single" w:sz="4" w:space="0" w:color="auto"/>
              <w:bottom w:val="nil"/>
              <w:right w:val="single" w:sz="4" w:space="0" w:color="auto"/>
            </w:tcBorders>
            <w:shd w:val="clear" w:color="auto" w:fill="BFBFBF"/>
            <w:noWrap/>
            <w:tcMar>
              <w:left w:w="45" w:type="dxa"/>
              <w:right w:w="45" w:type="dxa"/>
            </w:tcMar>
            <w:vAlign w:val="bottom"/>
            <w:hideMark/>
          </w:tcPr>
          <w:p w14:paraId="5D665947" w14:textId="77777777" w:rsidR="000729CF" w:rsidRPr="000729CF" w:rsidRDefault="000729CF" w:rsidP="000729CF">
            <w:pPr>
              <w:rPr>
                <w:rFonts w:ascii="Calibri" w:hAnsi="Calibri" w:cs="Calibri"/>
                <w:b/>
                <w:bCs/>
                <w:sz w:val="22"/>
                <w:szCs w:val="22"/>
                <w:lang w:val="en-GB" w:eastAsia="en-GB"/>
              </w:rPr>
            </w:pPr>
            <w:r w:rsidRPr="000729CF">
              <w:rPr>
                <w:rFonts w:ascii="Calibri" w:hAnsi="Calibri" w:cs="Calibri"/>
                <w:b/>
                <w:bCs/>
                <w:sz w:val="22"/>
                <w:szCs w:val="22"/>
                <w:lang w:val="en-GB" w:eastAsia="en-GB"/>
              </w:rPr>
              <w:t> </w:t>
            </w:r>
          </w:p>
        </w:tc>
        <w:tc>
          <w:tcPr>
            <w:tcW w:w="447" w:type="pct"/>
            <w:tcBorders>
              <w:top w:val="single" w:sz="4" w:space="0" w:color="auto"/>
              <w:left w:val="nil"/>
              <w:bottom w:val="nil"/>
              <w:right w:val="single" w:sz="4" w:space="0" w:color="auto"/>
            </w:tcBorders>
            <w:shd w:val="clear" w:color="auto" w:fill="BFBFBF"/>
            <w:tcMar>
              <w:left w:w="45" w:type="dxa"/>
              <w:right w:w="45" w:type="dxa"/>
            </w:tcMar>
            <w:vAlign w:val="bottom"/>
            <w:hideMark/>
          </w:tcPr>
          <w:p w14:paraId="3A7BE78A" w14:textId="77777777" w:rsidR="000729CF" w:rsidRPr="000729CF" w:rsidRDefault="000729CF" w:rsidP="000729CF">
            <w:pPr>
              <w:jc w:val="center"/>
              <w:rPr>
                <w:rFonts w:ascii="Calibri" w:hAnsi="Calibri" w:cs="Calibri"/>
                <w:sz w:val="22"/>
                <w:szCs w:val="22"/>
                <w:lang w:val="en-GB" w:eastAsia="en-GB"/>
              </w:rPr>
            </w:pPr>
            <w:r w:rsidRPr="000729CF">
              <w:rPr>
                <w:rFonts w:ascii="Calibri" w:hAnsi="Calibri" w:cs="Calibri"/>
                <w:sz w:val="22"/>
                <w:szCs w:val="22"/>
                <w:lang w:val="en-GB" w:eastAsia="en-GB"/>
              </w:rPr>
              <w:t>Year 1 Budget</w:t>
            </w:r>
          </w:p>
        </w:tc>
        <w:tc>
          <w:tcPr>
            <w:tcW w:w="447" w:type="pct"/>
            <w:tcBorders>
              <w:top w:val="single" w:sz="4" w:space="0" w:color="auto"/>
              <w:left w:val="nil"/>
              <w:bottom w:val="nil"/>
              <w:right w:val="single" w:sz="4" w:space="0" w:color="auto"/>
            </w:tcBorders>
            <w:shd w:val="clear" w:color="auto" w:fill="BFBFBF"/>
            <w:tcMar>
              <w:left w:w="45" w:type="dxa"/>
              <w:right w:w="45" w:type="dxa"/>
            </w:tcMar>
            <w:vAlign w:val="bottom"/>
            <w:hideMark/>
          </w:tcPr>
          <w:p w14:paraId="3E6E5E71" w14:textId="77777777" w:rsidR="000729CF" w:rsidRPr="000729CF" w:rsidRDefault="000729CF" w:rsidP="000729CF">
            <w:pPr>
              <w:jc w:val="center"/>
              <w:rPr>
                <w:rFonts w:ascii="Calibri" w:hAnsi="Calibri" w:cs="Calibri"/>
                <w:sz w:val="22"/>
                <w:szCs w:val="22"/>
                <w:lang w:val="en-GB" w:eastAsia="en-GB"/>
              </w:rPr>
            </w:pPr>
            <w:r w:rsidRPr="000729CF">
              <w:rPr>
                <w:rFonts w:ascii="Calibri" w:hAnsi="Calibri" w:cs="Calibri"/>
                <w:sz w:val="22"/>
                <w:szCs w:val="22"/>
                <w:lang w:val="en-GB" w:eastAsia="en-GB"/>
              </w:rPr>
              <w:t>Year 2 Budget</w:t>
            </w:r>
          </w:p>
        </w:tc>
        <w:tc>
          <w:tcPr>
            <w:tcW w:w="447" w:type="pct"/>
            <w:tcBorders>
              <w:top w:val="single" w:sz="4" w:space="0" w:color="auto"/>
              <w:left w:val="nil"/>
              <w:bottom w:val="nil"/>
              <w:right w:val="single" w:sz="4" w:space="0" w:color="auto"/>
            </w:tcBorders>
            <w:shd w:val="clear" w:color="auto" w:fill="BFBFBF"/>
            <w:tcMar>
              <w:left w:w="45" w:type="dxa"/>
              <w:right w:w="45" w:type="dxa"/>
            </w:tcMar>
            <w:vAlign w:val="bottom"/>
            <w:hideMark/>
          </w:tcPr>
          <w:p w14:paraId="2B29EF91" w14:textId="77777777" w:rsidR="000729CF" w:rsidRPr="000729CF" w:rsidRDefault="000729CF" w:rsidP="000729CF">
            <w:pPr>
              <w:jc w:val="center"/>
              <w:rPr>
                <w:rFonts w:ascii="Calibri" w:hAnsi="Calibri" w:cs="Calibri"/>
                <w:sz w:val="22"/>
                <w:szCs w:val="22"/>
                <w:lang w:val="en-GB" w:eastAsia="en-GB"/>
              </w:rPr>
            </w:pPr>
            <w:r w:rsidRPr="000729CF">
              <w:rPr>
                <w:rFonts w:ascii="Calibri" w:hAnsi="Calibri" w:cs="Calibri"/>
                <w:sz w:val="22"/>
                <w:szCs w:val="22"/>
                <w:lang w:val="en-GB" w:eastAsia="en-GB"/>
              </w:rPr>
              <w:t>Year 3 Budget</w:t>
            </w:r>
          </w:p>
        </w:tc>
        <w:tc>
          <w:tcPr>
            <w:tcW w:w="431" w:type="pct"/>
            <w:tcBorders>
              <w:top w:val="single" w:sz="4" w:space="0" w:color="auto"/>
              <w:left w:val="nil"/>
              <w:bottom w:val="nil"/>
              <w:right w:val="single" w:sz="4" w:space="0" w:color="auto"/>
            </w:tcBorders>
            <w:shd w:val="clear" w:color="auto" w:fill="BFBFBF"/>
            <w:tcMar>
              <w:left w:w="45" w:type="dxa"/>
              <w:right w:w="45" w:type="dxa"/>
            </w:tcMar>
            <w:vAlign w:val="bottom"/>
            <w:hideMark/>
          </w:tcPr>
          <w:p w14:paraId="02D85157" w14:textId="77777777" w:rsidR="000729CF" w:rsidRPr="000729CF" w:rsidRDefault="000729CF" w:rsidP="000729CF">
            <w:pPr>
              <w:jc w:val="center"/>
              <w:rPr>
                <w:rFonts w:ascii="Calibri" w:hAnsi="Calibri" w:cs="Calibri"/>
                <w:sz w:val="22"/>
                <w:szCs w:val="22"/>
                <w:lang w:val="en-GB" w:eastAsia="en-GB"/>
              </w:rPr>
            </w:pPr>
            <w:r w:rsidRPr="000729CF">
              <w:rPr>
                <w:rFonts w:ascii="Calibri" w:hAnsi="Calibri" w:cs="Calibri"/>
                <w:sz w:val="22"/>
                <w:szCs w:val="22"/>
                <w:lang w:val="en-GB" w:eastAsia="en-GB"/>
              </w:rPr>
              <w:t>Year 4 Budget</w:t>
            </w:r>
          </w:p>
        </w:tc>
        <w:tc>
          <w:tcPr>
            <w:tcW w:w="431" w:type="pct"/>
            <w:tcBorders>
              <w:top w:val="single" w:sz="4" w:space="0" w:color="auto"/>
              <w:left w:val="nil"/>
              <w:bottom w:val="nil"/>
              <w:right w:val="single" w:sz="4" w:space="0" w:color="auto"/>
            </w:tcBorders>
            <w:shd w:val="clear" w:color="auto" w:fill="BFBFBF"/>
            <w:tcMar>
              <w:left w:w="45" w:type="dxa"/>
              <w:right w:w="45" w:type="dxa"/>
            </w:tcMar>
            <w:vAlign w:val="bottom"/>
            <w:hideMark/>
          </w:tcPr>
          <w:p w14:paraId="3FB52AE8" w14:textId="77777777" w:rsidR="000729CF" w:rsidRPr="000729CF" w:rsidRDefault="000729CF" w:rsidP="000729CF">
            <w:pPr>
              <w:jc w:val="center"/>
              <w:rPr>
                <w:rFonts w:ascii="Calibri" w:hAnsi="Calibri" w:cs="Calibri"/>
                <w:sz w:val="22"/>
                <w:szCs w:val="22"/>
                <w:lang w:val="en-GB" w:eastAsia="en-GB"/>
              </w:rPr>
            </w:pPr>
            <w:r w:rsidRPr="000729CF">
              <w:rPr>
                <w:rFonts w:ascii="Calibri" w:hAnsi="Calibri" w:cs="Calibri"/>
                <w:sz w:val="22"/>
                <w:szCs w:val="22"/>
                <w:lang w:val="en-GB" w:eastAsia="en-GB"/>
              </w:rPr>
              <w:t>Year 5 Budget</w:t>
            </w:r>
          </w:p>
        </w:tc>
      </w:tr>
      <w:tr w:rsidR="000729CF" w:rsidRPr="000729CF" w14:paraId="2FF5931B" w14:textId="77777777" w:rsidTr="000729CF">
        <w:trPr>
          <w:trHeight w:val="20"/>
          <w:tblHeader/>
        </w:trPr>
        <w:tc>
          <w:tcPr>
            <w:tcW w:w="2797" w:type="pct"/>
            <w:tcBorders>
              <w:top w:val="nil"/>
              <w:left w:val="single" w:sz="4" w:space="0" w:color="auto"/>
              <w:bottom w:val="nil"/>
              <w:right w:val="single" w:sz="4" w:space="0" w:color="auto"/>
            </w:tcBorders>
            <w:shd w:val="clear" w:color="auto" w:fill="BFBFBF"/>
            <w:noWrap/>
            <w:tcMar>
              <w:left w:w="45" w:type="dxa"/>
              <w:right w:w="45" w:type="dxa"/>
            </w:tcMar>
            <w:vAlign w:val="bottom"/>
            <w:hideMark/>
          </w:tcPr>
          <w:p w14:paraId="26D5BC2A" w14:textId="77777777" w:rsidR="000729CF" w:rsidRPr="000729CF" w:rsidRDefault="000729CF" w:rsidP="000729CF">
            <w:pPr>
              <w:rPr>
                <w:rFonts w:ascii="Calibri" w:hAnsi="Calibri" w:cs="Calibri"/>
                <w:b/>
                <w:bCs/>
                <w:sz w:val="22"/>
                <w:szCs w:val="22"/>
                <w:lang w:val="en-GB" w:eastAsia="en-GB"/>
              </w:rPr>
            </w:pPr>
            <w:r w:rsidRPr="000729CF">
              <w:rPr>
                <w:rFonts w:ascii="Calibri" w:hAnsi="Calibri" w:cs="Calibri"/>
                <w:b/>
                <w:bCs/>
                <w:sz w:val="22"/>
                <w:szCs w:val="22"/>
                <w:lang w:val="en-GB" w:eastAsia="en-GB"/>
              </w:rPr>
              <w:t>Economy, Environment &amp; Culture</w:t>
            </w:r>
          </w:p>
        </w:tc>
        <w:tc>
          <w:tcPr>
            <w:tcW w:w="447" w:type="pct"/>
            <w:tcBorders>
              <w:top w:val="single" w:sz="4" w:space="0" w:color="auto"/>
              <w:left w:val="nil"/>
              <w:bottom w:val="nil"/>
              <w:right w:val="single" w:sz="4" w:space="0" w:color="auto"/>
            </w:tcBorders>
            <w:shd w:val="clear" w:color="auto" w:fill="BFBFBF"/>
            <w:noWrap/>
            <w:tcMar>
              <w:left w:w="45" w:type="dxa"/>
              <w:right w:w="45" w:type="dxa"/>
            </w:tcMar>
            <w:vAlign w:val="bottom"/>
            <w:hideMark/>
          </w:tcPr>
          <w:p w14:paraId="70A06089"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2024/25</w:t>
            </w:r>
          </w:p>
        </w:tc>
        <w:tc>
          <w:tcPr>
            <w:tcW w:w="447" w:type="pct"/>
            <w:tcBorders>
              <w:top w:val="single" w:sz="4" w:space="0" w:color="auto"/>
              <w:left w:val="nil"/>
              <w:bottom w:val="nil"/>
              <w:right w:val="single" w:sz="4" w:space="0" w:color="auto"/>
            </w:tcBorders>
            <w:shd w:val="clear" w:color="auto" w:fill="BFBFBF"/>
            <w:noWrap/>
            <w:tcMar>
              <w:left w:w="45" w:type="dxa"/>
              <w:right w:w="45" w:type="dxa"/>
            </w:tcMar>
            <w:vAlign w:val="bottom"/>
            <w:hideMark/>
          </w:tcPr>
          <w:p w14:paraId="53A45A56"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2025/26</w:t>
            </w:r>
          </w:p>
        </w:tc>
        <w:tc>
          <w:tcPr>
            <w:tcW w:w="447" w:type="pct"/>
            <w:tcBorders>
              <w:top w:val="single" w:sz="4" w:space="0" w:color="auto"/>
              <w:left w:val="nil"/>
              <w:bottom w:val="nil"/>
              <w:right w:val="single" w:sz="4" w:space="0" w:color="auto"/>
            </w:tcBorders>
            <w:shd w:val="clear" w:color="auto" w:fill="BFBFBF"/>
            <w:noWrap/>
            <w:tcMar>
              <w:left w:w="45" w:type="dxa"/>
              <w:right w:w="45" w:type="dxa"/>
            </w:tcMar>
            <w:vAlign w:val="bottom"/>
            <w:hideMark/>
          </w:tcPr>
          <w:p w14:paraId="632A64BD"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2026/27</w:t>
            </w:r>
          </w:p>
        </w:tc>
        <w:tc>
          <w:tcPr>
            <w:tcW w:w="431" w:type="pct"/>
            <w:tcBorders>
              <w:top w:val="single" w:sz="4" w:space="0" w:color="auto"/>
              <w:left w:val="nil"/>
              <w:bottom w:val="nil"/>
              <w:right w:val="single" w:sz="4" w:space="0" w:color="auto"/>
            </w:tcBorders>
            <w:shd w:val="clear" w:color="auto" w:fill="BFBFBF"/>
            <w:noWrap/>
            <w:tcMar>
              <w:left w:w="45" w:type="dxa"/>
              <w:right w:w="45" w:type="dxa"/>
            </w:tcMar>
            <w:vAlign w:val="bottom"/>
            <w:hideMark/>
          </w:tcPr>
          <w:p w14:paraId="6C679C25"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2027/28</w:t>
            </w:r>
          </w:p>
        </w:tc>
        <w:tc>
          <w:tcPr>
            <w:tcW w:w="431" w:type="pct"/>
            <w:tcBorders>
              <w:top w:val="single" w:sz="4" w:space="0" w:color="auto"/>
              <w:left w:val="nil"/>
              <w:bottom w:val="nil"/>
              <w:right w:val="single" w:sz="4" w:space="0" w:color="auto"/>
            </w:tcBorders>
            <w:shd w:val="clear" w:color="auto" w:fill="BFBFBF"/>
            <w:noWrap/>
            <w:tcMar>
              <w:left w:w="45" w:type="dxa"/>
              <w:right w:w="45" w:type="dxa"/>
            </w:tcMar>
            <w:vAlign w:val="bottom"/>
            <w:hideMark/>
          </w:tcPr>
          <w:p w14:paraId="5DDE3073"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2028/29</w:t>
            </w:r>
          </w:p>
        </w:tc>
      </w:tr>
      <w:tr w:rsidR="000729CF" w:rsidRPr="000729CF" w14:paraId="77F652E4" w14:textId="77777777" w:rsidTr="000729CF">
        <w:trPr>
          <w:trHeight w:val="20"/>
          <w:tblHeader/>
        </w:trPr>
        <w:tc>
          <w:tcPr>
            <w:tcW w:w="2797" w:type="pct"/>
            <w:tcBorders>
              <w:top w:val="nil"/>
              <w:left w:val="single" w:sz="4" w:space="0" w:color="auto"/>
              <w:bottom w:val="single" w:sz="4" w:space="0" w:color="auto"/>
              <w:right w:val="single" w:sz="4" w:space="0" w:color="auto"/>
            </w:tcBorders>
            <w:shd w:val="clear" w:color="auto" w:fill="BFBFBF"/>
            <w:noWrap/>
            <w:tcMar>
              <w:left w:w="45" w:type="dxa"/>
              <w:right w:w="45" w:type="dxa"/>
            </w:tcMar>
            <w:vAlign w:val="bottom"/>
            <w:hideMark/>
          </w:tcPr>
          <w:p w14:paraId="7B1938CA"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single" w:sz="4" w:space="0" w:color="auto"/>
              <w:right w:val="single" w:sz="4" w:space="0" w:color="auto"/>
            </w:tcBorders>
            <w:shd w:val="clear" w:color="auto" w:fill="BFBFBF"/>
            <w:noWrap/>
            <w:tcMar>
              <w:left w:w="45" w:type="dxa"/>
              <w:right w:w="45" w:type="dxa"/>
            </w:tcMar>
            <w:vAlign w:val="bottom"/>
            <w:hideMark/>
          </w:tcPr>
          <w:p w14:paraId="11A49040"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£000</w:t>
            </w:r>
          </w:p>
        </w:tc>
        <w:tc>
          <w:tcPr>
            <w:tcW w:w="447" w:type="pct"/>
            <w:tcBorders>
              <w:top w:val="nil"/>
              <w:left w:val="nil"/>
              <w:bottom w:val="single" w:sz="4" w:space="0" w:color="auto"/>
              <w:right w:val="single" w:sz="4" w:space="0" w:color="auto"/>
            </w:tcBorders>
            <w:shd w:val="clear" w:color="auto" w:fill="BFBFBF"/>
            <w:noWrap/>
            <w:tcMar>
              <w:left w:w="45" w:type="dxa"/>
              <w:right w:w="45" w:type="dxa"/>
            </w:tcMar>
            <w:vAlign w:val="bottom"/>
            <w:hideMark/>
          </w:tcPr>
          <w:p w14:paraId="713EAC42"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£000</w:t>
            </w:r>
          </w:p>
        </w:tc>
        <w:tc>
          <w:tcPr>
            <w:tcW w:w="447" w:type="pct"/>
            <w:tcBorders>
              <w:top w:val="nil"/>
              <w:left w:val="nil"/>
              <w:bottom w:val="single" w:sz="4" w:space="0" w:color="auto"/>
              <w:right w:val="single" w:sz="4" w:space="0" w:color="auto"/>
            </w:tcBorders>
            <w:shd w:val="clear" w:color="auto" w:fill="BFBFBF"/>
            <w:noWrap/>
            <w:tcMar>
              <w:left w:w="45" w:type="dxa"/>
              <w:right w:w="45" w:type="dxa"/>
            </w:tcMar>
            <w:vAlign w:val="bottom"/>
            <w:hideMark/>
          </w:tcPr>
          <w:p w14:paraId="0C6344FC"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£000</w:t>
            </w:r>
          </w:p>
        </w:tc>
        <w:tc>
          <w:tcPr>
            <w:tcW w:w="431" w:type="pct"/>
            <w:tcBorders>
              <w:top w:val="nil"/>
              <w:left w:val="nil"/>
              <w:bottom w:val="single" w:sz="4" w:space="0" w:color="auto"/>
              <w:right w:val="single" w:sz="4" w:space="0" w:color="auto"/>
            </w:tcBorders>
            <w:shd w:val="clear" w:color="auto" w:fill="BFBFBF"/>
            <w:noWrap/>
            <w:tcMar>
              <w:left w:w="45" w:type="dxa"/>
              <w:right w:w="45" w:type="dxa"/>
            </w:tcMar>
            <w:vAlign w:val="bottom"/>
            <w:hideMark/>
          </w:tcPr>
          <w:p w14:paraId="575A2554"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£000</w:t>
            </w:r>
          </w:p>
        </w:tc>
        <w:tc>
          <w:tcPr>
            <w:tcW w:w="431" w:type="pct"/>
            <w:tcBorders>
              <w:top w:val="nil"/>
              <w:left w:val="nil"/>
              <w:bottom w:val="single" w:sz="4" w:space="0" w:color="auto"/>
              <w:right w:val="single" w:sz="4" w:space="0" w:color="auto"/>
            </w:tcBorders>
            <w:shd w:val="clear" w:color="auto" w:fill="BFBFBF"/>
            <w:noWrap/>
            <w:tcMar>
              <w:left w:w="45" w:type="dxa"/>
              <w:right w:w="45" w:type="dxa"/>
            </w:tcMar>
            <w:vAlign w:val="bottom"/>
            <w:hideMark/>
          </w:tcPr>
          <w:p w14:paraId="3856E0AE"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£000</w:t>
            </w:r>
          </w:p>
        </w:tc>
      </w:tr>
      <w:tr w:rsidR="000729CF" w:rsidRPr="000729CF" w14:paraId="2D32327A"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3FD6F34F"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440E88E"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92654AC"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E8B1019"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07F538BF"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658EAA90"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r>
      <w:tr w:rsidR="000729CF" w:rsidRPr="000729CF" w14:paraId="75501A38"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79C735D4" w14:textId="77777777" w:rsidR="000729CF" w:rsidRPr="000729CF" w:rsidRDefault="000729CF" w:rsidP="000729CF">
            <w:pPr>
              <w:rPr>
                <w:rFonts w:ascii="Calibri" w:hAnsi="Calibri" w:cs="Calibri"/>
                <w:b/>
                <w:bCs/>
                <w:sz w:val="22"/>
                <w:szCs w:val="22"/>
                <w:u w:val="single"/>
                <w:lang w:val="en-GB" w:eastAsia="en-GB"/>
              </w:rPr>
            </w:pPr>
            <w:r w:rsidRPr="000729CF">
              <w:rPr>
                <w:rFonts w:ascii="Calibri" w:hAnsi="Calibri" w:cs="Calibri"/>
                <w:b/>
                <w:bCs/>
                <w:sz w:val="22"/>
                <w:szCs w:val="22"/>
                <w:u w:val="single"/>
                <w:lang w:val="en-GB" w:eastAsia="en-GB"/>
              </w:rPr>
              <w:t>Approved Schemes</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A68F91A"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58295AA5"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58763FA"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76134735"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5C9FB0D7"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r>
      <w:tr w:rsidR="000729CF" w:rsidRPr="000729CF" w14:paraId="75BD6527"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1D0AC8B0" w14:textId="77777777" w:rsidR="000729CF" w:rsidRPr="000729CF" w:rsidRDefault="000729CF" w:rsidP="000729CF">
            <w:pPr>
              <w:rPr>
                <w:rFonts w:ascii="Calibri" w:hAnsi="Calibri" w:cs="Calibri"/>
                <w:i/>
                <w:iCs/>
                <w:sz w:val="22"/>
                <w:szCs w:val="22"/>
                <w:u w:val="single"/>
                <w:lang w:val="en-GB" w:eastAsia="en-GB"/>
              </w:rPr>
            </w:pPr>
            <w:r w:rsidRPr="000729CF">
              <w:rPr>
                <w:rFonts w:ascii="Calibri" w:hAnsi="Calibri" w:cs="Calibri"/>
                <w:i/>
                <w:iCs/>
                <w:sz w:val="22"/>
                <w:szCs w:val="22"/>
                <w:u w:val="single"/>
                <w:lang w:val="en-GB" w:eastAsia="en-GB"/>
              </w:rPr>
              <w:t>City Development &amp; Regeneration</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1C1C29B"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15396C4"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ECBAA9B"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265CC823"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5076B9A9"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r>
      <w:tr w:rsidR="000729CF" w:rsidRPr="000729CF" w14:paraId="6C3432C0"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7DDE846C"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New England House  Project Support</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5C8B1BCB"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164</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5FB61EA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8C1BED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6BC2E1F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2E64CDB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54D41F9C"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298BF114"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Falmer Released Land Project Support</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78AC538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12</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60D0B8F"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D81125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1BA95F96"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4BC4B80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0A63B164"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68CD7950"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Redevelopment of King Alfred Swimming Pool</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2DB3E38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81</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92BA5DA"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A867BC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24485EFC"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0770B886"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5E9E0500" w14:textId="77777777" w:rsidTr="00BC26AB">
        <w:trPr>
          <w:trHeight w:val="20"/>
        </w:trPr>
        <w:tc>
          <w:tcPr>
            <w:tcW w:w="2797" w:type="pct"/>
            <w:tcBorders>
              <w:top w:val="nil"/>
              <w:left w:val="single" w:sz="4" w:space="0" w:color="auto"/>
              <w:right w:val="nil"/>
            </w:tcBorders>
            <w:shd w:val="clear" w:color="auto" w:fill="auto"/>
            <w:noWrap/>
            <w:tcMar>
              <w:left w:w="45" w:type="dxa"/>
              <w:right w:w="45" w:type="dxa"/>
            </w:tcMar>
            <w:vAlign w:val="bottom"/>
            <w:hideMark/>
          </w:tcPr>
          <w:p w14:paraId="2D991276"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Madeira Terraces Regeneration</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6465F72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5,941</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6C6AB0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3,500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E9BA63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3444B68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4B1ACFA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2B31F83C"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6F32B314"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Madeira Terraces Crowd Funding Contribution</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070CFD8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456</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867EAA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5A2001A"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12EAD3D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55CCC1C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5BE5EA04"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370CD796"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Madeira Terraces Regeneration - Carbon Neutral Fund</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2B75B6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290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F3A43F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94DB0B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0480915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5354163C"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6C29059F"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1E4F7CB6"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Madeira Terraces Bequest Funding</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A70231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30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AFFF6EF"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8B1222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3E77878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0A975F2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2EDB3934"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7CC98B09"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Black Rock Enabling Works</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5AE7D63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400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B122F96"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53B8500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60E301C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7FC7CB9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389AC305"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2B2E3A69" w14:textId="77777777" w:rsidR="000729CF" w:rsidRPr="000729CF" w:rsidRDefault="000729CF" w:rsidP="000729CF">
            <w:pPr>
              <w:rPr>
                <w:rFonts w:ascii="Calibri" w:hAnsi="Calibri" w:cs="Calibri"/>
                <w:i/>
                <w:iCs/>
                <w:sz w:val="22"/>
                <w:szCs w:val="22"/>
                <w:u w:val="single"/>
                <w:lang w:val="en-GB" w:eastAsia="en-GB"/>
              </w:rPr>
            </w:pPr>
            <w:r w:rsidRPr="000729CF">
              <w:rPr>
                <w:rFonts w:ascii="Calibri" w:hAnsi="Calibri" w:cs="Calibri"/>
                <w:i/>
                <w:iCs/>
                <w:sz w:val="22"/>
                <w:szCs w:val="22"/>
                <w:u w:val="single"/>
                <w:lang w:val="en-GB" w:eastAsia="en-GB"/>
              </w:rPr>
              <w:t>City Environmental Management</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783A2AA"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0042968"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AB51F7F"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51862520"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224B2A19"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r>
      <w:tr w:rsidR="000729CF" w:rsidRPr="000729CF" w14:paraId="01AA7C73"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24386AAA"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Downland Initiative Programme</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2360B90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50A7F18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55E99EA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7E78925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7292B80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3138DDC9"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0474F929"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Public Conveniences</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168741E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1,922</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5DF851F6"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A6D428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6C9D929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740CFC52"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215AAC03"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6DA13591"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On-Street and Communal Bin Infrastructure</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5C90FBC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1,000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118D8B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250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13DC362"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697D7292"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0CA1418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4258B4D9"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2E85A0C5"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Pavilion and Mess Room Refurbishment Programme</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5775697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1,400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E5B505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1,250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0262B9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73622D3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186DAB7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63541E1D"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601ECBE3"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Hollingdean Deport Office Accommodation</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880A24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2,228</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9DD427A"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300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584BF1E6"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748BEB8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36D6A3BB"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4E75F884"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2D142EEE"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CNF - Improving WEEE recycling</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7A59259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36</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905115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27702A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0AADCEE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48E6848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58DD4677"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1ECBCDE0"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CNF - Improving the Communal Bin System</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BA5CFC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395</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32026F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395</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3836AE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53A9215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1A7014D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1017336C"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3BE51773"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Stanmer Pond Restoration &amp; Access Improvement</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5EC176E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76</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EFBA43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56D75DB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1F342FB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30177CB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46E0D192"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651C74A6"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Playground Refurbishment programme 2021-2025</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0FB3E9E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608</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4214ED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CD939C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0489AA2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3051A2D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18A57167"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39D4A21C"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Parks and Open Spaces Investment</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2D5BDE5F"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1,555</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86E9FF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1,552</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6FB2B6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6CBC1CF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07B07C8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1BE74472"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1DFC3EA8"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CNF - Woodland Creation Scheme</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0FC7C62"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135</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13CB52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0FDCB2B"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1368071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18E4C85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32136ED9"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123986C9"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CNF - St Ann's Well Café Sustainable Improvements</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3F4776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74</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4968976"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E2426D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7BF20D8B"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0FFE83D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7015199B"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2E903BB9"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Procurement of City Fleet Vehicles</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E4FE73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2,500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A66465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2,500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0A4EF7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2,500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22827D3F"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2,500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030BA066"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2,500</w:t>
            </w:r>
          </w:p>
        </w:tc>
      </w:tr>
      <w:tr w:rsidR="000729CF" w:rsidRPr="000729CF" w14:paraId="055C1815"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7484441F" w14:textId="77777777" w:rsidR="000729CF" w:rsidRPr="000729CF" w:rsidRDefault="000729CF" w:rsidP="000729CF">
            <w:pPr>
              <w:rPr>
                <w:rFonts w:ascii="Calibri" w:hAnsi="Calibri" w:cs="Calibri"/>
                <w:i/>
                <w:iCs/>
                <w:sz w:val="22"/>
                <w:szCs w:val="22"/>
                <w:u w:val="single"/>
                <w:lang w:val="en-GB" w:eastAsia="en-GB"/>
              </w:rPr>
            </w:pPr>
            <w:r w:rsidRPr="000729CF">
              <w:rPr>
                <w:rFonts w:ascii="Calibri" w:hAnsi="Calibri" w:cs="Calibri"/>
                <w:i/>
                <w:iCs/>
                <w:sz w:val="22"/>
                <w:szCs w:val="22"/>
                <w:u w:val="single"/>
                <w:lang w:val="en-GB" w:eastAsia="en-GB"/>
              </w:rPr>
              <w:t>Culture, Tourism &amp; Sport</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13650ED"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BCB4AB8"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0FE5EA4"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6981A5B3"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2DBEA210"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r>
      <w:tr w:rsidR="000729CF" w:rsidRPr="000729CF" w14:paraId="209FA1B9"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3914900E"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Royal Pavilion Estate (Phase 1)</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4E74C4A"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1,486</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8669F9B"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405C64A"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5C94DB9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55B8764F"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32B0610B"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270BF4B3"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Brighton Museum &amp; Art Gallery Works</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10B73D3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1,432</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0B5083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C0891D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0FCF2AD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19AA3B4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22B27929"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3387A575"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Royal Pavilion Estate Development (Phase 2 Gardens)</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75E357C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4,700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DAAC10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1,320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ABB5C9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50DBF82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21CBCE3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6EADA43B"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33DECC53"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Seafront Railings Upgrade</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55148FF"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A6A24FF"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170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51A139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046F6B1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416C315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000DFD34" w14:textId="77777777" w:rsidTr="00BC26AB">
        <w:trPr>
          <w:trHeight w:val="20"/>
        </w:trPr>
        <w:tc>
          <w:tcPr>
            <w:tcW w:w="2797" w:type="pct"/>
            <w:tcBorders>
              <w:top w:val="nil"/>
              <w:left w:val="single" w:sz="4" w:space="0" w:color="auto"/>
              <w:bottom w:val="nil"/>
              <w:right w:val="single" w:sz="4" w:space="0" w:color="auto"/>
            </w:tcBorders>
            <w:shd w:val="clear" w:color="auto" w:fill="auto"/>
            <w:tcMar>
              <w:left w:w="45" w:type="dxa"/>
              <w:right w:w="45" w:type="dxa"/>
            </w:tcMar>
            <w:vAlign w:val="bottom"/>
            <w:hideMark/>
          </w:tcPr>
          <w:p w14:paraId="16824C2B"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Levelling Up Fund - Kingsway to the Sea</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FB0D44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7,143</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5DCC8CA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B3C828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2B67BD0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45CA6192"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2BC60490"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33B75B3B"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King Alfred Main Pool Reinforcement</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C33A7C6"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674</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4B8270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7BE180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42AD82C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157E5D1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15226395" w14:textId="77777777" w:rsidTr="00BC26AB">
        <w:trPr>
          <w:trHeight w:val="20"/>
        </w:trPr>
        <w:tc>
          <w:tcPr>
            <w:tcW w:w="2797" w:type="pct"/>
            <w:tcBorders>
              <w:top w:val="nil"/>
              <w:left w:val="single" w:sz="4" w:space="0" w:color="auto"/>
              <w:right w:val="single" w:sz="4" w:space="0" w:color="auto"/>
            </w:tcBorders>
            <w:shd w:val="clear" w:color="auto" w:fill="auto"/>
            <w:noWrap/>
            <w:tcMar>
              <w:left w:w="45" w:type="dxa"/>
              <w:right w:w="45" w:type="dxa"/>
            </w:tcMar>
            <w:vAlign w:val="bottom"/>
            <w:hideMark/>
          </w:tcPr>
          <w:p w14:paraId="66A9CD8B"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Prince Regent Investment</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B3F476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700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5A3289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F57F69A"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2C9C471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025F17D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5ACD9494"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635301C1"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Withdean Sports Complex Swimming Pool</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277238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451</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F9BBB4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46C719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4F4E22F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03A1372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023CC7A4"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1BC9E190"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Brighton Centre Essential Maintenance</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ADF051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1,000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8D30A8A"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1,000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348190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1,000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5FF5645B"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6417DB16"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5E1A673A"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70C3A096" w14:textId="77777777" w:rsidR="000729CF" w:rsidRPr="000729CF" w:rsidRDefault="000729CF" w:rsidP="000729CF">
            <w:pPr>
              <w:rPr>
                <w:rFonts w:ascii="Calibri" w:hAnsi="Calibri" w:cs="Calibri"/>
                <w:i/>
                <w:iCs/>
                <w:sz w:val="22"/>
                <w:szCs w:val="22"/>
                <w:u w:val="single"/>
                <w:lang w:val="en-GB" w:eastAsia="en-GB"/>
              </w:rPr>
            </w:pPr>
            <w:r w:rsidRPr="000729CF">
              <w:rPr>
                <w:rFonts w:ascii="Calibri" w:hAnsi="Calibri" w:cs="Calibri"/>
                <w:i/>
                <w:iCs/>
                <w:sz w:val="22"/>
                <w:szCs w:val="22"/>
                <w:u w:val="single"/>
                <w:lang w:val="en-GB" w:eastAsia="en-GB"/>
              </w:rPr>
              <w:t>Property</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BF49BAC"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204E5BC"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0EE2560"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2B1CCA0A"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0A7FA645"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r>
      <w:tr w:rsidR="000729CF" w:rsidRPr="000729CF" w14:paraId="33F27A7B"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35F704D2"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Hollingdean Depot Health &amp; Safety</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6080C39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6DBF60F"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F7B697F"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3C8B3B5A"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4470BC3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72D11C6F"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78517FFF"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Statutory DDA Access Works Fund</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69A8462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40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79760C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569087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29758FA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1E13A5EC"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253270EC"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5B3CB606"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Legionella Works</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431FED0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22</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AD41DA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68149E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58FE224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2874D59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21A69196"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1B22E5A1"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Madeira Terrace Structural Repairs</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24D0077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196</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5BBA2522"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F2F743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2A89A31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7D438086"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3BEF297C"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0E2BF98B"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Solar Panels Corporate Buildings</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4810F90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678</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E2D54FC"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C22152C"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029319B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604E6E6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284CB8DC"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61175B61"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Workstyles Phase 4</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5819703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271</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2F25E2B"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7138B5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13D440E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50CB74C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480541A7"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225CA857"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Phoenix House Investment</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57B2D1F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693</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22DF21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7ABF08F"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5A385FE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3FC3725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2A97D3DC"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0CB46E4D"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Moulsecoomb Hub and Housing Development</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00F8302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4,200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C5C1A2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8,000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463A5FC"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7DE3576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159C5C9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66125E10"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1DA766B5"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CNF - Moulsecoomb Hub and Housing Sustainability Measures</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A1BE1A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5AADA55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52AC6E8B"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3C199AF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3D5AF91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3415CB65" w14:textId="77777777" w:rsidTr="00BC26AB">
        <w:trPr>
          <w:trHeight w:val="20"/>
        </w:trPr>
        <w:tc>
          <w:tcPr>
            <w:tcW w:w="2797" w:type="pct"/>
            <w:tcBorders>
              <w:top w:val="nil"/>
              <w:left w:val="single" w:sz="4" w:space="0" w:color="auto"/>
              <w:bottom w:val="nil"/>
              <w:right w:val="single" w:sz="4" w:space="0" w:color="auto"/>
            </w:tcBorders>
            <w:shd w:val="clear" w:color="auto" w:fill="auto"/>
            <w:tcMar>
              <w:left w:w="45" w:type="dxa"/>
              <w:right w:w="45" w:type="dxa"/>
            </w:tcMar>
            <w:vAlign w:val="bottom"/>
            <w:hideMark/>
          </w:tcPr>
          <w:p w14:paraId="69AF77EF"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xml:space="preserve">CNF - Schools Energy Efficiency Reinvestment fund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B98E9CA"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400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44D9552"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F66215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7C19C312"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035D79C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1C3F45B8"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43289E15"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xml:space="preserve">CNF - Carbon Reduction Measures to Operational Buildings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84574E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1,267</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BA2A39F"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1,000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596C059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500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201E80CA"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4D3F9B8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496F0341"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426260FC"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Hove Town Hall Planned Maintenance</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532F85C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12C022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05B6A5B"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7E0C1D3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31CABADA"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357E8472"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42DCA815"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Industrial House Planned Maintenance</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62914CF"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110014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E0CA2A2"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35C7E50A"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50AA6F5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65D5FFDB"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51ABDE75"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Imperial Arcade Planned Maintenance</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9820E9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210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D757EE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F9266E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6E82262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11FE5A2C"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40AAFFA0"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5DC56566"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Mile Oak Community Centre Planned Maintenance</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8CFE90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105</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5B2B656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ADDA1D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1396A042"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148EADB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248BD52E"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7B1D752A"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South Downs Riding School – Environmental Management</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424B682"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12</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F7A629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524C14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3E18726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4AEA961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1CA76A93"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237E18BC"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Commercial Asset Investment Fund</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787A1AA"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750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951C78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1607EE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6DF13D3B"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5AC6EE0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3BE5C828"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5DB05AEC" w14:textId="77777777" w:rsidR="000729CF" w:rsidRPr="000729CF" w:rsidRDefault="000729CF" w:rsidP="000729CF">
            <w:pPr>
              <w:rPr>
                <w:rFonts w:ascii="Calibri" w:hAnsi="Calibri" w:cs="Calibri"/>
                <w:i/>
                <w:iCs/>
                <w:sz w:val="22"/>
                <w:szCs w:val="22"/>
                <w:u w:val="single"/>
                <w:lang w:val="en-GB" w:eastAsia="en-GB"/>
              </w:rPr>
            </w:pPr>
            <w:r w:rsidRPr="000729CF">
              <w:rPr>
                <w:rFonts w:ascii="Calibri" w:hAnsi="Calibri" w:cs="Calibri"/>
                <w:i/>
                <w:iCs/>
                <w:sz w:val="22"/>
                <w:szCs w:val="22"/>
                <w:u w:val="single"/>
                <w:lang w:val="en-GB" w:eastAsia="en-GB"/>
              </w:rPr>
              <w:t>Transport</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519D018D"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F5154B1"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E2AD54E"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0C45E45C"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70565AC9"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r>
      <w:tr w:rsidR="000729CF" w:rsidRPr="000729CF" w14:paraId="526D1529"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793C792D"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Brighton Marina to River Adur Works</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20019A9A"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894C51B"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E5AA1BA"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75FB65C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487BDA2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50AD0704"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3DD19D90"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Integrated Transport Schemes (LTP)</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2D9664B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2,000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DA2C4A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85F246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2503F58F"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23F031A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21AB9BF0"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18F30543"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Structural Maintenance of Carriageways (LTP)</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3E1DA8E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413</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2E50C9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820EDEB"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2254543F"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1830C2B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0482E040"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4F8A0068"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Street Lighting Maintenance (LTP)</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7C3E74C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1,000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3134F8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400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6DE1E3F"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623B1F9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1136F5D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7B3B3A8F"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2BE1BD3C"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Valley Gardens Phase 1&amp;2 (LTP)</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0E25734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92</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DC515E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CE64352"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48B152B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55BE291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324DC0B2"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2A426CAC"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Valley Gardens Phase 3 (LTP)</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514FCB8A"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5,824</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D404ACA"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5,000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682298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6A8033E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535300A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17A8E792"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6BE629F4"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Hove Station Footbridge</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77E465C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0228CE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883E6D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173A873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3B611D2C"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49F7447A"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45C88390"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Active Travel Fund - Tranche 2</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386BF5A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230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0BB759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529BC42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3CBFF36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2AE90F2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28598846"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2E0AD915"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Brighton Bikeshare Replacement Programme</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7136CF8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215</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5EC419C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41EAA5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4778749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731C864F"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70FF3B30" w14:textId="77777777" w:rsidTr="00BC26AB">
        <w:trPr>
          <w:trHeight w:val="20"/>
        </w:trPr>
        <w:tc>
          <w:tcPr>
            <w:tcW w:w="2797" w:type="pct"/>
            <w:tcBorders>
              <w:top w:val="nil"/>
              <w:left w:val="single" w:sz="4" w:space="0" w:color="auto"/>
              <w:bottom w:val="nil"/>
              <w:right w:val="single" w:sz="4" w:space="0" w:color="auto"/>
            </w:tcBorders>
            <w:shd w:val="clear" w:color="auto" w:fill="auto"/>
            <w:tcMar>
              <w:left w:w="45" w:type="dxa"/>
              <w:right w:w="45" w:type="dxa"/>
            </w:tcMar>
            <w:vAlign w:val="bottom"/>
            <w:hideMark/>
          </w:tcPr>
          <w:p w14:paraId="0DCDBDC6"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Citywide Strategic Transport Model</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8F60E5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205</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290653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8889BE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2BD165A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1B3590C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6678401C" w14:textId="77777777" w:rsidTr="00BC26AB">
        <w:trPr>
          <w:trHeight w:val="20"/>
        </w:trPr>
        <w:tc>
          <w:tcPr>
            <w:tcW w:w="2797" w:type="pct"/>
            <w:tcBorders>
              <w:top w:val="nil"/>
              <w:left w:val="single" w:sz="4" w:space="0" w:color="auto"/>
              <w:bottom w:val="nil"/>
              <w:right w:val="single" w:sz="4" w:space="0" w:color="auto"/>
            </w:tcBorders>
            <w:shd w:val="clear" w:color="auto" w:fill="auto"/>
            <w:tcMar>
              <w:left w:w="45" w:type="dxa"/>
              <w:right w:w="45" w:type="dxa"/>
            </w:tcMar>
            <w:vAlign w:val="bottom"/>
            <w:hideMark/>
          </w:tcPr>
          <w:p w14:paraId="0A8EA30B"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Seafront Heritage Lighting Renewal Programme</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D11813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1,562</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395DE0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772EF2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3F4EAC9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4840513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103C3065"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2E40548E"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Active Travel Fund - Tranche 3</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4F8920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1,204</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F0699C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B45C6DA"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7EEA5A2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7F919CE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317452D8"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70193F45"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Bus Service Improvement Scheme</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39D3D32"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2,556</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24155D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2,100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F871F86"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2DD152A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525C13E6"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25FD6A8C"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569AFEB6"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Active Travel Fund - Tranche 4</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32A689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2,994</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5CFAD526"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DCFF56A"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4E06987B"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6E1490A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525CB796"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05ED52A8"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Safer Road Fund Round 3 - A2010 Brighton</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C88A9A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300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1E2705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6FBDA3A"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06EF8DC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2F1EF9AA"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7C0D8369"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49FBE49C"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Low Traffic Neighbourhoods – Elm Grove / Queens Park Road</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5F7E1CD2"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350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424909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9CAA9D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3EE2B2E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19F58C2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0A5D7F10"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2D77408B"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Zebra 2 - Zero Emissions Buses</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52F3CF7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1,925</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E6AE032"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1,925</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527C172"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3134FFD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5946C0C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2456113D"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3FE03F36"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18E5CF83"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356A6B6"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E4670F3"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1F681C81"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781A4F03"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r>
      <w:tr w:rsidR="000729CF" w:rsidRPr="000729CF" w14:paraId="289377C1"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14E02169" w14:textId="77777777" w:rsidR="000729CF" w:rsidRPr="000729CF" w:rsidRDefault="000729CF" w:rsidP="000729CF">
            <w:pPr>
              <w:rPr>
                <w:rFonts w:ascii="Calibri" w:hAnsi="Calibri" w:cs="Calibri"/>
                <w:b/>
                <w:bCs/>
                <w:sz w:val="22"/>
                <w:szCs w:val="22"/>
                <w:u w:val="single"/>
                <w:lang w:val="en-GB" w:eastAsia="en-GB"/>
              </w:rPr>
            </w:pPr>
            <w:r w:rsidRPr="000729CF">
              <w:rPr>
                <w:rFonts w:ascii="Calibri" w:hAnsi="Calibri" w:cs="Calibri"/>
                <w:b/>
                <w:bCs/>
                <w:sz w:val="22"/>
                <w:szCs w:val="22"/>
                <w:u w:val="single"/>
                <w:lang w:val="en-GB" w:eastAsia="en-GB"/>
              </w:rPr>
              <w:t>Identified Schemes Not Yet approved</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756E8139"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B605DDF"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AFDF8B9"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6C3B9A56"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459CB9DF"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r>
      <w:tr w:rsidR="000729CF" w:rsidRPr="000729CF" w14:paraId="51F24842"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3C65F57D"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Weekly Food Waste Collections Capital Grant</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E87961A"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2,444</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296272F"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569F15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7C5C8A7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05380A5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5B68F7B7"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56CAE7D6"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Strategic Investment Fund</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412CF11B"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150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42A760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250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BFE762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250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0C07BC5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250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1FD221D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250</w:t>
            </w:r>
          </w:p>
        </w:tc>
      </w:tr>
      <w:tr w:rsidR="000729CF" w:rsidRPr="000729CF" w14:paraId="59A0AB87"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64F413AD"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New England House - City Deal</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02A3B8C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2,068</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5DF4777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8,000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69813E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133F950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0945E64C"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15EC3A15"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03E1438C"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Royal Pavilion Estate Development (Phase 3 Museum)</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73E8FBB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C0E967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6AF498A"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4,000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6DA52C1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7498687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35DE3C6A"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227CE88F"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Volks Railway Disabled Access Carriage</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2CF280E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E4703CA"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569443C"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226B825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11744DE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6C9AAA34" w14:textId="77777777" w:rsidTr="00BC26AB">
        <w:trPr>
          <w:trHeight w:val="20"/>
        </w:trPr>
        <w:tc>
          <w:tcPr>
            <w:tcW w:w="2797" w:type="pct"/>
            <w:tcBorders>
              <w:top w:val="nil"/>
              <w:left w:val="single" w:sz="4" w:space="0" w:color="auto"/>
              <w:bottom w:val="nil"/>
              <w:right w:val="single" w:sz="4" w:space="0" w:color="auto"/>
            </w:tcBorders>
            <w:shd w:val="clear" w:color="auto" w:fill="auto"/>
            <w:tcMar>
              <w:left w:w="45" w:type="dxa"/>
              <w:right w:w="45" w:type="dxa"/>
            </w:tcMar>
            <w:vAlign w:val="bottom"/>
            <w:hideMark/>
          </w:tcPr>
          <w:p w14:paraId="29C074A4"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CNF - Levelling Up Fund - Kingsway to the Sea</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5747920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700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FB9868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B6A080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6DC22C62"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4D2DAEE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2504F494"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04807D23"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Withdean Sports Complex Swimming Pool</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504D5F16"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345B1BF"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5,349</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3C0D5A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77D1961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3E7837E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41AEF2D0"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4A27A7EF"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Asset Management Fund</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6E62515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1,000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CD673E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1,000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5A2A53B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1,000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24D98C2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1,000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48E2D916"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1,000</w:t>
            </w:r>
          </w:p>
        </w:tc>
      </w:tr>
      <w:tr w:rsidR="000729CF" w:rsidRPr="000729CF" w14:paraId="71E6E3D7"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6FA5FCE3"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Planned Maintenance of operational buildings</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4DE37CD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1,500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B38043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1,500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F0684DA"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1,500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582374F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1,500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634BE6EC"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1,500</w:t>
            </w:r>
          </w:p>
        </w:tc>
      </w:tr>
      <w:tr w:rsidR="000729CF" w:rsidRPr="000729CF" w14:paraId="4978CA9E"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41BFB5D4"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Planned Maintenance - Social Services Buildings</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72AF504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AA7412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D7A75B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500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2E02C872"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500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3BD08486"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500</w:t>
            </w:r>
          </w:p>
        </w:tc>
      </w:tr>
      <w:tr w:rsidR="000729CF" w:rsidRPr="000729CF" w14:paraId="3905A30D"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3A01E33E"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Commercial Asset Investment Fund (CAIF)</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577A52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A089F8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750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7DC61A6"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750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2C9AD6DA"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750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4B312FDA"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750</w:t>
            </w:r>
          </w:p>
        </w:tc>
      </w:tr>
      <w:tr w:rsidR="000729CF" w:rsidRPr="000729CF" w14:paraId="2D5D8CC6"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284CEFEF"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Local Transport Plan - Capital Grant</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2A9D5EDF"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4,538</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24D499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4,500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A0CB84A"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4,500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7506BCBB"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4,500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1E83479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4,500</w:t>
            </w:r>
          </w:p>
        </w:tc>
      </w:tr>
      <w:tr w:rsidR="000729CF" w:rsidRPr="000729CF" w14:paraId="68B27407"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78EE4E82"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Pothole Action Fund - Capital Grant</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6946D57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1,455</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5D7873B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0FC683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500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1E36979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500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2F6249B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500</w:t>
            </w:r>
          </w:p>
        </w:tc>
      </w:tr>
      <w:tr w:rsidR="000729CF" w:rsidRPr="000729CF" w14:paraId="149F559A"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211A1121"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Incentive Funding - Highways Capital Grant</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000FD7A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364</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AD047FA"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300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36631C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300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228FFBB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300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08B7F78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300</w:t>
            </w:r>
          </w:p>
        </w:tc>
      </w:tr>
      <w:tr w:rsidR="000729CF" w:rsidRPr="000729CF" w14:paraId="7CFDD2B3"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3FA3B5D5"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Highways Maintenance Funding - Network North</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68391C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413</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07B901B"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F53FA02"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73AAD9EB"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7C7704B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55C76D85"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3089099A"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Marina to River Adur Coast Protection Works</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1442141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7,960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6088FB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10,000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517E3A8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1,000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7297CE6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44D5B682"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7EC6E07D"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5EC16E6B"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A27 Junction Improvements</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DB5D65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600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3EB93E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3,515</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F96D54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2,200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5880A0AA"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3,374</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59A0897A"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5,937</w:t>
            </w:r>
          </w:p>
        </w:tc>
      </w:tr>
      <w:tr w:rsidR="000729CF" w:rsidRPr="000729CF" w14:paraId="7A7C67D0" w14:textId="77777777" w:rsidTr="00BC26AB">
        <w:trPr>
          <w:trHeight w:val="20"/>
        </w:trPr>
        <w:tc>
          <w:tcPr>
            <w:tcW w:w="2797" w:type="pct"/>
            <w:tcBorders>
              <w:top w:val="single" w:sz="4" w:space="0" w:color="auto"/>
              <w:left w:val="single" w:sz="4" w:space="0" w:color="auto"/>
              <w:bottom w:val="single" w:sz="4" w:space="0" w:color="auto"/>
              <w:right w:val="single" w:sz="4" w:space="0" w:color="auto"/>
            </w:tcBorders>
            <w:shd w:val="clear" w:color="000000" w:fill="BFBFBF"/>
            <w:noWrap/>
            <w:tcMar>
              <w:left w:w="45" w:type="dxa"/>
              <w:right w:w="45" w:type="dxa"/>
            </w:tcMar>
            <w:vAlign w:val="bottom"/>
            <w:hideMark/>
          </w:tcPr>
          <w:p w14:paraId="2E9F0D14" w14:textId="77777777" w:rsidR="000729CF" w:rsidRPr="000729CF" w:rsidRDefault="000729CF" w:rsidP="000729CF">
            <w:pPr>
              <w:rPr>
                <w:rFonts w:ascii="Calibri" w:hAnsi="Calibri" w:cs="Calibri"/>
                <w:b/>
                <w:bCs/>
                <w:sz w:val="22"/>
                <w:szCs w:val="22"/>
                <w:lang w:val="en-GB" w:eastAsia="en-GB"/>
              </w:rPr>
            </w:pPr>
            <w:r w:rsidRPr="000729CF">
              <w:rPr>
                <w:rFonts w:ascii="Calibri" w:hAnsi="Calibri" w:cs="Calibri"/>
                <w:b/>
                <w:bCs/>
                <w:sz w:val="22"/>
                <w:szCs w:val="22"/>
                <w:lang w:val="en-GB" w:eastAsia="en-GB"/>
              </w:rPr>
              <w:t>Total Economy, Environment &amp; Culture</w:t>
            </w:r>
          </w:p>
        </w:tc>
        <w:tc>
          <w:tcPr>
            <w:tcW w:w="447" w:type="pct"/>
            <w:tcBorders>
              <w:top w:val="single" w:sz="4" w:space="0" w:color="auto"/>
              <w:left w:val="nil"/>
              <w:bottom w:val="single" w:sz="4" w:space="0" w:color="auto"/>
              <w:right w:val="single" w:sz="4" w:space="0" w:color="auto"/>
            </w:tcBorders>
            <w:shd w:val="clear" w:color="000000" w:fill="BFBFBF"/>
            <w:noWrap/>
            <w:tcMar>
              <w:left w:w="45" w:type="dxa"/>
              <w:right w:w="45" w:type="dxa"/>
            </w:tcMar>
            <w:vAlign w:val="bottom"/>
            <w:hideMark/>
          </w:tcPr>
          <w:p w14:paraId="26C580DF"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91,185</w:t>
            </w:r>
          </w:p>
        </w:tc>
        <w:tc>
          <w:tcPr>
            <w:tcW w:w="447" w:type="pct"/>
            <w:tcBorders>
              <w:top w:val="single" w:sz="4" w:space="0" w:color="auto"/>
              <w:left w:val="nil"/>
              <w:bottom w:val="single" w:sz="4" w:space="0" w:color="auto"/>
              <w:right w:val="single" w:sz="4" w:space="0" w:color="auto"/>
            </w:tcBorders>
            <w:shd w:val="clear" w:color="000000" w:fill="BFBFBF"/>
            <w:noWrap/>
            <w:tcMar>
              <w:left w:w="45" w:type="dxa"/>
              <w:right w:w="45" w:type="dxa"/>
            </w:tcMar>
            <w:vAlign w:val="bottom"/>
            <w:hideMark/>
          </w:tcPr>
          <w:p w14:paraId="01EDC53B"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67,036</w:t>
            </w:r>
          </w:p>
        </w:tc>
        <w:tc>
          <w:tcPr>
            <w:tcW w:w="447" w:type="pct"/>
            <w:tcBorders>
              <w:top w:val="single" w:sz="4" w:space="0" w:color="auto"/>
              <w:left w:val="nil"/>
              <w:bottom w:val="single" w:sz="4" w:space="0" w:color="auto"/>
              <w:right w:val="single" w:sz="4" w:space="0" w:color="auto"/>
            </w:tcBorders>
            <w:shd w:val="clear" w:color="000000" w:fill="BFBFBF"/>
            <w:noWrap/>
            <w:tcMar>
              <w:left w:w="45" w:type="dxa"/>
              <w:right w:w="45" w:type="dxa"/>
            </w:tcMar>
            <w:vAlign w:val="bottom"/>
            <w:hideMark/>
          </w:tcPr>
          <w:p w14:paraId="19B41039"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20,500</w:t>
            </w:r>
          </w:p>
        </w:tc>
        <w:tc>
          <w:tcPr>
            <w:tcW w:w="431" w:type="pct"/>
            <w:tcBorders>
              <w:top w:val="single" w:sz="4" w:space="0" w:color="auto"/>
              <w:left w:val="nil"/>
              <w:bottom w:val="single" w:sz="4" w:space="0" w:color="auto"/>
              <w:right w:val="single" w:sz="4" w:space="0" w:color="auto"/>
            </w:tcBorders>
            <w:shd w:val="clear" w:color="000000" w:fill="BFBFBF"/>
            <w:noWrap/>
            <w:tcMar>
              <w:left w:w="45" w:type="dxa"/>
              <w:right w:w="45" w:type="dxa"/>
            </w:tcMar>
            <w:vAlign w:val="bottom"/>
            <w:hideMark/>
          </w:tcPr>
          <w:p w14:paraId="2BDF1F7F"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15,174</w:t>
            </w:r>
          </w:p>
        </w:tc>
        <w:tc>
          <w:tcPr>
            <w:tcW w:w="431" w:type="pct"/>
            <w:tcBorders>
              <w:top w:val="single" w:sz="4" w:space="0" w:color="auto"/>
              <w:left w:val="nil"/>
              <w:bottom w:val="single" w:sz="4" w:space="0" w:color="auto"/>
              <w:right w:val="single" w:sz="4" w:space="0" w:color="auto"/>
            </w:tcBorders>
            <w:shd w:val="clear" w:color="000000" w:fill="BFBFBF"/>
            <w:noWrap/>
            <w:tcMar>
              <w:left w:w="45" w:type="dxa"/>
              <w:right w:w="45" w:type="dxa"/>
            </w:tcMar>
            <w:vAlign w:val="bottom"/>
            <w:hideMark/>
          </w:tcPr>
          <w:p w14:paraId="29C80BE0"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17,737</w:t>
            </w:r>
          </w:p>
        </w:tc>
      </w:tr>
    </w:tbl>
    <w:p w14:paraId="11A795CB" w14:textId="77777777" w:rsidR="000729CF" w:rsidRPr="000729CF" w:rsidRDefault="000729CF" w:rsidP="000729CF">
      <w:pPr>
        <w:spacing w:after="160" w:line="259" w:lineRule="auto"/>
        <w:rPr>
          <w:rFonts w:ascii="Calibri" w:eastAsia="Calibri" w:hAnsi="Calibri"/>
          <w:b/>
          <w:bCs/>
          <w:sz w:val="28"/>
          <w:szCs w:val="28"/>
          <w:lang w:val="en-GB"/>
        </w:rPr>
      </w:pPr>
    </w:p>
    <w:p w14:paraId="652A50B4" w14:textId="77777777" w:rsidR="000729CF" w:rsidRPr="000729CF" w:rsidRDefault="000729CF" w:rsidP="000729CF">
      <w:pPr>
        <w:spacing w:after="160" w:line="259" w:lineRule="auto"/>
        <w:rPr>
          <w:rFonts w:ascii="Calibri" w:eastAsia="Calibri" w:hAnsi="Calibri"/>
          <w:b/>
          <w:bCs/>
          <w:sz w:val="28"/>
          <w:szCs w:val="28"/>
          <w:lang w:val="en-GB"/>
        </w:rPr>
      </w:pPr>
    </w:p>
    <w:p w14:paraId="2366FFEE" w14:textId="77777777" w:rsidR="000729CF" w:rsidRPr="000729CF" w:rsidRDefault="000729CF" w:rsidP="000729CF">
      <w:pPr>
        <w:spacing w:after="160" w:line="259" w:lineRule="auto"/>
        <w:rPr>
          <w:rFonts w:ascii="Calibri" w:eastAsia="Calibri" w:hAnsi="Calibri"/>
          <w:b/>
          <w:bCs/>
          <w:sz w:val="28"/>
          <w:szCs w:val="28"/>
          <w:lang w:val="en-GB"/>
        </w:rPr>
      </w:pPr>
    </w:p>
    <w:p w14:paraId="41750E93" w14:textId="77777777" w:rsidR="000729CF" w:rsidRDefault="000729CF" w:rsidP="000729CF">
      <w:pPr>
        <w:spacing w:after="160" w:line="259" w:lineRule="auto"/>
        <w:rPr>
          <w:rFonts w:ascii="Calibri" w:eastAsia="Calibri" w:hAnsi="Calibri"/>
          <w:b/>
          <w:bCs/>
          <w:sz w:val="28"/>
          <w:szCs w:val="28"/>
          <w:lang w:val="en-GB"/>
        </w:rPr>
      </w:pPr>
    </w:p>
    <w:p w14:paraId="12D3E15B" w14:textId="77777777" w:rsidR="000729CF" w:rsidRPr="000729CF" w:rsidRDefault="000729CF" w:rsidP="000729CF">
      <w:pPr>
        <w:spacing w:after="160" w:line="259" w:lineRule="auto"/>
        <w:rPr>
          <w:rFonts w:ascii="Calibri" w:eastAsia="Calibri" w:hAnsi="Calibri"/>
          <w:b/>
          <w:bCs/>
          <w:sz w:val="28"/>
          <w:szCs w:val="28"/>
          <w:lang w:val="en-GB"/>
        </w:rPr>
      </w:pPr>
    </w:p>
    <w:tbl>
      <w:tblPr>
        <w:tblW w:w="5000" w:type="pct"/>
        <w:tblLook w:val="04A0" w:firstRow="1" w:lastRow="0" w:firstColumn="1" w:lastColumn="0" w:noHBand="0" w:noVBand="1"/>
      </w:tblPr>
      <w:tblGrid>
        <w:gridCol w:w="8608"/>
        <w:gridCol w:w="1376"/>
        <w:gridCol w:w="1376"/>
        <w:gridCol w:w="1376"/>
        <w:gridCol w:w="1326"/>
        <w:gridCol w:w="1326"/>
      </w:tblGrid>
      <w:tr w:rsidR="000729CF" w:rsidRPr="000729CF" w14:paraId="18F8412D" w14:textId="77777777" w:rsidTr="000729CF">
        <w:trPr>
          <w:trHeight w:val="20"/>
        </w:trPr>
        <w:tc>
          <w:tcPr>
            <w:tcW w:w="2797" w:type="pct"/>
            <w:tcBorders>
              <w:top w:val="single" w:sz="4" w:space="0" w:color="auto"/>
              <w:left w:val="single" w:sz="4" w:space="0" w:color="auto"/>
              <w:bottom w:val="nil"/>
              <w:right w:val="single" w:sz="4" w:space="0" w:color="auto"/>
            </w:tcBorders>
            <w:shd w:val="clear" w:color="auto" w:fill="BFBFBF"/>
            <w:noWrap/>
            <w:tcMar>
              <w:left w:w="45" w:type="dxa"/>
              <w:right w:w="45" w:type="dxa"/>
            </w:tcMar>
            <w:vAlign w:val="bottom"/>
            <w:hideMark/>
          </w:tcPr>
          <w:p w14:paraId="42BCF152" w14:textId="77777777" w:rsidR="000729CF" w:rsidRPr="000729CF" w:rsidRDefault="000729CF" w:rsidP="000729CF">
            <w:pPr>
              <w:rPr>
                <w:rFonts w:ascii="Calibri" w:hAnsi="Calibri" w:cs="Calibri"/>
                <w:b/>
                <w:bCs/>
                <w:sz w:val="22"/>
                <w:szCs w:val="22"/>
                <w:lang w:val="en-GB" w:eastAsia="en-GB"/>
              </w:rPr>
            </w:pPr>
            <w:r w:rsidRPr="000729CF">
              <w:rPr>
                <w:rFonts w:ascii="Calibri" w:hAnsi="Calibri" w:cs="Calibri"/>
                <w:b/>
                <w:bCs/>
                <w:sz w:val="22"/>
                <w:szCs w:val="22"/>
                <w:lang w:val="en-GB" w:eastAsia="en-GB"/>
              </w:rPr>
              <w:t> </w:t>
            </w:r>
          </w:p>
        </w:tc>
        <w:tc>
          <w:tcPr>
            <w:tcW w:w="447" w:type="pct"/>
            <w:tcBorders>
              <w:top w:val="single" w:sz="4" w:space="0" w:color="auto"/>
              <w:left w:val="nil"/>
              <w:bottom w:val="nil"/>
              <w:right w:val="single" w:sz="4" w:space="0" w:color="auto"/>
            </w:tcBorders>
            <w:shd w:val="clear" w:color="auto" w:fill="BFBFBF"/>
            <w:tcMar>
              <w:left w:w="45" w:type="dxa"/>
              <w:right w:w="45" w:type="dxa"/>
            </w:tcMar>
            <w:vAlign w:val="bottom"/>
            <w:hideMark/>
          </w:tcPr>
          <w:p w14:paraId="6582C169" w14:textId="77777777" w:rsidR="000729CF" w:rsidRPr="000729CF" w:rsidRDefault="000729CF" w:rsidP="000729CF">
            <w:pPr>
              <w:jc w:val="center"/>
              <w:rPr>
                <w:rFonts w:ascii="Calibri" w:hAnsi="Calibri" w:cs="Calibri"/>
                <w:sz w:val="22"/>
                <w:szCs w:val="22"/>
                <w:lang w:val="en-GB" w:eastAsia="en-GB"/>
              </w:rPr>
            </w:pPr>
            <w:r w:rsidRPr="000729CF">
              <w:rPr>
                <w:rFonts w:ascii="Calibri" w:hAnsi="Calibri" w:cs="Calibri"/>
                <w:sz w:val="22"/>
                <w:szCs w:val="22"/>
                <w:lang w:val="en-GB" w:eastAsia="en-GB"/>
              </w:rPr>
              <w:t>Year 1 Budget</w:t>
            </w:r>
          </w:p>
        </w:tc>
        <w:tc>
          <w:tcPr>
            <w:tcW w:w="447" w:type="pct"/>
            <w:tcBorders>
              <w:top w:val="single" w:sz="4" w:space="0" w:color="auto"/>
              <w:left w:val="nil"/>
              <w:bottom w:val="nil"/>
              <w:right w:val="single" w:sz="4" w:space="0" w:color="auto"/>
            </w:tcBorders>
            <w:shd w:val="clear" w:color="auto" w:fill="BFBFBF"/>
            <w:tcMar>
              <w:left w:w="45" w:type="dxa"/>
              <w:right w:w="45" w:type="dxa"/>
            </w:tcMar>
            <w:vAlign w:val="bottom"/>
            <w:hideMark/>
          </w:tcPr>
          <w:p w14:paraId="6442C530" w14:textId="77777777" w:rsidR="000729CF" w:rsidRPr="000729CF" w:rsidRDefault="000729CF" w:rsidP="000729CF">
            <w:pPr>
              <w:jc w:val="center"/>
              <w:rPr>
                <w:rFonts w:ascii="Calibri" w:hAnsi="Calibri" w:cs="Calibri"/>
                <w:sz w:val="22"/>
                <w:szCs w:val="22"/>
                <w:lang w:val="en-GB" w:eastAsia="en-GB"/>
              </w:rPr>
            </w:pPr>
            <w:r w:rsidRPr="000729CF">
              <w:rPr>
                <w:rFonts w:ascii="Calibri" w:hAnsi="Calibri" w:cs="Calibri"/>
                <w:sz w:val="22"/>
                <w:szCs w:val="22"/>
                <w:lang w:val="en-GB" w:eastAsia="en-GB"/>
              </w:rPr>
              <w:t>Year 2 Budget</w:t>
            </w:r>
          </w:p>
        </w:tc>
        <w:tc>
          <w:tcPr>
            <w:tcW w:w="447" w:type="pct"/>
            <w:tcBorders>
              <w:top w:val="single" w:sz="4" w:space="0" w:color="auto"/>
              <w:left w:val="nil"/>
              <w:bottom w:val="nil"/>
              <w:right w:val="single" w:sz="4" w:space="0" w:color="auto"/>
            </w:tcBorders>
            <w:shd w:val="clear" w:color="auto" w:fill="BFBFBF"/>
            <w:tcMar>
              <w:left w:w="45" w:type="dxa"/>
              <w:right w:w="45" w:type="dxa"/>
            </w:tcMar>
            <w:vAlign w:val="bottom"/>
            <w:hideMark/>
          </w:tcPr>
          <w:p w14:paraId="7093BFCA" w14:textId="77777777" w:rsidR="000729CF" w:rsidRPr="000729CF" w:rsidRDefault="000729CF" w:rsidP="000729CF">
            <w:pPr>
              <w:jc w:val="center"/>
              <w:rPr>
                <w:rFonts w:ascii="Calibri" w:hAnsi="Calibri" w:cs="Calibri"/>
                <w:sz w:val="22"/>
                <w:szCs w:val="22"/>
                <w:lang w:val="en-GB" w:eastAsia="en-GB"/>
              </w:rPr>
            </w:pPr>
            <w:r w:rsidRPr="000729CF">
              <w:rPr>
                <w:rFonts w:ascii="Calibri" w:hAnsi="Calibri" w:cs="Calibri"/>
                <w:sz w:val="22"/>
                <w:szCs w:val="22"/>
                <w:lang w:val="en-GB" w:eastAsia="en-GB"/>
              </w:rPr>
              <w:t>Year 3 Budget</w:t>
            </w:r>
          </w:p>
        </w:tc>
        <w:tc>
          <w:tcPr>
            <w:tcW w:w="431" w:type="pct"/>
            <w:tcBorders>
              <w:top w:val="single" w:sz="4" w:space="0" w:color="auto"/>
              <w:left w:val="nil"/>
              <w:bottom w:val="nil"/>
              <w:right w:val="single" w:sz="4" w:space="0" w:color="auto"/>
            </w:tcBorders>
            <w:shd w:val="clear" w:color="auto" w:fill="BFBFBF"/>
            <w:tcMar>
              <w:left w:w="45" w:type="dxa"/>
              <w:right w:w="45" w:type="dxa"/>
            </w:tcMar>
            <w:vAlign w:val="bottom"/>
            <w:hideMark/>
          </w:tcPr>
          <w:p w14:paraId="6F31A429" w14:textId="77777777" w:rsidR="000729CF" w:rsidRPr="000729CF" w:rsidRDefault="000729CF" w:rsidP="000729CF">
            <w:pPr>
              <w:jc w:val="center"/>
              <w:rPr>
                <w:rFonts w:ascii="Calibri" w:hAnsi="Calibri" w:cs="Calibri"/>
                <w:sz w:val="22"/>
                <w:szCs w:val="22"/>
                <w:lang w:val="en-GB" w:eastAsia="en-GB"/>
              </w:rPr>
            </w:pPr>
            <w:r w:rsidRPr="000729CF">
              <w:rPr>
                <w:rFonts w:ascii="Calibri" w:hAnsi="Calibri" w:cs="Calibri"/>
                <w:sz w:val="22"/>
                <w:szCs w:val="22"/>
                <w:lang w:val="en-GB" w:eastAsia="en-GB"/>
              </w:rPr>
              <w:t>Year 4 Budget</w:t>
            </w:r>
          </w:p>
        </w:tc>
        <w:tc>
          <w:tcPr>
            <w:tcW w:w="431" w:type="pct"/>
            <w:tcBorders>
              <w:top w:val="single" w:sz="4" w:space="0" w:color="auto"/>
              <w:left w:val="nil"/>
              <w:bottom w:val="nil"/>
              <w:right w:val="single" w:sz="4" w:space="0" w:color="auto"/>
            </w:tcBorders>
            <w:shd w:val="clear" w:color="auto" w:fill="BFBFBF"/>
            <w:tcMar>
              <w:left w:w="45" w:type="dxa"/>
              <w:right w:w="45" w:type="dxa"/>
            </w:tcMar>
            <w:vAlign w:val="bottom"/>
            <w:hideMark/>
          </w:tcPr>
          <w:p w14:paraId="5E73BBCB" w14:textId="77777777" w:rsidR="000729CF" w:rsidRPr="000729CF" w:rsidRDefault="000729CF" w:rsidP="000729CF">
            <w:pPr>
              <w:jc w:val="center"/>
              <w:rPr>
                <w:rFonts w:ascii="Calibri" w:hAnsi="Calibri" w:cs="Calibri"/>
                <w:sz w:val="22"/>
                <w:szCs w:val="22"/>
                <w:lang w:val="en-GB" w:eastAsia="en-GB"/>
              </w:rPr>
            </w:pPr>
            <w:r w:rsidRPr="000729CF">
              <w:rPr>
                <w:rFonts w:ascii="Calibri" w:hAnsi="Calibri" w:cs="Calibri"/>
                <w:sz w:val="22"/>
                <w:szCs w:val="22"/>
                <w:lang w:val="en-GB" w:eastAsia="en-GB"/>
              </w:rPr>
              <w:t>Year 5 Budget</w:t>
            </w:r>
          </w:p>
        </w:tc>
      </w:tr>
      <w:tr w:rsidR="000729CF" w:rsidRPr="000729CF" w14:paraId="11D042CC" w14:textId="77777777" w:rsidTr="000729CF">
        <w:trPr>
          <w:trHeight w:val="20"/>
        </w:trPr>
        <w:tc>
          <w:tcPr>
            <w:tcW w:w="2797" w:type="pct"/>
            <w:tcBorders>
              <w:top w:val="nil"/>
              <w:left w:val="single" w:sz="4" w:space="0" w:color="auto"/>
              <w:bottom w:val="nil"/>
              <w:right w:val="single" w:sz="4" w:space="0" w:color="auto"/>
            </w:tcBorders>
            <w:shd w:val="clear" w:color="auto" w:fill="BFBFBF"/>
            <w:noWrap/>
            <w:tcMar>
              <w:left w:w="45" w:type="dxa"/>
              <w:right w:w="45" w:type="dxa"/>
            </w:tcMar>
            <w:vAlign w:val="bottom"/>
            <w:hideMark/>
          </w:tcPr>
          <w:p w14:paraId="06E91A71" w14:textId="77777777" w:rsidR="000729CF" w:rsidRPr="000729CF" w:rsidRDefault="000729CF" w:rsidP="000729CF">
            <w:pPr>
              <w:rPr>
                <w:rFonts w:ascii="Calibri" w:hAnsi="Calibri" w:cs="Calibri"/>
                <w:b/>
                <w:bCs/>
                <w:sz w:val="22"/>
                <w:szCs w:val="22"/>
                <w:lang w:val="en-GB" w:eastAsia="en-GB"/>
              </w:rPr>
            </w:pPr>
            <w:r w:rsidRPr="000729CF">
              <w:rPr>
                <w:rFonts w:ascii="Calibri" w:hAnsi="Calibri" w:cs="Calibri"/>
                <w:b/>
                <w:bCs/>
                <w:sz w:val="22"/>
                <w:szCs w:val="22"/>
                <w:lang w:val="en-GB" w:eastAsia="en-GB"/>
              </w:rPr>
              <w:t>Housing, Neighbourhood &amp; Communities - GF</w:t>
            </w:r>
          </w:p>
        </w:tc>
        <w:tc>
          <w:tcPr>
            <w:tcW w:w="447" w:type="pct"/>
            <w:tcBorders>
              <w:top w:val="single" w:sz="4" w:space="0" w:color="auto"/>
              <w:left w:val="nil"/>
              <w:bottom w:val="nil"/>
              <w:right w:val="single" w:sz="4" w:space="0" w:color="auto"/>
            </w:tcBorders>
            <w:shd w:val="clear" w:color="auto" w:fill="BFBFBF"/>
            <w:noWrap/>
            <w:tcMar>
              <w:left w:w="45" w:type="dxa"/>
              <w:right w:w="45" w:type="dxa"/>
            </w:tcMar>
            <w:vAlign w:val="bottom"/>
            <w:hideMark/>
          </w:tcPr>
          <w:p w14:paraId="37A81248"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2024/25</w:t>
            </w:r>
          </w:p>
        </w:tc>
        <w:tc>
          <w:tcPr>
            <w:tcW w:w="447" w:type="pct"/>
            <w:tcBorders>
              <w:top w:val="single" w:sz="4" w:space="0" w:color="auto"/>
              <w:left w:val="nil"/>
              <w:bottom w:val="nil"/>
              <w:right w:val="single" w:sz="4" w:space="0" w:color="auto"/>
            </w:tcBorders>
            <w:shd w:val="clear" w:color="auto" w:fill="BFBFBF"/>
            <w:noWrap/>
            <w:tcMar>
              <w:left w:w="45" w:type="dxa"/>
              <w:right w:w="45" w:type="dxa"/>
            </w:tcMar>
            <w:vAlign w:val="bottom"/>
            <w:hideMark/>
          </w:tcPr>
          <w:p w14:paraId="45D21498"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2025/26</w:t>
            </w:r>
          </w:p>
        </w:tc>
        <w:tc>
          <w:tcPr>
            <w:tcW w:w="447" w:type="pct"/>
            <w:tcBorders>
              <w:top w:val="single" w:sz="4" w:space="0" w:color="auto"/>
              <w:left w:val="nil"/>
              <w:bottom w:val="nil"/>
              <w:right w:val="single" w:sz="4" w:space="0" w:color="auto"/>
            </w:tcBorders>
            <w:shd w:val="clear" w:color="auto" w:fill="BFBFBF"/>
            <w:noWrap/>
            <w:tcMar>
              <w:left w:w="45" w:type="dxa"/>
              <w:right w:w="45" w:type="dxa"/>
            </w:tcMar>
            <w:vAlign w:val="bottom"/>
            <w:hideMark/>
          </w:tcPr>
          <w:p w14:paraId="276CED27"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2026/27</w:t>
            </w:r>
          </w:p>
        </w:tc>
        <w:tc>
          <w:tcPr>
            <w:tcW w:w="431" w:type="pct"/>
            <w:tcBorders>
              <w:top w:val="single" w:sz="4" w:space="0" w:color="auto"/>
              <w:left w:val="nil"/>
              <w:bottom w:val="nil"/>
              <w:right w:val="single" w:sz="4" w:space="0" w:color="auto"/>
            </w:tcBorders>
            <w:shd w:val="clear" w:color="auto" w:fill="BFBFBF"/>
            <w:noWrap/>
            <w:tcMar>
              <w:left w:w="45" w:type="dxa"/>
              <w:right w:w="45" w:type="dxa"/>
            </w:tcMar>
            <w:vAlign w:val="bottom"/>
            <w:hideMark/>
          </w:tcPr>
          <w:p w14:paraId="18D2B428"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2027/28</w:t>
            </w:r>
          </w:p>
        </w:tc>
        <w:tc>
          <w:tcPr>
            <w:tcW w:w="431" w:type="pct"/>
            <w:tcBorders>
              <w:top w:val="single" w:sz="4" w:space="0" w:color="auto"/>
              <w:left w:val="nil"/>
              <w:bottom w:val="nil"/>
              <w:right w:val="single" w:sz="4" w:space="0" w:color="auto"/>
            </w:tcBorders>
            <w:shd w:val="clear" w:color="auto" w:fill="BFBFBF"/>
            <w:noWrap/>
            <w:tcMar>
              <w:left w:w="45" w:type="dxa"/>
              <w:right w:w="45" w:type="dxa"/>
            </w:tcMar>
            <w:vAlign w:val="bottom"/>
            <w:hideMark/>
          </w:tcPr>
          <w:p w14:paraId="665624D7"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2028/29</w:t>
            </w:r>
          </w:p>
        </w:tc>
      </w:tr>
      <w:tr w:rsidR="000729CF" w:rsidRPr="000729CF" w14:paraId="368DB664" w14:textId="77777777" w:rsidTr="000729CF">
        <w:trPr>
          <w:trHeight w:val="20"/>
        </w:trPr>
        <w:tc>
          <w:tcPr>
            <w:tcW w:w="2797" w:type="pct"/>
            <w:tcBorders>
              <w:top w:val="nil"/>
              <w:left w:val="single" w:sz="4" w:space="0" w:color="auto"/>
              <w:bottom w:val="single" w:sz="4" w:space="0" w:color="auto"/>
              <w:right w:val="single" w:sz="4" w:space="0" w:color="auto"/>
            </w:tcBorders>
            <w:shd w:val="clear" w:color="auto" w:fill="BFBFBF"/>
            <w:noWrap/>
            <w:tcMar>
              <w:left w:w="45" w:type="dxa"/>
              <w:right w:w="45" w:type="dxa"/>
            </w:tcMar>
            <w:vAlign w:val="bottom"/>
            <w:hideMark/>
          </w:tcPr>
          <w:p w14:paraId="7D9F34CB"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single" w:sz="4" w:space="0" w:color="auto"/>
              <w:right w:val="single" w:sz="4" w:space="0" w:color="auto"/>
            </w:tcBorders>
            <w:shd w:val="clear" w:color="auto" w:fill="BFBFBF"/>
            <w:noWrap/>
            <w:tcMar>
              <w:left w:w="45" w:type="dxa"/>
              <w:right w:w="45" w:type="dxa"/>
            </w:tcMar>
            <w:vAlign w:val="bottom"/>
            <w:hideMark/>
          </w:tcPr>
          <w:p w14:paraId="5FB941C9"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£000</w:t>
            </w:r>
          </w:p>
        </w:tc>
        <w:tc>
          <w:tcPr>
            <w:tcW w:w="447" w:type="pct"/>
            <w:tcBorders>
              <w:top w:val="nil"/>
              <w:left w:val="nil"/>
              <w:bottom w:val="single" w:sz="4" w:space="0" w:color="auto"/>
              <w:right w:val="single" w:sz="4" w:space="0" w:color="auto"/>
            </w:tcBorders>
            <w:shd w:val="clear" w:color="auto" w:fill="BFBFBF"/>
            <w:noWrap/>
            <w:tcMar>
              <w:left w:w="45" w:type="dxa"/>
              <w:right w:w="45" w:type="dxa"/>
            </w:tcMar>
            <w:vAlign w:val="bottom"/>
            <w:hideMark/>
          </w:tcPr>
          <w:p w14:paraId="611DA78A"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£000</w:t>
            </w:r>
          </w:p>
        </w:tc>
        <w:tc>
          <w:tcPr>
            <w:tcW w:w="447" w:type="pct"/>
            <w:tcBorders>
              <w:top w:val="nil"/>
              <w:left w:val="nil"/>
              <w:bottom w:val="single" w:sz="4" w:space="0" w:color="auto"/>
              <w:right w:val="single" w:sz="4" w:space="0" w:color="auto"/>
            </w:tcBorders>
            <w:shd w:val="clear" w:color="auto" w:fill="BFBFBF"/>
            <w:noWrap/>
            <w:tcMar>
              <w:left w:w="45" w:type="dxa"/>
              <w:right w:w="45" w:type="dxa"/>
            </w:tcMar>
            <w:vAlign w:val="bottom"/>
            <w:hideMark/>
          </w:tcPr>
          <w:p w14:paraId="49B14C13"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£000</w:t>
            </w:r>
          </w:p>
        </w:tc>
        <w:tc>
          <w:tcPr>
            <w:tcW w:w="431" w:type="pct"/>
            <w:tcBorders>
              <w:top w:val="nil"/>
              <w:left w:val="nil"/>
              <w:bottom w:val="single" w:sz="4" w:space="0" w:color="auto"/>
              <w:right w:val="single" w:sz="4" w:space="0" w:color="auto"/>
            </w:tcBorders>
            <w:shd w:val="clear" w:color="auto" w:fill="BFBFBF"/>
            <w:noWrap/>
            <w:tcMar>
              <w:left w:w="45" w:type="dxa"/>
              <w:right w:w="45" w:type="dxa"/>
            </w:tcMar>
            <w:vAlign w:val="bottom"/>
            <w:hideMark/>
          </w:tcPr>
          <w:p w14:paraId="31C040CE"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£000</w:t>
            </w:r>
          </w:p>
        </w:tc>
        <w:tc>
          <w:tcPr>
            <w:tcW w:w="431" w:type="pct"/>
            <w:tcBorders>
              <w:top w:val="nil"/>
              <w:left w:val="nil"/>
              <w:bottom w:val="single" w:sz="4" w:space="0" w:color="auto"/>
              <w:right w:val="single" w:sz="4" w:space="0" w:color="auto"/>
            </w:tcBorders>
            <w:shd w:val="clear" w:color="auto" w:fill="BFBFBF"/>
            <w:noWrap/>
            <w:tcMar>
              <w:left w:w="45" w:type="dxa"/>
              <w:right w:w="45" w:type="dxa"/>
            </w:tcMar>
            <w:vAlign w:val="bottom"/>
            <w:hideMark/>
          </w:tcPr>
          <w:p w14:paraId="3782F8C0"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£000</w:t>
            </w:r>
          </w:p>
        </w:tc>
      </w:tr>
      <w:tr w:rsidR="000729CF" w:rsidRPr="000729CF" w14:paraId="5F5DDE8A"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759AEF98"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53E68F2E"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F0FC661"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B3A5BF2"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78E60B2F"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2C47F3BA"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r>
      <w:tr w:rsidR="000729CF" w:rsidRPr="000729CF" w14:paraId="2C994BC7"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2F2F4846" w14:textId="77777777" w:rsidR="000729CF" w:rsidRPr="000729CF" w:rsidRDefault="000729CF" w:rsidP="000729CF">
            <w:pPr>
              <w:rPr>
                <w:rFonts w:ascii="Calibri" w:hAnsi="Calibri" w:cs="Calibri"/>
                <w:b/>
                <w:bCs/>
                <w:sz w:val="22"/>
                <w:szCs w:val="22"/>
                <w:u w:val="single"/>
                <w:lang w:val="en-GB" w:eastAsia="en-GB"/>
              </w:rPr>
            </w:pPr>
            <w:r w:rsidRPr="000729CF">
              <w:rPr>
                <w:rFonts w:ascii="Calibri" w:hAnsi="Calibri" w:cs="Calibri"/>
                <w:b/>
                <w:bCs/>
                <w:sz w:val="22"/>
                <w:szCs w:val="22"/>
                <w:u w:val="single"/>
                <w:lang w:val="en-GB" w:eastAsia="en-GB"/>
              </w:rPr>
              <w:t>Approved Schemes</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3F46DBC"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322AA01"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3E0A0A3"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4B7F5080"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6E401CAF"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r>
      <w:tr w:rsidR="000729CF" w:rsidRPr="000729CF" w14:paraId="607ADB9D"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0FFCE1D8"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Disabled Facilities Grants</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7370D90F"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317</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B43FA2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9DF8A3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5FC58192"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37089CF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4F7E2B2E"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64480A19"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LDV On-Going Costs - Community Homes (B&amp;HSCH)</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3AB848C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ACD097B"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6F191F2"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500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6C78B7B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500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6E2D00A2"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500</w:t>
            </w:r>
          </w:p>
        </w:tc>
      </w:tr>
      <w:tr w:rsidR="000729CF" w:rsidRPr="000729CF" w14:paraId="0489AC30"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364B65F1"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Warm Safe Homes Grant</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592AD6A"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331</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7136D5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F564E1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5CFDA32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0968622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53734A89"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309F6E40"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Travellers Site Fund</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6F556BA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505</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B10072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0EEB456"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1089334B"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7A81750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45E5575C"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08FF3E38"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Housing IT Strategy</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430292A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196</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54C1063B"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C18DF0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3131B27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5A994B2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533021D5"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0A553ABE"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2BB4818"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5C9759E"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CB21161"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5651A50E"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1535FCCE"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r>
      <w:tr w:rsidR="000729CF" w:rsidRPr="000729CF" w14:paraId="461E195B"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788ECEA7" w14:textId="77777777" w:rsidR="000729CF" w:rsidRPr="000729CF" w:rsidRDefault="000729CF" w:rsidP="000729CF">
            <w:pPr>
              <w:rPr>
                <w:rFonts w:ascii="Calibri" w:hAnsi="Calibri" w:cs="Calibri"/>
                <w:b/>
                <w:bCs/>
                <w:sz w:val="22"/>
                <w:szCs w:val="22"/>
                <w:u w:val="single"/>
                <w:lang w:val="en-GB" w:eastAsia="en-GB"/>
              </w:rPr>
            </w:pPr>
            <w:r w:rsidRPr="000729CF">
              <w:rPr>
                <w:rFonts w:ascii="Calibri" w:hAnsi="Calibri" w:cs="Calibri"/>
                <w:b/>
                <w:bCs/>
                <w:sz w:val="22"/>
                <w:szCs w:val="22"/>
                <w:u w:val="single"/>
                <w:lang w:val="en-GB" w:eastAsia="en-GB"/>
              </w:rPr>
              <w:t>Identified Schemes Not Yet approved</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99ADA8D"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4BF0CB1"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056C85B"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6C510DAB"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7C864550"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r>
      <w:tr w:rsidR="000729CF" w:rsidRPr="000729CF" w14:paraId="46F30DC2"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0BBF8550"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Disabled Facilities Grant (Better Care Funding) - Capital Grant</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4D6A0BF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2,000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8596AD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1,000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964230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1,000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31A09F7B"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1,000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7A1306A6"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1,000</w:t>
            </w:r>
          </w:p>
        </w:tc>
      </w:tr>
      <w:tr w:rsidR="000729CF" w:rsidRPr="000729CF" w14:paraId="295F4EC7" w14:textId="77777777" w:rsidTr="00BC26AB">
        <w:trPr>
          <w:trHeight w:val="20"/>
        </w:trPr>
        <w:tc>
          <w:tcPr>
            <w:tcW w:w="2797" w:type="pct"/>
            <w:tcBorders>
              <w:top w:val="single" w:sz="4" w:space="0" w:color="auto"/>
              <w:left w:val="single" w:sz="4" w:space="0" w:color="auto"/>
              <w:bottom w:val="single" w:sz="4" w:space="0" w:color="auto"/>
              <w:right w:val="single" w:sz="4" w:space="0" w:color="auto"/>
            </w:tcBorders>
            <w:shd w:val="clear" w:color="000000" w:fill="BFBFBF"/>
            <w:noWrap/>
            <w:tcMar>
              <w:left w:w="45" w:type="dxa"/>
              <w:right w:w="45" w:type="dxa"/>
            </w:tcMar>
            <w:vAlign w:val="bottom"/>
            <w:hideMark/>
          </w:tcPr>
          <w:p w14:paraId="7563A443" w14:textId="77777777" w:rsidR="000729CF" w:rsidRPr="000729CF" w:rsidRDefault="000729CF" w:rsidP="000729CF">
            <w:pPr>
              <w:rPr>
                <w:rFonts w:ascii="Calibri" w:hAnsi="Calibri" w:cs="Calibri"/>
                <w:b/>
                <w:bCs/>
                <w:sz w:val="22"/>
                <w:szCs w:val="22"/>
                <w:lang w:val="en-GB" w:eastAsia="en-GB"/>
              </w:rPr>
            </w:pPr>
            <w:r w:rsidRPr="000729CF">
              <w:rPr>
                <w:rFonts w:ascii="Calibri" w:hAnsi="Calibri" w:cs="Calibri"/>
                <w:b/>
                <w:bCs/>
                <w:sz w:val="22"/>
                <w:szCs w:val="22"/>
                <w:lang w:val="en-GB" w:eastAsia="en-GB"/>
              </w:rPr>
              <w:t>Total Housing, Neighbourhood &amp; Communities - GF</w:t>
            </w:r>
          </w:p>
        </w:tc>
        <w:tc>
          <w:tcPr>
            <w:tcW w:w="447" w:type="pct"/>
            <w:tcBorders>
              <w:top w:val="single" w:sz="4" w:space="0" w:color="auto"/>
              <w:left w:val="nil"/>
              <w:bottom w:val="single" w:sz="4" w:space="0" w:color="auto"/>
              <w:right w:val="single" w:sz="4" w:space="0" w:color="auto"/>
            </w:tcBorders>
            <w:shd w:val="clear" w:color="000000" w:fill="BFBFBF"/>
            <w:noWrap/>
            <w:tcMar>
              <w:left w:w="45" w:type="dxa"/>
              <w:right w:w="45" w:type="dxa"/>
            </w:tcMar>
            <w:vAlign w:val="bottom"/>
            <w:hideMark/>
          </w:tcPr>
          <w:p w14:paraId="0AA1A7E9"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3,849</w:t>
            </w:r>
          </w:p>
        </w:tc>
        <w:tc>
          <w:tcPr>
            <w:tcW w:w="447" w:type="pct"/>
            <w:tcBorders>
              <w:top w:val="single" w:sz="4" w:space="0" w:color="auto"/>
              <w:left w:val="nil"/>
              <w:bottom w:val="single" w:sz="4" w:space="0" w:color="auto"/>
              <w:right w:val="single" w:sz="4" w:space="0" w:color="auto"/>
            </w:tcBorders>
            <w:shd w:val="clear" w:color="000000" w:fill="BFBFBF"/>
            <w:noWrap/>
            <w:tcMar>
              <w:left w:w="45" w:type="dxa"/>
              <w:right w:w="45" w:type="dxa"/>
            </w:tcMar>
            <w:vAlign w:val="bottom"/>
            <w:hideMark/>
          </w:tcPr>
          <w:p w14:paraId="76B35C00"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1,500</w:t>
            </w:r>
          </w:p>
        </w:tc>
        <w:tc>
          <w:tcPr>
            <w:tcW w:w="447" w:type="pct"/>
            <w:tcBorders>
              <w:top w:val="single" w:sz="4" w:space="0" w:color="auto"/>
              <w:left w:val="nil"/>
              <w:bottom w:val="single" w:sz="4" w:space="0" w:color="auto"/>
              <w:right w:val="single" w:sz="4" w:space="0" w:color="auto"/>
            </w:tcBorders>
            <w:shd w:val="clear" w:color="000000" w:fill="BFBFBF"/>
            <w:noWrap/>
            <w:tcMar>
              <w:left w:w="45" w:type="dxa"/>
              <w:right w:w="45" w:type="dxa"/>
            </w:tcMar>
            <w:vAlign w:val="bottom"/>
            <w:hideMark/>
          </w:tcPr>
          <w:p w14:paraId="59DD5B58"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1,500</w:t>
            </w:r>
          </w:p>
        </w:tc>
        <w:tc>
          <w:tcPr>
            <w:tcW w:w="431" w:type="pct"/>
            <w:tcBorders>
              <w:top w:val="single" w:sz="4" w:space="0" w:color="auto"/>
              <w:left w:val="nil"/>
              <w:bottom w:val="single" w:sz="4" w:space="0" w:color="auto"/>
              <w:right w:val="single" w:sz="4" w:space="0" w:color="auto"/>
            </w:tcBorders>
            <w:shd w:val="clear" w:color="000000" w:fill="BFBFBF"/>
            <w:noWrap/>
            <w:tcMar>
              <w:left w:w="45" w:type="dxa"/>
              <w:right w:w="45" w:type="dxa"/>
            </w:tcMar>
            <w:vAlign w:val="bottom"/>
            <w:hideMark/>
          </w:tcPr>
          <w:p w14:paraId="1C0615D0"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1,500</w:t>
            </w:r>
          </w:p>
        </w:tc>
        <w:tc>
          <w:tcPr>
            <w:tcW w:w="431" w:type="pct"/>
            <w:tcBorders>
              <w:top w:val="single" w:sz="4" w:space="0" w:color="auto"/>
              <w:left w:val="nil"/>
              <w:bottom w:val="single" w:sz="4" w:space="0" w:color="auto"/>
              <w:right w:val="single" w:sz="4" w:space="0" w:color="auto"/>
            </w:tcBorders>
            <w:shd w:val="clear" w:color="000000" w:fill="BFBFBF"/>
            <w:noWrap/>
            <w:tcMar>
              <w:left w:w="45" w:type="dxa"/>
              <w:right w:w="45" w:type="dxa"/>
            </w:tcMar>
            <w:vAlign w:val="bottom"/>
            <w:hideMark/>
          </w:tcPr>
          <w:p w14:paraId="307F940C"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1,500</w:t>
            </w:r>
          </w:p>
        </w:tc>
      </w:tr>
    </w:tbl>
    <w:p w14:paraId="485DE788" w14:textId="77777777" w:rsidR="000729CF" w:rsidRPr="000729CF" w:rsidRDefault="000729CF" w:rsidP="000729CF">
      <w:pPr>
        <w:spacing w:after="160" w:line="259" w:lineRule="auto"/>
        <w:rPr>
          <w:rFonts w:ascii="Calibri" w:eastAsia="Calibri" w:hAnsi="Calibri"/>
          <w:b/>
          <w:bCs/>
          <w:sz w:val="28"/>
          <w:szCs w:val="28"/>
          <w:lang w:val="en-GB"/>
        </w:rPr>
      </w:pPr>
    </w:p>
    <w:p w14:paraId="558831EF" w14:textId="77777777" w:rsidR="000729CF" w:rsidRPr="000729CF" w:rsidRDefault="000729CF" w:rsidP="000729CF">
      <w:pPr>
        <w:spacing w:after="160" w:line="259" w:lineRule="auto"/>
        <w:rPr>
          <w:rFonts w:ascii="Calibri" w:eastAsia="Calibri" w:hAnsi="Calibri"/>
          <w:b/>
          <w:bCs/>
          <w:sz w:val="28"/>
          <w:szCs w:val="28"/>
          <w:lang w:val="en-GB"/>
        </w:rPr>
      </w:pPr>
    </w:p>
    <w:p w14:paraId="64F07C62" w14:textId="77777777" w:rsidR="000729CF" w:rsidRPr="000729CF" w:rsidRDefault="000729CF" w:rsidP="000729CF">
      <w:pPr>
        <w:spacing w:after="160" w:line="259" w:lineRule="auto"/>
        <w:rPr>
          <w:rFonts w:ascii="Calibri" w:eastAsia="Calibri" w:hAnsi="Calibri"/>
          <w:b/>
          <w:bCs/>
          <w:sz w:val="28"/>
          <w:szCs w:val="28"/>
          <w:lang w:val="en-GB"/>
        </w:rPr>
      </w:pPr>
    </w:p>
    <w:p w14:paraId="78E09E47" w14:textId="77777777" w:rsidR="000729CF" w:rsidRPr="000729CF" w:rsidRDefault="000729CF" w:rsidP="000729CF">
      <w:pPr>
        <w:spacing w:after="160" w:line="259" w:lineRule="auto"/>
        <w:rPr>
          <w:rFonts w:ascii="Calibri" w:eastAsia="Calibri" w:hAnsi="Calibri"/>
          <w:b/>
          <w:bCs/>
          <w:sz w:val="28"/>
          <w:szCs w:val="28"/>
          <w:lang w:val="en-GB"/>
        </w:rPr>
      </w:pPr>
    </w:p>
    <w:p w14:paraId="5C251276" w14:textId="77777777" w:rsidR="000729CF" w:rsidRPr="000729CF" w:rsidRDefault="000729CF" w:rsidP="000729CF">
      <w:pPr>
        <w:spacing w:after="160" w:line="259" w:lineRule="auto"/>
        <w:rPr>
          <w:rFonts w:ascii="Calibri" w:eastAsia="Calibri" w:hAnsi="Calibri"/>
          <w:b/>
          <w:bCs/>
          <w:sz w:val="28"/>
          <w:szCs w:val="28"/>
          <w:lang w:val="en-GB"/>
        </w:rPr>
      </w:pPr>
    </w:p>
    <w:p w14:paraId="15421EB3" w14:textId="77777777" w:rsidR="000729CF" w:rsidRPr="000729CF" w:rsidRDefault="000729CF" w:rsidP="000729CF">
      <w:pPr>
        <w:spacing w:after="160" w:line="259" w:lineRule="auto"/>
        <w:rPr>
          <w:rFonts w:ascii="Calibri" w:eastAsia="Calibri" w:hAnsi="Calibri"/>
          <w:b/>
          <w:bCs/>
          <w:sz w:val="28"/>
          <w:szCs w:val="28"/>
          <w:lang w:val="en-GB"/>
        </w:rPr>
      </w:pPr>
    </w:p>
    <w:p w14:paraId="24A066BC" w14:textId="77777777" w:rsidR="000729CF" w:rsidRPr="000729CF" w:rsidRDefault="000729CF" w:rsidP="000729CF">
      <w:pPr>
        <w:spacing w:after="160" w:line="259" w:lineRule="auto"/>
        <w:rPr>
          <w:rFonts w:ascii="Calibri" w:eastAsia="Calibri" w:hAnsi="Calibri"/>
          <w:b/>
          <w:bCs/>
          <w:sz w:val="28"/>
          <w:szCs w:val="28"/>
          <w:lang w:val="en-GB"/>
        </w:rPr>
      </w:pPr>
    </w:p>
    <w:p w14:paraId="38920C7E" w14:textId="77777777" w:rsidR="000729CF" w:rsidRPr="000729CF" w:rsidRDefault="000729CF" w:rsidP="000729CF">
      <w:pPr>
        <w:spacing w:after="160" w:line="259" w:lineRule="auto"/>
        <w:rPr>
          <w:rFonts w:ascii="Calibri" w:eastAsia="Calibri" w:hAnsi="Calibri"/>
          <w:b/>
          <w:bCs/>
          <w:sz w:val="28"/>
          <w:szCs w:val="28"/>
          <w:lang w:val="en-GB"/>
        </w:rPr>
      </w:pPr>
    </w:p>
    <w:p w14:paraId="55F62194" w14:textId="77777777" w:rsidR="000729CF" w:rsidRPr="000729CF" w:rsidRDefault="000729CF" w:rsidP="000729CF">
      <w:pPr>
        <w:spacing w:after="160" w:line="259" w:lineRule="auto"/>
        <w:rPr>
          <w:rFonts w:ascii="Calibri" w:eastAsia="Calibri" w:hAnsi="Calibri"/>
          <w:b/>
          <w:bCs/>
          <w:sz w:val="28"/>
          <w:szCs w:val="28"/>
          <w:lang w:val="en-GB"/>
        </w:rPr>
      </w:pPr>
    </w:p>
    <w:p w14:paraId="5E730281" w14:textId="77777777" w:rsidR="000729CF" w:rsidRPr="000729CF" w:rsidRDefault="000729CF" w:rsidP="000729CF">
      <w:pPr>
        <w:spacing w:after="160" w:line="259" w:lineRule="auto"/>
        <w:rPr>
          <w:rFonts w:ascii="Calibri" w:eastAsia="Calibri" w:hAnsi="Calibri"/>
          <w:b/>
          <w:bCs/>
          <w:sz w:val="28"/>
          <w:szCs w:val="28"/>
          <w:lang w:val="en-GB"/>
        </w:rPr>
      </w:pPr>
    </w:p>
    <w:p w14:paraId="7D340399" w14:textId="77777777" w:rsidR="000729CF" w:rsidRPr="000729CF" w:rsidRDefault="000729CF" w:rsidP="000729CF">
      <w:pPr>
        <w:spacing w:after="160" w:line="259" w:lineRule="auto"/>
        <w:rPr>
          <w:rFonts w:ascii="Calibri" w:eastAsia="Calibri" w:hAnsi="Calibri"/>
          <w:b/>
          <w:bCs/>
          <w:sz w:val="28"/>
          <w:szCs w:val="28"/>
          <w:lang w:val="en-GB"/>
        </w:rPr>
      </w:pPr>
    </w:p>
    <w:tbl>
      <w:tblPr>
        <w:tblW w:w="5000" w:type="pct"/>
        <w:tblLook w:val="04A0" w:firstRow="1" w:lastRow="0" w:firstColumn="1" w:lastColumn="0" w:noHBand="0" w:noVBand="1"/>
      </w:tblPr>
      <w:tblGrid>
        <w:gridCol w:w="8608"/>
        <w:gridCol w:w="1376"/>
        <w:gridCol w:w="1376"/>
        <w:gridCol w:w="1376"/>
        <w:gridCol w:w="1326"/>
        <w:gridCol w:w="1326"/>
      </w:tblGrid>
      <w:tr w:rsidR="000729CF" w:rsidRPr="000729CF" w14:paraId="5D639278" w14:textId="77777777" w:rsidTr="000729CF">
        <w:trPr>
          <w:trHeight w:val="20"/>
        </w:trPr>
        <w:tc>
          <w:tcPr>
            <w:tcW w:w="2797" w:type="pct"/>
            <w:tcBorders>
              <w:top w:val="single" w:sz="4" w:space="0" w:color="auto"/>
              <w:left w:val="single" w:sz="4" w:space="0" w:color="auto"/>
              <w:bottom w:val="nil"/>
              <w:right w:val="single" w:sz="4" w:space="0" w:color="auto"/>
            </w:tcBorders>
            <w:shd w:val="clear" w:color="auto" w:fill="BFBFBF"/>
            <w:noWrap/>
            <w:tcMar>
              <w:left w:w="45" w:type="dxa"/>
              <w:right w:w="45" w:type="dxa"/>
            </w:tcMar>
            <w:vAlign w:val="bottom"/>
            <w:hideMark/>
          </w:tcPr>
          <w:p w14:paraId="4F7B04A2" w14:textId="77777777" w:rsidR="000729CF" w:rsidRPr="000729CF" w:rsidRDefault="000729CF" w:rsidP="000729CF">
            <w:pPr>
              <w:rPr>
                <w:rFonts w:ascii="Calibri" w:hAnsi="Calibri" w:cs="Calibri"/>
                <w:b/>
                <w:bCs/>
                <w:sz w:val="22"/>
                <w:szCs w:val="22"/>
                <w:lang w:val="en-GB" w:eastAsia="en-GB"/>
              </w:rPr>
            </w:pPr>
            <w:r w:rsidRPr="000729CF">
              <w:rPr>
                <w:rFonts w:ascii="Calibri" w:hAnsi="Calibri" w:cs="Calibri"/>
                <w:b/>
                <w:bCs/>
                <w:sz w:val="22"/>
                <w:szCs w:val="22"/>
                <w:lang w:val="en-GB" w:eastAsia="en-GB"/>
              </w:rPr>
              <w:t> </w:t>
            </w:r>
          </w:p>
        </w:tc>
        <w:tc>
          <w:tcPr>
            <w:tcW w:w="447" w:type="pct"/>
            <w:tcBorders>
              <w:top w:val="single" w:sz="4" w:space="0" w:color="auto"/>
              <w:left w:val="nil"/>
              <w:bottom w:val="nil"/>
              <w:right w:val="single" w:sz="4" w:space="0" w:color="auto"/>
            </w:tcBorders>
            <w:shd w:val="clear" w:color="auto" w:fill="BFBFBF"/>
            <w:tcMar>
              <w:left w:w="45" w:type="dxa"/>
              <w:right w:w="45" w:type="dxa"/>
            </w:tcMar>
            <w:vAlign w:val="bottom"/>
            <w:hideMark/>
          </w:tcPr>
          <w:p w14:paraId="3D6DA507" w14:textId="77777777" w:rsidR="000729CF" w:rsidRPr="000729CF" w:rsidRDefault="000729CF" w:rsidP="000729CF">
            <w:pPr>
              <w:jc w:val="center"/>
              <w:rPr>
                <w:rFonts w:ascii="Calibri" w:hAnsi="Calibri" w:cs="Calibri"/>
                <w:sz w:val="22"/>
                <w:szCs w:val="22"/>
                <w:lang w:val="en-GB" w:eastAsia="en-GB"/>
              </w:rPr>
            </w:pPr>
            <w:r w:rsidRPr="000729CF">
              <w:rPr>
                <w:rFonts w:ascii="Calibri" w:hAnsi="Calibri" w:cs="Calibri"/>
                <w:sz w:val="22"/>
                <w:szCs w:val="22"/>
                <w:lang w:val="en-GB" w:eastAsia="en-GB"/>
              </w:rPr>
              <w:t>Year 1 Budget</w:t>
            </w:r>
          </w:p>
        </w:tc>
        <w:tc>
          <w:tcPr>
            <w:tcW w:w="447" w:type="pct"/>
            <w:tcBorders>
              <w:top w:val="single" w:sz="4" w:space="0" w:color="auto"/>
              <w:left w:val="nil"/>
              <w:bottom w:val="nil"/>
              <w:right w:val="single" w:sz="4" w:space="0" w:color="auto"/>
            </w:tcBorders>
            <w:shd w:val="clear" w:color="auto" w:fill="BFBFBF"/>
            <w:tcMar>
              <w:left w:w="45" w:type="dxa"/>
              <w:right w:w="45" w:type="dxa"/>
            </w:tcMar>
            <w:vAlign w:val="bottom"/>
            <w:hideMark/>
          </w:tcPr>
          <w:p w14:paraId="3260BFC8" w14:textId="77777777" w:rsidR="000729CF" w:rsidRPr="000729CF" w:rsidRDefault="000729CF" w:rsidP="000729CF">
            <w:pPr>
              <w:jc w:val="center"/>
              <w:rPr>
                <w:rFonts w:ascii="Calibri" w:hAnsi="Calibri" w:cs="Calibri"/>
                <w:sz w:val="22"/>
                <w:szCs w:val="22"/>
                <w:lang w:val="en-GB" w:eastAsia="en-GB"/>
              </w:rPr>
            </w:pPr>
            <w:r w:rsidRPr="000729CF">
              <w:rPr>
                <w:rFonts w:ascii="Calibri" w:hAnsi="Calibri" w:cs="Calibri"/>
                <w:sz w:val="22"/>
                <w:szCs w:val="22"/>
                <w:lang w:val="en-GB" w:eastAsia="en-GB"/>
              </w:rPr>
              <w:t>Year 2 Budget</w:t>
            </w:r>
          </w:p>
        </w:tc>
        <w:tc>
          <w:tcPr>
            <w:tcW w:w="447" w:type="pct"/>
            <w:tcBorders>
              <w:top w:val="single" w:sz="4" w:space="0" w:color="auto"/>
              <w:left w:val="nil"/>
              <w:bottom w:val="nil"/>
              <w:right w:val="single" w:sz="4" w:space="0" w:color="auto"/>
            </w:tcBorders>
            <w:shd w:val="clear" w:color="auto" w:fill="BFBFBF"/>
            <w:tcMar>
              <w:left w:w="45" w:type="dxa"/>
              <w:right w:w="45" w:type="dxa"/>
            </w:tcMar>
            <w:vAlign w:val="bottom"/>
            <w:hideMark/>
          </w:tcPr>
          <w:p w14:paraId="44AA2503" w14:textId="77777777" w:rsidR="000729CF" w:rsidRPr="000729CF" w:rsidRDefault="000729CF" w:rsidP="000729CF">
            <w:pPr>
              <w:jc w:val="center"/>
              <w:rPr>
                <w:rFonts w:ascii="Calibri" w:hAnsi="Calibri" w:cs="Calibri"/>
                <w:sz w:val="22"/>
                <w:szCs w:val="22"/>
                <w:lang w:val="en-GB" w:eastAsia="en-GB"/>
              </w:rPr>
            </w:pPr>
            <w:r w:rsidRPr="000729CF">
              <w:rPr>
                <w:rFonts w:ascii="Calibri" w:hAnsi="Calibri" w:cs="Calibri"/>
                <w:sz w:val="22"/>
                <w:szCs w:val="22"/>
                <w:lang w:val="en-GB" w:eastAsia="en-GB"/>
              </w:rPr>
              <w:t>Year 3 Budget</w:t>
            </w:r>
          </w:p>
        </w:tc>
        <w:tc>
          <w:tcPr>
            <w:tcW w:w="431" w:type="pct"/>
            <w:tcBorders>
              <w:top w:val="single" w:sz="4" w:space="0" w:color="auto"/>
              <w:left w:val="nil"/>
              <w:bottom w:val="nil"/>
              <w:right w:val="single" w:sz="4" w:space="0" w:color="auto"/>
            </w:tcBorders>
            <w:shd w:val="clear" w:color="auto" w:fill="BFBFBF"/>
            <w:tcMar>
              <w:left w:w="45" w:type="dxa"/>
              <w:right w:w="45" w:type="dxa"/>
            </w:tcMar>
            <w:vAlign w:val="bottom"/>
            <w:hideMark/>
          </w:tcPr>
          <w:p w14:paraId="4E5AB742" w14:textId="77777777" w:rsidR="000729CF" w:rsidRPr="000729CF" w:rsidRDefault="000729CF" w:rsidP="000729CF">
            <w:pPr>
              <w:jc w:val="center"/>
              <w:rPr>
                <w:rFonts w:ascii="Calibri" w:hAnsi="Calibri" w:cs="Calibri"/>
                <w:sz w:val="22"/>
                <w:szCs w:val="22"/>
                <w:lang w:val="en-GB" w:eastAsia="en-GB"/>
              </w:rPr>
            </w:pPr>
            <w:r w:rsidRPr="000729CF">
              <w:rPr>
                <w:rFonts w:ascii="Calibri" w:hAnsi="Calibri" w:cs="Calibri"/>
                <w:sz w:val="22"/>
                <w:szCs w:val="22"/>
                <w:lang w:val="en-GB" w:eastAsia="en-GB"/>
              </w:rPr>
              <w:t>Year 4 Budget</w:t>
            </w:r>
          </w:p>
        </w:tc>
        <w:tc>
          <w:tcPr>
            <w:tcW w:w="431" w:type="pct"/>
            <w:tcBorders>
              <w:top w:val="single" w:sz="4" w:space="0" w:color="auto"/>
              <w:left w:val="nil"/>
              <w:bottom w:val="nil"/>
              <w:right w:val="single" w:sz="4" w:space="0" w:color="auto"/>
            </w:tcBorders>
            <w:shd w:val="clear" w:color="auto" w:fill="BFBFBF"/>
            <w:tcMar>
              <w:left w:w="45" w:type="dxa"/>
              <w:right w:w="45" w:type="dxa"/>
            </w:tcMar>
            <w:vAlign w:val="bottom"/>
            <w:hideMark/>
          </w:tcPr>
          <w:p w14:paraId="093550A5" w14:textId="77777777" w:rsidR="000729CF" w:rsidRPr="000729CF" w:rsidRDefault="000729CF" w:rsidP="000729CF">
            <w:pPr>
              <w:jc w:val="center"/>
              <w:rPr>
                <w:rFonts w:ascii="Calibri" w:hAnsi="Calibri" w:cs="Calibri"/>
                <w:sz w:val="22"/>
                <w:szCs w:val="22"/>
                <w:lang w:val="en-GB" w:eastAsia="en-GB"/>
              </w:rPr>
            </w:pPr>
            <w:r w:rsidRPr="000729CF">
              <w:rPr>
                <w:rFonts w:ascii="Calibri" w:hAnsi="Calibri" w:cs="Calibri"/>
                <w:sz w:val="22"/>
                <w:szCs w:val="22"/>
                <w:lang w:val="en-GB" w:eastAsia="en-GB"/>
              </w:rPr>
              <w:t>Year 5 Budget</w:t>
            </w:r>
          </w:p>
        </w:tc>
      </w:tr>
      <w:tr w:rsidR="000729CF" w:rsidRPr="000729CF" w14:paraId="73824B93" w14:textId="77777777" w:rsidTr="000729CF">
        <w:trPr>
          <w:trHeight w:val="20"/>
        </w:trPr>
        <w:tc>
          <w:tcPr>
            <w:tcW w:w="2797" w:type="pct"/>
            <w:tcBorders>
              <w:top w:val="nil"/>
              <w:left w:val="single" w:sz="4" w:space="0" w:color="auto"/>
              <w:bottom w:val="nil"/>
              <w:right w:val="single" w:sz="4" w:space="0" w:color="auto"/>
            </w:tcBorders>
            <w:shd w:val="clear" w:color="auto" w:fill="BFBFBF"/>
            <w:noWrap/>
            <w:tcMar>
              <w:left w:w="45" w:type="dxa"/>
              <w:right w:w="45" w:type="dxa"/>
            </w:tcMar>
            <w:vAlign w:val="bottom"/>
            <w:hideMark/>
          </w:tcPr>
          <w:p w14:paraId="4FF6FF34" w14:textId="77777777" w:rsidR="000729CF" w:rsidRPr="000729CF" w:rsidRDefault="000729CF" w:rsidP="000729CF">
            <w:pPr>
              <w:rPr>
                <w:rFonts w:ascii="Calibri" w:hAnsi="Calibri" w:cs="Calibri"/>
                <w:b/>
                <w:bCs/>
                <w:sz w:val="22"/>
                <w:szCs w:val="22"/>
                <w:lang w:val="en-GB" w:eastAsia="en-GB"/>
              </w:rPr>
            </w:pPr>
            <w:r w:rsidRPr="000729CF">
              <w:rPr>
                <w:rFonts w:ascii="Calibri" w:hAnsi="Calibri" w:cs="Calibri"/>
                <w:b/>
                <w:bCs/>
                <w:sz w:val="22"/>
                <w:szCs w:val="22"/>
                <w:lang w:val="en-GB" w:eastAsia="en-GB"/>
              </w:rPr>
              <w:t>Governance, People &amp; Resources</w:t>
            </w:r>
          </w:p>
        </w:tc>
        <w:tc>
          <w:tcPr>
            <w:tcW w:w="447" w:type="pct"/>
            <w:tcBorders>
              <w:top w:val="single" w:sz="4" w:space="0" w:color="auto"/>
              <w:left w:val="nil"/>
              <w:bottom w:val="nil"/>
              <w:right w:val="single" w:sz="4" w:space="0" w:color="auto"/>
            </w:tcBorders>
            <w:shd w:val="clear" w:color="auto" w:fill="BFBFBF"/>
            <w:noWrap/>
            <w:tcMar>
              <w:left w:w="45" w:type="dxa"/>
              <w:right w:w="45" w:type="dxa"/>
            </w:tcMar>
            <w:vAlign w:val="bottom"/>
            <w:hideMark/>
          </w:tcPr>
          <w:p w14:paraId="51A94029"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2024/25</w:t>
            </w:r>
          </w:p>
        </w:tc>
        <w:tc>
          <w:tcPr>
            <w:tcW w:w="447" w:type="pct"/>
            <w:tcBorders>
              <w:top w:val="single" w:sz="4" w:space="0" w:color="auto"/>
              <w:left w:val="nil"/>
              <w:bottom w:val="nil"/>
              <w:right w:val="single" w:sz="4" w:space="0" w:color="auto"/>
            </w:tcBorders>
            <w:shd w:val="clear" w:color="auto" w:fill="BFBFBF"/>
            <w:noWrap/>
            <w:tcMar>
              <w:left w:w="45" w:type="dxa"/>
              <w:right w:w="45" w:type="dxa"/>
            </w:tcMar>
            <w:vAlign w:val="bottom"/>
            <w:hideMark/>
          </w:tcPr>
          <w:p w14:paraId="650F4FAA"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2025/26</w:t>
            </w:r>
          </w:p>
        </w:tc>
        <w:tc>
          <w:tcPr>
            <w:tcW w:w="447" w:type="pct"/>
            <w:tcBorders>
              <w:top w:val="single" w:sz="4" w:space="0" w:color="auto"/>
              <w:left w:val="nil"/>
              <w:bottom w:val="nil"/>
              <w:right w:val="single" w:sz="4" w:space="0" w:color="auto"/>
            </w:tcBorders>
            <w:shd w:val="clear" w:color="auto" w:fill="BFBFBF"/>
            <w:noWrap/>
            <w:tcMar>
              <w:left w:w="45" w:type="dxa"/>
              <w:right w:w="45" w:type="dxa"/>
            </w:tcMar>
            <w:vAlign w:val="bottom"/>
            <w:hideMark/>
          </w:tcPr>
          <w:p w14:paraId="177026BE"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2026/27</w:t>
            </w:r>
          </w:p>
        </w:tc>
        <w:tc>
          <w:tcPr>
            <w:tcW w:w="431" w:type="pct"/>
            <w:tcBorders>
              <w:top w:val="single" w:sz="4" w:space="0" w:color="auto"/>
              <w:left w:val="nil"/>
              <w:bottom w:val="nil"/>
              <w:right w:val="single" w:sz="4" w:space="0" w:color="auto"/>
            </w:tcBorders>
            <w:shd w:val="clear" w:color="auto" w:fill="BFBFBF"/>
            <w:noWrap/>
            <w:tcMar>
              <w:left w:w="45" w:type="dxa"/>
              <w:right w:w="45" w:type="dxa"/>
            </w:tcMar>
            <w:vAlign w:val="bottom"/>
            <w:hideMark/>
          </w:tcPr>
          <w:p w14:paraId="448B15C6"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2027/28</w:t>
            </w:r>
          </w:p>
        </w:tc>
        <w:tc>
          <w:tcPr>
            <w:tcW w:w="431" w:type="pct"/>
            <w:tcBorders>
              <w:top w:val="single" w:sz="4" w:space="0" w:color="auto"/>
              <w:left w:val="nil"/>
              <w:bottom w:val="nil"/>
              <w:right w:val="single" w:sz="4" w:space="0" w:color="auto"/>
            </w:tcBorders>
            <w:shd w:val="clear" w:color="auto" w:fill="BFBFBF"/>
            <w:noWrap/>
            <w:tcMar>
              <w:left w:w="45" w:type="dxa"/>
              <w:right w:w="45" w:type="dxa"/>
            </w:tcMar>
            <w:vAlign w:val="bottom"/>
            <w:hideMark/>
          </w:tcPr>
          <w:p w14:paraId="26CF2319"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2028/29</w:t>
            </w:r>
          </w:p>
        </w:tc>
      </w:tr>
      <w:tr w:rsidR="000729CF" w:rsidRPr="000729CF" w14:paraId="515BC25F" w14:textId="77777777" w:rsidTr="000729CF">
        <w:trPr>
          <w:trHeight w:val="20"/>
        </w:trPr>
        <w:tc>
          <w:tcPr>
            <w:tcW w:w="2797" w:type="pct"/>
            <w:tcBorders>
              <w:top w:val="nil"/>
              <w:left w:val="single" w:sz="4" w:space="0" w:color="auto"/>
              <w:bottom w:val="single" w:sz="4" w:space="0" w:color="auto"/>
              <w:right w:val="single" w:sz="4" w:space="0" w:color="auto"/>
            </w:tcBorders>
            <w:shd w:val="clear" w:color="auto" w:fill="BFBFBF"/>
            <w:noWrap/>
            <w:tcMar>
              <w:left w:w="45" w:type="dxa"/>
              <w:right w:w="45" w:type="dxa"/>
            </w:tcMar>
            <w:vAlign w:val="bottom"/>
            <w:hideMark/>
          </w:tcPr>
          <w:p w14:paraId="689A29E8"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single" w:sz="4" w:space="0" w:color="auto"/>
              <w:right w:val="single" w:sz="4" w:space="0" w:color="auto"/>
            </w:tcBorders>
            <w:shd w:val="clear" w:color="auto" w:fill="BFBFBF"/>
            <w:noWrap/>
            <w:tcMar>
              <w:left w:w="45" w:type="dxa"/>
              <w:right w:w="45" w:type="dxa"/>
            </w:tcMar>
            <w:vAlign w:val="bottom"/>
            <w:hideMark/>
          </w:tcPr>
          <w:p w14:paraId="7D468B82"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£000</w:t>
            </w:r>
          </w:p>
        </w:tc>
        <w:tc>
          <w:tcPr>
            <w:tcW w:w="447" w:type="pct"/>
            <w:tcBorders>
              <w:top w:val="nil"/>
              <w:left w:val="nil"/>
              <w:bottom w:val="single" w:sz="4" w:space="0" w:color="auto"/>
              <w:right w:val="single" w:sz="4" w:space="0" w:color="auto"/>
            </w:tcBorders>
            <w:shd w:val="clear" w:color="auto" w:fill="BFBFBF"/>
            <w:noWrap/>
            <w:tcMar>
              <w:left w:w="45" w:type="dxa"/>
              <w:right w:w="45" w:type="dxa"/>
            </w:tcMar>
            <w:vAlign w:val="bottom"/>
            <w:hideMark/>
          </w:tcPr>
          <w:p w14:paraId="1662FF74"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£000</w:t>
            </w:r>
          </w:p>
        </w:tc>
        <w:tc>
          <w:tcPr>
            <w:tcW w:w="447" w:type="pct"/>
            <w:tcBorders>
              <w:top w:val="nil"/>
              <w:left w:val="nil"/>
              <w:bottom w:val="single" w:sz="4" w:space="0" w:color="auto"/>
              <w:right w:val="single" w:sz="4" w:space="0" w:color="auto"/>
            </w:tcBorders>
            <w:shd w:val="clear" w:color="auto" w:fill="BFBFBF"/>
            <w:noWrap/>
            <w:tcMar>
              <w:left w:w="45" w:type="dxa"/>
              <w:right w:w="45" w:type="dxa"/>
            </w:tcMar>
            <w:vAlign w:val="bottom"/>
            <w:hideMark/>
          </w:tcPr>
          <w:p w14:paraId="6EEEB71E"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£000</w:t>
            </w:r>
          </w:p>
        </w:tc>
        <w:tc>
          <w:tcPr>
            <w:tcW w:w="431" w:type="pct"/>
            <w:tcBorders>
              <w:top w:val="nil"/>
              <w:left w:val="nil"/>
              <w:bottom w:val="single" w:sz="4" w:space="0" w:color="auto"/>
              <w:right w:val="single" w:sz="4" w:space="0" w:color="auto"/>
            </w:tcBorders>
            <w:shd w:val="clear" w:color="auto" w:fill="BFBFBF"/>
            <w:noWrap/>
            <w:tcMar>
              <w:left w:w="45" w:type="dxa"/>
              <w:right w:w="45" w:type="dxa"/>
            </w:tcMar>
            <w:vAlign w:val="bottom"/>
            <w:hideMark/>
          </w:tcPr>
          <w:p w14:paraId="56F3D9A8"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£000</w:t>
            </w:r>
          </w:p>
        </w:tc>
        <w:tc>
          <w:tcPr>
            <w:tcW w:w="431" w:type="pct"/>
            <w:tcBorders>
              <w:top w:val="nil"/>
              <w:left w:val="nil"/>
              <w:bottom w:val="single" w:sz="4" w:space="0" w:color="auto"/>
              <w:right w:val="single" w:sz="4" w:space="0" w:color="auto"/>
            </w:tcBorders>
            <w:shd w:val="clear" w:color="auto" w:fill="BFBFBF"/>
            <w:noWrap/>
            <w:tcMar>
              <w:left w:w="45" w:type="dxa"/>
              <w:right w:w="45" w:type="dxa"/>
            </w:tcMar>
            <w:vAlign w:val="bottom"/>
            <w:hideMark/>
          </w:tcPr>
          <w:p w14:paraId="63F1E143"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£000</w:t>
            </w:r>
          </w:p>
        </w:tc>
      </w:tr>
      <w:tr w:rsidR="000729CF" w:rsidRPr="000729CF" w14:paraId="2654B510"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483C9A17"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57F04D8E"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8DC1B53"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F1117B7"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7DC7BC24"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7289AA3C"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r>
      <w:tr w:rsidR="000729CF" w:rsidRPr="000729CF" w14:paraId="52480EC9"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1AB2E4A2" w14:textId="77777777" w:rsidR="000729CF" w:rsidRPr="000729CF" w:rsidRDefault="000729CF" w:rsidP="000729CF">
            <w:pPr>
              <w:rPr>
                <w:rFonts w:ascii="Calibri" w:hAnsi="Calibri" w:cs="Calibri"/>
                <w:b/>
                <w:bCs/>
                <w:sz w:val="22"/>
                <w:szCs w:val="22"/>
                <w:u w:val="single"/>
                <w:lang w:val="en-GB" w:eastAsia="en-GB"/>
              </w:rPr>
            </w:pPr>
            <w:r w:rsidRPr="000729CF">
              <w:rPr>
                <w:rFonts w:ascii="Calibri" w:hAnsi="Calibri" w:cs="Calibri"/>
                <w:b/>
                <w:bCs/>
                <w:sz w:val="22"/>
                <w:szCs w:val="22"/>
                <w:u w:val="single"/>
                <w:lang w:val="en-GB" w:eastAsia="en-GB"/>
              </w:rPr>
              <w:t>Approved Schemes</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5BF9C8B5"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895A7E4"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0568B07"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53206408"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1CAA749B"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r>
      <w:tr w:rsidR="000729CF" w:rsidRPr="000729CF" w14:paraId="3263A4F9"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316C22DE"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Digital Organisation Programme</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C825D1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1,500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5039146A"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8D10C0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100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46C793D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717F0EB2"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44D3274C"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33BCA3EC"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IT Equipment for Members</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6E968C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40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366790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40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D3E0BB6"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40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40541CDC"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40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75E3F24B"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40</w:t>
            </w:r>
          </w:p>
        </w:tc>
      </w:tr>
      <w:tr w:rsidR="000729CF" w:rsidRPr="000729CF" w14:paraId="0E7120EF"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739778C8"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Laptop Refresh Programme</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5017942"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1,950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495A25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1,000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B816A0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250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1ECE402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6980D4D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2ED6D5B6"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25091D7C"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IT&amp;D Data Programme</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9BCDB6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D3A424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F0D96A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17595DFC"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5A7753C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01764114"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02D172B9"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IT&amp;D Projects</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82AE14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310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010170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250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44FB8DC"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250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6173C9E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3215980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4B71F415"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30AB4B66"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Digital Data &amp; Technology Investment</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678453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2,380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F037CE6"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930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3DB4AB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930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0ECEFD92"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35E2736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37EABD1A"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6DADB646"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Electronic Document Management Replacement System</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C3683C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400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26B50BA"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A04AFB6"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60D59F2C"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7E4854D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4E6910F3"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43656CEE"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510C22D"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EF5F86A"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D47B99A"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13A7FA2D"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2E3550CA"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r>
      <w:tr w:rsidR="000729CF" w:rsidRPr="000729CF" w14:paraId="752D2909"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2FBC23A1" w14:textId="77777777" w:rsidR="000729CF" w:rsidRPr="000729CF" w:rsidRDefault="000729CF" w:rsidP="000729CF">
            <w:pPr>
              <w:rPr>
                <w:rFonts w:ascii="Calibri" w:hAnsi="Calibri" w:cs="Calibri"/>
                <w:b/>
                <w:bCs/>
                <w:sz w:val="22"/>
                <w:szCs w:val="22"/>
                <w:u w:val="single"/>
                <w:lang w:val="en-GB" w:eastAsia="en-GB"/>
              </w:rPr>
            </w:pPr>
            <w:r w:rsidRPr="000729CF">
              <w:rPr>
                <w:rFonts w:ascii="Calibri" w:hAnsi="Calibri" w:cs="Calibri"/>
                <w:b/>
                <w:bCs/>
                <w:sz w:val="22"/>
                <w:szCs w:val="22"/>
                <w:u w:val="single"/>
                <w:lang w:val="en-GB" w:eastAsia="en-GB"/>
              </w:rPr>
              <w:t>Identified Schemes Not Yet approved</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5FAF99CC"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EAC1DCB"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5BFFEA28"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03C6F2A7"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02579649"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r>
      <w:tr w:rsidR="000729CF" w:rsidRPr="000729CF" w14:paraId="6C0446AF"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608C3927"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Managing Staff Changes (Restructure / Redundancy)</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7E7979E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1,000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545E8D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601240B"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64D0817A"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2E040A1A"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216E0DEA"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7B188D19"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Modernisation Enablers</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77E9FD1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1,050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69ED1F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5EABC2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494073C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48A5F32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28E2AE1E"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16188F52"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Invest to Save Plans</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473EF0F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571</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54AE1136"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4D71F4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3BD7DEC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6389648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10BB14F0" w14:textId="77777777" w:rsidTr="00BC26AB">
        <w:trPr>
          <w:trHeight w:val="20"/>
        </w:trPr>
        <w:tc>
          <w:tcPr>
            <w:tcW w:w="2797" w:type="pct"/>
            <w:tcBorders>
              <w:top w:val="nil"/>
              <w:left w:val="single" w:sz="4" w:space="0" w:color="auto"/>
              <w:right w:val="single" w:sz="4" w:space="0" w:color="auto"/>
            </w:tcBorders>
            <w:shd w:val="clear" w:color="auto" w:fill="auto"/>
            <w:noWrap/>
            <w:tcMar>
              <w:left w:w="45" w:type="dxa"/>
              <w:right w:w="45" w:type="dxa"/>
            </w:tcMar>
            <w:vAlign w:val="bottom"/>
            <w:hideMark/>
          </w:tcPr>
          <w:p w14:paraId="1B3E8047"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IT&amp;D Data Programme</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7CBF34B"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260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641535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260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328362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260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78B283DB"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737954E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6CE1175F"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741EE7C4"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Local Area Network Hardware Refresh</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0AE4D5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450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9D9649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3F3A202"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749AFB5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78A85566"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45C63726"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124A9851"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IT&amp;D Future Fund</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52C2183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B26F58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0A715B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44F7D75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1,000</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730C9BE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1,000</w:t>
            </w:r>
          </w:p>
        </w:tc>
      </w:tr>
      <w:tr w:rsidR="000729CF" w:rsidRPr="000729CF" w14:paraId="59703200" w14:textId="77777777" w:rsidTr="00BC26AB">
        <w:trPr>
          <w:trHeight w:val="20"/>
        </w:trPr>
        <w:tc>
          <w:tcPr>
            <w:tcW w:w="2797" w:type="pct"/>
            <w:tcBorders>
              <w:top w:val="single" w:sz="4" w:space="0" w:color="auto"/>
              <w:left w:val="single" w:sz="4" w:space="0" w:color="auto"/>
              <w:bottom w:val="single" w:sz="4" w:space="0" w:color="auto"/>
              <w:right w:val="single" w:sz="4" w:space="0" w:color="auto"/>
            </w:tcBorders>
            <w:shd w:val="clear" w:color="000000" w:fill="BFBFBF"/>
            <w:noWrap/>
            <w:tcMar>
              <w:left w:w="45" w:type="dxa"/>
              <w:right w:w="45" w:type="dxa"/>
            </w:tcMar>
            <w:vAlign w:val="bottom"/>
            <w:hideMark/>
          </w:tcPr>
          <w:p w14:paraId="603E903C" w14:textId="77777777" w:rsidR="000729CF" w:rsidRPr="000729CF" w:rsidRDefault="000729CF" w:rsidP="000729CF">
            <w:pPr>
              <w:rPr>
                <w:rFonts w:ascii="Calibri" w:hAnsi="Calibri" w:cs="Calibri"/>
                <w:b/>
                <w:bCs/>
                <w:sz w:val="22"/>
                <w:szCs w:val="22"/>
                <w:lang w:val="en-GB" w:eastAsia="en-GB"/>
              </w:rPr>
            </w:pPr>
            <w:r w:rsidRPr="000729CF">
              <w:rPr>
                <w:rFonts w:ascii="Calibri" w:hAnsi="Calibri" w:cs="Calibri"/>
                <w:b/>
                <w:bCs/>
                <w:sz w:val="22"/>
                <w:szCs w:val="22"/>
                <w:lang w:val="en-GB" w:eastAsia="en-GB"/>
              </w:rPr>
              <w:t>Total Governance, People &amp; Resources</w:t>
            </w:r>
          </w:p>
        </w:tc>
        <w:tc>
          <w:tcPr>
            <w:tcW w:w="447" w:type="pct"/>
            <w:tcBorders>
              <w:top w:val="single" w:sz="4" w:space="0" w:color="auto"/>
              <w:left w:val="nil"/>
              <w:bottom w:val="single" w:sz="4" w:space="0" w:color="auto"/>
              <w:right w:val="single" w:sz="4" w:space="0" w:color="auto"/>
            </w:tcBorders>
            <w:shd w:val="clear" w:color="000000" w:fill="BFBFBF"/>
            <w:noWrap/>
            <w:tcMar>
              <w:left w:w="45" w:type="dxa"/>
              <w:right w:w="45" w:type="dxa"/>
            </w:tcMar>
            <w:vAlign w:val="bottom"/>
            <w:hideMark/>
          </w:tcPr>
          <w:p w14:paraId="5B30290F"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10,011</w:t>
            </w:r>
          </w:p>
        </w:tc>
        <w:tc>
          <w:tcPr>
            <w:tcW w:w="447" w:type="pct"/>
            <w:tcBorders>
              <w:top w:val="single" w:sz="4" w:space="0" w:color="auto"/>
              <w:left w:val="nil"/>
              <w:bottom w:val="single" w:sz="4" w:space="0" w:color="auto"/>
              <w:right w:val="single" w:sz="4" w:space="0" w:color="auto"/>
            </w:tcBorders>
            <w:shd w:val="clear" w:color="000000" w:fill="BFBFBF"/>
            <w:noWrap/>
            <w:tcMar>
              <w:left w:w="45" w:type="dxa"/>
              <w:right w:w="45" w:type="dxa"/>
            </w:tcMar>
            <w:vAlign w:val="bottom"/>
            <w:hideMark/>
          </w:tcPr>
          <w:p w14:paraId="61A4076E"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2,580</w:t>
            </w:r>
          </w:p>
        </w:tc>
        <w:tc>
          <w:tcPr>
            <w:tcW w:w="447" w:type="pct"/>
            <w:tcBorders>
              <w:top w:val="single" w:sz="4" w:space="0" w:color="auto"/>
              <w:left w:val="nil"/>
              <w:bottom w:val="single" w:sz="4" w:space="0" w:color="auto"/>
              <w:right w:val="single" w:sz="4" w:space="0" w:color="auto"/>
            </w:tcBorders>
            <w:shd w:val="clear" w:color="000000" w:fill="BFBFBF"/>
            <w:noWrap/>
            <w:tcMar>
              <w:left w:w="45" w:type="dxa"/>
              <w:right w:w="45" w:type="dxa"/>
            </w:tcMar>
            <w:vAlign w:val="bottom"/>
            <w:hideMark/>
          </w:tcPr>
          <w:p w14:paraId="6CBDDEC6"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1,830</w:t>
            </w:r>
          </w:p>
        </w:tc>
        <w:tc>
          <w:tcPr>
            <w:tcW w:w="431" w:type="pct"/>
            <w:tcBorders>
              <w:top w:val="single" w:sz="4" w:space="0" w:color="auto"/>
              <w:left w:val="nil"/>
              <w:bottom w:val="single" w:sz="4" w:space="0" w:color="auto"/>
              <w:right w:val="single" w:sz="4" w:space="0" w:color="auto"/>
            </w:tcBorders>
            <w:shd w:val="clear" w:color="000000" w:fill="BFBFBF"/>
            <w:noWrap/>
            <w:tcMar>
              <w:left w:w="45" w:type="dxa"/>
              <w:right w:w="45" w:type="dxa"/>
            </w:tcMar>
            <w:vAlign w:val="bottom"/>
            <w:hideMark/>
          </w:tcPr>
          <w:p w14:paraId="4B184DA3"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1,040</w:t>
            </w:r>
          </w:p>
        </w:tc>
        <w:tc>
          <w:tcPr>
            <w:tcW w:w="431" w:type="pct"/>
            <w:tcBorders>
              <w:top w:val="single" w:sz="4" w:space="0" w:color="auto"/>
              <w:left w:val="nil"/>
              <w:bottom w:val="single" w:sz="4" w:space="0" w:color="auto"/>
              <w:right w:val="single" w:sz="4" w:space="0" w:color="auto"/>
            </w:tcBorders>
            <w:shd w:val="clear" w:color="000000" w:fill="BFBFBF"/>
            <w:noWrap/>
            <w:tcMar>
              <w:left w:w="45" w:type="dxa"/>
              <w:right w:w="45" w:type="dxa"/>
            </w:tcMar>
            <w:vAlign w:val="bottom"/>
            <w:hideMark/>
          </w:tcPr>
          <w:p w14:paraId="7E673BDB"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1,040</w:t>
            </w:r>
          </w:p>
        </w:tc>
      </w:tr>
    </w:tbl>
    <w:p w14:paraId="403B0424" w14:textId="77777777" w:rsidR="000729CF" w:rsidRPr="000729CF" w:rsidRDefault="000729CF" w:rsidP="000729CF">
      <w:pPr>
        <w:spacing w:after="160" w:line="259" w:lineRule="auto"/>
        <w:rPr>
          <w:rFonts w:ascii="Calibri" w:eastAsia="Calibri" w:hAnsi="Calibri"/>
          <w:b/>
          <w:bCs/>
          <w:sz w:val="28"/>
          <w:szCs w:val="28"/>
          <w:lang w:val="en-GB"/>
        </w:rPr>
      </w:pPr>
    </w:p>
    <w:p w14:paraId="331AA043" w14:textId="77777777" w:rsidR="000729CF" w:rsidRPr="000729CF" w:rsidRDefault="000729CF" w:rsidP="000729CF">
      <w:pPr>
        <w:spacing w:after="160" w:line="259" w:lineRule="auto"/>
        <w:rPr>
          <w:rFonts w:ascii="Calibri" w:eastAsia="Calibri" w:hAnsi="Calibri"/>
          <w:b/>
          <w:bCs/>
          <w:sz w:val="28"/>
          <w:szCs w:val="28"/>
          <w:lang w:val="en-GB"/>
        </w:rPr>
      </w:pPr>
    </w:p>
    <w:p w14:paraId="1F82F33F" w14:textId="77777777" w:rsidR="000729CF" w:rsidRPr="000729CF" w:rsidRDefault="000729CF" w:rsidP="000729CF">
      <w:pPr>
        <w:spacing w:after="160" w:line="259" w:lineRule="auto"/>
        <w:rPr>
          <w:rFonts w:ascii="Calibri" w:eastAsia="Calibri" w:hAnsi="Calibri"/>
          <w:b/>
          <w:bCs/>
          <w:sz w:val="28"/>
          <w:szCs w:val="28"/>
          <w:lang w:val="en-GB"/>
        </w:rPr>
      </w:pPr>
    </w:p>
    <w:p w14:paraId="7DBA879B" w14:textId="77777777" w:rsidR="000729CF" w:rsidRPr="000729CF" w:rsidRDefault="000729CF" w:rsidP="000729CF">
      <w:pPr>
        <w:spacing w:after="160" w:line="259" w:lineRule="auto"/>
        <w:rPr>
          <w:rFonts w:ascii="Calibri" w:eastAsia="Calibri" w:hAnsi="Calibri"/>
          <w:b/>
          <w:bCs/>
          <w:sz w:val="28"/>
          <w:szCs w:val="28"/>
          <w:lang w:val="en-GB"/>
        </w:rPr>
      </w:pPr>
    </w:p>
    <w:p w14:paraId="77F14FB3" w14:textId="77777777" w:rsidR="000729CF" w:rsidRPr="000729CF" w:rsidRDefault="000729CF" w:rsidP="000729CF">
      <w:pPr>
        <w:spacing w:after="160" w:line="259" w:lineRule="auto"/>
        <w:rPr>
          <w:rFonts w:ascii="Calibri" w:eastAsia="Calibri" w:hAnsi="Calibri"/>
          <w:b/>
          <w:bCs/>
          <w:sz w:val="28"/>
          <w:szCs w:val="28"/>
          <w:lang w:val="en-GB"/>
        </w:rPr>
      </w:pPr>
    </w:p>
    <w:p w14:paraId="7F8B72BF" w14:textId="77777777" w:rsidR="000729CF" w:rsidRPr="000729CF" w:rsidRDefault="000729CF" w:rsidP="000729CF">
      <w:pPr>
        <w:spacing w:after="160" w:line="259" w:lineRule="auto"/>
        <w:rPr>
          <w:rFonts w:ascii="Calibri" w:eastAsia="Calibri" w:hAnsi="Calibri"/>
          <w:b/>
          <w:bCs/>
          <w:sz w:val="28"/>
          <w:szCs w:val="28"/>
          <w:lang w:val="en-GB"/>
        </w:rPr>
      </w:pPr>
    </w:p>
    <w:p w14:paraId="23BDF8CF" w14:textId="77777777" w:rsidR="000729CF" w:rsidRPr="000729CF" w:rsidRDefault="000729CF" w:rsidP="000729CF">
      <w:pPr>
        <w:spacing w:after="160" w:line="259" w:lineRule="auto"/>
        <w:rPr>
          <w:rFonts w:ascii="Calibri" w:eastAsia="Calibri" w:hAnsi="Calibri"/>
          <w:b/>
          <w:bCs/>
          <w:sz w:val="28"/>
          <w:szCs w:val="28"/>
          <w:lang w:val="en-GB"/>
        </w:rPr>
      </w:pPr>
    </w:p>
    <w:p w14:paraId="49FED492" w14:textId="77777777" w:rsidR="000729CF" w:rsidRPr="000729CF" w:rsidRDefault="000729CF" w:rsidP="000729CF">
      <w:pPr>
        <w:spacing w:after="160" w:line="259" w:lineRule="auto"/>
        <w:rPr>
          <w:rFonts w:ascii="Calibri" w:eastAsia="Calibri" w:hAnsi="Calibri"/>
          <w:b/>
          <w:bCs/>
          <w:sz w:val="28"/>
          <w:szCs w:val="28"/>
          <w:lang w:val="en-GB"/>
        </w:rPr>
      </w:pPr>
    </w:p>
    <w:tbl>
      <w:tblPr>
        <w:tblW w:w="5000" w:type="pct"/>
        <w:tblLook w:val="04A0" w:firstRow="1" w:lastRow="0" w:firstColumn="1" w:lastColumn="0" w:noHBand="0" w:noVBand="1"/>
      </w:tblPr>
      <w:tblGrid>
        <w:gridCol w:w="8608"/>
        <w:gridCol w:w="1376"/>
        <w:gridCol w:w="1376"/>
        <w:gridCol w:w="1376"/>
        <w:gridCol w:w="1326"/>
        <w:gridCol w:w="1326"/>
      </w:tblGrid>
      <w:tr w:rsidR="000729CF" w:rsidRPr="000729CF" w14:paraId="58EBCEAC" w14:textId="77777777" w:rsidTr="000729CF">
        <w:trPr>
          <w:trHeight w:val="20"/>
        </w:trPr>
        <w:tc>
          <w:tcPr>
            <w:tcW w:w="2797" w:type="pct"/>
            <w:tcBorders>
              <w:top w:val="single" w:sz="4" w:space="0" w:color="auto"/>
              <w:left w:val="single" w:sz="4" w:space="0" w:color="auto"/>
              <w:bottom w:val="nil"/>
              <w:right w:val="single" w:sz="4" w:space="0" w:color="auto"/>
            </w:tcBorders>
            <w:shd w:val="clear" w:color="auto" w:fill="BFBFBF"/>
            <w:noWrap/>
            <w:tcMar>
              <w:left w:w="45" w:type="dxa"/>
              <w:right w:w="45" w:type="dxa"/>
            </w:tcMar>
            <w:vAlign w:val="bottom"/>
            <w:hideMark/>
          </w:tcPr>
          <w:p w14:paraId="502DC7CB" w14:textId="77777777" w:rsidR="000729CF" w:rsidRPr="000729CF" w:rsidRDefault="000729CF" w:rsidP="000729CF">
            <w:pPr>
              <w:rPr>
                <w:rFonts w:ascii="Calibri" w:hAnsi="Calibri" w:cs="Calibri"/>
                <w:b/>
                <w:bCs/>
                <w:sz w:val="22"/>
                <w:szCs w:val="22"/>
                <w:lang w:val="en-GB" w:eastAsia="en-GB"/>
              </w:rPr>
            </w:pPr>
            <w:r w:rsidRPr="000729CF">
              <w:rPr>
                <w:rFonts w:ascii="Calibri" w:hAnsi="Calibri" w:cs="Calibri"/>
                <w:b/>
                <w:bCs/>
                <w:sz w:val="22"/>
                <w:szCs w:val="22"/>
                <w:lang w:val="en-GB" w:eastAsia="en-GB"/>
              </w:rPr>
              <w:t> </w:t>
            </w:r>
          </w:p>
        </w:tc>
        <w:tc>
          <w:tcPr>
            <w:tcW w:w="447" w:type="pct"/>
            <w:tcBorders>
              <w:top w:val="single" w:sz="4" w:space="0" w:color="auto"/>
              <w:left w:val="nil"/>
              <w:bottom w:val="nil"/>
              <w:right w:val="single" w:sz="4" w:space="0" w:color="auto"/>
            </w:tcBorders>
            <w:shd w:val="clear" w:color="auto" w:fill="BFBFBF"/>
            <w:tcMar>
              <w:left w:w="45" w:type="dxa"/>
              <w:right w:w="45" w:type="dxa"/>
            </w:tcMar>
            <w:vAlign w:val="bottom"/>
            <w:hideMark/>
          </w:tcPr>
          <w:p w14:paraId="0756A006" w14:textId="77777777" w:rsidR="000729CF" w:rsidRPr="000729CF" w:rsidRDefault="000729CF" w:rsidP="000729CF">
            <w:pPr>
              <w:jc w:val="center"/>
              <w:rPr>
                <w:rFonts w:ascii="Calibri" w:hAnsi="Calibri" w:cs="Calibri"/>
                <w:sz w:val="22"/>
                <w:szCs w:val="22"/>
                <w:lang w:val="en-GB" w:eastAsia="en-GB"/>
              </w:rPr>
            </w:pPr>
            <w:r w:rsidRPr="000729CF">
              <w:rPr>
                <w:rFonts w:ascii="Calibri" w:hAnsi="Calibri" w:cs="Calibri"/>
                <w:sz w:val="22"/>
                <w:szCs w:val="22"/>
                <w:lang w:val="en-GB" w:eastAsia="en-GB"/>
              </w:rPr>
              <w:t>Year 1 Budget</w:t>
            </w:r>
          </w:p>
        </w:tc>
        <w:tc>
          <w:tcPr>
            <w:tcW w:w="447" w:type="pct"/>
            <w:tcBorders>
              <w:top w:val="single" w:sz="4" w:space="0" w:color="auto"/>
              <w:left w:val="nil"/>
              <w:bottom w:val="nil"/>
              <w:right w:val="single" w:sz="4" w:space="0" w:color="auto"/>
            </w:tcBorders>
            <w:shd w:val="clear" w:color="auto" w:fill="BFBFBF"/>
            <w:tcMar>
              <w:left w:w="45" w:type="dxa"/>
              <w:right w:w="45" w:type="dxa"/>
            </w:tcMar>
            <w:vAlign w:val="bottom"/>
            <w:hideMark/>
          </w:tcPr>
          <w:p w14:paraId="2145C186" w14:textId="77777777" w:rsidR="000729CF" w:rsidRPr="000729CF" w:rsidRDefault="000729CF" w:rsidP="000729CF">
            <w:pPr>
              <w:jc w:val="center"/>
              <w:rPr>
                <w:rFonts w:ascii="Calibri" w:hAnsi="Calibri" w:cs="Calibri"/>
                <w:sz w:val="22"/>
                <w:szCs w:val="22"/>
                <w:lang w:val="en-GB" w:eastAsia="en-GB"/>
              </w:rPr>
            </w:pPr>
            <w:r w:rsidRPr="000729CF">
              <w:rPr>
                <w:rFonts w:ascii="Calibri" w:hAnsi="Calibri" w:cs="Calibri"/>
                <w:sz w:val="22"/>
                <w:szCs w:val="22"/>
                <w:lang w:val="en-GB" w:eastAsia="en-GB"/>
              </w:rPr>
              <w:t>Year 2 Budget</w:t>
            </w:r>
          </w:p>
        </w:tc>
        <w:tc>
          <w:tcPr>
            <w:tcW w:w="447" w:type="pct"/>
            <w:tcBorders>
              <w:top w:val="single" w:sz="4" w:space="0" w:color="auto"/>
              <w:left w:val="nil"/>
              <w:bottom w:val="nil"/>
              <w:right w:val="single" w:sz="4" w:space="0" w:color="auto"/>
            </w:tcBorders>
            <w:shd w:val="clear" w:color="auto" w:fill="BFBFBF"/>
            <w:tcMar>
              <w:left w:w="45" w:type="dxa"/>
              <w:right w:w="45" w:type="dxa"/>
            </w:tcMar>
            <w:vAlign w:val="bottom"/>
            <w:hideMark/>
          </w:tcPr>
          <w:p w14:paraId="0C1E0621" w14:textId="77777777" w:rsidR="000729CF" w:rsidRPr="000729CF" w:rsidRDefault="000729CF" w:rsidP="000729CF">
            <w:pPr>
              <w:jc w:val="center"/>
              <w:rPr>
                <w:rFonts w:ascii="Calibri" w:hAnsi="Calibri" w:cs="Calibri"/>
                <w:sz w:val="22"/>
                <w:szCs w:val="22"/>
                <w:lang w:val="en-GB" w:eastAsia="en-GB"/>
              </w:rPr>
            </w:pPr>
            <w:r w:rsidRPr="000729CF">
              <w:rPr>
                <w:rFonts w:ascii="Calibri" w:hAnsi="Calibri" w:cs="Calibri"/>
                <w:sz w:val="22"/>
                <w:szCs w:val="22"/>
                <w:lang w:val="en-GB" w:eastAsia="en-GB"/>
              </w:rPr>
              <w:t>Year 3 Budget</w:t>
            </w:r>
          </w:p>
        </w:tc>
        <w:tc>
          <w:tcPr>
            <w:tcW w:w="431" w:type="pct"/>
            <w:tcBorders>
              <w:top w:val="single" w:sz="4" w:space="0" w:color="auto"/>
              <w:left w:val="nil"/>
              <w:bottom w:val="nil"/>
              <w:right w:val="single" w:sz="4" w:space="0" w:color="auto"/>
            </w:tcBorders>
            <w:shd w:val="clear" w:color="auto" w:fill="BFBFBF"/>
            <w:tcMar>
              <w:left w:w="45" w:type="dxa"/>
              <w:right w:w="45" w:type="dxa"/>
            </w:tcMar>
            <w:vAlign w:val="bottom"/>
            <w:hideMark/>
          </w:tcPr>
          <w:p w14:paraId="76DDC84C" w14:textId="77777777" w:rsidR="000729CF" w:rsidRPr="000729CF" w:rsidRDefault="000729CF" w:rsidP="000729CF">
            <w:pPr>
              <w:jc w:val="center"/>
              <w:rPr>
                <w:rFonts w:ascii="Calibri" w:hAnsi="Calibri" w:cs="Calibri"/>
                <w:sz w:val="22"/>
                <w:szCs w:val="22"/>
                <w:lang w:val="en-GB" w:eastAsia="en-GB"/>
              </w:rPr>
            </w:pPr>
            <w:r w:rsidRPr="000729CF">
              <w:rPr>
                <w:rFonts w:ascii="Calibri" w:hAnsi="Calibri" w:cs="Calibri"/>
                <w:sz w:val="22"/>
                <w:szCs w:val="22"/>
                <w:lang w:val="en-GB" w:eastAsia="en-GB"/>
              </w:rPr>
              <w:t>Year 4 Budget</w:t>
            </w:r>
          </w:p>
        </w:tc>
        <w:tc>
          <w:tcPr>
            <w:tcW w:w="431" w:type="pct"/>
            <w:tcBorders>
              <w:top w:val="single" w:sz="4" w:space="0" w:color="auto"/>
              <w:left w:val="nil"/>
              <w:bottom w:val="nil"/>
              <w:right w:val="single" w:sz="4" w:space="0" w:color="auto"/>
            </w:tcBorders>
            <w:shd w:val="clear" w:color="auto" w:fill="BFBFBF"/>
            <w:tcMar>
              <w:left w:w="45" w:type="dxa"/>
              <w:right w:w="45" w:type="dxa"/>
            </w:tcMar>
            <w:vAlign w:val="bottom"/>
            <w:hideMark/>
          </w:tcPr>
          <w:p w14:paraId="355A012C" w14:textId="77777777" w:rsidR="000729CF" w:rsidRPr="000729CF" w:rsidRDefault="000729CF" w:rsidP="000729CF">
            <w:pPr>
              <w:jc w:val="center"/>
              <w:rPr>
                <w:rFonts w:ascii="Calibri" w:hAnsi="Calibri" w:cs="Calibri"/>
                <w:sz w:val="22"/>
                <w:szCs w:val="22"/>
                <w:lang w:val="en-GB" w:eastAsia="en-GB"/>
              </w:rPr>
            </w:pPr>
            <w:r w:rsidRPr="000729CF">
              <w:rPr>
                <w:rFonts w:ascii="Calibri" w:hAnsi="Calibri" w:cs="Calibri"/>
                <w:sz w:val="22"/>
                <w:szCs w:val="22"/>
                <w:lang w:val="en-GB" w:eastAsia="en-GB"/>
              </w:rPr>
              <w:t>Year 5 Budget</w:t>
            </w:r>
          </w:p>
        </w:tc>
      </w:tr>
      <w:tr w:rsidR="000729CF" w:rsidRPr="000729CF" w14:paraId="087BE7F2" w14:textId="77777777" w:rsidTr="000729CF">
        <w:trPr>
          <w:trHeight w:val="20"/>
        </w:trPr>
        <w:tc>
          <w:tcPr>
            <w:tcW w:w="2797" w:type="pct"/>
            <w:tcBorders>
              <w:top w:val="nil"/>
              <w:left w:val="single" w:sz="4" w:space="0" w:color="auto"/>
              <w:bottom w:val="nil"/>
              <w:right w:val="single" w:sz="4" w:space="0" w:color="auto"/>
            </w:tcBorders>
            <w:shd w:val="clear" w:color="auto" w:fill="BFBFBF"/>
            <w:noWrap/>
            <w:tcMar>
              <w:left w:w="45" w:type="dxa"/>
              <w:right w:w="45" w:type="dxa"/>
            </w:tcMar>
            <w:vAlign w:val="bottom"/>
            <w:hideMark/>
          </w:tcPr>
          <w:p w14:paraId="69648695" w14:textId="77777777" w:rsidR="000729CF" w:rsidRPr="000729CF" w:rsidRDefault="000729CF" w:rsidP="000729CF">
            <w:pPr>
              <w:rPr>
                <w:rFonts w:ascii="Calibri" w:hAnsi="Calibri" w:cs="Calibri"/>
                <w:b/>
                <w:bCs/>
                <w:sz w:val="22"/>
                <w:szCs w:val="22"/>
                <w:lang w:val="en-GB" w:eastAsia="en-GB"/>
              </w:rPr>
            </w:pPr>
            <w:r w:rsidRPr="000729CF">
              <w:rPr>
                <w:rFonts w:ascii="Calibri" w:hAnsi="Calibri" w:cs="Calibri"/>
                <w:b/>
                <w:bCs/>
                <w:sz w:val="22"/>
                <w:szCs w:val="22"/>
                <w:lang w:val="en-GB" w:eastAsia="en-GB"/>
              </w:rPr>
              <w:t>Housing, Neighbourhood &amp; Communities - HRA</w:t>
            </w:r>
          </w:p>
        </w:tc>
        <w:tc>
          <w:tcPr>
            <w:tcW w:w="447" w:type="pct"/>
            <w:tcBorders>
              <w:top w:val="single" w:sz="4" w:space="0" w:color="auto"/>
              <w:left w:val="nil"/>
              <w:bottom w:val="nil"/>
              <w:right w:val="single" w:sz="4" w:space="0" w:color="auto"/>
            </w:tcBorders>
            <w:shd w:val="clear" w:color="auto" w:fill="BFBFBF"/>
            <w:noWrap/>
            <w:tcMar>
              <w:left w:w="45" w:type="dxa"/>
              <w:right w:w="45" w:type="dxa"/>
            </w:tcMar>
            <w:vAlign w:val="bottom"/>
            <w:hideMark/>
          </w:tcPr>
          <w:p w14:paraId="508BE3C3"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2024/25</w:t>
            </w:r>
          </w:p>
        </w:tc>
        <w:tc>
          <w:tcPr>
            <w:tcW w:w="447" w:type="pct"/>
            <w:tcBorders>
              <w:top w:val="single" w:sz="4" w:space="0" w:color="auto"/>
              <w:left w:val="nil"/>
              <w:bottom w:val="nil"/>
              <w:right w:val="single" w:sz="4" w:space="0" w:color="auto"/>
            </w:tcBorders>
            <w:shd w:val="clear" w:color="auto" w:fill="BFBFBF"/>
            <w:noWrap/>
            <w:tcMar>
              <w:left w:w="45" w:type="dxa"/>
              <w:right w:w="45" w:type="dxa"/>
            </w:tcMar>
            <w:vAlign w:val="bottom"/>
            <w:hideMark/>
          </w:tcPr>
          <w:p w14:paraId="21AD7D51"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2025/26</w:t>
            </w:r>
          </w:p>
        </w:tc>
        <w:tc>
          <w:tcPr>
            <w:tcW w:w="447" w:type="pct"/>
            <w:tcBorders>
              <w:top w:val="single" w:sz="4" w:space="0" w:color="auto"/>
              <w:left w:val="nil"/>
              <w:bottom w:val="nil"/>
              <w:right w:val="single" w:sz="4" w:space="0" w:color="auto"/>
            </w:tcBorders>
            <w:shd w:val="clear" w:color="auto" w:fill="BFBFBF"/>
            <w:noWrap/>
            <w:tcMar>
              <w:left w:w="45" w:type="dxa"/>
              <w:right w:w="45" w:type="dxa"/>
            </w:tcMar>
            <w:vAlign w:val="bottom"/>
            <w:hideMark/>
          </w:tcPr>
          <w:p w14:paraId="17AD5F39"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2026/27</w:t>
            </w:r>
          </w:p>
        </w:tc>
        <w:tc>
          <w:tcPr>
            <w:tcW w:w="431" w:type="pct"/>
            <w:tcBorders>
              <w:top w:val="single" w:sz="4" w:space="0" w:color="auto"/>
              <w:left w:val="nil"/>
              <w:bottom w:val="nil"/>
              <w:right w:val="single" w:sz="4" w:space="0" w:color="auto"/>
            </w:tcBorders>
            <w:shd w:val="clear" w:color="auto" w:fill="BFBFBF"/>
            <w:noWrap/>
            <w:tcMar>
              <w:left w:w="45" w:type="dxa"/>
              <w:right w:w="45" w:type="dxa"/>
            </w:tcMar>
            <w:vAlign w:val="bottom"/>
            <w:hideMark/>
          </w:tcPr>
          <w:p w14:paraId="712ADC87"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2027/28</w:t>
            </w:r>
          </w:p>
        </w:tc>
        <w:tc>
          <w:tcPr>
            <w:tcW w:w="431" w:type="pct"/>
            <w:tcBorders>
              <w:top w:val="single" w:sz="4" w:space="0" w:color="auto"/>
              <w:left w:val="nil"/>
              <w:bottom w:val="nil"/>
              <w:right w:val="single" w:sz="4" w:space="0" w:color="auto"/>
            </w:tcBorders>
            <w:shd w:val="clear" w:color="auto" w:fill="BFBFBF"/>
            <w:noWrap/>
            <w:tcMar>
              <w:left w:w="45" w:type="dxa"/>
              <w:right w:w="45" w:type="dxa"/>
            </w:tcMar>
            <w:vAlign w:val="bottom"/>
            <w:hideMark/>
          </w:tcPr>
          <w:p w14:paraId="145B2A8C"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2028/29</w:t>
            </w:r>
          </w:p>
        </w:tc>
      </w:tr>
      <w:tr w:rsidR="000729CF" w:rsidRPr="000729CF" w14:paraId="68DC3F5E" w14:textId="77777777" w:rsidTr="000729CF">
        <w:trPr>
          <w:trHeight w:val="20"/>
        </w:trPr>
        <w:tc>
          <w:tcPr>
            <w:tcW w:w="2797" w:type="pct"/>
            <w:tcBorders>
              <w:top w:val="nil"/>
              <w:left w:val="single" w:sz="4" w:space="0" w:color="auto"/>
              <w:bottom w:val="single" w:sz="4" w:space="0" w:color="auto"/>
              <w:right w:val="single" w:sz="4" w:space="0" w:color="auto"/>
            </w:tcBorders>
            <w:shd w:val="clear" w:color="auto" w:fill="BFBFBF"/>
            <w:noWrap/>
            <w:tcMar>
              <w:left w:w="45" w:type="dxa"/>
              <w:right w:w="45" w:type="dxa"/>
            </w:tcMar>
            <w:vAlign w:val="bottom"/>
            <w:hideMark/>
          </w:tcPr>
          <w:p w14:paraId="147DF367"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single" w:sz="4" w:space="0" w:color="auto"/>
              <w:right w:val="single" w:sz="4" w:space="0" w:color="auto"/>
            </w:tcBorders>
            <w:shd w:val="clear" w:color="auto" w:fill="BFBFBF"/>
            <w:noWrap/>
            <w:tcMar>
              <w:left w:w="45" w:type="dxa"/>
              <w:right w:w="45" w:type="dxa"/>
            </w:tcMar>
            <w:vAlign w:val="bottom"/>
            <w:hideMark/>
          </w:tcPr>
          <w:p w14:paraId="3EEF6AA5"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£000</w:t>
            </w:r>
          </w:p>
        </w:tc>
        <w:tc>
          <w:tcPr>
            <w:tcW w:w="447" w:type="pct"/>
            <w:tcBorders>
              <w:top w:val="nil"/>
              <w:left w:val="nil"/>
              <w:bottom w:val="single" w:sz="4" w:space="0" w:color="auto"/>
              <w:right w:val="single" w:sz="4" w:space="0" w:color="auto"/>
            </w:tcBorders>
            <w:shd w:val="clear" w:color="auto" w:fill="BFBFBF"/>
            <w:noWrap/>
            <w:tcMar>
              <w:left w:w="45" w:type="dxa"/>
              <w:right w:w="45" w:type="dxa"/>
            </w:tcMar>
            <w:vAlign w:val="bottom"/>
            <w:hideMark/>
          </w:tcPr>
          <w:p w14:paraId="01DB0693"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£000</w:t>
            </w:r>
          </w:p>
        </w:tc>
        <w:tc>
          <w:tcPr>
            <w:tcW w:w="447" w:type="pct"/>
            <w:tcBorders>
              <w:top w:val="nil"/>
              <w:left w:val="nil"/>
              <w:bottom w:val="single" w:sz="4" w:space="0" w:color="auto"/>
              <w:right w:val="single" w:sz="4" w:space="0" w:color="auto"/>
            </w:tcBorders>
            <w:shd w:val="clear" w:color="auto" w:fill="BFBFBF"/>
            <w:noWrap/>
            <w:tcMar>
              <w:left w:w="45" w:type="dxa"/>
              <w:right w:w="45" w:type="dxa"/>
            </w:tcMar>
            <w:vAlign w:val="bottom"/>
            <w:hideMark/>
          </w:tcPr>
          <w:p w14:paraId="4A97E595"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£000</w:t>
            </w:r>
          </w:p>
        </w:tc>
        <w:tc>
          <w:tcPr>
            <w:tcW w:w="431" w:type="pct"/>
            <w:tcBorders>
              <w:top w:val="nil"/>
              <w:left w:val="nil"/>
              <w:bottom w:val="single" w:sz="4" w:space="0" w:color="auto"/>
              <w:right w:val="single" w:sz="4" w:space="0" w:color="auto"/>
            </w:tcBorders>
            <w:shd w:val="clear" w:color="auto" w:fill="BFBFBF"/>
            <w:noWrap/>
            <w:tcMar>
              <w:left w:w="45" w:type="dxa"/>
              <w:right w:w="45" w:type="dxa"/>
            </w:tcMar>
            <w:vAlign w:val="bottom"/>
            <w:hideMark/>
          </w:tcPr>
          <w:p w14:paraId="404F571A"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£000</w:t>
            </w:r>
          </w:p>
        </w:tc>
        <w:tc>
          <w:tcPr>
            <w:tcW w:w="431" w:type="pct"/>
            <w:tcBorders>
              <w:top w:val="nil"/>
              <w:left w:val="nil"/>
              <w:bottom w:val="single" w:sz="4" w:space="0" w:color="auto"/>
              <w:right w:val="single" w:sz="4" w:space="0" w:color="auto"/>
            </w:tcBorders>
            <w:shd w:val="clear" w:color="auto" w:fill="BFBFBF"/>
            <w:noWrap/>
            <w:tcMar>
              <w:left w:w="45" w:type="dxa"/>
              <w:right w:w="45" w:type="dxa"/>
            </w:tcMar>
            <w:vAlign w:val="bottom"/>
            <w:hideMark/>
          </w:tcPr>
          <w:p w14:paraId="3ECD6659" w14:textId="77777777" w:rsidR="000729CF" w:rsidRPr="000729CF" w:rsidRDefault="000729CF" w:rsidP="000729CF">
            <w:pPr>
              <w:jc w:val="center"/>
              <w:rPr>
                <w:rFonts w:ascii="Calibri" w:hAnsi="Calibri" w:cs="Calibri"/>
                <w:b/>
                <w:bCs/>
                <w:sz w:val="22"/>
                <w:szCs w:val="22"/>
                <w:lang w:val="en-GB" w:eastAsia="en-GB"/>
              </w:rPr>
            </w:pPr>
            <w:r w:rsidRPr="000729CF">
              <w:rPr>
                <w:rFonts w:ascii="Calibri" w:hAnsi="Calibri" w:cs="Calibri"/>
                <w:b/>
                <w:bCs/>
                <w:sz w:val="22"/>
                <w:szCs w:val="22"/>
                <w:lang w:val="en-GB" w:eastAsia="en-GB"/>
              </w:rPr>
              <w:t>£000</w:t>
            </w:r>
          </w:p>
        </w:tc>
      </w:tr>
      <w:tr w:rsidR="000729CF" w:rsidRPr="000729CF" w14:paraId="2C7213AD"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6477ED96"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7E277AB"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615D5B3"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EB43A86"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23360252"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6A03BCE2"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r>
      <w:tr w:rsidR="000729CF" w:rsidRPr="000729CF" w14:paraId="52DDB907"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2F69AB11" w14:textId="77777777" w:rsidR="000729CF" w:rsidRPr="000729CF" w:rsidRDefault="000729CF" w:rsidP="000729CF">
            <w:pPr>
              <w:rPr>
                <w:rFonts w:ascii="Calibri" w:hAnsi="Calibri" w:cs="Calibri"/>
                <w:b/>
                <w:bCs/>
                <w:sz w:val="22"/>
                <w:szCs w:val="22"/>
                <w:u w:val="single"/>
                <w:lang w:val="en-GB" w:eastAsia="en-GB"/>
              </w:rPr>
            </w:pPr>
            <w:r w:rsidRPr="000729CF">
              <w:rPr>
                <w:rFonts w:ascii="Calibri" w:hAnsi="Calibri" w:cs="Calibri"/>
                <w:b/>
                <w:bCs/>
                <w:sz w:val="22"/>
                <w:szCs w:val="22"/>
                <w:u w:val="single"/>
                <w:lang w:val="en-GB" w:eastAsia="en-GB"/>
              </w:rPr>
              <w:t>Approved Schemes</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3D46F24"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7B861E4"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79028F1"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007F797A"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3563DB38"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r>
      <w:tr w:rsidR="000729CF" w:rsidRPr="000729CF" w14:paraId="55281078"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1F102400"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Windlesham Close</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941E16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1,771</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F70F83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BF05BD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3EFFD73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77F034D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2CDEE731"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7D0CA8E0"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Upgrading Residential CCTV Systems</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9B79F0B"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80</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45D6AFF"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EDE981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4C7DBA4B"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0E60A67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2C1317B5"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7E5812F8"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Lifts  Refurbishment</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13DCC1F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482</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708C1D2"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600608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17838FE2"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2D33821B"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39693D8B"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738142AF"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New Build Refurbishment (Converting Spaces in Existing Buildings)</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40E81BC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1,971</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37F546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6D6A1FA"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5310DF7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495ABF4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43CA3158"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156AD82A"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Structural Repairs</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3EF36E7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5,972</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BE2AA32"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1A81282"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07DAF6F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7641579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52CE23A2" w14:textId="77777777" w:rsidTr="00BC26AB">
        <w:trPr>
          <w:trHeight w:val="20"/>
        </w:trPr>
        <w:tc>
          <w:tcPr>
            <w:tcW w:w="2797" w:type="pct"/>
            <w:tcBorders>
              <w:top w:val="nil"/>
              <w:left w:val="single" w:sz="4" w:space="0" w:color="auto"/>
              <w:right w:val="nil"/>
            </w:tcBorders>
            <w:shd w:val="clear" w:color="auto" w:fill="auto"/>
            <w:noWrap/>
            <w:tcMar>
              <w:left w:w="45" w:type="dxa"/>
              <w:right w:w="45" w:type="dxa"/>
            </w:tcMar>
            <w:vAlign w:val="bottom"/>
            <w:hideMark/>
          </w:tcPr>
          <w:p w14:paraId="3ED3CF9D"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House Purchase Scheme</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5ED0A14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9,756</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4C852E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421122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53C3334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0292BFA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7F26DEC8" w14:textId="77777777" w:rsidTr="00BC26AB">
        <w:trPr>
          <w:trHeight w:val="20"/>
        </w:trPr>
        <w:tc>
          <w:tcPr>
            <w:tcW w:w="2797" w:type="pct"/>
            <w:tcBorders>
              <w:top w:val="nil"/>
              <w:left w:val="single" w:sz="4" w:space="0" w:color="auto"/>
              <w:right w:val="single" w:sz="4" w:space="0" w:color="auto"/>
            </w:tcBorders>
            <w:shd w:val="clear" w:color="auto" w:fill="auto"/>
            <w:noWrap/>
            <w:tcMar>
              <w:left w:w="45" w:type="dxa"/>
              <w:right w:w="45" w:type="dxa"/>
            </w:tcMar>
            <w:vAlign w:val="bottom"/>
            <w:hideMark/>
          </w:tcPr>
          <w:p w14:paraId="4939D4C5"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Moulsecoomb Hub - Housing</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AA46F0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8,408</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143EA6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5847E9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06F8FC1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18EAB4C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735ED46A" w14:textId="77777777" w:rsidTr="00BC26AB">
        <w:trPr>
          <w:trHeight w:val="20"/>
        </w:trPr>
        <w:tc>
          <w:tcPr>
            <w:tcW w:w="2797" w:type="pct"/>
            <w:tcBorders>
              <w:top w:val="nil"/>
              <w:left w:val="single" w:sz="4" w:space="0" w:color="auto"/>
              <w:right w:val="single" w:sz="4" w:space="0" w:color="auto"/>
            </w:tcBorders>
            <w:shd w:val="clear" w:color="auto" w:fill="auto"/>
            <w:noWrap/>
            <w:tcMar>
              <w:left w:w="45" w:type="dxa"/>
              <w:right w:w="45" w:type="dxa"/>
            </w:tcMar>
            <w:vAlign w:val="bottom"/>
            <w:hideMark/>
          </w:tcPr>
          <w:p w14:paraId="113D9559"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HRA Owned Playgrounds Refurbishment</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2972006"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165</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AB42B7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CF56C2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1E42C37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0250DDEF"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79762C20" w14:textId="77777777" w:rsidTr="00BC26AB">
        <w:trPr>
          <w:trHeight w:val="20"/>
        </w:trPr>
        <w:tc>
          <w:tcPr>
            <w:tcW w:w="2797" w:type="pct"/>
            <w:tcBorders>
              <w:top w:val="nil"/>
              <w:left w:val="single" w:sz="4" w:space="0" w:color="auto"/>
              <w:right w:val="single" w:sz="4" w:space="0" w:color="auto"/>
            </w:tcBorders>
            <w:shd w:val="clear" w:color="auto" w:fill="auto"/>
            <w:noWrap/>
            <w:tcMar>
              <w:left w:w="45" w:type="dxa"/>
              <w:right w:w="45" w:type="dxa"/>
            </w:tcMar>
            <w:vAlign w:val="bottom"/>
            <w:hideMark/>
          </w:tcPr>
          <w:p w14:paraId="1807E85D"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Palace Place Redevelopment</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269F9F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1,626</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6A6A1AA"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194CE0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34B1AAA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1EECB20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7A4A7855"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4587BE50"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Frederick Street</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39CD21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384</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2356E3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6D1F8F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0049E6EB"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2E2C732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24D2C4A4" w14:textId="77777777" w:rsidTr="00BC26AB">
        <w:trPr>
          <w:trHeight w:val="20"/>
        </w:trPr>
        <w:tc>
          <w:tcPr>
            <w:tcW w:w="2797" w:type="pct"/>
            <w:tcBorders>
              <w:top w:val="nil"/>
              <w:left w:val="single" w:sz="4" w:space="0" w:color="auto"/>
              <w:bottom w:val="nil"/>
              <w:right w:val="single" w:sz="4" w:space="0" w:color="auto"/>
            </w:tcBorders>
            <w:shd w:val="clear" w:color="auto" w:fill="auto"/>
            <w:tcMar>
              <w:left w:w="45" w:type="dxa"/>
              <w:right w:w="45" w:type="dxa"/>
            </w:tcMar>
            <w:vAlign w:val="bottom"/>
            <w:hideMark/>
          </w:tcPr>
          <w:p w14:paraId="15F742F4"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Rotherfield Crescent</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9D037AC"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1,225</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53F4A1B1"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AEBE5D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76DCF0BF"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150CBD9C"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62B7F7D5" w14:textId="77777777" w:rsidTr="00BC26AB">
        <w:trPr>
          <w:trHeight w:val="20"/>
        </w:trPr>
        <w:tc>
          <w:tcPr>
            <w:tcW w:w="2797" w:type="pct"/>
            <w:tcBorders>
              <w:top w:val="nil"/>
              <w:left w:val="single" w:sz="4" w:space="0" w:color="auto"/>
              <w:bottom w:val="nil"/>
              <w:right w:val="single" w:sz="4" w:space="0" w:color="auto"/>
            </w:tcBorders>
            <w:shd w:val="clear" w:color="auto" w:fill="auto"/>
            <w:tcMar>
              <w:left w:w="45" w:type="dxa"/>
              <w:right w:w="45" w:type="dxa"/>
            </w:tcMar>
            <w:vAlign w:val="bottom"/>
            <w:hideMark/>
          </w:tcPr>
          <w:p w14:paraId="44CE9F8B"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Eastergate Road</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5CB7AC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66</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A31F19F"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590F259F"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35231BD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1EEF706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59C92848" w14:textId="77777777" w:rsidTr="00BC26AB">
        <w:trPr>
          <w:trHeight w:val="20"/>
        </w:trPr>
        <w:tc>
          <w:tcPr>
            <w:tcW w:w="2797" w:type="pct"/>
            <w:tcBorders>
              <w:top w:val="nil"/>
              <w:left w:val="single" w:sz="4" w:space="0" w:color="auto"/>
              <w:bottom w:val="nil"/>
              <w:right w:val="nil"/>
            </w:tcBorders>
            <w:shd w:val="clear" w:color="auto" w:fill="auto"/>
            <w:tcMar>
              <w:left w:w="45" w:type="dxa"/>
              <w:right w:w="45" w:type="dxa"/>
            </w:tcMar>
            <w:vAlign w:val="bottom"/>
            <w:hideMark/>
          </w:tcPr>
          <w:p w14:paraId="46AB8D1B"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Kubic Apartments</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3E511FC6"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209</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93CB60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9205F92"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29FF37E3"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3F0FBCC2"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32383D82" w14:textId="77777777" w:rsidTr="00BC26AB">
        <w:trPr>
          <w:trHeight w:val="20"/>
        </w:trPr>
        <w:tc>
          <w:tcPr>
            <w:tcW w:w="2797" w:type="pct"/>
            <w:tcBorders>
              <w:top w:val="nil"/>
              <w:left w:val="single" w:sz="4" w:space="0" w:color="auto"/>
              <w:bottom w:val="nil"/>
              <w:right w:val="nil"/>
            </w:tcBorders>
            <w:shd w:val="clear" w:color="auto" w:fill="auto"/>
            <w:tcMar>
              <w:left w:w="45" w:type="dxa"/>
              <w:right w:w="45" w:type="dxa"/>
            </w:tcMar>
            <w:vAlign w:val="bottom"/>
            <w:hideMark/>
          </w:tcPr>
          <w:p w14:paraId="151B28C7" w14:textId="77777777" w:rsidR="000729CF" w:rsidRPr="000729CF" w:rsidRDefault="000729CF" w:rsidP="000729CF">
            <w:pPr>
              <w:rPr>
                <w:rFonts w:ascii="Calibri" w:hAnsi="Calibri" w:cs="Calibri"/>
                <w:color w:val="000000"/>
                <w:sz w:val="22"/>
                <w:szCs w:val="22"/>
                <w:lang w:val="en-GB" w:eastAsia="en-GB"/>
              </w:rPr>
            </w:pPr>
            <w:r w:rsidRPr="000729CF">
              <w:rPr>
                <w:rFonts w:ascii="Calibri" w:hAnsi="Calibri" w:cs="Calibri"/>
                <w:color w:val="000000"/>
                <w:sz w:val="22"/>
                <w:szCs w:val="22"/>
                <w:lang w:val="en-GB" w:eastAsia="en-GB"/>
              </w:rPr>
              <w:t>EICR Compliance Programme</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4DF80CD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3,444</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01291CA"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36FD6DD"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1492A60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58F7B71A"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43AB8816"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329C6EA2"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64CFE7D"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2CBDFBF"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253702A"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7602C390"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63155004"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r>
      <w:tr w:rsidR="000729CF" w:rsidRPr="000729CF" w14:paraId="40F152A3"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26909DA5" w14:textId="77777777" w:rsidR="000729CF" w:rsidRPr="000729CF" w:rsidRDefault="000729CF" w:rsidP="000729CF">
            <w:pPr>
              <w:rPr>
                <w:rFonts w:ascii="Calibri" w:hAnsi="Calibri" w:cs="Calibri"/>
                <w:b/>
                <w:bCs/>
                <w:sz w:val="22"/>
                <w:szCs w:val="22"/>
                <w:u w:val="single"/>
                <w:lang w:val="en-GB" w:eastAsia="en-GB"/>
              </w:rPr>
            </w:pPr>
            <w:r w:rsidRPr="000729CF">
              <w:rPr>
                <w:rFonts w:ascii="Calibri" w:hAnsi="Calibri" w:cs="Calibri"/>
                <w:b/>
                <w:bCs/>
                <w:sz w:val="22"/>
                <w:szCs w:val="22"/>
                <w:u w:val="single"/>
                <w:lang w:val="en-GB" w:eastAsia="en-GB"/>
              </w:rPr>
              <w:t>Identified Schemes Not Yet approved</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4FC7AC4"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4FE710B"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043838C"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591A4F73"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6166D474"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 </w:t>
            </w:r>
          </w:p>
        </w:tc>
      </w:tr>
      <w:tr w:rsidR="000729CF" w:rsidRPr="000729CF" w14:paraId="533813D9" w14:textId="77777777" w:rsidTr="00BC26AB">
        <w:trPr>
          <w:trHeight w:val="20"/>
        </w:trPr>
        <w:tc>
          <w:tcPr>
            <w:tcW w:w="2797" w:type="pct"/>
            <w:tcBorders>
              <w:top w:val="nil"/>
              <w:left w:val="single" w:sz="4" w:space="0" w:color="auto"/>
              <w:bottom w:val="nil"/>
              <w:right w:val="nil"/>
            </w:tcBorders>
            <w:shd w:val="clear" w:color="auto" w:fill="auto"/>
            <w:noWrap/>
            <w:tcMar>
              <w:left w:w="45" w:type="dxa"/>
              <w:right w:w="45" w:type="dxa"/>
            </w:tcMar>
            <w:vAlign w:val="bottom"/>
            <w:hideMark/>
          </w:tcPr>
          <w:p w14:paraId="04FC11A8"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HRA Capital Investment Programme 2024-25</w:t>
            </w:r>
          </w:p>
        </w:tc>
        <w:tc>
          <w:tcPr>
            <w:tcW w:w="44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553E16B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53,432</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9FA95F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D59027F"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4AC1981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7FF41E37"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0B7DF8F7"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295E4D04"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HRA Capital Investment Programme 2025-26</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1BD5C7C"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891C63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70,806</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0B6DABD6"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0965D66F"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22E021D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756DE3E9"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7AC4CB62"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HRA Capital Investment Programme 2026-27</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6ABB5C8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30D94624"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1A64952B"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60,281</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1FBB4E0B"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6FADB10B"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217F146A" w14:textId="77777777" w:rsidTr="00BC26AB">
        <w:trPr>
          <w:trHeight w:val="20"/>
        </w:trPr>
        <w:tc>
          <w:tcPr>
            <w:tcW w:w="2797" w:type="pct"/>
            <w:tcBorders>
              <w:top w:val="nil"/>
              <w:left w:val="single" w:sz="4" w:space="0" w:color="auto"/>
              <w:bottom w:val="nil"/>
              <w:right w:val="single" w:sz="4" w:space="0" w:color="auto"/>
            </w:tcBorders>
            <w:shd w:val="clear" w:color="auto" w:fill="auto"/>
            <w:noWrap/>
            <w:tcMar>
              <w:left w:w="45" w:type="dxa"/>
              <w:right w:w="45" w:type="dxa"/>
            </w:tcMar>
            <w:vAlign w:val="bottom"/>
            <w:hideMark/>
          </w:tcPr>
          <w:p w14:paraId="13CD57A9"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HRA Capital Investment Programme 2027-28</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7A8A52B"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BD533FF"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2D387B28"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6AD965E0"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60,945</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312632FE"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r>
      <w:tr w:rsidR="000729CF" w:rsidRPr="000729CF" w14:paraId="30563A38" w14:textId="77777777" w:rsidTr="00BC26AB">
        <w:trPr>
          <w:trHeight w:val="20"/>
        </w:trPr>
        <w:tc>
          <w:tcPr>
            <w:tcW w:w="2797" w:type="pct"/>
            <w:tcBorders>
              <w:top w:val="nil"/>
              <w:left w:val="single" w:sz="4" w:space="0" w:color="auto"/>
              <w:bottom w:val="single" w:sz="4" w:space="0" w:color="auto"/>
              <w:right w:val="single" w:sz="4" w:space="0" w:color="auto"/>
            </w:tcBorders>
            <w:shd w:val="clear" w:color="auto" w:fill="auto"/>
            <w:noWrap/>
            <w:tcMar>
              <w:left w:w="45" w:type="dxa"/>
              <w:right w:w="45" w:type="dxa"/>
            </w:tcMar>
            <w:vAlign w:val="bottom"/>
            <w:hideMark/>
          </w:tcPr>
          <w:p w14:paraId="233EEDB1" w14:textId="77777777" w:rsidR="000729CF" w:rsidRPr="000729CF" w:rsidRDefault="000729CF" w:rsidP="000729CF">
            <w:pPr>
              <w:rPr>
                <w:rFonts w:ascii="Calibri" w:hAnsi="Calibri" w:cs="Calibri"/>
                <w:sz w:val="22"/>
                <w:szCs w:val="22"/>
                <w:lang w:val="en-GB" w:eastAsia="en-GB"/>
              </w:rPr>
            </w:pPr>
            <w:r w:rsidRPr="000729CF">
              <w:rPr>
                <w:rFonts w:ascii="Calibri" w:hAnsi="Calibri" w:cs="Calibri"/>
                <w:sz w:val="22"/>
                <w:szCs w:val="22"/>
                <w:lang w:val="en-GB" w:eastAsia="en-GB"/>
              </w:rPr>
              <w:t>HRA Capital Investment Programme 2028-29</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0316835"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427788FA"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47" w:type="pct"/>
            <w:tcBorders>
              <w:top w:val="nil"/>
              <w:left w:val="nil"/>
              <w:bottom w:val="nil"/>
              <w:right w:val="single" w:sz="4" w:space="0" w:color="auto"/>
            </w:tcBorders>
            <w:shd w:val="clear" w:color="auto" w:fill="auto"/>
            <w:noWrap/>
            <w:tcMar>
              <w:left w:w="45" w:type="dxa"/>
              <w:right w:w="45" w:type="dxa"/>
            </w:tcMar>
            <w:vAlign w:val="bottom"/>
            <w:hideMark/>
          </w:tcPr>
          <w:p w14:paraId="7ECEC2D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5D15EB7A"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 xml:space="preserve">- </w:t>
            </w:r>
          </w:p>
        </w:tc>
        <w:tc>
          <w:tcPr>
            <w:tcW w:w="431" w:type="pct"/>
            <w:tcBorders>
              <w:top w:val="nil"/>
              <w:left w:val="nil"/>
              <w:bottom w:val="nil"/>
              <w:right w:val="single" w:sz="4" w:space="0" w:color="auto"/>
            </w:tcBorders>
            <w:shd w:val="clear" w:color="auto" w:fill="auto"/>
            <w:noWrap/>
            <w:tcMar>
              <w:left w:w="45" w:type="dxa"/>
              <w:right w:w="45" w:type="dxa"/>
            </w:tcMar>
            <w:vAlign w:val="bottom"/>
            <w:hideMark/>
          </w:tcPr>
          <w:p w14:paraId="2CF78FD9" w14:textId="77777777" w:rsidR="000729CF" w:rsidRPr="000729CF" w:rsidRDefault="000729CF" w:rsidP="000729CF">
            <w:pPr>
              <w:jc w:val="right"/>
              <w:rPr>
                <w:rFonts w:ascii="Calibri" w:hAnsi="Calibri" w:cs="Calibri"/>
                <w:sz w:val="22"/>
                <w:szCs w:val="22"/>
                <w:lang w:val="en-GB" w:eastAsia="en-GB"/>
              </w:rPr>
            </w:pPr>
            <w:r w:rsidRPr="000729CF">
              <w:rPr>
                <w:rFonts w:ascii="Calibri" w:hAnsi="Calibri" w:cs="Calibri"/>
                <w:sz w:val="22"/>
                <w:szCs w:val="22"/>
                <w:lang w:val="en-GB" w:eastAsia="en-GB"/>
              </w:rPr>
              <w:t>63,091</w:t>
            </w:r>
          </w:p>
        </w:tc>
      </w:tr>
      <w:tr w:rsidR="000729CF" w:rsidRPr="000729CF" w14:paraId="135AD7CA" w14:textId="77777777" w:rsidTr="00BC26AB">
        <w:trPr>
          <w:trHeight w:val="20"/>
        </w:trPr>
        <w:tc>
          <w:tcPr>
            <w:tcW w:w="2797" w:type="pct"/>
            <w:tcBorders>
              <w:top w:val="nil"/>
              <w:left w:val="single" w:sz="4" w:space="0" w:color="auto"/>
              <w:bottom w:val="single" w:sz="4" w:space="0" w:color="auto"/>
              <w:right w:val="single" w:sz="4" w:space="0" w:color="auto"/>
            </w:tcBorders>
            <w:shd w:val="clear" w:color="000000" w:fill="BFBFBF"/>
            <w:noWrap/>
            <w:tcMar>
              <w:left w:w="45" w:type="dxa"/>
              <w:right w:w="45" w:type="dxa"/>
            </w:tcMar>
            <w:vAlign w:val="bottom"/>
            <w:hideMark/>
          </w:tcPr>
          <w:p w14:paraId="77044DA2" w14:textId="77777777" w:rsidR="000729CF" w:rsidRPr="000729CF" w:rsidRDefault="000729CF" w:rsidP="000729CF">
            <w:pPr>
              <w:rPr>
                <w:rFonts w:ascii="Calibri" w:hAnsi="Calibri" w:cs="Calibri"/>
                <w:b/>
                <w:bCs/>
                <w:sz w:val="22"/>
                <w:szCs w:val="22"/>
                <w:lang w:val="en-GB" w:eastAsia="en-GB"/>
              </w:rPr>
            </w:pPr>
            <w:r w:rsidRPr="000729CF">
              <w:rPr>
                <w:rFonts w:ascii="Calibri" w:hAnsi="Calibri" w:cs="Calibri"/>
                <w:b/>
                <w:bCs/>
                <w:sz w:val="22"/>
                <w:szCs w:val="22"/>
                <w:lang w:val="en-GB" w:eastAsia="en-GB"/>
              </w:rPr>
              <w:t>Total Housing, Neighbourhood &amp; Communities - HRA</w:t>
            </w:r>
          </w:p>
        </w:tc>
        <w:tc>
          <w:tcPr>
            <w:tcW w:w="447" w:type="pct"/>
            <w:tcBorders>
              <w:top w:val="single" w:sz="4" w:space="0" w:color="auto"/>
              <w:left w:val="nil"/>
              <w:bottom w:val="single" w:sz="4" w:space="0" w:color="auto"/>
              <w:right w:val="single" w:sz="4" w:space="0" w:color="auto"/>
            </w:tcBorders>
            <w:shd w:val="clear" w:color="000000" w:fill="BFBFBF"/>
            <w:noWrap/>
            <w:tcMar>
              <w:left w:w="45" w:type="dxa"/>
              <w:right w:w="45" w:type="dxa"/>
            </w:tcMar>
            <w:vAlign w:val="bottom"/>
            <w:hideMark/>
          </w:tcPr>
          <w:p w14:paraId="7B233124"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88,989</w:t>
            </w:r>
          </w:p>
        </w:tc>
        <w:tc>
          <w:tcPr>
            <w:tcW w:w="447" w:type="pct"/>
            <w:tcBorders>
              <w:top w:val="single" w:sz="4" w:space="0" w:color="auto"/>
              <w:left w:val="nil"/>
              <w:bottom w:val="single" w:sz="4" w:space="0" w:color="auto"/>
              <w:right w:val="single" w:sz="4" w:space="0" w:color="auto"/>
            </w:tcBorders>
            <w:shd w:val="clear" w:color="000000" w:fill="BFBFBF"/>
            <w:noWrap/>
            <w:tcMar>
              <w:left w:w="45" w:type="dxa"/>
              <w:right w:w="45" w:type="dxa"/>
            </w:tcMar>
            <w:vAlign w:val="bottom"/>
            <w:hideMark/>
          </w:tcPr>
          <w:p w14:paraId="1021247F"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70,806</w:t>
            </w:r>
          </w:p>
        </w:tc>
        <w:tc>
          <w:tcPr>
            <w:tcW w:w="447" w:type="pct"/>
            <w:tcBorders>
              <w:top w:val="single" w:sz="4" w:space="0" w:color="auto"/>
              <w:left w:val="nil"/>
              <w:bottom w:val="single" w:sz="4" w:space="0" w:color="auto"/>
              <w:right w:val="single" w:sz="4" w:space="0" w:color="auto"/>
            </w:tcBorders>
            <w:shd w:val="clear" w:color="000000" w:fill="BFBFBF"/>
            <w:noWrap/>
            <w:tcMar>
              <w:left w:w="45" w:type="dxa"/>
              <w:right w:w="45" w:type="dxa"/>
            </w:tcMar>
            <w:vAlign w:val="bottom"/>
            <w:hideMark/>
          </w:tcPr>
          <w:p w14:paraId="6281DDB2"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60,281</w:t>
            </w:r>
          </w:p>
        </w:tc>
        <w:tc>
          <w:tcPr>
            <w:tcW w:w="431" w:type="pct"/>
            <w:tcBorders>
              <w:top w:val="single" w:sz="4" w:space="0" w:color="auto"/>
              <w:left w:val="nil"/>
              <w:bottom w:val="single" w:sz="4" w:space="0" w:color="auto"/>
              <w:right w:val="single" w:sz="4" w:space="0" w:color="auto"/>
            </w:tcBorders>
            <w:shd w:val="clear" w:color="000000" w:fill="BFBFBF"/>
            <w:noWrap/>
            <w:tcMar>
              <w:left w:w="45" w:type="dxa"/>
              <w:right w:w="45" w:type="dxa"/>
            </w:tcMar>
            <w:vAlign w:val="bottom"/>
            <w:hideMark/>
          </w:tcPr>
          <w:p w14:paraId="2B22F365"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60,945</w:t>
            </w:r>
          </w:p>
        </w:tc>
        <w:tc>
          <w:tcPr>
            <w:tcW w:w="431" w:type="pct"/>
            <w:tcBorders>
              <w:top w:val="single" w:sz="4" w:space="0" w:color="auto"/>
              <w:left w:val="nil"/>
              <w:bottom w:val="single" w:sz="4" w:space="0" w:color="auto"/>
              <w:right w:val="single" w:sz="4" w:space="0" w:color="auto"/>
            </w:tcBorders>
            <w:shd w:val="clear" w:color="000000" w:fill="BFBFBF"/>
            <w:noWrap/>
            <w:tcMar>
              <w:left w:w="45" w:type="dxa"/>
              <w:right w:w="45" w:type="dxa"/>
            </w:tcMar>
            <w:vAlign w:val="bottom"/>
            <w:hideMark/>
          </w:tcPr>
          <w:p w14:paraId="76E03B96" w14:textId="77777777" w:rsidR="000729CF" w:rsidRPr="000729CF" w:rsidRDefault="000729CF" w:rsidP="000729CF">
            <w:pPr>
              <w:jc w:val="right"/>
              <w:rPr>
                <w:rFonts w:ascii="Calibri" w:hAnsi="Calibri" w:cs="Calibri"/>
                <w:b/>
                <w:bCs/>
                <w:sz w:val="22"/>
                <w:szCs w:val="22"/>
                <w:lang w:val="en-GB" w:eastAsia="en-GB"/>
              </w:rPr>
            </w:pPr>
            <w:r w:rsidRPr="000729CF">
              <w:rPr>
                <w:rFonts w:ascii="Calibri" w:hAnsi="Calibri" w:cs="Calibri"/>
                <w:b/>
                <w:bCs/>
                <w:sz w:val="22"/>
                <w:szCs w:val="22"/>
                <w:lang w:val="en-GB" w:eastAsia="en-GB"/>
              </w:rPr>
              <w:t>63,091</w:t>
            </w:r>
          </w:p>
        </w:tc>
      </w:tr>
    </w:tbl>
    <w:p w14:paraId="1F15223F" w14:textId="77777777" w:rsidR="000729CF" w:rsidRPr="000729CF" w:rsidRDefault="000729CF" w:rsidP="000729CF">
      <w:pPr>
        <w:spacing w:after="160" w:line="259" w:lineRule="auto"/>
        <w:rPr>
          <w:rFonts w:ascii="Calibri" w:eastAsia="Calibri" w:hAnsi="Calibri"/>
          <w:b/>
          <w:bCs/>
          <w:sz w:val="28"/>
          <w:szCs w:val="28"/>
          <w:lang w:val="en-GB"/>
        </w:rPr>
      </w:pPr>
    </w:p>
    <w:p w14:paraId="65792E0F" w14:textId="77777777" w:rsidR="000729CF" w:rsidRDefault="000729CF" w:rsidP="009B058F">
      <w:pPr>
        <w:rPr>
          <w:rFonts w:ascii="Arial" w:hAnsi="Arial" w:cs="Arial"/>
          <w:sz w:val="24"/>
          <w:szCs w:val="24"/>
          <w:lang w:val="en-GB"/>
        </w:rPr>
        <w:sectPr w:rsidR="000729CF" w:rsidSect="001604BB">
          <w:pgSz w:w="16838" w:h="11906" w:orient="landscape"/>
          <w:pgMar w:top="720" w:right="720" w:bottom="720" w:left="720" w:header="708" w:footer="708" w:gutter="0"/>
          <w:cols w:space="708"/>
          <w:docGrid w:linePitch="360"/>
        </w:sectPr>
      </w:pPr>
    </w:p>
    <w:p w14:paraId="5ECC3126" w14:textId="77777777" w:rsidR="000729CF" w:rsidRPr="000729CF" w:rsidRDefault="000729CF" w:rsidP="000729CF">
      <w:pPr>
        <w:spacing w:after="200" w:line="276" w:lineRule="auto"/>
        <w:rPr>
          <w:rFonts w:ascii="Arial" w:eastAsia="Calibri" w:hAnsi="Arial" w:cs="Arial"/>
          <w:b/>
          <w:sz w:val="24"/>
          <w:szCs w:val="24"/>
          <w:lang w:val="en-GB"/>
        </w:rPr>
      </w:pPr>
      <w:r w:rsidRPr="000729CF">
        <w:rPr>
          <w:rFonts w:ascii="Arial" w:eastAsia="Calibri" w:hAnsi="Arial" w:cs="Arial"/>
          <w:b/>
          <w:sz w:val="24"/>
          <w:szCs w:val="24"/>
          <w:lang w:val="en-GB"/>
        </w:rPr>
        <w:t>Capital Strategy 2024/25 to 2028/29</w:t>
      </w:r>
    </w:p>
    <w:p w14:paraId="5A86612F" w14:textId="77777777" w:rsidR="000729CF" w:rsidRPr="000729CF" w:rsidRDefault="000729CF" w:rsidP="00CE70A3">
      <w:pPr>
        <w:numPr>
          <w:ilvl w:val="0"/>
          <w:numId w:val="56"/>
        </w:numPr>
        <w:spacing w:after="120" w:line="276" w:lineRule="auto"/>
        <w:ind w:left="709" w:hanging="709"/>
        <w:rPr>
          <w:rFonts w:ascii="Arial" w:eastAsia="Calibri" w:hAnsi="Arial" w:cs="Arial"/>
          <w:b/>
          <w:sz w:val="24"/>
          <w:szCs w:val="24"/>
          <w:lang w:val="en-GB"/>
        </w:rPr>
      </w:pPr>
      <w:r w:rsidRPr="000729CF">
        <w:rPr>
          <w:rFonts w:ascii="Arial" w:eastAsia="Calibri" w:hAnsi="Arial" w:cs="Arial"/>
          <w:b/>
          <w:sz w:val="24"/>
          <w:szCs w:val="24"/>
          <w:lang w:val="en-GB"/>
        </w:rPr>
        <w:t>Background</w:t>
      </w:r>
    </w:p>
    <w:p w14:paraId="704B34DE" w14:textId="77777777" w:rsidR="000729CF" w:rsidRPr="000729CF" w:rsidRDefault="000729CF" w:rsidP="00CE70A3">
      <w:pPr>
        <w:numPr>
          <w:ilvl w:val="1"/>
          <w:numId w:val="56"/>
        </w:numPr>
        <w:spacing w:after="12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CIPFA’s Prudential Code for Capital Finance in Local Authorities and DLUHC’s Investment Guidance, require all local authorities to prepare a Capital Strategy report which should demonstrate that the authority:</w:t>
      </w:r>
    </w:p>
    <w:p w14:paraId="10381EF7" w14:textId="77777777" w:rsidR="000729CF" w:rsidRPr="000729CF" w:rsidRDefault="000729CF" w:rsidP="00CE70A3">
      <w:pPr>
        <w:numPr>
          <w:ilvl w:val="2"/>
          <w:numId w:val="56"/>
        </w:numPr>
        <w:spacing w:after="120" w:line="276" w:lineRule="auto"/>
        <w:rPr>
          <w:rFonts w:ascii="Arial" w:eastAsia="Calibri" w:hAnsi="Arial" w:cs="Arial"/>
          <w:sz w:val="24"/>
          <w:szCs w:val="24"/>
          <w:lang w:val="en-GB"/>
        </w:rPr>
      </w:pPr>
      <w:r w:rsidRPr="000729CF">
        <w:rPr>
          <w:rFonts w:ascii="Arial" w:eastAsia="Calibri" w:hAnsi="Arial" w:cs="Arial"/>
          <w:sz w:val="24"/>
          <w:szCs w:val="24"/>
          <w:lang w:val="en-GB"/>
        </w:rPr>
        <w:t>takes capital expenditure and investment decisions in line with service objectives;</w:t>
      </w:r>
    </w:p>
    <w:p w14:paraId="54089603" w14:textId="77777777" w:rsidR="000729CF" w:rsidRPr="000729CF" w:rsidRDefault="000729CF" w:rsidP="00CE70A3">
      <w:pPr>
        <w:numPr>
          <w:ilvl w:val="2"/>
          <w:numId w:val="56"/>
        </w:numPr>
        <w:spacing w:after="120" w:line="276" w:lineRule="auto"/>
        <w:rPr>
          <w:rFonts w:ascii="Arial" w:eastAsia="Calibri" w:hAnsi="Arial" w:cs="Arial"/>
          <w:sz w:val="24"/>
          <w:szCs w:val="24"/>
          <w:lang w:val="en-GB"/>
        </w:rPr>
      </w:pPr>
      <w:r w:rsidRPr="000729CF">
        <w:rPr>
          <w:rFonts w:ascii="Arial" w:eastAsia="Calibri" w:hAnsi="Arial" w:cs="Arial"/>
          <w:sz w:val="24"/>
          <w:szCs w:val="24"/>
          <w:lang w:val="en-GB"/>
        </w:rPr>
        <w:t>takes account of stewardship, value for money, prudence and affordability;</w:t>
      </w:r>
    </w:p>
    <w:p w14:paraId="686FD857" w14:textId="77777777" w:rsidR="000729CF" w:rsidRPr="000729CF" w:rsidRDefault="000729CF" w:rsidP="00CE70A3">
      <w:pPr>
        <w:numPr>
          <w:ilvl w:val="2"/>
          <w:numId w:val="56"/>
        </w:numPr>
        <w:spacing w:after="120" w:line="276" w:lineRule="auto"/>
        <w:rPr>
          <w:rFonts w:ascii="Arial" w:eastAsia="Calibri" w:hAnsi="Arial" w:cs="Arial"/>
          <w:sz w:val="24"/>
          <w:szCs w:val="24"/>
          <w:lang w:val="en-GB"/>
        </w:rPr>
      </w:pPr>
      <w:r w:rsidRPr="000729CF">
        <w:rPr>
          <w:rFonts w:ascii="Arial" w:eastAsia="Calibri" w:hAnsi="Arial" w:cs="Arial"/>
          <w:sz w:val="24"/>
          <w:szCs w:val="24"/>
          <w:lang w:val="en-GB"/>
        </w:rPr>
        <w:t>sets out the long term context in which capital expenditure and investment decisions are made;</w:t>
      </w:r>
    </w:p>
    <w:p w14:paraId="25CB66FC" w14:textId="77777777" w:rsidR="000729CF" w:rsidRPr="000729CF" w:rsidRDefault="000729CF" w:rsidP="00CE70A3">
      <w:pPr>
        <w:numPr>
          <w:ilvl w:val="2"/>
          <w:numId w:val="56"/>
        </w:numPr>
        <w:spacing w:after="120" w:line="276" w:lineRule="auto"/>
        <w:rPr>
          <w:rFonts w:ascii="Arial" w:eastAsia="Calibri" w:hAnsi="Arial" w:cs="Arial"/>
          <w:sz w:val="24"/>
          <w:szCs w:val="24"/>
          <w:lang w:val="en-GB"/>
        </w:rPr>
      </w:pPr>
      <w:r w:rsidRPr="000729CF">
        <w:rPr>
          <w:rFonts w:ascii="Arial" w:eastAsia="Calibri" w:hAnsi="Arial" w:cs="Arial"/>
          <w:sz w:val="24"/>
          <w:szCs w:val="24"/>
          <w:lang w:val="en-GB"/>
        </w:rPr>
        <w:t>gives due consideration to both risk and reward and the impact on the achievement of priority outcomes.</w:t>
      </w:r>
    </w:p>
    <w:p w14:paraId="073AA22C" w14:textId="77777777" w:rsidR="000729CF" w:rsidRPr="000729CF" w:rsidRDefault="000729CF" w:rsidP="00CE70A3">
      <w:pPr>
        <w:numPr>
          <w:ilvl w:val="1"/>
          <w:numId w:val="56"/>
        </w:numPr>
        <w:spacing w:after="12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The aim of the Capital Strategy is to ensure that all members on the full Council understand the overall long-term policy objectives and resulting capital strategy requirements, governance procedures and risk appetite.</w:t>
      </w:r>
    </w:p>
    <w:p w14:paraId="6F6C368B" w14:textId="77777777" w:rsidR="000729CF" w:rsidRPr="000729CF" w:rsidRDefault="000729CF" w:rsidP="00CE70A3">
      <w:pPr>
        <w:numPr>
          <w:ilvl w:val="1"/>
          <w:numId w:val="56"/>
        </w:numPr>
        <w:spacing w:after="12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The Prudential Code and the Treasury Management Codes were updated in 2021. The updates included:</w:t>
      </w:r>
    </w:p>
    <w:p w14:paraId="2575540E" w14:textId="77777777" w:rsidR="000729CF" w:rsidRPr="000729CF" w:rsidRDefault="000729CF" w:rsidP="00CE70A3">
      <w:pPr>
        <w:numPr>
          <w:ilvl w:val="2"/>
          <w:numId w:val="56"/>
        </w:numPr>
        <w:spacing w:after="120" w:line="276" w:lineRule="auto"/>
        <w:rPr>
          <w:rFonts w:ascii="Arial" w:eastAsia="Calibri" w:hAnsi="Arial" w:cs="Arial"/>
          <w:sz w:val="24"/>
          <w:szCs w:val="24"/>
          <w:lang w:val="en-GB"/>
        </w:rPr>
      </w:pPr>
      <w:r w:rsidRPr="000729CF">
        <w:rPr>
          <w:rFonts w:ascii="Arial" w:eastAsia="Calibri" w:hAnsi="Arial" w:cs="Arial"/>
          <w:sz w:val="24"/>
          <w:szCs w:val="24"/>
          <w:lang w:val="en-GB"/>
        </w:rPr>
        <w:t xml:space="preserve">Local authorities are required to acknowledge that they will not borrow for projects where the primary purpose is for commercial return; </w:t>
      </w:r>
    </w:p>
    <w:p w14:paraId="212663BF" w14:textId="77777777" w:rsidR="000729CF" w:rsidRPr="000729CF" w:rsidRDefault="000729CF" w:rsidP="00CE70A3">
      <w:pPr>
        <w:numPr>
          <w:ilvl w:val="2"/>
          <w:numId w:val="56"/>
        </w:numPr>
        <w:spacing w:after="120" w:line="276" w:lineRule="auto"/>
        <w:rPr>
          <w:rFonts w:ascii="Arial" w:eastAsia="Calibri" w:hAnsi="Arial" w:cs="Arial"/>
          <w:sz w:val="24"/>
          <w:szCs w:val="24"/>
          <w:lang w:val="en-GB"/>
        </w:rPr>
      </w:pPr>
      <w:r w:rsidRPr="000729CF">
        <w:rPr>
          <w:rFonts w:ascii="Arial" w:eastAsia="Calibri" w:hAnsi="Arial" w:cs="Arial"/>
          <w:sz w:val="24"/>
          <w:szCs w:val="24"/>
          <w:lang w:val="en-GB"/>
        </w:rPr>
        <w:t>Further transparency is required for non-treasury investments, including new indicators that demonstrate the proportionality of non-treasury investments to the council’s other activities;</w:t>
      </w:r>
    </w:p>
    <w:p w14:paraId="58CD54E0" w14:textId="77777777" w:rsidR="000729CF" w:rsidRPr="000729CF" w:rsidRDefault="000729CF" w:rsidP="00CE70A3">
      <w:pPr>
        <w:numPr>
          <w:ilvl w:val="2"/>
          <w:numId w:val="56"/>
        </w:numPr>
        <w:spacing w:after="120" w:line="276" w:lineRule="auto"/>
        <w:rPr>
          <w:rFonts w:ascii="Arial" w:eastAsia="Calibri" w:hAnsi="Arial" w:cs="Arial"/>
          <w:sz w:val="24"/>
          <w:szCs w:val="24"/>
          <w:lang w:val="en-GB"/>
        </w:rPr>
      </w:pPr>
      <w:r w:rsidRPr="000729CF">
        <w:rPr>
          <w:rFonts w:ascii="Arial" w:eastAsia="Calibri" w:hAnsi="Arial" w:cs="Arial"/>
          <w:sz w:val="24"/>
          <w:szCs w:val="24"/>
          <w:lang w:val="en-GB"/>
        </w:rPr>
        <w:t>Creation of Investment Management Practices (IMPs), which are similar to the existing Treasury Management Practices (TMPs). The IMPs will outline the processes, practices and governance that will be followed in the management and decision making for non-treasury investments.</w:t>
      </w:r>
    </w:p>
    <w:p w14:paraId="583E01F2" w14:textId="77777777" w:rsidR="000729CF" w:rsidRPr="000729CF" w:rsidRDefault="000729CF" w:rsidP="00CE70A3">
      <w:pPr>
        <w:numPr>
          <w:ilvl w:val="1"/>
          <w:numId w:val="56"/>
        </w:numPr>
        <w:spacing w:after="20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This Capital Strategy is reported separately from the Treasury Management Strategy Statement which ensures the separation of the core treasury function under security, liquidity and yield principles, and the policy and commercial investments usually driven by expenditure on assets.</w:t>
      </w:r>
    </w:p>
    <w:p w14:paraId="5DDD8252" w14:textId="77777777" w:rsidR="000729CF" w:rsidRPr="000729CF" w:rsidRDefault="000729CF" w:rsidP="00CE70A3">
      <w:pPr>
        <w:numPr>
          <w:ilvl w:val="1"/>
          <w:numId w:val="56"/>
        </w:numPr>
        <w:spacing w:after="20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CIPFA have updated the definition of investments within the Treasury Management Code to now include “non-treasury”, or commercial investments. These non-treasury investments are held primarily for financial returns, such as investment property portfolios. This strategy covers any non-treasury investments that the organisation holds or is planning to invest in. Treasury investments and associated risks are covered under the council’s Annual Investment Strategy, which forms part of Appendix 3 to General Fund budget report.</w:t>
      </w:r>
    </w:p>
    <w:p w14:paraId="15DD62BA" w14:textId="77777777" w:rsidR="000729CF" w:rsidRPr="000729CF" w:rsidRDefault="000729CF" w:rsidP="00CE70A3">
      <w:pPr>
        <w:numPr>
          <w:ilvl w:val="1"/>
          <w:numId w:val="56"/>
        </w:numPr>
        <w:spacing w:after="20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Under the Prudential Code and Treasury Management Code, the council is required to set parameters around the council’s borrowing and treasury activity, including an authorised borrowing limit for each year which cannot be breached. These parameters are set out in the prudential indicators within Annex C to this strategy. These indicators ensure that any borrowing undertaken is prudent, affordable and sustainable.</w:t>
      </w:r>
    </w:p>
    <w:p w14:paraId="6921325D" w14:textId="77777777" w:rsidR="000729CF" w:rsidRPr="000729CF" w:rsidRDefault="000729CF" w:rsidP="00CE70A3">
      <w:pPr>
        <w:numPr>
          <w:ilvl w:val="1"/>
          <w:numId w:val="56"/>
        </w:numPr>
        <w:spacing w:after="240" w:line="276" w:lineRule="auto"/>
        <w:ind w:left="709" w:hanging="709"/>
        <w:rPr>
          <w:rFonts w:ascii="Arial" w:eastAsia="Calibri" w:hAnsi="Arial" w:cs="Arial"/>
          <w:sz w:val="24"/>
          <w:szCs w:val="24"/>
          <w:lang w:val="en-GB"/>
        </w:rPr>
      </w:pPr>
      <w:bookmarkStart w:id="38" w:name="_Ref63194580"/>
      <w:r w:rsidRPr="000729CF">
        <w:rPr>
          <w:rFonts w:ascii="Arial" w:eastAsia="Calibri" w:hAnsi="Arial" w:cs="Arial"/>
          <w:sz w:val="24"/>
          <w:szCs w:val="24"/>
          <w:lang w:val="en-GB"/>
        </w:rPr>
        <w:t>Additionally, when funding capital expenditure through borrowing, the council is required to set aside a sum from revenue each year to repay the debt, known as the Minimum Revenue Provision (MRP). The policy for making the annual MRP should be prepared in line with the MRP guidance published by DLUHC. The council’s MRP policy for 2024/25 is consistent with the current guidance and is included in Appendix 3 of the budget report for approval.</w:t>
      </w:r>
      <w:bookmarkEnd w:id="38"/>
    </w:p>
    <w:p w14:paraId="39960DDA" w14:textId="77777777" w:rsidR="000729CF" w:rsidRPr="000729CF" w:rsidRDefault="000729CF" w:rsidP="00CE70A3">
      <w:pPr>
        <w:numPr>
          <w:ilvl w:val="0"/>
          <w:numId w:val="56"/>
        </w:numPr>
        <w:spacing w:after="120" w:line="276" w:lineRule="auto"/>
        <w:ind w:left="709" w:hanging="709"/>
        <w:rPr>
          <w:rFonts w:ascii="Arial" w:eastAsia="Calibri" w:hAnsi="Arial" w:cs="Arial"/>
          <w:b/>
          <w:sz w:val="24"/>
          <w:szCs w:val="24"/>
          <w:lang w:val="en-GB"/>
        </w:rPr>
      </w:pPr>
      <w:r w:rsidRPr="000729CF">
        <w:rPr>
          <w:rFonts w:ascii="Arial" w:eastAsia="Calibri" w:hAnsi="Arial" w:cs="Arial"/>
          <w:b/>
          <w:sz w:val="24"/>
          <w:szCs w:val="24"/>
          <w:lang w:val="en-GB"/>
        </w:rPr>
        <w:t>Governance &amp; Risk Frameworks</w:t>
      </w:r>
    </w:p>
    <w:p w14:paraId="4C9E2588" w14:textId="77777777" w:rsidR="000729CF" w:rsidRPr="000729CF" w:rsidRDefault="000729CF" w:rsidP="00CE70A3">
      <w:pPr>
        <w:numPr>
          <w:ilvl w:val="1"/>
          <w:numId w:val="56"/>
        </w:numPr>
        <w:spacing w:after="12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The council’s Financial Regulations set out the framework of control, responsibility and accountability for the proper administration of the council’s financial affairs. Under the Financial Regulations, the Chief Finance Officer is responsible for ensuring a capital programme is prepared and considered by Strategy, Finance &amp; City Regeneration Committee and approved by full Council annually.</w:t>
      </w:r>
    </w:p>
    <w:p w14:paraId="6A12BB3B" w14:textId="77777777" w:rsidR="000729CF" w:rsidRPr="000729CF" w:rsidRDefault="000729CF" w:rsidP="00CE70A3">
      <w:pPr>
        <w:numPr>
          <w:ilvl w:val="1"/>
          <w:numId w:val="56"/>
        </w:numPr>
        <w:spacing w:after="12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Further to this, the council’s Standard Financial Procedures define the key controls around the management of the council’s financial affairs, including the capital programme. The key controls for the capital programme are:</w:t>
      </w:r>
    </w:p>
    <w:p w14:paraId="6BA5A4B1" w14:textId="77777777" w:rsidR="000729CF" w:rsidRPr="000729CF" w:rsidRDefault="000729CF" w:rsidP="00CE70A3">
      <w:pPr>
        <w:numPr>
          <w:ilvl w:val="2"/>
          <w:numId w:val="56"/>
        </w:numPr>
        <w:autoSpaceDE w:val="0"/>
        <w:autoSpaceDN w:val="0"/>
        <w:adjustRightInd w:val="0"/>
        <w:spacing w:after="60" w:line="276" w:lineRule="auto"/>
        <w:ind w:left="1225" w:hanging="505"/>
        <w:rPr>
          <w:rFonts w:ascii="Arial" w:eastAsia="Calibri" w:hAnsi="Arial" w:cs="Arial"/>
          <w:sz w:val="24"/>
          <w:szCs w:val="24"/>
          <w:lang w:val="en-GB"/>
        </w:rPr>
      </w:pPr>
      <w:r w:rsidRPr="000729CF">
        <w:rPr>
          <w:rFonts w:ascii="Arial" w:eastAsia="Calibri" w:hAnsi="Arial" w:cs="Arial"/>
          <w:sz w:val="24"/>
          <w:szCs w:val="24"/>
          <w:lang w:val="en-GB"/>
        </w:rPr>
        <w:t xml:space="preserve">Specific approval by full Council for the programme of capital expenditure, in conjunction with the annual revenue budget process, outlining the phasing of expenditure and the sources of funding and financing; </w:t>
      </w:r>
    </w:p>
    <w:p w14:paraId="4CAC0779" w14:textId="77777777" w:rsidR="000729CF" w:rsidRPr="000729CF" w:rsidRDefault="000729CF" w:rsidP="00CE70A3">
      <w:pPr>
        <w:numPr>
          <w:ilvl w:val="2"/>
          <w:numId w:val="56"/>
        </w:numPr>
        <w:autoSpaceDE w:val="0"/>
        <w:autoSpaceDN w:val="0"/>
        <w:adjustRightInd w:val="0"/>
        <w:spacing w:after="60" w:line="276" w:lineRule="auto"/>
        <w:ind w:left="1225" w:hanging="505"/>
        <w:rPr>
          <w:rFonts w:ascii="Arial" w:eastAsia="Calibri" w:hAnsi="Arial" w:cs="Arial"/>
          <w:sz w:val="24"/>
          <w:szCs w:val="24"/>
          <w:lang w:val="en-GB"/>
        </w:rPr>
      </w:pPr>
      <w:r w:rsidRPr="000729CF">
        <w:rPr>
          <w:rFonts w:ascii="Arial" w:eastAsia="Calibri" w:hAnsi="Arial" w:cs="Arial"/>
          <w:sz w:val="24"/>
          <w:szCs w:val="24"/>
          <w:lang w:val="en-GB"/>
        </w:rPr>
        <w:t>A scheme and estimate, including options appraisal, project plan, progress targets and associated revenue expenditure are prepared for each capital project;</w:t>
      </w:r>
    </w:p>
    <w:p w14:paraId="7EA77975" w14:textId="77777777" w:rsidR="000729CF" w:rsidRPr="000729CF" w:rsidRDefault="000729CF" w:rsidP="00CE70A3">
      <w:pPr>
        <w:numPr>
          <w:ilvl w:val="2"/>
          <w:numId w:val="56"/>
        </w:numPr>
        <w:autoSpaceDE w:val="0"/>
        <w:autoSpaceDN w:val="0"/>
        <w:adjustRightInd w:val="0"/>
        <w:spacing w:after="60" w:line="276" w:lineRule="auto"/>
        <w:ind w:left="1225" w:hanging="505"/>
        <w:rPr>
          <w:rFonts w:ascii="Arial" w:eastAsia="Calibri" w:hAnsi="Arial" w:cs="Arial"/>
          <w:sz w:val="24"/>
          <w:szCs w:val="24"/>
          <w:lang w:val="en-GB"/>
        </w:rPr>
      </w:pPr>
      <w:r w:rsidRPr="000729CF">
        <w:rPr>
          <w:rFonts w:ascii="Arial" w:eastAsia="Calibri" w:hAnsi="Arial" w:cs="Arial"/>
          <w:sz w:val="24"/>
          <w:szCs w:val="24"/>
          <w:lang w:val="en-GB"/>
        </w:rPr>
        <w:t>No capital scheme to proceed unless necessary approvals have been obtained;</w:t>
      </w:r>
    </w:p>
    <w:p w14:paraId="79EB68CC" w14:textId="77777777" w:rsidR="000729CF" w:rsidRPr="000729CF" w:rsidRDefault="000729CF" w:rsidP="00CE70A3">
      <w:pPr>
        <w:numPr>
          <w:ilvl w:val="2"/>
          <w:numId w:val="56"/>
        </w:numPr>
        <w:autoSpaceDE w:val="0"/>
        <w:autoSpaceDN w:val="0"/>
        <w:adjustRightInd w:val="0"/>
        <w:spacing w:after="60" w:line="276" w:lineRule="auto"/>
        <w:ind w:left="1225" w:hanging="505"/>
        <w:rPr>
          <w:rFonts w:ascii="Arial" w:eastAsia="Calibri" w:hAnsi="Arial" w:cs="Arial"/>
          <w:sz w:val="24"/>
          <w:szCs w:val="24"/>
          <w:lang w:val="en-GB"/>
        </w:rPr>
      </w:pPr>
      <w:r w:rsidRPr="000729CF">
        <w:rPr>
          <w:rFonts w:ascii="Arial" w:eastAsia="Calibri" w:hAnsi="Arial" w:cs="Arial"/>
          <w:sz w:val="24"/>
          <w:szCs w:val="24"/>
          <w:lang w:val="en-GB"/>
        </w:rPr>
        <w:t>Proposals for improvements and alterations to buildings must be approved by the appropriate Chief Officer in consultation with the Assistant Director  Property &amp; Design;</w:t>
      </w:r>
    </w:p>
    <w:p w14:paraId="57205E82" w14:textId="77777777" w:rsidR="000729CF" w:rsidRPr="000729CF" w:rsidRDefault="000729CF" w:rsidP="00CE70A3">
      <w:pPr>
        <w:numPr>
          <w:ilvl w:val="2"/>
          <w:numId w:val="56"/>
        </w:numPr>
        <w:autoSpaceDE w:val="0"/>
        <w:autoSpaceDN w:val="0"/>
        <w:adjustRightInd w:val="0"/>
        <w:spacing w:after="60" w:line="276" w:lineRule="auto"/>
        <w:ind w:left="1225" w:hanging="505"/>
        <w:rPr>
          <w:rFonts w:ascii="Arial" w:eastAsia="Calibri" w:hAnsi="Arial" w:cs="Arial"/>
          <w:sz w:val="24"/>
          <w:szCs w:val="24"/>
          <w:lang w:val="en-GB"/>
        </w:rPr>
      </w:pPr>
      <w:r w:rsidRPr="000729CF">
        <w:rPr>
          <w:rFonts w:ascii="Arial" w:eastAsia="Calibri" w:hAnsi="Arial" w:cs="Arial"/>
          <w:sz w:val="24"/>
          <w:szCs w:val="24"/>
          <w:lang w:val="en-GB"/>
        </w:rPr>
        <w:t xml:space="preserve">An officer-led Capital Programme Board has been implemented during 2023/24. The board reviews new schemes, business plans and all variations to the Capital Investment Programme prior to approval at the Strategy, Finance &amp; City Regeneration (SFCR) Committee. The Board comprises of the Chief Executive, Directors and relevant Senior Officers for all departmental capital programmes. </w:t>
      </w:r>
    </w:p>
    <w:p w14:paraId="0FD67992" w14:textId="77777777" w:rsidR="000729CF" w:rsidRPr="000729CF" w:rsidRDefault="000729CF" w:rsidP="00CE70A3">
      <w:pPr>
        <w:numPr>
          <w:ilvl w:val="2"/>
          <w:numId w:val="56"/>
        </w:numPr>
        <w:autoSpaceDE w:val="0"/>
        <w:autoSpaceDN w:val="0"/>
        <w:adjustRightInd w:val="0"/>
        <w:spacing w:after="60" w:line="276" w:lineRule="auto"/>
        <w:ind w:left="1225" w:hanging="505"/>
        <w:rPr>
          <w:rFonts w:ascii="Arial" w:eastAsia="Calibri" w:hAnsi="Arial" w:cs="Arial"/>
          <w:sz w:val="24"/>
          <w:szCs w:val="24"/>
          <w:lang w:val="en-GB"/>
        </w:rPr>
      </w:pPr>
      <w:r w:rsidRPr="000729CF">
        <w:rPr>
          <w:rFonts w:ascii="Arial" w:eastAsia="Calibri" w:hAnsi="Arial" w:cs="Arial"/>
          <w:sz w:val="24"/>
          <w:szCs w:val="24"/>
          <w:lang w:val="en-GB"/>
        </w:rPr>
        <w:t>Major rolling programmes of capital expenditure will require a detailed report to be submitted to SFCR Committee covering all of the schemes within each programme of works. This will include, but not be limited to, the programmes for the housing stock, Education, Asset Management Fund, Corporate Planned Maintenance (PMB), Commercial Asset Investment Fund (CAIF), Information Technology &amp; Digital (IT&amp;D) Funds, Strategic Investment Funds and the Local Transport Plan. These may be reported separately or as part of a Targeted Budget Management (TBM) report;</w:t>
      </w:r>
    </w:p>
    <w:p w14:paraId="32028F6F" w14:textId="77777777" w:rsidR="000729CF" w:rsidRPr="000729CF" w:rsidRDefault="000729CF" w:rsidP="00CE70A3">
      <w:pPr>
        <w:numPr>
          <w:ilvl w:val="2"/>
          <w:numId w:val="56"/>
        </w:numPr>
        <w:autoSpaceDE w:val="0"/>
        <w:autoSpaceDN w:val="0"/>
        <w:adjustRightInd w:val="0"/>
        <w:spacing w:after="60" w:line="276" w:lineRule="auto"/>
        <w:ind w:left="1225" w:hanging="505"/>
        <w:rPr>
          <w:rFonts w:ascii="Arial" w:eastAsia="Calibri" w:hAnsi="Arial" w:cs="Arial"/>
          <w:sz w:val="24"/>
          <w:szCs w:val="24"/>
          <w:lang w:val="en-GB"/>
        </w:rPr>
      </w:pPr>
      <w:r w:rsidRPr="000729CF">
        <w:rPr>
          <w:rFonts w:ascii="Arial" w:eastAsia="Calibri" w:hAnsi="Arial" w:cs="Arial"/>
          <w:sz w:val="24"/>
          <w:szCs w:val="24"/>
          <w:lang w:val="en-GB"/>
        </w:rPr>
        <w:t>The development and implementation of an Asset Management Plan;</w:t>
      </w:r>
    </w:p>
    <w:p w14:paraId="27457469" w14:textId="77777777" w:rsidR="000729CF" w:rsidRPr="000729CF" w:rsidRDefault="000729CF" w:rsidP="00CE70A3">
      <w:pPr>
        <w:numPr>
          <w:ilvl w:val="2"/>
          <w:numId w:val="56"/>
        </w:numPr>
        <w:autoSpaceDE w:val="0"/>
        <w:autoSpaceDN w:val="0"/>
        <w:adjustRightInd w:val="0"/>
        <w:spacing w:after="60" w:line="276" w:lineRule="auto"/>
        <w:ind w:left="1225" w:hanging="505"/>
        <w:rPr>
          <w:rFonts w:ascii="Arial" w:eastAsia="Calibri" w:hAnsi="Arial" w:cs="Arial"/>
          <w:sz w:val="24"/>
          <w:szCs w:val="24"/>
          <w:lang w:val="en-GB"/>
        </w:rPr>
      </w:pPr>
      <w:r w:rsidRPr="000729CF">
        <w:rPr>
          <w:rFonts w:ascii="Arial" w:eastAsia="Calibri" w:hAnsi="Arial" w:cs="Arial"/>
          <w:sz w:val="24"/>
          <w:szCs w:val="24"/>
          <w:lang w:val="en-GB"/>
        </w:rPr>
        <w:t>A nominated, accountable budget holder for each scheme and/or component of the programme;</w:t>
      </w:r>
    </w:p>
    <w:p w14:paraId="2E8FA6E1" w14:textId="77777777" w:rsidR="000729CF" w:rsidRPr="000729CF" w:rsidRDefault="000729CF" w:rsidP="00CE70A3">
      <w:pPr>
        <w:numPr>
          <w:ilvl w:val="2"/>
          <w:numId w:val="56"/>
        </w:numPr>
        <w:autoSpaceDE w:val="0"/>
        <w:autoSpaceDN w:val="0"/>
        <w:adjustRightInd w:val="0"/>
        <w:spacing w:after="60" w:line="276" w:lineRule="auto"/>
        <w:ind w:left="1225" w:hanging="505"/>
        <w:rPr>
          <w:rFonts w:ascii="Arial" w:eastAsia="Calibri" w:hAnsi="Arial" w:cs="Arial"/>
          <w:sz w:val="24"/>
          <w:szCs w:val="24"/>
          <w:lang w:val="en-GB"/>
        </w:rPr>
      </w:pPr>
      <w:r w:rsidRPr="000729CF">
        <w:rPr>
          <w:rFonts w:ascii="Arial" w:eastAsia="Calibri" w:hAnsi="Arial" w:cs="Arial"/>
          <w:sz w:val="24"/>
          <w:szCs w:val="24"/>
          <w:lang w:val="en-GB"/>
        </w:rPr>
        <w:t xml:space="preserve">Monitoring of progress on capital schemes and comparison with approved budget and remedial action taken to address overspends, reporting monthly to Chief Officers and at least quarterly to the SFCR Committee; </w:t>
      </w:r>
    </w:p>
    <w:p w14:paraId="5801CB32" w14:textId="77777777" w:rsidR="000729CF" w:rsidRPr="000729CF" w:rsidRDefault="000729CF" w:rsidP="00CE70A3">
      <w:pPr>
        <w:numPr>
          <w:ilvl w:val="2"/>
          <w:numId w:val="56"/>
        </w:numPr>
        <w:autoSpaceDE w:val="0"/>
        <w:autoSpaceDN w:val="0"/>
        <w:adjustRightInd w:val="0"/>
        <w:spacing w:after="60" w:line="276" w:lineRule="auto"/>
        <w:ind w:left="1225" w:hanging="505"/>
        <w:rPr>
          <w:rFonts w:ascii="Arial" w:eastAsia="Calibri" w:hAnsi="Arial" w:cs="Arial"/>
          <w:sz w:val="24"/>
          <w:szCs w:val="24"/>
          <w:lang w:val="en-GB"/>
        </w:rPr>
      </w:pPr>
      <w:r w:rsidRPr="000729CF">
        <w:rPr>
          <w:rFonts w:ascii="Arial" w:eastAsia="Calibri" w:hAnsi="Arial" w:cs="Arial"/>
          <w:sz w:val="24"/>
          <w:szCs w:val="24"/>
          <w:lang w:val="en-GB"/>
        </w:rPr>
        <w:t>Compliance with the council’s Corporate Procurement Strategy and Contract Standing Orders.</w:t>
      </w:r>
    </w:p>
    <w:p w14:paraId="57DD259D" w14:textId="77777777" w:rsidR="000729CF" w:rsidRPr="000729CF" w:rsidRDefault="000729CF" w:rsidP="00CE70A3">
      <w:pPr>
        <w:numPr>
          <w:ilvl w:val="1"/>
          <w:numId w:val="56"/>
        </w:numPr>
        <w:autoSpaceDE w:val="0"/>
        <w:autoSpaceDN w:val="0"/>
        <w:adjustRightInd w:val="0"/>
        <w:spacing w:after="12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Since June 2016 a Corporate Risk and Assurance Framework (CRAF) has provided a structured approach to help Members and senior managers discharge their responsibility for the management of key risks with potential to affect achievement of the council’s priorities and expected outcomes. The CRAF requires the council to be proactive and have arrangements in place through its senior officers for robust arrangements for managing its business. Specifically the CRAF is designed to:</w:t>
      </w:r>
    </w:p>
    <w:p w14:paraId="59F8D9D1" w14:textId="77777777" w:rsidR="000729CF" w:rsidRPr="000729CF" w:rsidRDefault="000729CF" w:rsidP="00CE70A3">
      <w:pPr>
        <w:numPr>
          <w:ilvl w:val="0"/>
          <w:numId w:val="60"/>
        </w:numPr>
        <w:autoSpaceDE w:val="0"/>
        <w:autoSpaceDN w:val="0"/>
        <w:adjustRightInd w:val="0"/>
        <w:spacing w:after="120" w:line="276" w:lineRule="auto"/>
        <w:ind w:left="1276" w:hanging="567"/>
        <w:rPr>
          <w:rFonts w:ascii="Arial" w:eastAsia="Calibri" w:hAnsi="Arial" w:cs="Arial"/>
          <w:sz w:val="24"/>
          <w:szCs w:val="24"/>
          <w:lang w:val="en-GB" w:eastAsia="en-GB"/>
        </w:rPr>
      </w:pPr>
      <w:r w:rsidRPr="000729CF">
        <w:rPr>
          <w:rFonts w:ascii="Arial" w:eastAsia="Calibri" w:hAnsi="Arial" w:cs="Arial"/>
          <w:sz w:val="24"/>
          <w:szCs w:val="24"/>
          <w:lang w:val="en-GB" w:eastAsia="en-GB"/>
        </w:rPr>
        <w:t>help the council avoid costly mistakes, better protect its reputation and contribute to keeping the council safe;</w:t>
      </w:r>
    </w:p>
    <w:p w14:paraId="3AC90257" w14:textId="77777777" w:rsidR="000729CF" w:rsidRPr="000729CF" w:rsidRDefault="000729CF" w:rsidP="00CE70A3">
      <w:pPr>
        <w:numPr>
          <w:ilvl w:val="0"/>
          <w:numId w:val="60"/>
        </w:numPr>
        <w:autoSpaceDE w:val="0"/>
        <w:autoSpaceDN w:val="0"/>
        <w:adjustRightInd w:val="0"/>
        <w:spacing w:after="120" w:line="276" w:lineRule="auto"/>
        <w:ind w:left="1276" w:hanging="567"/>
        <w:rPr>
          <w:rFonts w:ascii="Arial" w:eastAsia="Calibri" w:hAnsi="Arial" w:cs="Arial"/>
          <w:sz w:val="24"/>
          <w:szCs w:val="24"/>
          <w:lang w:val="en-GB" w:eastAsia="en-GB"/>
        </w:rPr>
      </w:pPr>
      <w:r w:rsidRPr="000729CF">
        <w:rPr>
          <w:rFonts w:ascii="Arial" w:eastAsia="Calibri" w:hAnsi="Arial" w:cs="Arial"/>
          <w:sz w:val="24"/>
          <w:szCs w:val="24"/>
          <w:lang w:val="en-GB" w:eastAsia="en-GB"/>
        </w:rPr>
        <w:t>set out for stakeholders, including members, how the council complies with best practice (the International Standard for Corporate Governance) and, as such, the CRAF forms an appendix within the council’s statutory Annual Governance Statement.</w:t>
      </w:r>
    </w:p>
    <w:p w14:paraId="4C6B8E29" w14:textId="77777777" w:rsidR="000729CF" w:rsidRPr="000729CF" w:rsidRDefault="000729CF" w:rsidP="000729CF">
      <w:pPr>
        <w:autoSpaceDE w:val="0"/>
        <w:autoSpaceDN w:val="0"/>
        <w:adjustRightInd w:val="0"/>
        <w:spacing w:after="120"/>
        <w:rPr>
          <w:rFonts w:ascii="Arial" w:eastAsia="Calibri" w:hAnsi="Arial" w:cs="Arial"/>
          <w:b/>
          <w:sz w:val="24"/>
          <w:szCs w:val="24"/>
          <w:lang w:val="en-GB" w:eastAsia="en-GB"/>
        </w:rPr>
      </w:pPr>
      <w:r w:rsidRPr="000729CF">
        <w:rPr>
          <w:rFonts w:ascii="Arial" w:eastAsia="Calibri" w:hAnsi="Arial" w:cs="Arial"/>
          <w:sz w:val="24"/>
          <w:szCs w:val="24"/>
          <w:lang w:val="en-GB" w:eastAsia="en-GB"/>
        </w:rPr>
        <w:tab/>
      </w:r>
      <w:r w:rsidRPr="000729CF">
        <w:rPr>
          <w:rFonts w:ascii="Arial" w:eastAsia="Calibri" w:hAnsi="Arial" w:cs="Arial"/>
          <w:b/>
          <w:sz w:val="24"/>
          <w:szCs w:val="24"/>
          <w:lang w:val="en-GB" w:eastAsia="en-GB"/>
        </w:rPr>
        <w:t>Management of Risk</w:t>
      </w:r>
    </w:p>
    <w:p w14:paraId="55398A78" w14:textId="77777777" w:rsidR="000729CF" w:rsidRPr="000729CF" w:rsidRDefault="000729CF" w:rsidP="00CE70A3">
      <w:pPr>
        <w:numPr>
          <w:ilvl w:val="1"/>
          <w:numId w:val="56"/>
        </w:numPr>
        <w:spacing w:after="12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The council provides a number of critical services and its core purpose is to meet its statutory duties for the benefit of the citizens of the City. The council’s key priority is to protect the delivery of these services. Therefore, the council needs to take a measured approach to balancing the risks of any capital investment decisions with the resources available for delivering key services against the benefits accruing from the investment.</w:t>
      </w:r>
    </w:p>
    <w:p w14:paraId="1B81F3B0" w14:textId="77777777" w:rsidR="000729CF" w:rsidRPr="000729CF" w:rsidRDefault="000729CF" w:rsidP="00CE70A3">
      <w:pPr>
        <w:numPr>
          <w:ilvl w:val="1"/>
          <w:numId w:val="56"/>
        </w:numPr>
        <w:spacing w:after="12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The council’s Risk Management Process is managed by:</w:t>
      </w:r>
    </w:p>
    <w:p w14:paraId="636E7576" w14:textId="77777777" w:rsidR="000729CF" w:rsidRPr="000729CF" w:rsidRDefault="000729CF" w:rsidP="00CE70A3">
      <w:pPr>
        <w:numPr>
          <w:ilvl w:val="0"/>
          <w:numId w:val="63"/>
        </w:numPr>
        <w:autoSpaceDE w:val="0"/>
        <w:autoSpaceDN w:val="0"/>
        <w:adjustRightInd w:val="0"/>
        <w:spacing w:after="120" w:line="276" w:lineRule="auto"/>
        <w:rPr>
          <w:rFonts w:ascii="Arial" w:eastAsia="Calibri" w:hAnsi="Arial" w:cs="Arial"/>
          <w:sz w:val="24"/>
          <w:szCs w:val="24"/>
          <w:lang w:val="en-GB" w:eastAsia="en-GB"/>
        </w:rPr>
      </w:pPr>
      <w:r w:rsidRPr="000729CF">
        <w:rPr>
          <w:rFonts w:ascii="Arial" w:eastAsia="Calibri" w:hAnsi="Arial" w:cs="Arial"/>
          <w:sz w:val="24"/>
          <w:szCs w:val="24"/>
          <w:lang w:val="en-GB" w:eastAsia="en-GB"/>
        </w:rPr>
        <w:t>assigning accountability to key officers to enable review, and challenge processes and assurances;</w:t>
      </w:r>
    </w:p>
    <w:p w14:paraId="1F9D177F" w14:textId="77777777" w:rsidR="000729CF" w:rsidRPr="000729CF" w:rsidRDefault="000729CF" w:rsidP="00CE70A3">
      <w:pPr>
        <w:numPr>
          <w:ilvl w:val="0"/>
          <w:numId w:val="63"/>
        </w:numPr>
        <w:autoSpaceDE w:val="0"/>
        <w:autoSpaceDN w:val="0"/>
        <w:adjustRightInd w:val="0"/>
        <w:spacing w:after="120" w:line="276" w:lineRule="auto"/>
        <w:rPr>
          <w:rFonts w:ascii="Arial" w:eastAsia="Calibri" w:hAnsi="Arial" w:cs="Arial"/>
          <w:sz w:val="24"/>
          <w:szCs w:val="24"/>
          <w:lang w:val="en-GB" w:eastAsia="en-GB"/>
        </w:rPr>
      </w:pPr>
      <w:r w:rsidRPr="000729CF">
        <w:rPr>
          <w:rFonts w:ascii="Arial" w:eastAsia="Calibri" w:hAnsi="Arial" w:cs="Arial"/>
          <w:sz w:val="24"/>
          <w:szCs w:val="24"/>
          <w:lang w:val="en-GB" w:eastAsia="en-GB"/>
        </w:rPr>
        <w:tab/>
        <w:t>using a “three lines of defence” model to map out how it gains assurance over its activities, processes and risks. This is reported as the Corporate Risk Assurance Framework (CRAF) appendix within the Annual Governance Statement. An example is given below on using the three lines of defence to structure and categorise assurances for procurement.</w:t>
      </w:r>
    </w:p>
    <w:p w14:paraId="689B1EA1" w14:textId="77777777" w:rsidR="000729CF" w:rsidRPr="000729CF" w:rsidRDefault="000729CF" w:rsidP="000729CF">
      <w:pPr>
        <w:pBdr>
          <w:top w:val="single" w:sz="4" w:space="1" w:color="auto"/>
          <w:left w:val="single" w:sz="4" w:space="4" w:color="auto"/>
          <w:bottom w:val="single" w:sz="4" w:space="1" w:color="auto"/>
          <w:right w:val="single" w:sz="4" w:space="4" w:color="auto"/>
        </w:pBdr>
        <w:spacing w:after="200" w:line="276" w:lineRule="auto"/>
        <w:rPr>
          <w:rFonts w:ascii="Arial" w:eastAsia="Calibri" w:hAnsi="Arial" w:cs="Arial"/>
          <w:sz w:val="24"/>
          <w:szCs w:val="24"/>
          <w:lang w:val="en-GB"/>
        </w:rPr>
      </w:pPr>
      <w:r w:rsidRPr="000729CF">
        <w:rPr>
          <w:rFonts w:ascii="Arial" w:eastAsia="Calibri" w:hAnsi="Arial" w:cs="Arial"/>
          <w:sz w:val="24"/>
          <w:szCs w:val="24"/>
          <w:lang w:val="en-GB"/>
        </w:rPr>
        <w:t>An organisation might identify contract management as a key risk. The assurance map would then set out the sources of assurance that enable senior management and members to satisfy themselves that this risk is being managed. Under the three lines of defence, these assurances are categorised as follows:</w:t>
      </w:r>
    </w:p>
    <w:p w14:paraId="21F2E8DF" w14:textId="77777777" w:rsidR="000729CF" w:rsidRPr="000729CF" w:rsidRDefault="000729CF" w:rsidP="000729CF">
      <w:pPr>
        <w:pBdr>
          <w:top w:val="single" w:sz="4" w:space="1" w:color="auto"/>
          <w:left w:val="single" w:sz="4" w:space="4" w:color="auto"/>
          <w:bottom w:val="single" w:sz="4" w:space="1" w:color="auto"/>
          <w:right w:val="single" w:sz="4" w:space="4" w:color="auto"/>
        </w:pBdr>
        <w:spacing w:after="200" w:line="276" w:lineRule="auto"/>
        <w:rPr>
          <w:rFonts w:ascii="Arial" w:eastAsia="Calibri" w:hAnsi="Arial" w:cs="Arial"/>
          <w:sz w:val="24"/>
          <w:szCs w:val="24"/>
          <w:lang w:val="en-GB"/>
        </w:rPr>
      </w:pPr>
      <w:r w:rsidRPr="000729CF">
        <w:rPr>
          <w:rFonts w:ascii="Arial" w:eastAsia="Calibri" w:hAnsi="Arial" w:cs="Arial"/>
          <w:b/>
          <w:sz w:val="24"/>
          <w:szCs w:val="24"/>
          <w:lang w:val="en-GB"/>
        </w:rPr>
        <w:t>First line:</w:t>
      </w:r>
      <w:r w:rsidRPr="000729CF">
        <w:rPr>
          <w:rFonts w:ascii="Arial" w:eastAsia="Calibri" w:hAnsi="Arial" w:cs="Arial"/>
          <w:sz w:val="24"/>
          <w:szCs w:val="24"/>
          <w:lang w:val="en-GB"/>
        </w:rPr>
        <w:t xml:space="preserve"> controls and processes followed by service managers who own and manage risks. In this case, these would be the controls and processes followed by contract managers who are responsible for procuring and managing contracts.</w:t>
      </w:r>
    </w:p>
    <w:p w14:paraId="7EDC7971" w14:textId="77777777" w:rsidR="000729CF" w:rsidRPr="000729CF" w:rsidRDefault="000729CF" w:rsidP="000729CF">
      <w:pPr>
        <w:pBdr>
          <w:top w:val="single" w:sz="4" w:space="1" w:color="auto"/>
          <w:left w:val="single" w:sz="4" w:space="4" w:color="auto"/>
          <w:bottom w:val="single" w:sz="4" w:space="1" w:color="auto"/>
          <w:right w:val="single" w:sz="4" w:space="4" w:color="auto"/>
        </w:pBdr>
        <w:spacing w:after="200" w:line="276" w:lineRule="auto"/>
        <w:rPr>
          <w:rFonts w:ascii="Arial" w:eastAsia="Calibri" w:hAnsi="Arial" w:cs="Arial"/>
          <w:sz w:val="24"/>
          <w:szCs w:val="24"/>
          <w:lang w:val="en-GB"/>
        </w:rPr>
      </w:pPr>
      <w:r w:rsidRPr="000729CF">
        <w:rPr>
          <w:rFonts w:ascii="Arial" w:eastAsia="Calibri" w:hAnsi="Arial" w:cs="Arial"/>
          <w:b/>
          <w:sz w:val="24"/>
          <w:szCs w:val="24"/>
          <w:lang w:val="en-GB"/>
        </w:rPr>
        <w:t>Second line:</w:t>
      </w:r>
      <w:r w:rsidRPr="000729CF">
        <w:rPr>
          <w:rFonts w:ascii="Arial" w:eastAsia="Calibri" w:hAnsi="Arial" w:cs="Arial"/>
          <w:sz w:val="24"/>
          <w:szCs w:val="24"/>
          <w:lang w:val="en-GB"/>
        </w:rPr>
        <w:t xml:space="preserve"> controls and processes operated by managers responsible for overseeing risks. These typically monitor the first line of defence operated by managers and in this case might include risk management and procurement compliance functions.</w:t>
      </w:r>
    </w:p>
    <w:p w14:paraId="6B2BDA5C" w14:textId="77777777" w:rsidR="000729CF" w:rsidRPr="000729CF" w:rsidRDefault="000729CF" w:rsidP="000729CF">
      <w:pPr>
        <w:pBdr>
          <w:top w:val="single" w:sz="4" w:space="1" w:color="auto"/>
          <w:left w:val="single" w:sz="4" w:space="4" w:color="auto"/>
          <w:bottom w:val="single" w:sz="4" w:space="1" w:color="auto"/>
          <w:right w:val="single" w:sz="4" w:space="4" w:color="auto"/>
        </w:pBdr>
        <w:spacing w:after="200" w:line="276" w:lineRule="auto"/>
        <w:rPr>
          <w:rFonts w:ascii="Arial" w:eastAsia="Calibri" w:hAnsi="Arial" w:cs="Arial"/>
          <w:sz w:val="24"/>
          <w:szCs w:val="24"/>
          <w:lang w:val="en-GB"/>
        </w:rPr>
      </w:pPr>
      <w:r w:rsidRPr="000729CF">
        <w:rPr>
          <w:rFonts w:ascii="Arial" w:eastAsia="Calibri" w:hAnsi="Arial" w:cs="Arial"/>
          <w:b/>
          <w:sz w:val="24"/>
          <w:szCs w:val="24"/>
          <w:lang w:val="en-GB"/>
        </w:rPr>
        <w:t>Third line:</w:t>
      </w:r>
      <w:r w:rsidRPr="000729CF">
        <w:rPr>
          <w:rFonts w:ascii="Arial" w:eastAsia="Calibri" w:hAnsi="Arial" w:cs="Arial"/>
          <w:sz w:val="24"/>
          <w:szCs w:val="24"/>
          <w:lang w:val="en-GB"/>
        </w:rPr>
        <w:t xml:space="preserve"> functions providing independent assurance. This is a key role for Internal Audit and is sometimes considered to include external inspectorates.</w:t>
      </w:r>
    </w:p>
    <w:p w14:paraId="0C64F46F" w14:textId="77777777" w:rsidR="000729CF" w:rsidRPr="000729CF" w:rsidRDefault="000729CF" w:rsidP="00CE70A3">
      <w:pPr>
        <w:numPr>
          <w:ilvl w:val="0"/>
          <w:numId w:val="63"/>
        </w:numPr>
        <w:autoSpaceDE w:val="0"/>
        <w:autoSpaceDN w:val="0"/>
        <w:adjustRightInd w:val="0"/>
        <w:spacing w:after="120" w:line="276" w:lineRule="auto"/>
        <w:rPr>
          <w:rFonts w:ascii="Arial" w:eastAsia="Calibri" w:hAnsi="Arial" w:cs="Arial"/>
          <w:sz w:val="24"/>
          <w:szCs w:val="24"/>
          <w:lang w:val="en-GB" w:eastAsia="en-GB"/>
        </w:rPr>
      </w:pPr>
      <w:r w:rsidRPr="000729CF">
        <w:rPr>
          <w:rFonts w:ascii="Arial" w:eastAsia="Calibri" w:hAnsi="Arial" w:cs="Arial"/>
          <w:sz w:val="24"/>
          <w:szCs w:val="24"/>
          <w:lang w:val="en-GB" w:eastAsia="en-GB"/>
        </w:rPr>
        <w:t>monitoring and tracking delivery of the assurances throughout the year to help strengthen the risk management and control environment through the Risk Reporting Timetable that sets out the specific review period for risks at Directorate Management Teams (DMT) and the Executive Leadership Team (ELT).</w:t>
      </w:r>
      <w:r w:rsidRPr="000729CF">
        <w:rPr>
          <w:rFonts w:ascii="Arial" w:eastAsia="Calibri" w:hAnsi="Arial" w:cs="Arial"/>
          <w:sz w:val="23"/>
          <w:szCs w:val="23"/>
          <w:lang w:val="en-GB" w:eastAsia="en-GB"/>
        </w:rPr>
        <w:t xml:space="preserve"> Directorate and strategic risks are reviewed by DMTs, with newly identified risks, escalated risks, suggested amendments to strategic risks and the Directorate Risk Registers are reported to ELT as part of their risk review.</w:t>
      </w:r>
      <w:r w:rsidRPr="000729CF">
        <w:rPr>
          <w:rFonts w:ascii="Arial" w:eastAsia="Calibri" w:hAnsi="Arial" w:cs="Arial"/>
          <w:sz w:val="24"/>
          <w:szCs w:val="24"/>
          <w:lang w:val="en-GB" w:eastAsia="en-GB"/>
        </w:rPr>
        <w:t xml:space="preserve"> Risks are reported to the relevant service committee for review annually.</w:t>
      </w:r>
    </w:p>
    <w:p w14:paraId="1802074A" w14:textId="77777777" w:rsidR="000729CF" w:rsidRPr="000729CF" w:rsidRDefault="000729CF" w:rsidP="000729CF">
      <w:pPr>
        <w:autoSpaceDE w:val="0"/>
        <w:autoSpaceDN w:val="0"/>
        <w:adjustRightInd w:val="0"/>
        <w:spacing w:after="120"/>
        <w:rPr>
          <w:rFonts w:ascii="Arial" w:eastAsia="Calibri" w:hAnsi="Arial" w:cs="Arial"/>
          <w:sz w:val="24"/>
          <w:szCs w:val="24"/>
          <w:lang w:val="en-GB" w:eastAsia="en-GB"/>
        </w:rPr>
      </w:pPr>
      <w:r w:rsidRPr="000729CF">
        <w:rPr>
          <w:rFonts w:ascii="Arial" w:eastAsia="Calibri" w:hAnsi="Arial" w:cs="Arial"/>
          <w:sz w:val="24"/>
          <w:szCs w:val="24"/>
          <w:lang w:val="en-GB" w:eastAsia="en-GB"/>
        </w:rPr>
        <w:t xml:space="preserve">The Audit &amp; Standards Committee have oversight of the risk management process and review the Risk Management Framework annually. </w:t>
      </w:r>
    </w:p>
    <w:p w14:paraId="20DE67DE" w14:textId="77777777" w:rsidR="000729CF" w:rsidRPr="000729CF" w:rsidRDefault="000729CF" w:rsidP="00CE70A3">
      <w:pPr>
        <w:numPr>
          <w:ilvl w:val="1"/>
          <w:numId w:val="56"/>
        </w:numPr>
        <w:spacing w:after="120" w:line="276" w:lineRule="auto"/>
        <w:ind w:hanging="792"/>
        <w:rPr>
          <w:rFonts w:ascii="Arial" w:eastAsia="Calibri" w:hAnsi="Arial" w:cs="Arial"/>
          <w:sz w:val="24"/>
          <w:szCs w:val="24"/>
          <w:lang w:val="en-GB"/>
        </w:rPr>
      </w:pPr>
      <w:r w:rsidRPr="000729CF">
        <w:rPr>
          <w:rFonts w:ascii="Arial" w:eastAsia="Calibri" w:hAnsi="Arial" w:cs="Arial"/>
          <w:sz w:val="24"/>
          <w:szCs w:val="24"/>
          <w:lang w:val="en-GB"/>
        </w:rPr>
        <w:t>Risks specific to the delivery of the capital programme and Capital Strategy are managed by a range of processes and groups:</w:t>
      </w:r>
    </w:p>
    <w:p w14:paraId="0F437C27" w14:textId="77777777" w:rsidR="000729CF" w:rsidRPr="000729CF" w:rsidRDefault="000729CF" w:rsidP="00CE70A3">
      <w:pPr>
        <w:numPr>
          <w:ilvl w:val="2"/>
          <w:numId w:val="56"/>
        </w:numPr>
        <w:spacing w:after="120" w:line="276" w:lineRule="auto"/>
        <w:rPr>
          <w:rFonts w:ascii="Arial" w:eastAsia="Calibri" w:hAnsi="Arial" w:cs="Arial"/>
          <w:sz w:val="24"/>
          <w:szCs w:val="24"/>
          <w:lang w:val="en-GB"/>
        </w:rPr>
      </w:pPr>
      <w:r w:rsidRPr="000729CF">
        <w:rPr>
          <w:rFonts w:ascii="Arial" w:eastAsia="Calibri" w:hAnsi="Arial" w:cs="Arial"/>
          <w:sz w:val="24"/>
          <w:szCs w:val="24"/>
          <w:lang w:val="en-GB"/>
        </w:rPr>
        <w:t>Financial risks (e.g. overspending, slippage and re-profiling) are managed through the council’s Targeted Budget Management (TBM) process which is reported at least quarterly to SFCR Committee.</w:t>
      </w:r>
    </w:p>
    <w:p w14:paraId="2AFEA91B" w14:textId="77777777" w:rsidR="000729CF" w:rsidRPr="000729CF" w:rsidRDefault="000729CF" w:rsidP="00CE70A3">
      <w:pPr>
        <w:numPr>
          <w:ilvl w:val="2"/>
          <w:numId w:val="56"/>
        </w:numPr>
        <w:spacing w:after="120" w:line="276" w:lineRule="auto"/>
        <w:rPr>
          <w:rFonts w:ascii="Arial" w:eastAsia="Calibri" w:hAnsi="Arial" w:cs="Arial"/>
          <w:sz w:val="24"/>
          <w:szCs w:val="24"/>
          <w:lang w:val="en-GB"/>
        </w:rPr>
      </w:pPr>
      <w:r w:rsidRPr="000729CF">
        <w:rPr>
          <w:rFonts w:ascii="Arial" w:eastAsia="Calibri" w:hAnsi="Arial" w:cs="Arial"/>
          <w:sz w:val="24"/>
          <w:szCs w:val="24"/>
          <w:lang w:val="en-GB"/>
        </w:rPr>
        <w:t>The progress of major infrastructure projects is monitored through the officer led Capital Programme Board.</w:t>
      </w:r>
    </w:p>
    <w:p w14:paraId="06AA287C" w14:textId="77777777" w:rsidR="000729CF" w:rsidRPr="000729CF" w:rsidRDefault="000729CF" w:rsidP="00CE70A3">
      <w:pPr>
        <w:numPr>
          <w:ilvl w:val="2"/>
          <w:numId w:val="56"/>
        </w:numPr>
        <w:spacing w:after="240" w:line="276" w:lineRule="auto"/>
        <w:rPr>
          <w:rFonts w:ascii="Arial" w:eastAsia="Calibri" w:hAnsi="Arial" w:cs="Arial"/>
          <w:b/>
          <w:sz w:val="24"/>
          <w:szCs w:val="24"/>
          <w:lang w:val="en-GB"/>
        </w:rPr>
      </w:pPr>
      <w:r w:rsidRPr="000729CF">
        <w:rPr>
          <w:rFonts w:ascii="Arial" w:eastAsia="Calibri" w:hAnsi="Arial" w:cs="Arial"/>
          <w:sz w:val="24"/>
          <w:szCs w:val="24"/>
          <w:lang w:val="en-GB"/>
        </w:rPr>
        <w:t>Any significant changes to the direction, or financial or legal risks of any major scheme, are reported back to SFCR Committee.</w:t>
      </w:r>
    </w:p>
    <w:p w14:paraId="48DFCEF3" w14:textId="77777777" w:rsidR="000729CF" w:rsidRPr="000729CF" w:rsidRDefault="000729CF" w:rsidP="00CE70A3">
      <w:pPr>
        <w:keepNext/>
        <w:numPr>
          <w:ilvl w:val="0"/>
          <w:numId w:val="56"/>
        </w:numPr>
        <w:spacing w:after="120" w:line="276" w:lineRule="auto"/>
        <w:ind w:left="709" w:hanging="709"/>
        <w:rPr>
          <w:rFonts w:ascii="Arial" w:eastAsia="Calibri" w:hAnsi="Arial" w:cs="Arial"/>
          <w:b/>
          <w:sz w:val="24"/>
          <w:szCs w:val="24"/>
          <w:lang w:val="en-GB"/>
        </w:rPr>
      </w:pPr>
      <w:r w:rsidRPr="000729CF">
        <w:rPr>
          <w:rFonts w:ascii="Arial" w:eastAsia="Calibri" w:hAnsi="Arial" w:cs="Arial"/>
          <w:b/>
          <w:sz w:val="24"/>
          <w:szCs w:val="24"/>
          <w:lang w:val="en-GB"/>
        </w:rPr>
        <w:t xml:space="preserve">Capital Strategy </w:t>
      </w:r>
    </w:p>
    <w:p w14:paraId="4D131911" w14:textId="77777777" w:rsidR="000729CF" w:rsidRPr="000729CF" w:rsidRDefault="000729CF" w:rsidP="00CE70A3">
      <w:pPr>
        <w:numPr>
          <w:ilvl w:val="1"/>
          <w:numId w:val="56"/>
        </w:numPr>
        <w:spacing w:after="12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Capital resources are available to the council for investment in assets. They play an important role in helping to achieve Council Plan priorities. This section sets out the strategy and plans for capital expenditure. The council’s Capital Strategy outlines the process for the prioritisation and evaluation of capital investment projects. A summary of these priorities is detailed as follows and aims to:</w:t>
      </w:r>
    </w:p>
    <w:p w14:paraId="70B58461" w14:textId="77777777" w:rsidR="000729CF" w:rsidRPr="000729CF" w:rsidRDefault="000729CF" w:rsidP="00CE70A3">
      <w:pPr>
        <w:numPr>
          <w:ilvl w:val="0"/>
          <w:numId w:val="59"/>
        </w:numPr>
        <w:spacing w:after="60" w:line="276" w:lineRule="auto"/>
        <w:ind w:left="1276" w:hanging="567"/>
        <w:rPr>
          <w:rFonts w:ascii="Arial" w:eastAsia="Calibri" w:hAnsi="Arial" w:cs="Arial"/>
          <w:sz w:val="24"/>
          <w:szCs w:val="24"/>
          <w:lang w:val="en-GB"/>
        </w:rPr>
      </w:pPr>
      <w:r w:rsidRPr="000729CF">
        <w:rPr>
          <w:rFonts w:ascii="Arial" w:eastAsia="Calibri" w:hAnsi="Arial" w:cs="Arial"/>
          <w:sz w:val="24"/>
          <w:szCs w:val="24"/>
          <w:lang w:val="en-GB"/>
        </w:rPr>
        <w:t>seek to protect as far as possible capital grant funding for education, housing transport and the public realm investment;</w:t>
      </w:r>
    </w:p>
    <w:p w14:paraId="7EA469F5" w14:textId="77777777" w:rsidR="000729CF" w:rsidRPr="000729CF" w:rsidRDefault="000729CF" w:rsidP="00CE70A3">
      <w:pPr>
        <w:numPr>
          <w:ilvl w:val="0"/>
          <w:numId w:val="59"/>
        </w:numPr>
        <w:spacing w:after="60" w:line="276" w:lineRule="auto"/>
        <w:ind w:left="1276" w:hanging="567"/>
        <w:rPr>
          <w:rFonts w:ascii="Arial" w:eastAsia="Calibri" w:hAnsi="Arial" w:cs="Arial"/>
          <w:sz w:val="24"/>
          <w:szCs w:val="24"/>
          <w:lang w:val="en-GB"/>
        </w:rPr>
      </w:pPr>
      <w:r w:rsidRPr="000729CF">
        <w:rPr>
          <w:rFonts w:ascii="Arial" w:eastAsia="Calibri" w:hAnsi="Arial" w:cs="Arial"/>
          <w:sz w:val="24"/>
          <w:szCs w:val="24"/>
          <w:lang w:val="en-GB"/>
        </w:rPr>
        <w:t>pool all remaining non ring-fenced capital resources and allocate these to priority areas for investment;</w:t>
      </w:r>
    </w:p>
    <w:p w14:paraId="0481CB6D" w14:textId="77777777" w:rsidR="000729CF" w:rsidRPr="000729CF" w:rsidRDefault="000729CF" w:rsidP="00CE70A3">
      <w:pPr>
        <w:numPr>
          <w:ilvl w:val="0"/>
          <w:numId w:val="59"/>
        </w:numPr>
        <w:spacing w:after="60" w:line="276" w:lineRule="auto"/>
        <w:ind w:left="1276" w:hanging="567"/>
        <w:rPr>
          <w:rFonts w:ascii="Arial" w:eastAsia="Calibri" w:hAnsi="Arial" w:cs="Arial"/>
          <w:sz w:val="24"/>
          <w:szCs w:val="24"/>
          <w:lang w:val="en-GB"/>
        </w:rPr>
      </w:pPr>
      <w:r w:rsidRPr="000729CF">
        <w:rPr>
          <w:rFonts w:ascii="Arial" w:eastAsia="Calibri" w:hAnsi="Arial" w:cs="Arial"/>
          <w:sz w:val="24"/>
          <w:szCs w:val="24"/>
          <w:lang w:val="en-GB"/>
        </w:rPr>
        <w:t>allocate approximately £0.250m per annum to ‘major projects’ investment through a Strategic Investment Fund. These projects support the economy through regeneration of key sites which can often lever in housing development;</w:t>
      </w:r>
    </w:p>
    <w:p w14:paraId="0265CBF9" w14:textId="77777777" w:rsidR="000729CF" w:rsidRPr="000729CF" w:rsidRDefault="000729CF" w:rsidP="00CE70A3">
      <w:pPr>
        <w:numPr>
          <w:ilvl w:val="0"/>
          <w:numId w:val="59"/>
        </w:numPr>
        <w:spacing w:after="60" w:line="276" w:lineRule="auto"/>
        <w:ind w:left="1276" w:hanging="567"/>
        <w:rPr>
          <w:rFonts w:ascii="Arial" w:eastAsia="Calibri" w:hAnsi="Arial" w:cs="Arial"/>
          <w:sz w:val="24"/>
          <w:szCs w:val="24"/>
          <w:lang w:val="en-GB"/>
        </w:rPr>
      </w:pPr>
      <w:r w:rsidRPr="000729CF">
        <w:rPr>
          <w:rFonts w:ascii="Arial" w:eastAsia="Calibri" w:hAnsi="Arial" w:cs="Arial"/>
          <w:sz w:val="24"/>
          <w:szCs w:val="24"/>
          <w:lang w:val="en-GB"/>
        </w:rPr>
        <w:t>allocate £1.000m per annum towards the Information Technology &amp; Digital Fund to address the funding of central network support and improvements to the IT&amp;D infrastructure identified in the Digital Data and Technology Strategy;</w:t>
      </w:r>
    </w:p>
    <w:p w14:paraId="164ECBDA" w14:textId="77777777" w:rsidR="000729CF" w:rsidRPr="000729CF" w:rsidRDefault="000729CF" w:rsidP="00CE70A3">
      <w:pPr>
        <w:numPr>
          <w:ilvl w:val="0"/>
          <w:numId w:val="59"/>
        </w:numPr>
        <w:spacing w:after="60" w:line="276" w:lineRule="auto"/>
        <w:ind w:left="1276" w:hanging="567"/>
        <w:rPr>
          <w:rFonts w:ascii="Arial" w:eastAsia="Calibri" w:hAnsi="Arial" w:cs="Arial"/>
          <w:sz w:val="24"/>
          <w:szCs w:val="24"/>
          <w:lang w:val="en-GB"/>
        </w:rPr>
      </w:pPr>
      <w:r w:rsidRPr="000729CF">
        <w:rPr>
          <w:rFonts w:ascii="Arial" w:eastAsia="Calibri" w:hAnsi="Arial" w:cs="Arial"/>
          <w:sz w:val="24"/>
          <w:szCs w:val="24"/>
          <w:lang w:val="en-GB"/>
        </w:rPr>
        <w:t xml:space="preserve">allocate £0.750m per annum towards the Commercial Assets Investment Fund (CAIF) to support essential property repairs, maintenance and improvements to existing commercial and agricultural properties to protect and potentially enhance commercial revenue income.  </w:t>
      </w:r>
    </w:p>
    <w:p w14:paraId="67EF2D1B" w14:textId="77777777" w:rsidR="000729CF" w:rsidRPr="000729CF" w:rsidRDefault="000729CF" w:rsidP="00CE70A3">
      <w:pPr>
        <w:numPr>
          <w:ilvl w:val="0"/>
          <w:numId w:val="59"/>
        </w:numPr>
        <w:spacing w:after="60" w:line="276" w:lineRule="auto"/>
        <w:ind w:left="1276" w:hanging="567"/>
        <w:rPr>
          <w:rFonts w:ascii="Arial" w:eastAsia="Calibri" w:hAnsi="Arial" w:cs="Arial"/>
          <w:sz w:val="24"/>
          <w:szCs w:val="24"/>
          <w:lang w:val="en-GB"/>
        </w:rPr>
      </w:pPr>
      <w:r w:rsidRPr="000729CF">
        <w:rPr>
          <w:rFonts w:ascii="Arial" w:eastAsia="Calibri" w:hAnsi="Arial" w:cs="Arial"/>
          <w:sz w:val="24"/>
          <w:szCs w:val="24"/>
          <w:lang w:val="en-GB"/>
        </w:rPr>
        <w:t>allocate £1.000m per annum to the Asset Management Fund to support essential property improvements, minimise backlog maintenance, improve sustainability and energy efficiency of buildings where possible, and reduce longer term maintenance costs;</w:t>
      </w:r>
    </w:p>
    <w:p w14:paraId="5DA25D84" w14:textId="77777777" w:rsidR="000729CF" w:rsidRPr="000729CF" w:rsidRDefault="000729CF" w:rsidP="00CE70A3">
      <w:pPr>
        <w:numPr>
          <w:ilvl w:val="0"/>
          <w:numId w:val="59"/>
        </w:numPr>
        <w:spacing w:after="60" w:line="276" w:lineRule="auto"/>
        <w:ind w:left="1276" w:hanging="567"/>
        <w:rPr>
          <w:rFonts w:ascii="Arial" w:eastAsia="Calibri" w:hAnsi="Arial" w:cs="Arial"/>
          <w:sz w:val="24"/>
          <w:szCs w:val="24"/>
          <w:lang w:val="en-GB"/>
        </w:rPr>
      </w:pPr>
      <w:r w:rsidRPr="000729CF">
        <w:rPr>
          <w:rFonts w:ascii="Arial" w:eastAsia="Calibri" w:hAnsi="Arial" w:cs="Arial"/>
          <w:sz w:val="24"/>
          <w:szCs w:val="24"/>
          <w:lang w:val="en-GB"/>
        </w:rPr>
        <w:t xml:space="preserve">similarly, allocate a minimum of £2.000m per annum through borrowing to support investment in planned maintenance in operational and social care buildings; </w:t>
      </w:r>
    </w:p>
    <w:p w14:paraId="38EA82B2" w14:textId="77777777" w:rsidR="000729CF" w:rsidRPr="000729CF" w:rsidRDefault="000729CF" w:rsidP="00CE70A3">
      <w:pPr>
        <w:numPr>
          <w:ilvl w:val="0"/>
          <w:numId w:val="59"/>
        </w:numPr>
        <w:spacing w:after="60" w:line="276" w:lineRule="auto"/>
        <w:ind w:left="1276" w:hanging="567"/>
        <w:rPr>
          <w:rFonts w:ascii="Arial" w:eastAsia="Calibri" w:hAnsi="Arial" w:cs="Arial"/>
          <w:sz w:val="24"/>
          <w:szCs w:val="24"/>
          <w:lang w:val="en-GB"/>
        </w:rPr>
      </w:pPr>
      <w:r w:rsidRPr="000729CF">
        <w:rPr>
          <w:rFonts w:ascii="Arial" w:eastAsia="Calibri" w:hAnsi="Arial" w:cs="Arial"/>
          <w:sz w:val="24"/>
          <w:szCs w:val="24"/>
          <w:lang w:val="en-GB"/>
        </w:rPr>
        <w:t>Assess the potential social value of surplus or underperforming assets against the potential disposal value and where possible maximise the use of assets to enhance social value across a 4-year asset management plan;</w:t>
      </w:r>
    </w:p>
    <w:p w14:paraId="17A4B62A" w14:textId="77777777" w:rsidR="000729CF" w:rsidRPr="000729CF" w:rsidRDefault="000729CF" w:rsidP="00CE70A3">
      <w:pPr>
        <w:numPr>
          <w:ilvl w:val="0"/>
          <w:numId w:val="59"/>
        </w:numPr>
        <w:spacing w:after="60" w:line="276" w:lineRule="auto"/>
        <w:ind w:left="1276" w:hanging="567"/>
        <w:rPr>
          <w:rFonts w:ascii="Arial" w:eastAsia="Calibri" w:hAnsi="Arial" w:cs="Arial"/>
          <w:sz w:val="24"/>
          <w:szCs w:val="24"/>
          <w:lang w:val="en-GB"/>
        </w:rPr>
      </w:pPr>
      <w:r w:rsidRPr="000729CF">
        <w:rPr>
          <w:rFonts w:ascii="Arial" w:eastAsia="Calibri" w:hAnsi="Arial" w:cs="Arial"/>
          <w:sz w:val="24"/>
          <w:szCs w:val="24"/>
          <w:lang w:val="en-GB"/>
        </w:rPr>
        <w:t>Subject to an assessment of the potential social value, generate capital receipts from the disposal of surplus or under-performing assets and to deploy the proceeds from the sale of capital assets:</w:t>
      </w:r>
    </w:p>
    <w:p w14:paraId="24ED3862" w14:textId="77777777" w:rsidR="000729CF" w:rsidRPr="000729CF" w:rsidRDefault="000729CF" w:rsidP="00CE70A3">
      <w:pPr>
        <w:numPr>
          <w:ilvl w:val="1"/>
          <w:numId w:val="59"/>
        </w:numPr>
        <w:spacing w:after="60" w:line="276" w:lineRule="auto"/>
        <w:ind w:left="1843" w:hanging="567"/>
        <w:rPr>
          <w:rFonts w:ascii="Arial" w:eastAsia="Calibri" w:hAnsi="Arial" w:cs="Arial"/>
          <w:sz w:val="24"/>
          <w:szCs w:val="24"/>
          <w:lang w:val="en-GB"/>
        </w:rPr>
      </w:pPr>
      <w:r w:rsidRPr="000729CF">
        <w:rPr>
          <w:rFonts w:ascii="Arial" w:eastAsia="Calibri" w:hAnsi="Arial" w:cs="Arial"/>
          <w:sz w:val="24"/>
          <w:szCs w:val="24"/>
          <w:lang w:val="en-GB"/>
        </w:rPr>
        <w:t>for reinvestment in the capital investment programme, or;</w:t>
      </w:r>
    </w:p>
    <w:p w14:paraId="3B98DA40" w14:textId="77777777" w:rsidR="000729CF" w:rsidRPr="000729CF" w:rsidRDefault="000729CF" w:rsidP="00CE70A3">
      <w:pPr>
        <w:numPr>
          <w:ilvl w:val="1"/>
          <w:numId w:val="59"/>
        </w:numPr>
        <w:spacing w:after="60" w:line="276" w:lineRule="auto"/>
        <w:ind w:left="1843" w:hanging="567"/>
        <w:rPr>
          <w:rFonts w:ascii="Arial" w:eastAsia="Calibri" w:hAnsi="Arial" w:cs="Arial"/>
          <w:sz w:val="24"/>
          <w:szCs w:val="24"/>
          <w:lang w:val="en-GB"/>
        </w:rPr>
      </w:pPr>
      <w:r w:rsidRPr="000729CF">
        <w:rPr>
          <w:rFonts w:ascii="Arial" w:eastAsia="Calibri" w:hAnsi="Arial" w:cs="Arial"/>
          <w:sz w:val="24"/>
          <w:szCs w:val="24"/>
          <w:lang w:val="en-GB"/>
        </w:rPr>
        <w:t>for modernisation of council services including using the government’s ‘capital receipt flexibilities’ that allows revenue costs to be capitalised and funded from capital receipts where this generates efficiencies, or;</w:t>
      </w:r>
    </w:p>
    <w:p w14:paraId="71F98A23" w14:textId="77777777" w:rsidR="000729CF" w:rsidRPr="000729CF" w:rsidRDefault="000729CF" w:rsidP="00CE70A3">
      <w:pPr>
        <w:numPr>
          <w:ilvl w:val="1"/>
          <w:numId w:val="59"/>
        </w:numPr>
        <w:spacing w:after="60" w:line="276" w:lineRule="auto"/>
        <w:ind w:left="1843" w:hanging="567"/>
        <w:rPr>
          <w:rFonts w:ascii="Arial" w:eastAsia="Calibri" w:hAnsi="Arial" w:cs="Arial"/>
          <w:sz w:val="24"/>
          <w:szCs w:val="24"/>
          <w:lang w:val="en-GB"/>
        </w:rPr>
      </w:pPr>
      <w:r w:rsidRPr="000729CF">
        <w:rPr>
          <w:rFonts w:ascii="Arial" w:eastAsia="Calibri" w:hAnsi="Arial" w:cs="Arial"/>
          <w:sz w:val="24"/>
          <w:szCs w:val="24"/>
          <w:lang w:val="en-GB"/>
        </w:rPr>
        <w:t>for repayment of debt or for investment, for example, to offset any loss of rental income in the revenue budget;</w:t>
      </w:r>
    </w:p>
    <w:p w14:paraId="0D354619" w14:textId="77777777" w:rsidR="000729CF" w:rsidRPr="000729CF" w:rsidRDefault="000729CF" w:rsidP="00CE70A3">
      <w:pPr>
        <w:numPr>
          <w:ilvl w:val="0"/>
          <w:numId w:val="59"/>
        </w:numPr>
        <w:spacing w:after="60" w:line="276" w:lineRule="auto"/>
        <w:ind w:left="1276" w:hanging="567"/>
        <w:rPr>
          <w:rFonts w:ascii="Arial" w:eastAsia="Calibri" w:hAnsi="Arial" w:cs="Arial"/>
          <w:sz w:val="24"/>
          <w:szCs w:val="24"/>
          <w:lang w:val="en-GB"/>
        </w:rPr>
      </w:pPr>
      <w:r w:rsidRPr="000729CF">
        <w:rPr>
          <w:rFonts w:ascii="Arial" w:eastAsia="Calibri" w:hAnsi="Arial" w:cs="Arial"/>
          <w:sz w:val="24"/>
          <w:szCs w:val="24"/>
          <w:lang w:val="en-GB"/>
        </w:rPr>
        <w:t>the net receipts from ‘right to buy’ sales from council housing are reinvested directly into additional housing;</w:t>
      </w:r>
    </w:p>
    <w:p w14:paraId="4FCED76A" w14:textId="77777777" w:rsidR="000729CF" w:rsidRPr="000729CF" w:rsidRDefault="000729CF" w:rsidP="00CE70A3">
      <w:pPr>
        <w:numPr>
          <w:ilvl w:val="0"/>
          <w:numId w:val="59"/>
        </w:numPr>
        <w:spacing w:after="60" w:line="276" w:lineRule="auto"/>
        <w:ind w:left="1276" w:hanging="567"/>
        <w:rPr>
          <w:rFonts w:ascii="Arial" w:eastAsia="Calibri" w:hAnsi="Arial" w:cs="Arial"/>
          <w:sz w:val="24"/>
          <w:szCs w:val="24"/>
          <w:lang w:val="en-GB"/>
        </w:rPr>
      </w:pPr>
      <w:r w:rsidRPr="000729CF">
        <w:rPr>
          <w:rFonts w:ascii="Arial" w:eastAsia="Calibri" w:hAnsi="Arial" w:cs="Arial"/>
          <w:sz w:val="24"/>
          <w:szCs w:val="24"/>
          <w:lang w:val="en-GB"/>
        </w:rPr>
        <w:t>use unsupported borrowing for:</w:t>
      </w:r>
    </w:p>
    <w:p w14:paraId="4D2AEF66" w14:textId="77777777" w:rsidR="000729CF" w:rsidRPr="000729CF" w:rsidRDefault="000729CF" w:rsidP="00CE70A3">
      <w:pPr>
        <w:numPr>
          <w:ilvl w:val="1"/>
          <w:numId w:val="59"/>
        </w:numPr>
        <w:spacing w:after="60" w:line="276" w:lineRule="auto"/>
        <w:ind w:left="1560" w:hanging="284"/>
        <w:rPr>
          <w:rFonts w:ascii="Arial" w:eastAsia="Calibri" w:hAnsi="Arial" w:cs="Arial"/>
          <w:sz w:val="24"/>
          <w:szCs w:val="24"/>
          <w:lang w:val="en-GB"/>
        </w:rPr>
      </w:pPr>
      <w:r w:rsidRPr="000729CF">
        <w:rPr>
          <w:rFonts w:ascii="Arial" w:eastAsia="Calibri" w:hAnsi="Arial" w:cs="Arial"/>
          <w:sz w:val="24"/>
          <w:szCs w:val="24"/>
          <w:lang w:val="en-GB"/>
        </w:rPr>
        <w:t>service improvements where a business case has been developed and approved, and can demonstrate that the investment will provide value for money and that the additional financing costs are reflected in the revenue budget;</w:t>
      </w:r>
    </w:p>
    <w:p w14:paraId="032EF97F" w14:textId="77777777" w:rsidR="000729CF" w:rsidRPr="000729CF" w:rsidRDefault="000729CF" w:rsidP="00CE70A3">
      <w:pPr>
        <w:numPr>
          <w:ilvl w:val="1"/>
          <w:numId w:val="59"/>
        </w:numPr>
        <w:spacing w:after="60" w:line="276" w:lineRule="auto"/>
        <w:ind w:left="1560" w:hanging="284"/>
        <w:rPr>
          <w:rFonts w:ascii="Arial" w:eastAsia="Calibri" w:hAnsi="Arial" w:cs="Arial"/>
          <w:sz w:val="24"/>
          <w:szCs w:val="24"/>
          <w:lang w:val="en-GB"/>
        </w:rPr>
      </w:pPr>
      <w:r w:rsidRPr="000729CF">
        <w:rPr>
          <w:rFonts w:ascii="Arial" w:eastAsia="Calibri" w:hAnsi="Arial" w:cs="Arial"/>
          <w:sz w:val="24"/>
          <w:szCs w:val="24"/>
          <w:lang w:val="en-GB"/>
        </w:rPr>
        <w:t>purchase of vehicles and plant where an options appraisal demonstrates borrowing provides the best value for money and the financing costs are reflected in the revenue budget;</w:t>
      </w:r>
    </w:p>
    <w:p w14:paraId="3C261DA8" w14:textId="77777777" w:rsidR="000729CF" w:rsidRPr="000729CF" w:rsidRDefault="000729CF" w:rsidP="00CE70A3">
      <w:pPr>
        <w:numPr>
          <w:ilvl w:val="1"/>
          <w:numId w:val="59"/>
        </w:numPr>
        <w:spacing w:after="60" w:line="276" w:lineRule="auto"/>
        <w:ind w:left="1560" w:hanging="284"/>
        <w:rPr>
          <w:rFonts w:ascii="Arial" w:eastAsia="Calibri" w:hAnsi="Arial" w:cs="Arial"/>
          <w:sz w:val="24"/>
          <w:szCs w:val="24"/>
          <w:lang w:val="en-GB"/>
        </w:rPr>
      </w:pPr>
      <w:r w:rsidRPr="000729CF">
        <w:rPr>
          <w:rFonts w:ascii="Arial" w:eastAsia="Calibri" w:hAnsi="Arial" w:cs="Arial"/>
          <w:sz w:val="24"/>
          <w:szCs w:val="24"/>
          <w:lang w:val="en-GB"/>
        </w:rPr>
        <w:t>investment to support Council Plan priorities where the financial impact of any decision is treated as a commitment in future years’ budgets and is affordable;</w:t>
      </w:r>
    </w:p>
    <w:p w14:paraId="1D4C896E" w14:textId="77777777" w:rsidR="000729CF" w:rsidRPr="000729CF" w:rsidRDefault="000729CF" w:rsidP="00CE70A3">
      <w:pPr>
        <w:numPr>
          <w:ilvl w:val="1"/>
          <w:numId w:val="59"/>
        </w:numPr>
        <w:spacing w:after="60" w:line="276" w:lineRule="auto"/>
        <w:ind w:left="1560" w:hanging="284"/>
        <w:rPr>
          <w:rFonts w:ascii="Arial" w:eastAsia="Calibri" w:hAnsi="Arial" w:cs="Arial"/>
          <w:sz w:val="24"/>
          <w:szCs w:val="24"/>
          <w:lang w:val="en-GB"/>
        </w:rPr>
      </w:pPr>
      <w:r w:rsidRPr="000729CF">
        <w:rPr>
          <w:rFonts w:ascii="Arial" w:eastAsia="Calibri" w:hAnsi="Arial" w:cs="Arial"/>
          <w:sz w:val="24"/>
          <w:szCs w:val="24"/>
          <w:lang w:val="en-GB"/>
        </w:rPr>
        <w:t>restructuring the funding of the approved capital programme when this provides a more efficient use of capital and revenue resources;</w:t>
      </w:r>
    </w:p>
    <w:p w14:paraId="1C4111D0" w14:textId="77777777" w:rsidR="000729CF" w:rsidRPr="000729CF" w:rsidRDefault="000729CF" w:rsidP="00CE70A3">
      <w:pPr>
        <w:numPr>
          <w:ilvl w:val="0"/>
          <w:numId w:val="59"/>
        </w:numPr>
        <w:spacing w:after="60" w:line="276" w:lineRule="auto"/>
        <w:ind w:left="1276" w:hanging="567"/>
        <w:rPr>
          <w:rFonts w:ascii="Arial" w:eastAsia="Calibri" w:hAnsi="Arial" w:cs="Arial"/>
          <w:sz w:val="24"/>
          <w:szCs w:val="24"/>
          <w:lang w:val="en-GB"/>
        </w:rPr>
      </w:pPr>
      <w:r w:rsidRPr="000729CF">
        <w:rPr>
          <w:rFonts w:ascii="Arial" w:eastAsia="Calibri" w:hAnsi="Arial" w:cs="Arial"/>
          <w:sz w:val="24"/>
          <w:szCs w:val="24"/>
          <w:lang w:val="en-GB"/>
        </w:rPr>
        <w:t>explore all funding options including partnerships and one-off bidding processes. The council can bid for capital investment through funding streams such as the National Heritage Lottery Fund, Arts Council and the Levelling Up Fund (LUF). Other Government initiatives that may be considered include the Highways Maintenance Challenge Fund and the Housing Infrastructure Fund. The council can use its land to facilitate private sector or partnership based investments;</w:t>
      </w:r>
    </w:p>
    <w:p w14:paraId="07550BAB" w14:textId="77777777" w:rsidR="000729CF" w:rsidRPr="000729CF" w:rsidRDefault="000729CF" w:rsidP="00CE70A3">
      <w:pPr>
        <w:numPr>
          <w:ilvl w:val="0"/>
          <w:numId w:val="59"/>
        </w:numPr>
        <w:spacing w:after="60" w:line="276" w:lineRule="auto"/>
        <w:ind w:left="1276" w:hanging="567"/>
        <w:rPr>
          <w:rFonts w:ascii="Arial" w:eastAsia="Calibri" w:hAnsi="Arial" w:cs="Arial"/>
          <w:sz w:val="24"/>
          <w:szCs w:val="24"/>
          <w:lang w:val="en-GB"/>
        </w:rPr>
      </w:pPr>
      <w:r w:rsidRPr="000729CF">
        <w:rPr>
          <w:rFonts w:ascii="Arial" w:eastAsia="Calibri" w:hAnsi="Arial" w:cs="Arial"/>
          <w:sz w:val="24"/>
          <w:szCs w:val="24"/>
          <w:lang w:val="en-GB"/>
        </w:rPr>
        <w:t>explore capital investment opportunities to support the city’s net zero carbon objectives and incorporate in future capital investment plans.</w:t>
      </w:r>
    </w:p>
    <w:p w14:paraId="64AD4DF3" w14:textId="77777777" w:rsidR="000729CF" w:rsidRPr="000729CF" w:rsidRDefault="000729CF" w:rsidP="00CE70A3">
      <w:pPr>
        <w:numPr>
          <w:ilvl w:val="1"/>
          <w:numId w:val="56"/>
        </w:numPr>
        <w:spacing w:after="24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The financial resources used to fund the 2024/25 capital expenditure programme of £211.470m are included at Annex A and the 5-year capital projections are incorporated in Appendix 1 of the budget report.</w:t>
      </w:r>
    </w:p>
    <w:p w14:paraId="67945145" w14:textId="77777777" w:rsidR="000729CF" w:rsidRPr="000729CF" w:rsidRDefault="000729CF" w:rsidP="000729CF">
      <w:pPr>
        <w:spacing w:after="120"/>
        <w:rPr>
          <w:rFonts w:ascii="Arial" w:eastAsia="Calibri" w:hAnsi="Arial" w:cs="Arial"/>
          <w:b/>
          <w:i/>
          <w:sz w:val="24"/>
          <w:szCs w:val="24"/>
          <w:lang w:val="en-GB"/>
        </w:rPr>
      </w:pPr>
      <w:r w:rsidRPr="000729CF">
        <w:rPr>
          <w:rFonts w:ascii="Arial" w:eastAsia="Calibri" w:hAnsi="Arial" w:cs="Arial"/>
          <w:b/>
          <w:i/>
          <w:sz w:val="24"/>
          <w:szCs w:val="24"/>
          <w:lang w:val="en-GB"/>
        </w:rPr>
        <w:t>Housing Revenue Account (HRA)</w:t>
      </w:r>
    </w:p>
    <w:p w14:paraId="3FFEB6C8" w14:textId="77777777" w:rsidR="000729CF" w:rsidRPr="000729CF" w:rsidRDefault="000729CF" w:rsidP="00CE70A3">
      <w:pPr>
        <w:numPr>
          <w:ilvl w:val="1"/>
          <w:numId w:val="56"/>
        </w:numPr>
        <w:spacing w:after="12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The HRA Capital Strategy focuses on meeting the Council Plan (2023-27) priorities and Housing Strategy priorities. The Council Plan ‘</w:t>
      </w:r>
      <w:r w:rsidRPr="000729CF">
        <w:rPr>
          <w:rFonts w:ascii="Arial" w:eastAsia="Calibri" w:hAnsi="Arial" w:cs="Arial"/>
          <w:sz w:val="24"/>
          <w:szCs w:val="24"/>
          <w:lang w:val="en-GB" w:eastAsia="en-GB"/>
        </w:rPr>
        <w:t xml:space="preserve">Homes for Everyone’ outcome </w:t>
      </w:r>
      <w:r w:rsidRPr="000729CF">
        <w:rPr>
          <w:rFonts w:ascii="Arial" w:eastAsia="Calibri" w:hAnsi="Arial" w:cs="Arial"/>
          <w:sz w:val="24"/>
          <w:szCs w:val="24"/>
          <w:lang w:val="en-GB"/>
        </w:rPr>
        <w:t xml:space="preserve">aims to: improve housing quality, increase housing supply and improve housing support for residents. This includes to: </w:t>
      </w:r>
      <w:r w:rsidRPr="000729CF">
        <w:rPr>
          <w:rFonts w:ascii="Arial" w:eastAsia="Calibri" w:hAnsi="Arial" w:cs="Arial"/>
          <w:sz w:val="24"/>
          <w:szCs w:val="24"/>
          <w:lang w:val="en-GB" w:eastAsia="en-GB"/>
        </w:rPr>
        <w:t>Invest in building and fire safety to meet new duties under the Building Safety Act; Ensure the council complies with anticipated new social housing regulations; Improve the energy performance of council homes through our capital works programme; Improve the sustainability of our housing stock; Increase the number of new affordable homes delivered by the council and other registered providers, and; Buy back council homes sold through the right to buy policy.</w:t>
      </w:r>
      <w:r w:rsidRPr="000729CF">
        <w:rPr>
          <w:rFonts w:ascii="Arial" w:eastAsia="Calibri" w:hAnsi="Arial" w:cs="Arial"/>
          <w:sz w:val="24"/>
          <w:szCs w:val="24"/>
          <w:lang w:val="en-GB"/>
        </w:rPr>
        <w:t xml:space="preserve"> These key priorities of the Council Plan and the council’s Housing Strategy inform the Housing Revenue Account Capital Investment Programme 2024/25. An updated Asset Management Strategy is currently being developed for Housing &amp; New Homes Committee consideration and approval.</w:t>
      </w:r>
    </w:p>
    <w:p w14:paraId="29B6F405" w14:textId="77777777" w:rsidR="000729CF" w:rsidRPr="000729CF" w:rsidRDefault="000729CF" w:rsidP="00CE70A3">
      <w:pPr>
        <w:numPr>
          <w:ilvl w:val="1"/>
          <w:numId w:val="56"/>
        </w:numPr>
        <w:spacing w:after="12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 xml:space="preserve">The Housing Capital Programme seeks to provide substantial investment in the council’s housing stock and improve the quality of homes. The implementation of the proposed capital programme will </w:t>
      </w:r>
      <w:r w:rsidRPr="000729CF">
        <w:rPr>
          <w:rFonts w:ascii="Arial" w:eastAsia="Calibri" w:hAnsi="Arial" w:cs="Arial"/>
          <w:sz w:val="24"/>
          <w:szCs w:val="24"/>
          <w:lang w:val="en-GB" w:eastAsia="en-GB"/>
        </w:rPr>
        <w:t xml:space="preserve">reflect significant legislative and regulatory changes impacting social housing landlords following the Grenfell Tower tragedy. This includes substantial investment being undertaken in relation to building, health and fire safety compliance and in anticipation of the strengthened role of Regulator of Social Housing, ensuring adherence to their Consumer Standards. </w:t>
      </w:r>
      <w:r w:rsidRPr="000729CF">
        <w:rPr>
          <w:rFonts w:ascii="Arial" w:eastAsia="Calibri" w:hAnsi="Arial" w:cs="Arial"/>
          <w:sz w:val="24"/>
          <w:szCs w:val="24"/>
          <w:lang w:val="en-GB"/>
        </w:rPr>
        <w:t>The programme also looks to provide investment to reduce the carbon footprint of council housing and to increase the number of affordable homes available across the city to help tackle the City’s housing crisis. The capital investment proposal covers the following areas:</w:t>
      </w:r>
    </w:p>
    <w:p w14:paraId="6ABC23BA" w14:textId="77777777" w:rsidR="000729CF" w:rsidRPr="000729CF" w:rsidRDefault="000729CF" w:rsidP="00CE70A3">
      <w:pPr>
        <w:numPr>
          <w:ilvl w:val="0"/>
          <w:numId w:val="64"/>
        </w:numPr>
        <w:spacing w:after="60" w:line="276" w:lineRule="auto"/>
        <w:ind w:left="993" w:hanging="284"/>
        <w:rPr>
          <w:rFonts w:ascii="Arial" w:eastAsia="Calibri" w:hAnsi="Arial" w:cs="Arial"/>
          <w:sz w:val="24"/>
          <w:szCs w:val="24"/>
          <w:lang w:val="en-GB"/>
        </w:rPr>
      </w:pPr>
      <w:r w:rsidRPr="000729CF">
        <w:rPr>
          <w:rFonts w:ascii="Arial" w:eastAsia="Calibri" w:hAnsi="Arial" w:cs="Arial"/>
          <w:sz w:val="24"/>
          <w:szCs w:val="24"/>
          <w:lang w:val="en-GB"/>
        </w:rPr>
        <w:t>Health and safety works</w:t>
      </w:r>
    </w:p>
    <w:p w14:paraId="4EB39473" w14:textId="77777777" w:rsidR="000729CF" w:rsidRPr="000729CF" w:rsidRDefault="000729CF" w:rsidP="00CE70A3">
      <w:pPr>
        <w:numPr>
          <w:ilvl w:val="0"/>
          <w:numId w:val="64"/>
        </w:numPr>
        <w:spacing w:after="60" w:line="276" w:lineRule="auto"/>
        <w:ind w:left="993" w:hanging="284"/>
        <w:rPr>
          <w:rFonts w:ascii="Arial" w:eastAsia="Calibri" w:hAnsi="Arial" w:cs="Arial"/>
          <w:sz w:val="24"/>
          <w:szCs w:val="24"/>
          <w:lang w:val="en-GB"/>
        </w:rPr>
      </w:pPr>
      <w:r w:rsidRPr="000729CF">
        <w:rPr>
          <w:rFonts w:ascii="Arial" w:eastAsia="Calibri" w:hAnsi="Arial" w:cs="Arial"/>
          <w:sz w:val="24"/>
          <w:szCs w:val="24"/>
          <w:lang w:val="en-GB"/>
        </w:rPr>
        <w:t>Delivery of planned and major works programmes</w:t>
      </w:r>
    </w:p>
    <w:p w14:paraId="5A52DF9C" w14:textId="77777777" w:rsidR="000729CF" w:rsidRPr="000729CF" w:rsidRDefault="000729CF" w:rsidP="00CE70A3">
      <w:pPr>
        <w:numPr>
          <w:ilvl w:val="0"/>
          <w:numId w:val="64"/>
        </w:numPr>
        <w:spacing w:after="60" w:line="276" w:lineRule="auto"/>
        <w:ind w:left="993" w:hanging="284"/>
        <w:rPr>
          <w:rFonts w:ascii="Arial" w:eastAsia="Calibri" w:hAnsi="Arial" w:cs="Arial"/>
          <w:sz w:val="24"/>
          <w:szCs w:val="24"/>
          <w:lang w:val="en-GB"/>
        </w:rPr>
      </w:pPr>
      <w:r w:rsidRPr="000729CF">
        <w:rPr>
          <w:rFonts w:ascii="Arial" w:eastAsia="Calibri" w:hAnsi="Arial" w:cs="Arial"/>
          <w:sz w:val="24"/>
          <w:szCs w:val="24"/>
          <w:lang w:val="en-GB"/>
        </w:rPr>
        <w:t>Sustainability &amp; caron reduction</w:t>
      </w:r>
    </w:p>
    <w:p w14:paraId="385949BA" w14:textId="77777777" w:rsidR="000729CF" w:rsidRPr="000729CF" w:rsidRDefault="000729CF" w:rsidP="00CE70A3">
      <w:pPr>
        <w:numPr>
          <w:ilvl w:val="0"/>
          <w:numId w:val="64"/>
        </w:numPr>
        <w:spacing w:after="60" w:line="276" w:lineRule="auto"/>
        <w:ind w:left="993" w:hanging="284"/>
        <w:rPr>
          <w:rFonts w:ascii="Arial" w:eastAsia="Calibri" w:hAnsi="Arial" w:cs="Arial"/>
          <w:sz w:val="24"/>
          <w:szCs w:val="24"/>
          <w:lang w:val="en-GB"/>
        </w:rPr>
      </w:pPr>
      <w:r w:rsidRPr="000729CF">
        <w:rPr>
          <w:rFonts w:ascii="Arial" w:eastAsia="Calibri" w:hAnsi="Arial" w:cs="Arial"/>
          <w:sz w:val="24"/>
          <w:szCs w:val="24"/>
          <w:lang w:val="en-GB"/>
        </w:rPr>
        <w:t>Delivery of additional council homes</w:t>
      </w:r>
    </w:p>
    <w:p w14:paraId="546E272E" w14:textId="77777777" w:rsidR="000729CF" w:rsidRPr="000729CF" w:rsidRDefault="000729CF" w:rsidP="00CE70A3">
      <w:pPr>
        <w:numPr>
          <w:ilvl w:val="1"/>
          <w:numId w:val="56"/>
        </w:numPr>
        <w:spacing w:after="12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In October 2018, the Minister for Housing, Communities &amp; Local Government issued a determination – The Limits on Indebtedness (Revocation) Determination 2018. This came into force on 29 October 2018 and removes the restrictions on borrowing for the HRA. The removal of the ‘debt cap’ has enabled the potential for substantial growth in the number of homes that can be built or purchased within the HRA with continued investment in the existing housing stock. However, the HRA remains subject to the Prudential Framework and as such all new HRA borrowing decisions will need to be affordable, prudent, and sustainable and therefore will be subject to business cases and viability tests.</w:t>
      </w:r>
    </w:p>
    <w:p w14:paraId="20E1FBE9" w14:textId="77777777" w:rsidR="000729CF" w:rsidRPr="000729CF" w:rsidRDefault="000729CF" w:rsidP="00CE70A3">
      <w:pPr>
        <w:numPr>
          <w:ilvl w:val="1"/>
          <w:numId w:val="56"/>
        </w:numPr>
        <w:spacing w:after="24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Since 2012 the HRA has operated on ‘self-financing’ principles and the capital programme is funded from a variety of HRA sources including revenue surpluses (rental incomes), borrowing, capital receipts, reserves, and other grants. These resources are part of the HRA ring-fenced account to be spent on council-owned stock. Further detail on the priorities and proposed investments can be found in the ‘HRA Budget and Capital Investment Programme 2024/25 and Medium Term Financial Strategy’ report.</w:t>
      </w:r>
    </w:p>
    <w:p w14:paraId="1889D836" w14:textId="77777777" w:rsidR="000729CF" w:rsidRPr="000729CF" w:rsidRDefault="000729CF" w:rsidP="00CE70A3">
      <w:pPr>
        <w:keepNext/>
        <w:numPr>
          <w:ilvl w:val="0"/>
          <w:numId w:val="56"/>
        </w:numPr>
        <w:spacing w:after="120" w:line="276" w:lineRule="auto"/>
        <w:ind w:left="709" w:hanging="709"/>
        <w:rPr>
          <w:rFonts w:ascii="Arial" w:eastAsia="Calibri" w:hAnsi="Arial" w:cs="Arial"/>
          <w:b/>
          <w:sz w:val="24"/>
          <w:szCs w:val="24"/>
          <w:lang w:val="en-GB"/>
        </w:rPr>
      </w:pPr>
      <w:r w:rsidRPr="000729CF">
        <w:rPr>
          <w:rFonts w:ascii="Arial" w:eastAsia="Calibri" w:hAnsi="Arial" w:cs="Arial"/>
          <w:b/>
          <w:sz w:val="24"/>
          <w:szCs w:val="24"/>
          <w:lang w:val="en-GB"/>
        </w:rPr>
        <w:t>Capital Investment Plans 2024/25 to 2028/29</w:t>
      </w:r>
    </w:p>
    <w:p w14:paraId="7B385CCA" w14:textId="77777777" w:rsidR="000729CF" w:rsidRPr="000729CF" w:rsidRDefault="000729CF" w:rsidP="00CE70A3">
      <w:pPr>
        <w:numPr>
          <w:ilvl w:val="1"/>
          <w:numId w:val="56"/>
        </w:numPr>
        <w:spacing w:after="12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All capital expenditure plans are approved in accordance with the council’s Standard Financial Procedures by full Council with detailed proposals and any changes approved by SFCR Committee through either separate project reports or as part of regular Targeted Budget Management (TBM) reports.</w:t>
      </w:r>
    </w:p>
    <w:p w14:paraId="3C4CB508" w14:textId="77777777" w:rsidR="000729CF" w:rsidRPr="000729CF" w:rsidRDefault="000729CF" w:rsidP="00CE70A3">
      <w:pPr>
        <w:numPr>
          <w:ilvl w:val="1"/>
          <w:numId w:val="56"/>
        </w:numPr>
        <w:spacing w:after="24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The capital investment plans for 2024/25 to 2028/29 are included at Appendix 1 of the budget report and a summary of the investment plans is provided in section 7 of the main budget report.</w:t>
      </w:r>
    </w:p>
    <w:p w14:paraId="65C9D34A" w14:textId="77777777" w:rsidR="000729CF" w:rsidRPr="000729CF" w:rsidRDefault="000729CF" w:rsidP="00CE70A3">
      <w:pPr>
        <w:keepNext/>
        <w:numPr>
          <w:ilvl w:val="0"/>
          <w:numId w:val="56"/>
        </w:numPr>
        <w:spacing w:after="120" w:line="276" w:lineRule="auto"/>
        <w:ind w:left="709" w:hanging="709"/>
        <w:rPr>
          <w:rFonts w:ascii="Arial" w:eastAsia="Calibri" w:hAnsi="Arial" w:cs="Arial"/>
          <w:b/>
          <w:sz w:val="24"/>
          <w:szCs w:val="24"/>
          <w:lang w:val="en-GB"/>
        </w:rPr>
      </w:pPr>
      <w:r w:rsidRPr="000729CF">
        <w:rPr>
          <w:rFonts w:ascii="Arial" w:eastAsia="Calibri" w:hAnsi="Arial" w:cs="Arial"/>
          <w:b/>
          <w:sz w:val="24"/>
          <w:szCs w:val="24"/>
          <w:lang w:val="en-GB"/>
        </w:rPr>
        <w:t>Approach to Non-Treasury Investments</w:t>
      </w:r>
    </w:p>
    <w:p w14:paraId="0ABBA07E" w14:textId="77777777" w:rsidR="000729CF" w:rsidRPr="000729CF" w:rsidRDefault="000729CF" w:rsidP="00CE70A3">
      <w:pPr>
        <w:numPr>
          <w:ilvl w:val="1"/>
          <w:numId w:val="56"/>
        </w:numPr>
        <w:spacing w:after="12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The council’s primary non-treasury investments relate to its commercial property portfolio, details of which are covered in Section 6 of the strategy. The council will explore other opportunities to enable developments that support the delivery of council priorities.</w:t>
      </w:r>
    </w:p>
    <w:p w14:paraId="5B08B6BF" w14:textId="77777777" w:rsidR="000729CF" w:rsidRPr="000729CF" w:rsidRDefault="000729CF" w:rsidP="00CE70A3">
      <w:pPr>
        <w:numPr>
          <w:ilvl w:val="1"/>
          <w:numId w:val="56"/>
        </w:numPr>
        <w:spacing w:after="12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The council uses its property assets, both operational and investment, to enable a number of major infrastructure projects to deliver key assets for the city such as the King Alfred Leisure Centre; or to support regeneration to enable housing and business development and in turn increase council tax and business rates receipts such as the Kingsway to the Sea and New England House schemes.</w:t>
      </w:r>
    </w:p>
    <w:p w14:paraId="7857A755" w14:textId="77777777" w:rsidR="000729CF" w:rsidRPr="000729CF" w:rsidRDefault="000729CF" w:rsidP="00CE70A3">
      <w:pPr>
        <w:numPr>
          <w:ilvl w:val="1"/>
          <w:numId w:val="56"/>
        </w:numPr>
        <w:spacing w:after="12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In addition, the council is able to provide third party loans and financial guarantees in order to enable external projects which support Council Plan priorities and outcomes. The current portfolio and risks of these types of arrangements are outlines in sections 7 and 8 of the strategy.</w:t>
      </w:r>
    </w:p>
    <w:p w14:paraId="55BB61F0" w14:textId="77777777" w:rsidR="000729CF" w:rsidRPr="000729CF" w:rsidRDefault="000729CF" w:rsidP="00CE70A3">
      <w:pPr>
        <w:numPr>
          <w:ilvl w:val="1"/>
          <w:numId w:val="56"/>
        </w:numPr>
        <w:spacing w:after="12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Whilst income generation is often necessary to support the business case of certain capital investments,  the council will not invest in activities where the primary purpose is to generate a yield. The council may, however, invest in existing commercial assets (such as the existing investment property portfolio) where investment is required to maintain the assets and therefore protect the income streams. This approach is in response to both HM Treasury’s change to PWLB lending arrangements and CIPFA’s revision of the Prudential and Treasury Management Codes.</w:t>
      </w:r>
    </w:p>
    <w:p w14:paraId="10A909FC" w14:textId="77777777" w:rsidR="000729CF" w:rsidRPr="000729CF" w:rsidRDefault="000729CF" w:rsidP="00CE70A3">
      <w:pPr>
        <w:numPr>
          <w:ilvl w:val="1"/>
          <w:numId w:val="56"/>
        </w:numPr>
        <w:spacing w:after="12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All non-treasury investment opportunities are subject to a due diligence process, including business case appraisal, risk assessment and sensitivity analysis and assessment of legality including state aid compliance.</w:t>
      </w:r>
    </w:p>
    <w:p w14:paraId="3FF0BB33" w14:textId="77777777" w:rsidR="000729CF" w:rsidRPr="000729CF" w:rsidRDefault="000729CF" w:rsidP="00CE70A3">
      <w:pPr>
        <w:numPr>
          <w:ilvl w:val="1"/>
          <w:numId w:val="56"/>
        </w:numPr>
        <w:spacing w:after="12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All proposals are approved by SFCR Committee and the delivery of major schemes is overseen by the officer-led Capital Programme Board.</w:t>
      </w:r>
    </w:p>
    <w:p w14:paraId="114A6547" w14:textId="77777777" w:rsidR="000729CF" w:rsidRPr="000729CF" w:rsidRDefault="000729CF" w:rsidP="00CE70A3">
      <w:pPr>
        <w:numPr>
          <w:ilvl w:val="1"/>
          <w:numId w:val="56"/>
        </w:numPr>
        <w:spacing w:after="24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 xml:space="preserve">The council’s approach to fees and charges includes a commercial view where there is a competitive market and encourages managers to explore new income streams to enable the council to become more self-sufficient. </w:t>
      </w:r>
    </w:p>
    <w:p w14:paraId="6E1C0EC9" w14:textId="77777777" w:rsidR="000729CF" w:rsidRPr="000729CF" w:rsidRDefault="000729CF" w:rsidP="00CE70A3">
      <w:pPr>
        <w:keepNext/>
        <w:numPr>
          <w:ilvl w:val="0"/>
          <w:numId w:val="56"/>
        </w:numPr>
        <w:spacing w:after="200" w:line="276" w:lineRule="auto"/>
        <w:ind w:left="709" w:hanging="709"/>
        <w:rPr>
          <w:rFonts w:ascii="Arial" w:eastAsia="Calibri" w:hAnsi="Arial" w:cs="Arial"/>
          <w:b/>
          <w:sz w:val="24"/>
          <w:szCs w:val="24"/>
          <w:lang w:val="en-GB"/>
        </w:rPr>
      </w:pPr>
      <w:r w:rsidRPr="000729CF">
        <w:rPr>
          <w:rFonts w:ascii="Arial" w:eastAsia="Calibri" w:hAnsi="Arial" w:cs="Arial"/>
          <w:b/>
          <w:sz w:val="24"/>
          <w:szCs w:val="24"/>
          <w:lang w:val="en-GB"/>
        </w:rPr>
        <w:t xml:space="preserve">Investment Property Portfolio </w:t>
      </w:r>
    </w:p>
    <w:p w14:paraId="4570257D" w14:textId="77777777" w:rsidR="000729CF" w:rsidRPr="000729CF" w:rsidRDefault="000729CF" w:rsidP="00CE70A3">
      <w:pPr>
        <w:numPr>
          <w:ilvl w:val="1"/>
          <w:numId w:val="56"/>
        </w:numPr>
        <w:spacing w:after="12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The council has a total portfolio of commercial property assets valued at £286.0m generating an annual income of £12.6m which is therefore an important income source supporting council services. These figures are based upon the value as at the end of March 2023. The council maintains a Corporate Property Strategy and Asset Management Plan which links the council’s property holdings to its corporate priorities and strategic goals. The key aims outlined in these documents are to maximise income whilst supporting improved service delivery. Its corporate property objectives include “</w:t>
      </w:r>
      <w:r w:rsidRPr="000729CF">
        <w:rPr>
          <w:rFonts w:ascii="Arial" w:eastAsia="Calibri" w:hAnsi="Arial" w:cs="Arial"/>
          <w:i/>
          <w:sz w:val="24"/>
          <w:szCs w:val="24"/>
          <w:lang w:val="en-GB"/>
        </w:rPr>
        <w:t>to optimise the value received from non-operational urban and agricultural commercial portfolios</w:t>
      </w:r>
      <w:r w:rsidRPr="000729CF">
        <w:rPr>
          <w:rFonts w:ascii="Arial" w:eastAsia="Calibri" w:hAnsi="Arial" w:cs="Arial"/>
          <w:sz w:val="24"/>
          <w:szCs w:val="24"/>
          <w:lang w:val="en-GB"/>
        </w:rPr>
        <w:t>”.</w:t>
      </w:r>
    </w:p>
    <w:p w14:paraId="7A5AF89C" w14:textId="77777777" w:rsidR="000729CF" w:rsidRPr="000729CF" w:rsidRDefault="000729CF" w:rsidP="00CE70A3">
      <w:pPr>
        <w:numPr>
          <w:ilvl w:val="1"/>
          <w:numId w:val="56"/>
        </w:numPr>
        <w:spacing w:after="12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One of the strategies had been to re-balance the urban portfolio through a programme of disposals of under-performing assets and investing in primary assets generating a healthy income to support service delivery. However, the changes introduced by HM Treasury and CIPFA remove the council’s ability to be able to invest in new commercial assets through borrowing.</w:t>
      </w:r>
    </w:p>
    <w:p w14:paraId="0F006E76" w14:textId="77777777" w:rsidR="000729CF" w:rsidRPr="000729CF" w:rsidRDefault="000729CF" w:rsidP="00CE70A3">
      <w:pPr>
        <w:numPr>
          <w:ilvl w:val="1"/>
          <w:numId w:val="56"/>
        </w:numPr>
        <w:spacing w:after="12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Before the pandemic, the council’s urban commercial portfolio had performed well, with low levels of voids, arrears and bad debt. Despite the economic impact of the pandemic, performance in most sectors, including retail and industrial, has remained strong, however there is currently a high level of voids within the multi-let office properties. In addition, there are a number of tenants on payment plans having deferred their rent payments to assist their financial cashflow. The council is therefore holding a higher level of debt which is at risk.</w:t>
      </w:r>
    </w:p>
    <w:p w14:paraId="1E9A6D07" w14:textId="77777777" w:rsidR="000729CF" w:rsidRPr="000729CF" w:rsidRDefault="000729CF" w:rsidP="00CE70A3">
      <w:pPr>
        <w:numPr>
          <w:ilvl w:val="1"/>
          <w:numId w:val="56"/>
        </w:numPr>
        <w:spacing w:after="12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 xml:space="preserve">In addition to the impact of the pandemic, the portfolio has inherent risks within it, which include: </w:t>
      </w:r>
    </w:p>
    <w:p w14:paraId="255555F3" w14:textId="77777777" w:rsidR="000729CF" w:rsidRPr="000729CF" w:rsidRDefault="000729CF" w:rsidP="00CE70A3">
      <w:pPr>
        <w:numPr>
          <w:ilvl w:val="2"/>
          <w:numId w:val="56"/>
        </w:numPr>
        <w:spacing w:after="60" w:line="276" w:lineRule="auto"/>
        <w:ind w:left="993" w:hanging="284"/>
        <w:rPr>
          <w:rFonts w:ascii="Arial" w:eastAsia="Calibri" w:hAnsi="Arial" w:cs="Arial"/>
          <w:sz w:val="24"/>
          <w:szCs w:val="24"/>
          <w:lang w:val="en-GB"/>
        </w:rPr>
      </w:pPr>
      <w:r w:rsidRPr="000729CF">
        <w:rPr>
          <w:rFonts w:ascii="Arial" w:eastAsia="Calibri" w:hAnsi="Arial" w:cs="Arial"/>
          <w:sz w:val="24"/>
          <w:szCs w:val="24"/>
          <w:lang w:val="en-GB"/>
        </w:rPr>
        <w:t>An unbalanced portfolio with an over-reliance on one market sector;</w:t>
      </w:r>
    </w:p>
    <w:p w14:paraId="55CF0BCA" w14:textId="77777777" w:rsidR="000729CF" w:rsidRPr="000729CF" w:rsidRDefault="000729CF" w:rsidP="00CE70A3">
      <w:pPr>
        <w:numPr>
          <w:ilvl w:val="2"/>
          <w:numId w:val="56"/>
        </w:numPr>
        <w:spacing w:after="60" w:line="276" w:lineRule="auto"/>
        <w:ind w:left="993" w:hanging="284"/>
        <w:rPr>
          <w:rFonts w:ascii="Arial" w:eastAsia="Calibri" w:hAnsi="Arial" w:cs="Arial"/>
          <w:sz w:val="24"/>
          <w:szCs w:val="24"/>
          <w:lang w:val="en-GB"/>
        </w:rPr>
      </w:pPr>
      <w:r w:rsidRPr="000729CF">
        <w:rPr>
          <w:rFonts w:ascii="Arial" w:eastAsia="Calibri" w:hAnsi="Arial" w:cs="Arial"/>
          <w:sz w:val="24"/>
          <w:szCs w:val="24"/>
          <w:lang w:val="en-GB"/>
        </w:rPr>
        <w:t>An over-reliance on retail, which is experiencing significant change and a downturn in performance due to external factors;</w:t>
      </w:r>
    </w:p>
    <w:p w14:paraId="03042D49" w14:textId="77777777" w:rsidR="000729CF" w:rsidRPr="000729CF" w:rsidRDefault="000729CF" w:rsidP="00CE70A3">
      <w:pPr>
        <w:numPr>
          <w:ilvl w:val="2"/>
          <w:numId w:val="56"/>
        </w:numPr>
        <w:spacing w:after="60" w:line="276" w:lineRule="auto"/>
        <w:ind w:left="993" w:hanging="284"/>
        <w:rPr>
          <w:rFonts w:ascii="Arial" w:eastAsia="Calibri" w:hAnsi="Arial" w:cs="Arial"/>
          <w:sz w:val="24"/>
          <w:szCs w:val="24"/>
          <w:lang w:val="en-GB"/>
        </w:rPr>
      </w:pPr>
      <w:r w:rsidRPr="000729CF">
        <w:rPr>
          <w:rFonts w:ascii="Arial" w:eastAsia="Calibri" w:hAnsi="Arial" w:cs="Arial"/>
          <w:sz w:val="24"/>
          <w:szCs w:val="24"/>
          <w:lang w:val="en-GB"/>
        </w:rPr>
        <w:t>A high level of tertiary properties with low covenant tenants who are at higher risk of failure;</w:t>
      </w:r>
    </w:p>
    <w:p w14:paraId="524A0862" w14:textId="77777777" w:rsidR="000729CF" w:rsidRPr="000729CF" w:rsidRDefault="000729CF" w:rsidP="00CE70A3">
      <w:pPr>
        <w:numPr>
          <w:ilvl w:val="2"/>
          <w:numId w:val="56"/>
        </w:numPr>
        <w:spacing w:after="60" w:line="276" w:lineRule="auto"/>
        <w:ind w:left="993" w:hanging="284"/>
        <w:rPr>
          <w:rFonts w:ascii="Arial" w:eastAsia="Calibri" w:hAnsi="Arial" w:cs="Arial"/>
          <w:sz w:val="24"/>
          <w:szCs w:val="24"/>
          <w:lang w:val="en-GB"/>
        </w:rPr>
      </w:pPr>
      <w:r w:rsidRPr="000729CF">
        <w:rPr>
          <w:rFonts w:ascii="Arial" w:eastAsia="Calibri" w:hAnsi="Arial" w:cs="Arial"/>
          <w:sz w:val="24"/>
          <w:szCs w:val="24"/>
          <w:lang w:val="en-GB"/>
        </w:rPr>
        <w:t>An older and aging portfolio with high levels of obsolescence and repair requirements as well as investment needs to meet statutory compliance;</w:t>
      </w:r>
    </w:p>
    <w:p w14:paraId="7D3080A6" w14:textId="77777777" w:rsidR="000729CF" w:rsidRPr="000729CF" w:rsidRDefault="000729CF" w:rsidP="00CE70A3">
      <w:pPr>
        <w:numPr>
          <w:ilvl w:val="2"/>
          <w:numId w:val="56"/>
        </w:numPr>
        <w:spacing w:after="60" w:line="276" w:lineRule="auto"/>
        <w:ind w:left="993" w:hanging="284"/>
        <w:rPr>
          <w:rFonts w:ascii="Arial" w:eastAsia="Calibri" w:hAnsi="Arial" w:cs="Arial"/>
          <w:sz w:val="24"/>
          <w:szCs w:val="24"/>
          <w:lang w:val="en-GB"/>
        </w:rPr>
      </w:pPr>
      <w:r w:rsidRPr="000729CF">
        <w:rPr>
          <w:rFonts w:ascii="Arial" w:eastAsia="Calibri" w:hAnsi="Arial" w:cs="Arial"/>
          <w:sz w:val="24"/>
          <w:szCs w:val="24"/>
          <w:lang w:val="en-GB"/>
        </w:rPr>
        <w:t>A high level of secondary and tertiary properties with limited prospect of rental growth.</w:t>
      </w:r>
    </w:p>
    <w:p w14:paraId="48C46A79" w14:textId="77777777" w:rsidR="000729CF" w:rsidRPr="000729CF" w:rsidRDefault="000729CF" w:rsidP="00CE70A3">
      <w:pPr>
        <w:numPr>
          <w:ilvl w:val="1"/>
          <w:numId w:val="56"/>
        </w:numPr>
        <w:spacing w:after="12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There is an increased risk of voids and bad debt, low income growth and even a potential decline in income in some areas as well as an increased capital investment requirement from the council as a result of the current balance of the portfolio. Options will be explored in order to mitigate the risk as outlined above and the establishment of the Commercial Asset Investment Fund from 2024/25 will support this.</w:t>
      </w:r>
    </w:p>
    <w:p w14:paraId="32357BB3" w14:textId="77777777" w:rsidR="000729CF" w:rsidRPr="000729CF" w:rsidRDefault="000729CF" w:rsidP="00CE70A3">
      <w:pPr>
        <w:numPr>
          <w:ilvl w:val="1"/>
          <w:numId w:val="56"/>
        </w:numPr>
        <w:spacing w:after="24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 xml:space="preserve">The table below shows the current composition of the commercial property portfolio according to both property value and income. The table demonstrates that the retail sector (including Primary, Secondary, Tertiary and Neighbourhood Shops) comprises 40% of the income stream from commercial property. </w:t>
      </w:r>
    </w:p>
    <w:tbl>
      <w:tblPr>
        <w:tblW w:w="9694" w:type="dxa"/>
        <w:tblInd w:w="720" w:type="dxa"/>
        <w:tblLayout w:type="fixed"/>
        <w:tblCellMar>
          <w:left w:w="28" w:type="dxa"/>
          <w:right w:w="28" w:type="dxa"/>
        </w:tblCellMar>
        <w:tblLook w:val="04A0" w:firstRow="1" w:lastRow="0" w:firstColumn="1" w:lastColumn="0" w:noHBand="0" w:noVBand="1"/>
      </w:tblPr>
      <w:tblGrid>
        <w:gridCol w:w="1435"/>
        <w:gridCol w:w="2409"/>
        <w:gridCol w:w="1170"/>
        <w:gridCol w:w="1170"/>
        <w:gridCol w:w="1170"/>
        <w:gridCol w:w="1170"/>
        <w:gridCol w:w="1170"/>
      </w:tblGrid>
      <w:tr w:rsidR="000729CF" w:rsidRPr="000729CF" w14:paraId="3FBAD3A4" w14:textId="77777777" w:rsidTr="000729CF">
        <w:trPr>
          <w:trHeight w:val="1200"/>
        </w:trPr>
        <w:tc>
          <w:tcPr>
            <w:tcW w:w="3844" w:type="dxa"/>
            <w:gridSpan w:val="2"/>
            <w:tcBorders>
              <w:top w:val="single" w:sz="4" w:space="0" w:color="auto"/>
              <w:left w:val="single" w:sz="4" w:space="0" w:color="auto"/>
              <w:bottom w:val="single" w:sz="4" w:space="0" w:color="auto"/>
              <w:right w:val="single" w:sz="4" w:space="0" w:color="000000"/>
            </w:tcBorders>
            <w:shd w:val="clear" w:color="auto" w:fill="244061"/>
            <w:noWrap/>
            <w:vAlign w:val="bottom"/>
            <w:hideMark/>
          </w:tcPr>
          <w:p w14:paraId="48D75067" w14:textId="77777777" w:rsidR="000729CF" w:rsidRPr="000729CF" w:rsidRDefault="000729CF" w:rsidP="000729CF">
            <w:pPr>
              <w:rPr>
                <w:rFonts w:ascii="Arial" w:hAnsi="Arial" w:cs="Arial"/>
                <w:b/>
                <w:bCs/>
                <w:color w:val="FFFFFF"/>
                <w:sz w:val="24"/>
                <w:szCs w:val="24"/>
                <w:lang w:val="en-GB" w:eastAsia="en-GB"/>
              </w:rPr>
            </w:pPr>
            <w:r w:rsidRPr="000729CF">
              <w:rPr>
                <w:rFonts w:ascii="Arial" w:hAnsi="Arial" w:cs="Arial"/>
                <w:b/>
                <w:bCs/>
                <w:color w:val="FFFFFF"/>
                <w:sz w:val="24"/>
                <w:szCs w:val="24"/>
                <w:lang w:val="en-GB" w:eastAsia="en-GB"/>
              </w:rPr>
              <w:t>Portfolio</w:t>
            </w:r>
          </w:p>
        </w:tc>
        <w:tc>
          <w:tcPr>
            <w:tcW w:w="1170" w:type="dxa"/>
            <w:tcBorders>
              <w:top w:val="single" w:sz="4" w:space="0" w:color="auto"/>
              <w:left w:val="nil"/>
              <w:bottom w:val="single" w:sz="4" w:space="0" w:color="auto"/>
              <w:right w:val="single" w:sz="4" w:space="0" w:color="auto"/>
            </w:tcBorders>
            <w:shd w:val="clear" w:color="auto" w:fill="244061"/>
            <w:vAlign w:val="bottom"/>
            <w:hideMark/>
          </w:tcPr>
          <w:p w14:paraId="0734591C" w14:textId="77777777" w:rsidR="000729CF" w:rsidRPr="000729CF" w:rsidRDefault="000729CF" w:rsidP="000729CF">
            <w:pPr>
              <w:jc w:val="center"/>
              <w:rPr>
                <w:rFonts w:ascii="Arial" w:hAnsi="Arial" w:cs="Arial"/>
                <w:b/>
                <w:bCs/>
                <w:color w:val="FFFFFF"/>
                <w:sz w:val="24"/>
                <w:szCs w:val="24"/>
                <w:lang w:val="en-GB" w:eastAsia="en-GB"/>
              </w:rPr>
            </w:pPr>
            <w:r w:rsidRPr="000729CF">
              <w:rPr>
                <w:rFonts w:ascii="Arial" w:hAnsi="Arial" w:cs="Arial"/>
                <w:b/>
                <w:bCs/>
                <w:color w:val="FFFFFF"/>
                <w:sz w:val="24"/>
                <w:szCs w:val="24"/>
                <w:lang w:val="en-GB" w:eastAsia="en-GB"/>
              </w:rPr>
              <w:t>Income</w:t>
            </w:r>
          </w:p>
          <w:p w14:paraId="7E4B4AE7" w14:textId="77777777" w:rsidR="000729CF" w:rsidRPr="000729CF" w:rsidRDefault="000729CF" w:rsidP="000729CF">
            <w:pPr>
              <w:jc w:val="center"/>
              <w:rPr>
                <w:rFonts w:ascii="Arial" w:hAnsi="Arial" w:cs="Arial"/>
                <w:b/>
                <w:bCs/>
                <w:color w:val="FFFFFF"/>
                <w:sz w:val="24"/>
                <w:szCs w:val="24"/>
                <w:lang w:val="en-GB" w:eastAsia="en-GB"/>
              </w:rPr>
            </w:pPr>
            <w:r w:rsidRPr="000729CF">
              <w:rPr>
                <w:rFonts w:ascii="Arial" w:hAnsi="Arial" w:cs="Arial"/>
                <w:b/>
                <w:bCs/>
                <w:color w:val="FFFFFF"/>
                <w:sz w:val="24"/>
                <w:szCs w:val="24"/>
                <w:lang w:val="en-GB" w:eastAsia="en-GB"/>
              </w:rPr>
              <w:t>£’000</w:t>
            </w:r>
          </w:p>
        </w:tc>
        <w:tc>
          <w:tcPr>
            <w:tcW w:w="1170" w:type="dxa"/>
            <w:tcBorders>
              <w:top w:val="single" w:sz="4" w:space="0" w:color="auto"/>
              <w:left w:val="nil"/>
              <w:bottom w:val="single" w:sz="4" w:space="0" w:color="auto"/>
              <w:right w:val="single" w:sz="4" w:space="0" w:color="auto"/>
            </w:tcBorders>
            <w:shd w:val="clear" w:color="auto" w:fill="244061"/>
            <w:vAlign w:val="bottom"/>
            <w:hideMark/>
          </w:tcPr>
          <w:p w14:paraId="298587EA" w14:textId="77777777" w:rsidR="000729CF" w:rsidRPr="000729CF" w:rsidRDefault="000729CF" w:rsidP="000729CF">
            <w:pPr>
              <w:jc w:val="center"/>
              <w:rPr>
                <w:rFonts w:ascii="Arial" w:hAnsi="Arial" w:cs="Arial"/>
                <w:b/>
                <w:bCs/>
                <w:color w:val="FFFFFF"/>
                <w:sz w:val="24"/>
                <w:szCs w:val="24"/>
                <w:lang w:val="en-GB" w:eastAsia="en-GB"/>
              </w:rPr>
            </w:pPr>
            <w:r w:rsidRPr="000729CF">
              <w:rPr>
                <w:rFonts w:ascii="Arial" w:hAnsi="Arial" w:cs="Arial"/>
                <w:b/>
                <w:bCs/>
                <w:color w:val="FFFFFF"/>
                <w:sz w:val="24"/>
                <w:szCs w:val="24"/>
                <w:lang w:val="en-GB" w:eastAsia="en-GB"/>
              </w:rPr>
              <w:t>Income as a % of total income</w:t>
            </w:r>
          </w:p>
        </w:tc>
        <w:tc>
          <w:tcPr>
            <w:tcW w:w="1170" w:type="dxa"/>
            <w:tcBorders>
              <w:top w:val="single" w:sz="4" w:space="0" w:color="auto"/>
              <w:left w:val="nil"/>
              <w:bottom w:val="single" w:sz="4" w:space="0" w:color="auto"/>
              <w:right w:val="single" w:sz="4" w:space="0" w:color="auto"/>
            </w:tcBorders>
            <w:shd w:val="clear" w:color="auto" w:fill="244061"/>
            <w:vAlign w:val="bottom"/>
            <w:hideMark/>
          </w:tcPr>
          <w:p w14:paraId="02BBE990" w14:textId="77777777" w:rsidR="000729CF" w:rsidRPr="000729CF" w:rsidRDefault="000729CF" w:rsidP="000729CF">
            <w:pPr>
              <w:jc w:val="center"/>
              <w:rPr>
                <w:rFonts w:ascii="Arial" w:hAnsi="Arial" w:cs="Arial"/>
                <w:b/>
                <w:bCs/>
                <w:color w:val="FFFFFF"/>
                <w:sz w:val="24"/>
                <w:szCs w:val="24"/>
                <w:lang w:val="en-GB" w:eastAsia="en-GB"/>
              </w:rPr>
            </w:pPr>
            <w:r w:rsidRPr="000729CF">
              <w:rPr>
                <w:rFonts w:ascii="Arial" w:hAnsi="Arial" w:cs="Arial"/>
                <w:b/>
                <w:bCs/>
                <w:color w:val="FFFFFF"/>
                <w:sz w:val="24"/>
                <w:szCs w:val="24"/>
                <w:lang w:val="en-GB" w:eastAsia="en-GB"/>
              </w:rPr>
              <w:t>Property Value</w:t>
            </w:r>
          </w:p>
          <w:p w14:paraId="7DFBECB6" w14:textId="77777777" w:rsidR="000729CF" w:rsidRPr="000729CF" w:rsidRDefault="000729CF" w:rsidP="000729CF">
            <w:pPr>
              <w:jc w:val="center"/>
              <w:rPr>
                <w:rFonts w:ascii="Arial" w:hAnsi="Arial" w:cs="Arial"/>
                <w:b/>
                <w:bCs/>
                <w:color w:val="FFFFFF"/>
                <w:sz w:val="24"/>
                <w:szCs w:val="24"/>
                <w:lang w:val="en-GB" w:eastAsia="en-GB"/>
              </w:rPr>
            </w:pPr>
            <w:r w:rsidRPr="000729CF">
              <w:rPr>
                <w:rFonts w:ascii="Arial" w:hAnsi="Arial" w:cs="Arial"/>
                <w:b/>
                <w:bCs/>
                <w:color w:val="FFFFFF"/>
                <w:sz w:val="24"/>
                <w:szCs w:val="24"/>
                <w:lang w:val="en-GB" w:eastAsia="en-GB"/>
              </w:rPr>
              <w:t>£’000</w:t>
            </w:r>
          </w:p>
        </w:tc>
        <w:tc>
          <w:tcPr>
            <w:tcW w:w="1170" w:type="dxa"/>
            <w:tcBorders>
              <w:top w:val="single" w:sz="4" w:space="0" w:color="auto"/>
              <w:left w:val="nil"/>
              <w:bottom w:val="single" w:sz="4" w:space="0" w:color="auto"/>
              <w:right w:val="single" w:sz="4" w:space="0" w:color="auto"/>
            </w:tcBorders>
            <w:shd w:val="clear" w:color="auto" w:fill="244061"/>
            <w:vAlign w:val="bottom"/>
            <w:hideMark/>
          </w:tcPr>
          <w:p w14:paraId="44B4F330" w14:textId="77777777" w:rsidR="000729CF" w:rsidRPr="000729CF" w:rsidRDefault="000729CF" w:rsidP="000729CF">
            <w:pPr>
              <w:jc w:val="center"/>
              <w:rPr>
                <w:rFonts w:ascii="Arial" w:hAnsi="Arial" w:cs="Arial"/>
                <w:b/>
                <w:bCs/>
                <w:color w:val="FFFFFF"/>
                <w:sz w:val="24"/>
                <w:szCs w:val="24"/>
                <w:lang w:val="en-GB" w:eastAsia="en-GB"/>
              </w:rPr>
            </w:pPr>
            <w:r w:rsidRPr="000729CF">
              <w:rPr>
                <w:rFonts w:ascii="Arial" w:hAnsi="Arial" w:cs="Arial"/>
                <w:b/>
                <w:bCs/>
                <w:color w:val="FFFFFF"/>
                <w:sz w:val="24"/>
                <w:szCs w:val="24"/>
                <w:lang w:val="en-GB" w:eastAsia="en-GB"/>
              </w:rPr>
              <w:t>Value as % of total Value</w:t>
            </w:r>
          </w:p>
        </w:tc>
        <w:tc>
          <w:tcPr>
            <w:tcW w:w="1170" w:type="dxa"/>
            <w:tcBorders>
              <w:top w:val="single" w:sz="4" w:space="0" w:color="auto"/>
              <w:left w:val="nil"/>
              <w:bottom w:val="single" w:sz="4" w:space="0" w:color="auto"/>
              <w:right w:val="single" w:sz="4" w:space="0" w:color="auto"/>
            </w:tcBorders>
            <w:shd w:val="clear" w:color="auto" w:fill="244061"/>
            <w:vAlign w:val="bottom"/>
            <w:hideMark/>
          </w:tcPr>
          <w:p w14:paraId="6CE24696" w14:textId="77777777" w:rsidR="000729CF" w:rsidRPr="000729CF" w:rsidRDefault="000729CF" w:rsidP="000729CF">
            <w:pPr>
              <w:jc w:val="center"/>
              <w:rPr>
                <w:rFonts w:ascii="Arial" w:hAnsi="Arial" w:cs="Arial"/>
                <w:b/>
                <w:bCs/>
                <w:color w:val="FFFFFF"/>
                <w:sz w:val="24"/>
                <w:szCs w:val="24"/>
                <w:lang w:val="en-GB" w:eastAsia="en-GB"/>
              </w:rPr>
            </w:pPr>
            <w:r w:rsidRPr="000729CF">
              <w:rPr>
                <w:rFonts w:ascii="Arial" w:hAnsi="Arial" w:cs="Arial"/>
                <w:b/>
                <w:bCs/>
                <w:color w:val="FFFFFF"/>
                <w:sz w:val="24"/>
                <w:szCs w:val="24"/>
                <w:lang w:val="en-GB" w:eastAsia="en-GB"/>
              </w:rPr>
              <w:t>Average Yield of portfolio</w:t>
            </w:r>
          </w:p>
        </w:tc>
      </w:tr>
      <w:tr w:rsidR="000729CF" w:rsidRPr="000729CF" w14:paraId="1A614F10" w14:textId="77777777" w:rsidTr="00BC26AB">
        <w:trPr>
          <w:trHeight w:val="300"/>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7D560AD3" w14:textId="77777777" w:rsidR="000729CF" w:rsidRPr="000729CF" w:rsidRDefault="000729CF" w:rsidP="000729CF">
            <w:pPr>
              <w:rPr>
                <w:rFonts w:ascii="Arial" w:hAnsi="Arial" w:cs="Arial"/>
                <w:sz w:val="24"/>
                <w:szCs w:val="24"/>
                <w:lang w:val="en-GB" w:eastAsia="en-GB"/>
              </w:rPr>
            </w:pPr>
            <w:r w:rsidRPr="000729CF">
              <w:rPr>
                <w:rFonts w:ascii="Arial" w:hAnsi="Arial" w:cs="Arial"/>
                <w:sz w:val="24"/>
                <w:szCs w:val="24"/>
                <w:lang w:val="en-GB" w:eastAsia="en-GB"/>
              </w:rPr>
              <w:t>Agricultural</w:t>
            </w:r>
          </w:p>
        </w:tc>
        <w:tc>
          <w:tcPr>
            <w:tcW w:w="2409" w:type="dxa"/>
            <w:tcBorders>
              <w:top w:val="nil"/>
              <w:left w:val="nil"/>
              <w:bottom w:val="single" w:sz="4" w:space="0" w:color="auto"/>
              <w:right w:val="single" w:sz="4" w:space="0" w:color="auto"/>
            </w:tcBorders>
            <w:shd w:val="clear" w:color="auto" w:fill="auto"/>
            <w:noWrap/>
            <w:vAlign w:val="bottom"/>
            <w:hideMark/>
          </w:tcPr>
          <w:p w14:paraId="68EA2F18" w14:textId="77777777" w:rsidR="000729CF" w:rsidRPr="000729CF" w:rsidRDefault="000729CF" w:rsidP="000729CF">
            <w:pPr>
              <w:rPr>
                <w:rFonts w:ascii="Arial" w:hAnsi="Arial" w:cs="Arial"/>
                <w:sz w:val="24"/>
                <w:szCs w:val="24"/>
                <w:lang w:val="en-GB" w:eastAsia="en-GB"/>
              </w:rPr>
            </w:pPr>
            <w:r w:rsidRPr="000729CF">
              <w:rPr>
                <w:rFonts w:ascii="Arial" w:hAnsi="Arial" w:cs="Arial"/>
                <w:sz w:val="24"/>
                <w:szCs w:val="24"/>
                <w:lang w:val="en-GB" w:eastAsia="en-GB"/>
              </w:rPr>
              <w:t>All</w:t>
            </w:r>
          </w:p>
        </w:tc>
        <w:tc>
          <w:tcPr>
            <w:tcW w:w="1170" w:type="dxa"/>
            <w:tcBorders>
              <w:top w:val="nil"/>
              <w:left w:val="nil"/>
              <w:bottom w:val="single" w:sz="4" w:space="0" w:color="auto"/>
              <w:right w:val="single" w:sz="4" w:space="0" w:color="auto"/>
            </w:tcBorders>
            <w:shd w:val="clear" w:color="auto" w:fill="auto"/>
            <w:vAlign w:val="bottom"/>
            <w:hideMark/>
          </w:tcPr>
          <w:p w14:paraId="7B1DA207"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 xml:space="preserve">872 </w:t>
            </w:r>
          </w:p>
        </w:tc>
        <w:tc>
          <w:tcPr>
            <w:tcW w:w="1170" w:type="dxa"/>
            <w:tcBorders>
              <w:top w:val="nil"/>
              <w:left w:val="nil"/>
              <w:bottom w:val="single" w:sz="4" w:space="0" w:color="auto"/>
              <w:right w:val="single" w:sz="4" w:space="0" w:color="auto"/>
            </w:tcBorders>
            <w:shd w:val="clear" w:color="auto" w:fill="auto"/>
            <w:vAlign w:val="bottom"/>
            <w:hideMark/>
          </w:tcPr>
          <w:p w14:paraId="3ADDDF7A"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7.14%</w:t>
            </w:r>
          </w:p>
        </w:tc>
        <w:tc>
          <w:tcPr>
            <w:tcW w:w="1170" w:type="dxa"/>
            <w:tcBorders>
              <w:top w:val="nil"/>
              <w:left w:val="nil"/>
              <w:bottom w:val="single" w:sz="4" w:space="0" w:color="auto"/>
              <w:right w:val="single" w:sz="4" w:space="0" w:color="auto"/>
            </w:tcBorders>
            <w:shd w:val="clear" w:color="auto" w:fill="auto"/>
            <w:vAlign w:val="bottom"/>
            <w:hideMark/>
          </w:tcPr>
          <w:p w14:paraId="6CD32BC0"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61,101</w:t>
            </w:r>
          </w:p>
        </w:tc>
        <w:tc>
          <w:tcPr>
            <w:tcW w:w="1170" w:type="dxa"/>
            <w:tcBorders>
              <w:top w:val="nil"/>
              <w:left w:val="nil"/>
              <w:bottom w:val="single" w:sz="4" w:space="0" w:color="auto"/>
              <w:right w:val="single" w:sz="4" w:space="0" w:color="auto"/>
            </w:tcBorders>
            <w:shd w:val="clear" w:color="auto" w:fill="auto"/>
            <w:vAlign w:val="bottom"/>
            <w:hideMark/>
          </w:tcPr>
          <w:p w14:paraId="7C425C2F"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29.95%</w:t>
            </w:r>
          </w:p>
        </w:tc>
        <w:tc>
          <w:tcPr>
            <w:tcW w:w="1170" w:type="dxa"/>
            <w:tcBorders>
              <w:top w:val="nil"/>
              <w:left w:val="nil"/>
              <w:bottom w:val="single" w:sz="4" w:space="0" w:color="auto"/>
              <w:right w:val="single" w:sz="4" w:space="0" w:color="auto"/>
            </w:tcBorders>
            <w:shd w:val="clear" w:color="auto" w:fill="auto"/>
            <w:noWrap/>
            <w:vAlign w:val="bottom"/>
            <w:hideMark/>
          </w:tcPr>
          <w:p w14:paraId="18D76599"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1.43%</w:t>
            </w:r>
          </w:p>
        </w:tc>
      </w:tr>
      <w:tr w:rsidR="000729CF" w:rsidRPr="000729CF" w14:paraId="08BBF3BB" w14:textId="77777777" w:rsidTr="00BC26AB">
        <w:trPr>
          <w:trHeight w:val="300"/>
        </w:trPr>
        <w:tc>
          <w:tcPr>
            <w:tcW w:w="1435" w:type="dxa"/>
            <w:vMerge w:val="restart"/>
            <w:tcBorders>
              <w:top w:val="nil"/>
              <w:left w:val="single" w:sz="4" w:space="0" w:color="auto"/>
              <w:bottom w:val="single" w:sz="4" w:space="0" w:color="000000"/>
              <w:right w:val="single" w:sz="4" w:space="0" w:color="auto"/>
            </w:tcBorders>
            <w:shd w:val="clear" w:color="auto" w:fill="auto"/>
            <w:noWrap/>
            <w:hideMark/>
          </w:tcPr>
          <w:p w14:paraId="2222E04C" w14:textId="77777777" w:rsidR="000729CF" w:rsidRPr="000729CF" w:rsidRDefault="000729CF" w:rsidP="000729CF">
            <w:pPr>
              <w:rPr>
                <w:rFonts w:ascii="Arial" w:hAnsi="Arial" w:cs="Arial"/>
                <w:sz w:val="24"/>
                <w:szCs w:val="24"/>
                <w:lang w:val="en-GB" w:eastAsia="en-GB"/>
              </w:rPr>
            </w:pPr>
            <w:r w:rsidRPr="000729CF">
              <w:rPr>
                <w:rFonts w:ascii="Arial" w:hAnsi="Arial" w:cs="Arial"/>
                <w:sz w:val="24"/>
                <w:szCs w:val="24"/>
                <w:lang w:val="en-GB" w:eastAsia="en-GB"/>
              </w:rPr>
              <w:t>Seafront</w:t>
            </w:r>
          </w:p>
        </w:tc>
        <w:tc>
          <w:tcPr>
            <w:tcW w:w="2409" w:type="dxa"/>
            <w:tcBorders>
              <w:top w:val="nil"/>
              <w:left w:val="nil"/>
              <w:bottom w:val="single" w:sz="4" w:space="0" w:color="auto"/>
              <w:right w:val="single" w:sz="4" w:space="0" w:color="auto"/>
            </w:tcBorders>
            <w:shd w:val="clear" w:color="auto" w:fill="auto"/>
            <w:noWrap/>
            <w:vAlign w:val="bottom"/>
            <w:hideMark/>
          </w:tcPr>
          <w:p w14:paraId="2F038207" w14:textId="77777777" w:rsidR="000729CF" w:rsidRPr="000729CF" w:rsidRDefault="000729CF" w:rsidP="000729CF">
            <w:pPr>
              <w:rPr>
                <w:rFonts w:ascii="Arial" w:hAnsi="Arial" w:cs="Arial"/>
                <w:sz w:val="24"/>
                <w:szCs w:val="24"/>
                <w:lang w:val="en-GB" w:eastAsia="en-GB"/>
              </w:rPr>
            </w:pPr>
            <w:r w:rsidRPr="000729CF">
              <w:rPr>
                <w:rFonts w:ascii="Arial" w:hAnsi="Arial" w:cs="Arial"/>
                <w:sz w:val="24"/>
                <w:szCs w:val="24"/>
                <w:lang w:val="en-GB" w:eastAsia="en-GB"/>
              </w:rPr>
              <w:t>Commercial property &amp; concessions</w:t>
            </w:r>
          </w:p>
        </w:tc>
        <w:tc>
          <w:tcPr>
            <w:tcW w:w="1170" w:type="dxa"/>
            <w:tcBorders>
              <w:top w:val="nil"/>
              <w:left w:val="nil"/>
              <w:bottom w:val="single" w:sz="4" w:space="0" w:color="auto"/>
              <w:right w:val="single" w:sz="4" w:space="0" w:color="auto"/>
            </w:tcBorders>
            <w:shd w:val="clear" w:color="auto" w:fill="auto"/>
            <w:vAlign w:val="bottom"/>
            <w:hideMark/>
          </w:tcPr>
          <w:p w14:paraId="34A005C9"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 xml:space="preserve">2,550 </w:t>
            </w:r>
          </w:p>
        </w:tc>
        <w:tc>
          <w:tcPr>
            <w:tcW w:w="1170" w:type="dxa"/>
            <w:tcBorders>
              <w:top w:val="nil"/>
              <w:left w:val="nil"/>
              <w:bottom w:val="single" w:sz="4" w:space="0" w:color="auto"/>
              <w:right w:val="single" w:sz="4" w:space="0" w:color="auto"/>
            </w:tcBorders>
            <w:shd w:val="clear" w:color="auto" w:fill="auto"/>
            <w:vAlign w:val="bottom"/>
            <w:hideMark/>
          </w:tcPr>
          <w:p w14:paraId="7A0AAF2E"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20.89%</w:t>
            </w:r>
          </w:p>
        </w:tc>
        <w:tc>
          <w:tcPr>
            <w:tcW w:w="1170" w:type="dxa"/>
            <w:vMerge w:val="restart"/>
            <w:tcBorders>
              <w:top w:val="nil"/>
              <w:left w:val="single" w:sz="4" w:space="0" w:color="auto"/>
              <w:bottom w:val="single" w:sz="4" w:space="0" w:color="000000"/>
              <w:right w:val="single" w:sz="4" w:space="0" w:color="auto"/>
            </w:tcBorders>
            <w:shd w:val="clear" w:color="auto" w:fill="auto"/>
            <w:vAlign w:val="center"/>
            <w:hideMark/>
          </w:tcPr>
          <w:p w14:paraId="06EF7CA3"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30,027</w:t>
            </w:r>
          </w:p>
        </w:tc>
        <w:tc>
          <w:tcPr>
            <w:tcW w:w="1170" w:type="dxa"/>
            <w:vMerge w:val="restart"/>
            <w:tcBorders>
              <w:top w:val="nil"/>
              <w:left w:val="single" w:sz="4" w:space="0" w:color="auto"/>
              <w:bottom w:val="single" w:sz="4" w:space="0" w:color="000000"/>
              <w:right w:val="single" w:sz="4" w:space="0" w:color="auto"/>
            </w:tcBorders>
            <w:shd w:val="clear" w:color="auto" w:fill="auto"/>
            <w:vAlign w:val="center"/>
            <w:hideMark/>
          </w:tcPr>
          <w:p w14:paraId="2C8D35AF"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14.72%</w:t>
            </w:r>
          </w:p>
        </w:tc>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14:paraId="40514474"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9.39%</w:t>
            </w:r>
          </w:p>
        </w:tc>
      </w:tr>
      <w:tr w:rsidR="000729CF" w:rsidRPr="000729CF" w14:paraId="2164E9C8" w14:textId="77777777" w:rsidTr="00BC26AB">
        <w:trPr>
          <w:trHeight w:val="300"/>
        </w:trPr>
        <w:tc>
          <w:tcPr>
            <w:tcW w:w="1435" w:type="dxa"/>
            <w:vMerge/>
            <w:tcBorders>
              <w:top w:val="nil"/>
              <w:left w:val="single" w:sz="4" w:space="0" w:color="auto"/>
              <w:bottom w:val="single" w:sz="4" w:space="0" w:color="000000"/>
              <w:right w:val="single" w:sz="4" w:space="0" w:color="auto"/>
            </w:tcBorders>
            <w:shd w:val="clear" w:color="auto" w:fill="auto"/>
            <w:vAlign w:val="center"/>
            <w:hideMark/>
          </w:tcPr>
          <w:p w14:paraId="2D81FB64" w14:textId="77777777" w:rsidR="000729CF" w:rsidRPr="000729CF" w:rsidRDefault="000729CF" w:rsidP="000729CF">
            <w:pPr>
              <w:rPr>
                <w:rFonts w:ascii="Arial" w:hAnsi="Arial" w:cs="Arial"/>
                <w:sz w:val="24"/>
                <w:szCs w:val="24"/>
                <w:lang w:val="en-GB" w:eastAsia="en-GB"/>
              </w:rPr>
            </w:pPr>
          </w:p>
        </w:tc>
        <w:tc>
          <w:tcPr>
            <w:tcW w:w="2409" w:type="dxa"/>
            <w:tcBorders>
              <w:top w:val="nil"/>
              <w:left w:val="nil"/>
              <w:bottom w:val="single" w:sz="4" w:space="0" w:color="auto"/>
              <w:right w:val="single" w:sz="4" w:space="0" w:color="auto"/>
            </w:tcBorders>
            <w:shd w:val="clear" w:color="auto" w:fill="auto"/>
            <w:noWrap/>
            <w:vAlign w:val="bottom"/>
            <w:hideMark/>
          </w:tcPr>
          <w:p w14:paraId="6E95F67B" w14:textId="77777777" w:rsidR="000729CF" w:rsidRPr="000729CF" w:rsidRDefault="000729CF" w:rsidP="000729CF">
            <w:pPr>
              <w:rPr>
                <w:rFonts w:ascii="Arial" w:hAnsi="Arial" w:cs="Arial"/>
                <w:sz w:val="24"/>
                <w:szCs w:val="24"/>
                <w:lang w:val="en-GB" w:eastAsia="en-GB"/>
              </w:rPr>
            </w:pPr>
            <w:r w:rsidRPr="000729CF">
              <w:rPr>
                <w:rFonts w:ascii="Arial" w:hAnsi="Arial" w:cs="Arial"/>
                <w:sz w:val="24"/>
                <w:szCs w:val="24"/>
                <w:lang w:val="en-GB" w:eastAsia="en-GB"/>
              </w:rPr>
              <w:t>Beach huts &amp; chalets</w:t>
            </w:r>
          </w:p>
        </w:tc>
        <w:tc>
          <w:tcPr>
            <w:tcW w:w="1170" w:type="dxa"/>
            <w:tcBorders>
              <w:top w:val="nil"/>
              <w:left w:val="nil"/>
              <w:bottom w:val="single" w:sz="4" w:space="0" w:color="auto"/>
              <w:right w:val="single" w:sz="4" w:space="0" w:color="auto"/>
            </w:tcBorders>
            <w:shd w:val="clear" w:color="auto" w:fill="auto"/>
            <w:vAlign w:val="bottom"/>
            <w:hideMark/>
          </w:tcPr>
          <w:p w14:paraId="0A1DADA5"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270</w:t>
            </w:r>
          </w:p>
        </w:tc>
        <w:tc>
          <w:tcPr>
            <w:tcW w:w="1170" w:type="dxa"/>
            <w:tcBorders>
              <w:top w:val="nil"/>
              <w:left w:val="nil"/>
              <w:bottom w:val="single" w:sz="4" w:space="0" w:color="auto"/>
              <w:right w:val="single" w:sz="4" w:space="0" w:color="auto"/>
            </w:tcBorders>
            <w:shd w:val="clear" w:color="auto" w:fill="auto"/>
            <w:vAlign w:val="bottom"/>
            <w:hideMark/>
          </w:tcPr>
          <w:p w14:paraId="2F9B4837"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2.21%</w:t>
            </w:r>
          </w:p>
        </w:tc>
        <w:tc>
          <w:tcPr>
            <w:tcW w:w="1170" w:type="dxa"/>
            <w:vMerge/>
            <w:tcBorders>
              <w:top w:val="nil"/>
              <w:left w:val="single" w:sz="4" w:space="0" w:color="auto"/>
              <w:bottom w:val="single" w:sz="4" w:space="0" w:color="000000"/>
              <w:right w:val="single" w:sz="4" w:space="0" w:color="auto"/>
            </w:tcBorders>
            <w:shd w:val="clear" w:color="auto" w:fill="auto"/>
            <w:vAlign w:val="center"/>
            <w:hideMark/>
          </w:tcPr>
          <w:p w14:paraId="732E4570" w14:textId="77777777" w:rsidR="000729CF" w:rsidRPr="000729CF" w:rsidRDefault="000729CF" w:rsidP="000729CF">
            <w:pPr>
              <w:jc w:val="right"/>
              <w:rPr>
                <w:rFonts w:ascii="Arial" w:hAnsi="Arial" w:cs="Arial"/>
                <w:sz w:val="24"/>
                <w:szCs w:val="24"/>
                <w:lang w:val="en-GB" w:eastAsia="en-GB"/>
              </w:rPr>
            </w:pPr>
          </w:p>
        </w:tc>
        <w:tc>
          <w:tcPr>
            <w:tcW w:w="1170" w:type="dxa"/>
            <w:vMerge/>
            <w:tcBorders>
              <w:top w:val="nil"/>
              <w:left w:val="single" w:sz="4" w:space="0" w:color="auto"/>
              <w:bottom w:val="single" w:sz="4" w:space="0" w:color="000000"/>
              <w:right w:val="single" w:sz="4" w:space="0" w:color="auto"/>
            </w:tcBorders>
            <w:shd w:val="clear" w:color="auto" w:fill="auto"/>
            <w:vAlign w:val="center"/>
            <w:hideMark/>
          </w:tcPr>
          <w:p w14:paraId="512AC343" w14:textId="77777777" w:rsidR="000729CF" w:rsidRPr="000729CF" w:rsidRDefault="000729CF" w:rsidP="000729CF">
            <w:pPr>
              <w:rPr>
                <w:rFonts w:ascii="Arial" w:hAnsi="Arial" w:cs="Arial"/>
                <w:sz w:val="24"/>
                <w:szCs w:val="24"/>
                <w:lang w:val="en-GB" w:eastAsia="en-GB"/>
              </w:rPr>
            </w:pPr>
          </w:p>
        </w:tc>
        <w:tc>
          <w:tcPr>
            <w:tcW w:w="1170" w:type="dxa"/>
            <w:vMerge/>
            <w:tcBorders>
              <w:top w:val="nil"/>
              <w:left w:val="single" w:sz="4" w:space="0" w:color="auto"/>
              <w:bottom w:val="single" w:sz="4" w:space="0" w:color="auto"/>
              <w:right w:val="single" w:sz="4" w:space="0" w:color="auto"/>
            </w:tcBorders>
            <w:shd w:val="clear" w:color="auto" w:fill="auto"/>
            <w:vAlign w:val="center"/>
            <w:hideMark/>
          </w:tcPr>
          <w:p w14:paraId="7091B8A1" w14:textId="77777777" w:rsidR="000729CF" w:rsidRPr="000729CF" w:rsidRDefault="000729CF" w:rsidP="000729CF">
            <w:pPr>
              <w:rPr>
                <w:rFonts w:ascii="Arial" w:hAnsi="Arial" w:cs="Arial"/>
                <w:sz w:val="24"/>
                <w:szCs w:val="24"/>
                <w:lang w:val="en-GB" w:eastAsia="en-GB"/>
              </w:rPr>
            </w:pPr>
          </w:p>
        </w:tc>
      </w:tr>
      <w:tr w:rsidR="000729CF" w:rsidRPr="000729CF" w14:paraId="14B2E1FA" w14:textId="77777777" w:rsidTr="00BC26AB">
        <w:trPr>
          <w:trHeight w:val="300"/>
        </w:trPr>
        <w:tc>
          <w:tcPr>
            <w:tcW w:w="1435" w:type="dxa"/>
            <w:vMerge w:val="restart"/>
            <w:tcBorders>
              <w:top w:val="nil"/>
              <w:left w:val="single" w:sz="4" w:space="0" w:color="auto"/>
              <w:bottom w:val="single" w:sz="4" w:space="0" w:color="000000"/>
              <w:right w:val="single" w:sz="4" w:space="0" w:color="auto"/>
            </w:tcBorders>
            <w:shd w:val="clear" w:color="auto" w:fill="auto"/>
            <w:noWrap/>
            <w:hideMark/>
          </w:tcPr>
          <w:p w14:paraId="376969B6" w14:textId="77777777" w:rsidR="000729CF" w:rsidRPr="000729CF" w:rsidRDefault="000729CF" w:rsidP="000729CF">
            <w:pPr>
              <w:rPr>
                <w:rFonts w:ascii="Arial" w:hAnsi="Arial" w:cs="Arial"/>
                <w:sz w:val="24"/>
                <w:szCs w:val="24"/>
                <w:lang w:val="en-GB" w:eastAsia="en-GB"/>
              </w:rPr>
            </w:pPr>
            <w:r w:rsidRPr="000729CF">
              <w:rPr>
                <w:rFonts w:ascii="Arial" w:hAnsi="Arial" w:cs="Arial"/>
                <w:sz w:val="24"/>
                <w:szCs w:val="24"/>
                <w:lang w:val="en-GB" w:eastAsia="en-GB"/>
              </w:rPr>
              <w:t>Commercial property managed by GVA</w:t>
            </w:r>
          </w:p>
        </w:tc>
        <w:tc>
          <w:tcPr>
            <w:tcW w:w="2409" w:type="dxa"/>
            <w:tcBorders>
              <w:top w:val="nil"/>
              <w:left w:val="nil"/>
              <w:bottom w:val="single" w:sz="4" w:space="0" w:color="auto"/>
              <w:right w:val="single" w:sz="4" w:space="0" w:color="auto"/>
            </w:tcBorders>
            <w:shd w:val="clear" w:color="auto" w:fill="auto"/>
            <w:noWrap/>
            <w:vAlign w:val="bottom"/>
            <w:hideMark/>
          </w:tcPr>
          <w:p w14:paraId="62092C9A" w14:textId="77777777" w:rsidR="000729CF" w:rsidRPr="000729CF" w:rsidRDefault="000729CF" w:rsidP="000729CF">
            <w:pPr>
              <w:rPr>
                <w:rFonts w:ascii="Arial" w:hAnsi="Arial" w:cs="Arial"/>
                <w:sz w:val="24"/>
                <w:szCs w:val="24"/>
                <w:lang w:val="en-GB" w:eastAsia="en-GB"/>
              </w:rPr>
            </w:pPr>
            <w:r w:rsidRPr="000729CF">
              <w:rPr>
                <w:rFonts w:ascii="Arial" w:hAnsi="Arial" w:cs="Arial"/>
                <w:sz w:val="24"/>
                <w:szCs w:val="24"/>
                <w:lang w:val="en-GB" w:eastAsia="en-GB"/>
              </w:rPr>
              <w:t>Prime Shops</w:t>
            </w:r>
          </w:p>
        </w:tc>
        <w:tc>
          <w:tcPr>
            <w:tcW w:w="1170" w:type="dxa"/>
            <w:tcBorders>
              <w:top w:val="nil"/>
              <w:left w:val="nil"/>
              <w:bottom w:val="single" w:sz="4" w:space="0" w:color="auto"/>
              <w:right w:val="single" w:sz="4" w:space="0" w:color="auto"/>
            </w:tcBorders>
            <w:shd w:val="clear" w:color="auto" w:fill="auto"/>
            <w:vAlign w:val="bottom"/>
            <w:hideMark/>
          </w:tcPr>
          <w:p w14:paraId="150106B6"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 xml:space="preserve">2,208 </w:t>
            </w:r>
          </w:p>
        </w:tc>
        <w:tc>
          <w:tcPr>
            <w:tcW w:w="1170" w:type="dxa"/>
            <w:tcBorders>
              <w:top w:val="nil"/>
              <w:left w:val="nil"/>
              <w:bottom w:val="single" w:sz="4" w:space="0" w:color="auto"/>
              <w:right w:val="single" w:sz="4" w:space="0" w:color="auto"/>
            </w:tcBorders>
            <w:shd w:val="clear" w:color="auto" w:fill="auto"/>
            <w:vAlign w:val="bottom"/>
            <w:hideMark/>
          </w:tcPr>
          <w:p w14:paraId="636B23C5"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18.09%</w:t>
            </w:r>
          </w:p>
        </w:tc>
        <w:tc>
          <w:tcPr>
            <w:tcW w:w="1170" w:type="dxa"/>
            <w:tcBorders>
              <w:top w:val="nil"/>
              <w:left w:val="nil"/>
              <w:bottom w:val="single" w:sz="4" w:space="0" w:color="auto"/>
              <w:right w:val="single" w:sz="4" w:space="0" w:color="auto"/>
            </w:tcBorders>
            <w:shd w:val="clear" w:color="auto" w:fill="auto"/>
            <w:vAlign w:val="bottom"/>
            <w:hideMark/>
          </w:tcPr>
          <w:p w14:paraId="20482A7D"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 xml:space="preserve">36,094 </w:t>
            </w:r>
          </w:p>
        </w:tc>
        <w:tc>
          <w:tcPr>
            <w:tcW w:w="1170" w:type="dxa"/>
            <w:tcBorders>
              <w:top w:val="nil"/>
              <w:left w:val="nil"/>
              <w:bottom w:val="single" w:sz="4" w:space="0" w:color="auto"/>
              <w:right w:val="single" w:sz="4" w:space="0" w:color="auto"/>
            </w:tcBorders>
            <w:shd w:val="clear" w:color="auto" w:fill="auto"/>
            <w:vAlign w:val="bottom"/>
            <w:hideMark/>
          </w:tcPr>
          <w:p w14:paraId="0B92C2CC"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17.69%</w:t>
            </w:r>
          </w:p>
        </w:tc>
        <w:tc>
          <w:tcPr>
            <w:tcW w:w="1170" w:type="dxa"/>
            <w:tcBorders>
              <w:top w:val="nil"/>
              <w:left w:val="nil"/>
              <w:bottom w:val="single" w:sz="4" w:space="0" w:color="auto"/>
              <w:right w:val="single" w:sz="4" w:space="0" w:color="auto"/>
            </w:tcBorders>
            <w:shd w:val="clear" w:color="auto" w:fill="auto"/>
            <w:noWrap/>
            <w:vAlign w:val="bottom"/>
            <w:hideMark/>
          </w:tcPr>
          <w:p w14:paraId="1847C73B"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6.12%</w:t>
            </w:r>
          </w:p>
        </w:tc>
      </w:tr>
      <w:tr w:rsidR="000729CF" w:rsidRPr="000729CF" w14:paraId="3E732927" w14:textId="77777777" w:rsidTr="00BC26AB">
        <w:trPr>
          <w:trHeight w:val="300"/>
        </w:trPr>
        <w:tc>
          <w:tcPr>
            <w:tcW w:w="1435" w:type="dxa"/>
            <w:vMerge/>
            <w:tcBorders>
              <w:top w:val="nil"/>
              <w:left w:val="single" w:sz="4" w:space="0" w:color="auto"/>
              <w:bottom w:val="single" w:sz="4" w:space="0" w:color="000000"/>
              <w:right w:val="single" w:sz="4" w:space="0" w:color="auto"/>
            </w:tcBorders>
            <w:shd w:val="clear" w:color="auto" w:fill="auto"/>
            <w:vAlign w:val="center"/>
            <w:hideMark/>
          </w:tcPr>
          <w:p w14:paraId="2D93E87F" w14:textId="77777777" w:rsidR="000729CF" w:rsidRPr="000729CF" w:rsidRDefault="000729CF" w:rsidP="000729CF">
            <w:pPr>
              <w:rPr>
                <w:rFonts w:ascii="Arial" w:hAnsi="Arial" w:cs="Arial"/>
                <w:sz w:val="24"/>
                <w:szCs w:val="24"/>
                <w:lang w:val="en-GB" w:eastAsia="en-GB"/>
              </w:rPr>
            </w:pPr>
          </w:p>
        </w:tc>
        <w:tc>
          <w:tcPr>
            <w:tcW w:w="2409" w:type="dxa"/>
            <w:tcBorders>
              <w:top w:val="nil"/>
              <w:left w:val="nil"/>
              <w:bottom w:val="single" w:sz="4" w:space="0" w:color="auto"/>
              <w:right w:val="single" w:sz="4" w:space="0" w:color="auto"/>
            </w:tcBorders>
            <w:shd w:val="clear" w:color="auto" w:fill="auto"/>
            <w:noWrap/>
            <w:vAlign w:val="bottom"/>
            <w:hideMark/>
          </w:tcPr>
          <w:p w14:paraId="1E4B1E37" w14:textId="77777777" w:rsidR="000729CF" w:rsidRPr="000729CF" w:rsidRDefault="000729CF" w:rsidP="000729CF">
            <w:pPr>
              <w:rPr>
                <w:rFonts w:ascii="Arial" w:hAnsi="Arial" w:cs="Arial"/>
                <w:sz w:val="24"/>
                <w:szCs w:val="24"/>
                <w:lang w:val="en-GB" w:eastAsia="en-GB"/>
              </w:rPr>
            </w:pPr>
            <w:r w:rsidRPr="000729CF">
              <w:rPr>
                <w:rFonts w:ascii="Arial" w:hAnsi="Arial" w:cs="Arial"/>
                <w:sz w:val="24"/>
                <w:szCs w:val="24"/>
                <w:lang w:val="en-GB" w:eastAsia="en-GB"/>
              </w:rPr>
              <w:t>Secondary Shops</w:t>
            </w:r>
          </w:p>
        </w:tc>
        <w:tc>
          <w:tcPr>
            <w:tcW w:w="1170" w:type="dxa"/>
            <w:tcBorders>
              <w:top w:val="nil"/>
              <w:left w:val="nil"/>
              <w:bottom w:val="single" w:sz="4" w:space="0" w:color="auto"/>
              <w:right w:val="single" w:sz="4" w:space="0" w:color="auto"/>
            </w:tcBorders>
            <w:shd w:val="clear" w:color="auto" w:fill="auto"/>
            <w:vAlign w:val="bottom"/>
            <w:hideMark/>
          </w:tcPr>
          <w:p w14:paraId="42D2E1CC"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 xml:space="preserve">1,525 </w:t>
            </w:r>
          </w:p>
        </w:tc>
        <w:tc>
          <w:tcPr>
            <w:tcW w:w="1170" w:type="dxa"/>
            <w:tcBorders>
              <w:top w:val="nil"/>
              <w:left w:val="nil"/>
              <w:bottom w:val="single" w:sz="4" w:space="0" w:color="auto"/>
              <w:right w:val="single" w:sz="4" w:space="0" w:color="auto"/>
            </w:tcBorders>
            <w:shd w:val="clear" w:color="auto" w:fill="auto"/>
            <w:vAlign w:val="bottom"/>
            <w:hideMark/>
          </w:tcPr>
          <w:p w14:paraId="2F2D2355"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12.49%</w:t>
            </w:r>
          </w:p>
        </w:tc>
        <w:tc>
          <w:tcPr>
            <w:tcW w:w="1170" w:type="dxa"/>
            <w:tcBorders>
              <w:top w:val="nil"/>
              <w:left w:val="nil"/>
              <w:bottom w:val="single" w:sz="4" w:space="0" w:color="auto"/>
              <w:right w:val="single" w:sz="4" w:space="0" w:color="auto"/>
            </w:tcBorders>
            <w:shd w:val="clear" w:color="auto" w:fill="auto"/>
            <w:vAlign w:val="bottom"/>
            <w:hideMark/>
          </w:tcPr>
          <w:p w14:paraId="71B12DA5"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 xml:space="preserve">21,858 </w:t>
            </w:r>
          </w:p>
        </w:tc>
        <w:tc>
          <w:tcPr>
            <w:tcW w:w="1170" w:type="dxa"/>
            <w:tcBorders>
              <w:top w:val="nil"/>
              <w:left w:val="nil"/>
              <w:bottom w:val="single" w:sz="4" w:space="0" w:color="auto"/>
              <w:right w:val="single" w:sz="4" w:space="0" w:color="auto"/>
            </w:tcBorders>
            <w:shd w:val="clear" w:color="auto" w:fill="auto"/>
            <w:vAlign w:val="bottom"/>
            <w:hideMark/>
          </w:tcPr>
          <w:p w14:paraId="353114DE"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10.71%</w:t>
            </w:r>
          </w:p>
        </w:tc>
        <w:tc>
          <w:tcPr>
            <w:tcW w:w="1170" w:type="dxa"/>
            <w:tcBorders>
              <w:top w:val="nil"/>
              <w:left w:val="nil"/>
              <w:bottom w:val="single" w:sz="4" w:space="0" w:color="auto"/>
              <w:right w:val="single" w:sz="4" w:space="0" w:color="auto"/>
            </w:tcBorders>
            <w:shd w:val="clear" w:color="auto" w:fill="auto"/>
            <w:noWrap/>
            <w:vAlign w:val="bottom"/>
            <w:hideMark/>
          </w:tcPr>
          <w:p w14:paraId="36FA614A"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6.98%</w:t>
            </w:r>
          </w:p>
        </w:tc>
      </w:tr>
      <w:tr w:rsidR="000729CF" w:rsidRPr="000729CF" w14:paraId="613CDC1A" w14:textId="77777777" w:rsidTr="00BC26AB">
        <w:trPr>
          <w:trHeight w:val="300"/>
        </w:trPr>
        <w:tc>
          <w:tcPr>
            <w:tcW w:w="1435" w:type="dxa"/>
            <w:vMerge/>
            <w:tcBorders>
              <w:top w:val="nil"/>
              <w:left w:val="single" w:sz="4" w:space="0" w:color="auto"/>
              <w:bottom w:val="single" w:sz="4" w:space="0" w:color="000000"/>
              <w:right w:val="single" w:sz="4" w:space="0" w:color="auto"/>
            </w:tcBorders>
            <w:shd w:val="clear" w:color="auto" w:fill="auto"/>
            <w:vAlign w:val="center"/>
            <w:hideMark/>
          </w:tcPr>
          <w:p w14:paraId="62FE8BC4" w14:textId="77777777" w:rsidR="000729CF" w:rsidRPr="000729CF" w:rsidRDefault="000729CF" w:rsidP="000729CF">
            <w:pPr>
              <w:rPr>
                <w:rFonts w:ascii="Arial" w:hAnsi="Arial" w:cs="Arial"/>
                <w:sz w:val="24"/>
                <w:szCs w:val="24"/>
                <w:lang w:val="en-GB" w:eastAsia="en-GB"/>
              </w:rPr>
            </w:pPr>
          </w:p>
        </w:tc>
        <w:tc>
          <w:tcPr>
            <w:tcW w:w="2409" w:type="dxa"/>
            <w:tcBorders>
              <w:top w:val="nil"/>
              <w:left w:val="nil"/>
              <w:bottom w:val="single" w:sz="4" w:space="0" w:color="auto"/>
              <w:right w:val="single" w:sz="4" w:space="0" w:color="auto"/>
            </w:tcBorders>
            <w:shd w:val="clear" w:color="auto" w:fill="auto"/>
            <w:noWrap/>
            <w:vAlign w:val="bottom"/>
            <w:hideMark/>
          </w:tcPr>
          <w:p w14:paraId="5A44CCCC" w14:textId="77777777" w:rsidR="000729CF" w:rsidRPr="000729CF" w:rsidRDefault="000729CF" w:rsidP="000729CF">
            <w:pPr>
              <w:rPr>
                <w:rFonts w:ascii="Arial" w:hAnsi="Arial" w:cs="Arial"/>
                <w:sz w:val="24"/>
                <w:szCs w:val="24"/>
                <w:lang w:val="en-GB" w:eastAsia="en-GB"/>
              </w:rPr>
            </w:pPr>
            <w:r w:rsidRPr="000729CF">
              <w:rPr>
                <w:rFonts w:ascii="Arial" w:hAnsi="Arial" w:cs="Arial"/>
                <w:sz w:val="24"/>
                <w:szCs w:val="24"/>
                <w:lang w:val="en-GB" w:eastAsia="en-GB"/>
              </w:rPr>
              <w:t>Tertiary Shops</w:t>
            </w:r>
          </w:p>
        </w:tc>
        <w:tc>
          <w:tcPr>
            <w:tcW w:w="1170" w:type="dxa"/>
            <w:tcBorders>
              <w:top w:val="nil"/>
              <w:left w:val="nil"/>
              <w:bottom w:val="single" w:sz="4" w:space="0" w:color="auto"/>
              <w:right w:val="single" w:sz="4" w:space="0" w:color="auto"/>
            </w:tcBorders>
            <w:shd w:val="clear" w:color="auto" w:fill="auto"/>
            <w:vAlign w:val="bottom"/>
            <w:hideMark/>
          </w:tcPr>
          <w:p w14:paraId="1C718BD9"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 xml:space="preserve">779 </w:t>
            </w:r>
          </w:p>
        </w:tc>
        <w:tc>
          <w:tcPr>
            <w:tcW w:w="1170" w:type="dxa"/>
            <w:tcBorders>
              <w:top w:val="nil"/>
              <w:left w:val="nil"/>
              <w:bottom w:val="single" w:sz="4" w:space="0" w:color="auto"/>
              <w:right w:val="single" w:sz="4" w:space="0" w:color="auto"/>
            </w:tcBorders>
            <w:shd w:val="clear" w:color="auto" w:fill="auto"/>
            <w:vAlign w:val="bottom"/>
            <w:hideMark/>
          </w:tcPr>
          <w:p w14:paraId="4B0EC039"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6.38%</w:t>
            </w:r>
          </w:p>
        </w:tc>
        <w:tc>
          <w:tcPr>
            <w:tcW w:w="1170" w:type="dxa"/>
            <w:tcBorders>
              <w:top w:val="nil"/>
              <w:left w:val="nil"/>
              <w:bottom w:val="single" w:sz="4" w:space="0" w:color="auto"/>
              <w:right w:val="single" w:sz="4" w:space="0" w:color="auto"/>
            </w:tcBorders>
            <w:shd w:val="clear" w:color="auto" w:fill="auto"/>
            <w:vAlign w:val="bottom"/>
            <w:hideMark/>
          </w:tcPr>
          <w:p w14:paraId="0FF133FC"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 xml:space="preserve">5,717 </w:t>
            </w:r>
          </w:p>
        </w:tc>
        <w:tc>
          <w:tcPr>
            <w:tcW w:w="1170" w:type="dxa"/>
            <w:tcBorders>
              <w:top w:val="nil"/>
              <w:left w:val="nil"/>
              <w:bottom w:val="single" w:sz="4" w:space="0" w:color="auto"/>
              <w:right w:val="single" w:sz="4" w:space="0" w:color="auto"/>
            </w:tcBorders>
            <w:shd w:val="clear" w:color="auto" w:fill="auto"/>
            <w:vAlign w:val="bottom"/>
            <w:hideMark/>
          </w:tcPr>
          <w:p w14:paraId="336405E4"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2.80%</w:t>
            </w:r>
          </w:p>
        </w:tc>
        <w:tc>
          <w:tcPr>
            <w:tcW w:w="1170" w:type="dxa"/>
            <w:tcBorders>
              <w:top w:val="nil"/>
              <w:left w:val="nil"/>
              <w:bottom w:val="single" w:sz="4" w:space="0" w:color="auto"/>
              <w:right w:val="single" w:sz="4" w:space="0" w:color="auto"/>
            </w:tcBorders>
            <w:shd w:val="clear" w:color="auto" w:fill="auto"/>
            <w:noWrap/>
            <w:vAlign w:val="bottom"/>
            <w:hideMark/>
          </w:tcPr>
          <w:p w14:paraId="1F42D046"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13.62%</w:t>
            </w:r>
          </w:p>
        </w:tc>
      </w:tr>
      <w:tr w:rsidR="000729CF" w:rsidRPr="000729CF" w14:paraId="0C65AEF2" w14:textId="77777777" w:rsidTr="00BC26AB">
        <w:trPr>
          <w:trHeight w:val="300"/>
        </w:trPr>
        <w:tc>
          <w:tcPr>
            <w:tcW w:w="1435" w:type="dxa"/>
            <w:vMerge/>
            <w:tcBorders>
              <w:top w:val="nil"/>
              <w:left w:val="single" w:sz="4" w:space="0" w:color="auto"/>
              <w:bottom w:val="single" w:sz="4" w:space="0" w:color="000000"/>
              <w:right w:val="single" w:sz="4" w:space="0" w:color="auto"/>
            </w:tcBorders>
            <w:shd w:val="clear" w:color="auto" w:fill="auto"/>
            <w:vAlign w:val="center"/>
            <w:hideMark/>
          </w:tcPr>
          <w:p w14:paraId="76D4C701" w14:textId="77777777" w:rsidR="000729CF" w:rsidRPr="000729CF" w:rsidRDefault="000729CF" w:rsidP="000729CF">
            <w:pPr>
              <w:rPr>
                <w:rFonts w:ascii="Arial" w:hAnsi="Arial" w:cs="Arial"/>
                <w:sz w:val="24"/>
                <w:szCs w:val="24"/>
                <w:lang w:val="en-GB" w:eastAsia="en-GB"/>
              </w:rPr>
            </w:pPr>
          </w:p>
        </w:tc>
        <w:tc>
          <w:tcPr>
            <w:tcW w:w="2409" w:type="dxa"/>
            <w:tcBorders>
              <w:top w:val="nil"/>
              <w:left w:val="nil"/>
              <w:bottom w:val="single" w:sz="4" w:space="0" w:color="auto"/>
              <w:right w:val="single" w:sz="4" w:space="0" w:color="auto"/>
            </w:tcBorders>
            <w:shd w:val="clear" w:color="auto" w:fill="auto"/>
            <w:noWrap/>
            <w:vAlign w:val="bottom"/>
            <w:hideMark/>
          </w:tcPr>
          <w:p w14:paraId="5BE37157" w14:textId="77777777" w:rsidR="000729CF" w:rsidRPr="000729CF" w:rsidRDefault="000729CF" w:rsidP="000729CF">
            <w:pPr>
              <w:rPr>
                <w:rFonts w:ascii="Arial" w:hAnsi="Arial" w:cs="Arial"/>
                <w:sz w:val="24"/>
                <w:szCs w:val="24"/>
                <w:lang w:val="en-GB" w:eastAsia="en-GB"/>
              </w:rPr>
            </w:pPr>
            <w:r w:rsidRPr="000729CF">
              <w:rPr>
                <w:rFonts w:ascii="Arial" w:hAnsi="Arial" w:cs="Arial"/>
                <w:sz w:val="24"/>
                <w:szCs w:val="24"/>
                <w:lang w:val="en-GB" w:eastAsia="en-GB"/>
              </w:rPr>
              <w:t>Neighbourhood Shops</w:t>
            </w:r>
          </w:p>
        </w:tc>
        <w:tc>
          <w:tcPr>
            <w:tcW w:w="1170" w:type="dxa"/>
            <w:tcBorders>
              <w:top w:val="nil"/>
              <w:left w:val="nil"/>
              <w:bottom w:val="single" w:sz="4" w:space="0" w:color="auto"/>
              <w:right w:val="single" w:sz="4" w:space="0" w:color="auto"/>
            </w:tcBorders>
            <w:shd w:val="clear" w:color="auto" w:fill="auto"/>
            <w:vAlign w:val="bottom"/>
            <w:hideMark/>
          </w:tcPr>
          <w:p w14:paraId="3F7FF9BC"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330</w:t>
            </w:r>
          </w:p>
        </w:tc>
        <w:tc>
          <w:tcPr>
            <w:tcW w:w="1170" w:type="dxa"/>
            <w:tcBorders>
              <w:top w:val="nil"/>
              <w:left w:val="nil"/>
              <w:bottom w:val="single" w:sz="4" w:space="0" w:color="auto"/>
              <w:right w:val="single" w:sz="4" w:space="0" w:color="auto"/>
            </w:tcBorders>
            <w:shd w:val="clear" w:color="auto" w:fill="auto"/>
            <w:vAlign w:val="bottom"/>
            <w:hideMark/>
          </w:tcPr>
          <w:p w14:paraId="2B9C870D"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2.70%</w:t>
            </w:r>
          </w:p>
        </w:tc>
        <w:tc>
          <w:tcPr>
            <w:tcW w:w="1170" w:type="dxa"/>
            <w:tcBorders>
              <w:top w:val="nil"/>
              <w:left w:val="nil"/>
              <w:bottom w:val="single" w:sz="4" w:space="0" w:color="auto"/>
              <w:right w:val="single" w:sz="4" w:space="0" w:color="auto"/>
            </w:tcBorders>
            <w:shd w:val="clear" w:color="auto" w:fill="auto"/>
            <w:vAlign w:val="bottom"/>
            <w:hideMark/>
          </w:tcPr>
          <w:p w14:paraId="2EF5CAD3"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 xml:space="preserve">3,084 </w:t>
            </w:r>
          </w:p>
        </w:tc>
        <w:tc>
          <w:tcPr>
            <w:tcW w:w="1170" w:type="dxa"/>
            <w:tcBorders>
              <w:top w:val="nil"/>
              <w:left w:val="nil"/>
              <w:bottom w:val="single" w:sz="4" w:space="0" w:color="auto"/>
              <w:right w:val="single" w:sz="4" w:space="0" w:color="auto"/>
            </w:tcBorders>
            <w:shd w:val="clear" w:color="auto" w:fill="auto"/>
            <w:vAlign w:val="bottom"/>
            <w:hideMark/>
          </w:tcPr>
          <w:p w14:paraId="2672D6F9"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1.51%</w:t>
            </w:r>
          </w:p>
        </w:tc>
        <w:tc>
          <w:tcPr>
            <w:tcW w:w="1170" w:type="dxa"/>
            <w:tcBorders>
              <w:top w:val="nil"/>
              <w:left w:val="nil"/>
              <w:bottom w:val="single" w:sz="4" w:space="0" w:color="auto"/>
              <w:right w:val="single" w:sz="4" w:space="0" w:color="auto"/>
            </w:tcBorders>
            <w:shd w:val="clear" w:color="auto" w:fill="auto"/>
            <w:noWrap/>
            <w:vAlign w:val="bottom"/>
            <w:hideMark/>
          </w:tcPr>
          <w:p w14:paraId="1EADCB87"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10.69%</w:t>
            </w:r>
          </w:p>
        </w:tc>
      </w:tr>
      <w:tr w:rsidR="000729CF" w:rsidRPr="000729CF" w14:paraId="7FF827A8" w14:textId="77777777" w:rsidTr="00BC26AB">
        <w:trPr>
          <w:trHeight w:val="300"/>
        </w:trPr>
        <w:tc>
          <w:tcPr>
            <w:tcW w:w="1435" w:type="dxa"/>
            <w:vMerge/>
            <w:tcBorders>
              <w:top w:val="nil"/>
              <w:left w:val="single" w:sz="4" w:space="0" w:color="auto"/>
              <w:bottom w:val="single" w:sz="4" w:space="0" w:color="000000"/>
              <w:right w:val="single" w:sz="4" w:space="0" w:color="auto"/>
            </w:tcBorders>
            <w:shd w:val="clear" w:color="auto" w:fill="auto"/>
            <w:vAlign w:val="center"/>
            <w:hideMark/>
          </w:tcPr>
          <w:p w14:paraId="33F53688" w14:textId="77777777" w:rsidR="000729CF" w:rsidRPr="000729CF" w:rsidRDefault="000729CF" w:rsidP="000729CF">
            <w:pPr>
              <w:rPr>
                <w:rFonts w:ascii="Arial" w:hAnsi="Arial" w:cs="Arial"/>
                <w:sz w:val="24"/>
                <w:szCs w:val="24"/>
                <w:lang w:val="en-GB" w:eastAsia="en-GB"/>
              </w:rPr>
            </w:pPr>
          </w:p>
        </w:tc>
        <w:tc>
          <w:tcPr>
            <w:tcW w:w="2409" w:type="dxa"/>
            <w:tcBorders>
              <w:top w:val="nil"/>
              <w:left w:val="nil"/>
              <w:bottom w:val="single" w:sz="4" w:space="0" w:color="auto"/>
              <w:right w:val="single" w:sz="4" w:space="0" w:color="auto"/>
            </w:tcBorders>
            <w:shd w:val="clear" w:color="auto" w:fill="auto"/>
            <w:noWrap/>
            <w:vAlign w:val="bottom"/>
            <w:hideMark/>
          </w:tcPr>
          <w:p w14:paraId="6139D738" w14:textId="77777777" w:rsidR="000729CF" w:rsidRPr="000729CF" w:rsidRDefault="000729CF" w:rsidP="000729CF">
            <w:pPr>
              <w:rPr>
                <w:rFonts w:ascii="Arial" w:hAnsi="Arial" w:cs="Arial"/>
                <w:sz w:val="24"/>
                <w:szCs w:val="24"/>
                <w:lang w:val="en-GB" w:eastAsia="en-GB"/>
              </w:rPr>
            </w:pPr>
            <w:r w:rsidRPr="000729CF">
              <w:rPr>
                <w:rFonts w:ascii="Arial" w:hAnsi="Arial" w:cs="Arial"/>
                <w:sz w:val="24"/>
                <w:szCs w:val="24"/>
                <w:lang w:val="en-GB" w:eastAsia="en-GB"/>
              </w:rPr>
              <w:t>Offices</w:t>
            </w:r>
          </w:p>
        </w:tc>
        <w:tc>
          <w:tcPr>
            <w:tcW w:w="1170" w:type="dxa"/>
            <w:tcBorders>
              <w:top w:val="nil"/>
              <w:left w:val="nil"/>
              <w:bottom w:val="single" w:sz="4" w:space="0" w:color="auto"/>
              <w:right w:val="single" w:sz="4" w:space="0" w:color="auto"/>
            </w:tcBorders>
            <w:shd w:val="clear" w:color="auto" w:fill="auto"/>
            <w:vAlign w:val="bottom"/>
            <w:hideMark/>
          </w:tcPr>
          <w:p w14:paraId="03027B0E"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 xml:space="preserve"> 1,123 </w:t>
            </w:r>
          </w:p>
        </w:tc>
        <w:tc>
          <w:tcPr>
            <w:tcW w:w="1170" w:type="dxa"/>
            <w:tcBorders>
              <w:top w:val="nil"/>
              <w:left w:val="nil"/>
              <w:bottom w:val="single" w:sz="4" w:space="0" w:color="auto"/>
              <w:right w:val="single" w:sz="4" w:space="0" w:color="auto"/>
            </w:tcBorders>
            <w:shd w:val="clear" w:color="auto" w:fill="auto"/>
            <w:vAlign w:val="bottom"/>
            <w:hideMark/>
          </w:tcPr>
          <w:p w14:paraId="1137774B"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9.20%</w:t>
            </w:r>
          </w:p>
        </w:tc>
        <w:tc>
          <w:tcPr>
            <w:tcW w:w="1170" w:type="dxa"/>
            <w:tcBorders>
              <w:top w:val="nil"/>
              <w:left w:val="nil"/>
              <w:bottom w:val="single" w:sz="4" w:space="0" w:color="auto"/>
              <w:right w:val="single" w:sz="4" w:space="0" w:color="auto"/>
            </w:tcBorders>
            <w:shd w:val="clear" w:color="auto" w:fill="auto"/>
            <w:vAlign w:val="bottom"/>
            <w:hideMark/>
          </w:tcPr>
          <w:p w14:paraId="17E83C5C"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 xml:space="preserve">15,796 </w:t>
            </w:r>
          </w:p>
        </w:tc>
        <w:tc>
          <w:tcPr>
            <w:tcW w:w="1170" w:type="dxa"/>
            <w:tcBorders>
              <w:top w:val="nil"/>
              <w:left w:val="nil"/>
              <w:bottom w:val="single" w:sz="4" w:space="0" w:color="auto"/>
              <w:right w:val="single" w:sz="4" w:space="0" w:color="auto"/>
            </w:tcBorders>
            <w:shd w:val="clear" w:color="auto" w:fill="auto"/>
            <w:vAlign w:val="bottom"/>
            <w:hideMark/>
          </w:tcPr>
          <w:p w14:paraId="4360642C"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7.74%</w:t>
            </w:r>
          </w:p>
        </w:tc>
        <w:tc>
          <w:tcPr>
            <w:tcW w:w="1170" w:type="dxa"/>
            <w:tcBorders>
              <w:top w:val="nil"/>
              <w:left w:val="nil"/>
              <w:bottom w:val="single" w:sz="4" w:space="0" w:color="auto"/>
              <w:right w:val="single" w:sz="4" w:space="0" w:color="auto"/>
            </w:tcBorders>
            <w:shd w:val="clear" w:color="auto" w:fill="auto"/>
            <w:noWrap/>
            <w:vAlign w:val="bottom"/>
            <w:hideMark/>
          </w:tcPr>
          <w:p w14:paraId="63EFC226"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7.11%</w:t>
            </w:r>
          </w:p>
        </w:tc>
      </w:tr>
      <w:tr w:rsidR="000729CF" w:rsidRPr="000729CF" w14:paraId="22ED2BB0" w14:textId="77777777" w:rsidTr="00BC26AB">
        <w:trPr>
          <w:trHeight w:val="300"/>
        </w:trPr>
        <w:tc>
          <w:tcPr>
            <w:tcW w:w="1435" w:type="dxa"/>
            <w:vMerge/>
            <w:tcBorders>
              <w:top w:val="nil"/>
              <w:left w:val="single" w:sz="4" w:space="0" w:color="auto"/>
              <w:bottom w:val="single" w:sz="4" w:space="0" w:color="000000"/>
              <w:right w:val="single" w:sz="4" w:space="0" w:color="auto"/>
            </w:tcBorders>
            <w:shd w:val="clear" w:color="auto" w:fill="auto"/>
            <w:vAlign w:val="center"/>
            <w:hideMark/>
          </w:tcPr>
          <w:p w14:paraId="6E1661E6" w14:textId="77777777" w:rsidR="000729CF" w:rsidRPr="000729CF" w:rsidRDefault="000729CF" w:rsidP="000729CF">
            <w:pPr>
              <w:rPr>
                <w:rFonts w:ascii="Arial" w:hAnsi="Arial" w:cs="Arial"/>
                <w:sz w:val="24"/>
                <w:szCs w:val="24"/>
                <w:lang w:val="en-GB" w:eastAsia="en-GB"/>
              </w:rPr>
            </w:pPr>
          </w:p>
        </w:tc>
        <w:tc>
          <w:tcPr>
            <w:tcW w:w="2409" w:type="dxa"/>
            <w:tcBorders>
              <w:top w:val="nil"/>
              <w:left w:val="nil"/>
              <w:bottom w:val="single" w:sz="4" w:space="0" w:color="auto"/>
              <w:right w:val="single" w:sz="4" w:space="0" w:color="auto"/>
            </w:tcBorders>
            <w:shd w:val="clear" w:color="auto" w:fill="auto"/>
            <w:noWrap/>
            <w:vAlign w:val="bottom"/>
            <w:hideMark/>
          </w:tcPr>
          <w:p w14:paraId="6BB696C9" w14:textId="77777777" w:rsidR="000729CF" w:rsidRPr="000729CF" w:rsidRDefault="000729CF" w:rsidP="000729CF">
            <w:pPr>
              <w:rPr>
                <w:rFonts w:ascii="Arial" w:hAnsi="Arial" w:cs="Arial"/>
                <w:sz w:val="24"/>
                <w:szCs w:val="24"/>
                <w:lang w:val="en-GB" w:eastAsia="en-GB"/>
              </w:rPr>
            </w:pPr>
            <w:r w:rsidRPr="000729CF">
              <w:rPr>
                <w:rFonts w:ascii="Arial" w:hAnsi="Arial" w:cs="Arial"/>
                <w:sz w:val="24"/>
                <w:szCs w:val="24"/>
                <w:lang w:val="en-GB" w:eastAsia="en-GB"/>
              </w:rPr>
              <w:t>Industrial</w:t>
            </w:r>
          </w:p>
        </w:tc>
        <w:tc>
          <w:tcPr>
            <w:tcW w:w="1170" w:type="dxa"/>
            <w:tcBorders>
              <w:top w:val="nil"/>
              <w:left w:val="nil"/>
              <w:bottom w:val="single" w:sz="4" w:space="0" w:color="auto"/>
              <w:right w:val="single" w:sz="4" w:space="0" w:color="auto"/>
            </w:tcBorders>
            <w:shd w:val="clear" w:color="auto" w:fill="auto"/>
            <w:vAlign w:val="bottom"/>
            <w:hideMark/>
          </w:tcPr>
          <w:p w14:paraId="56C37BF4"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 xml:space="preserve">939 </w:t>
            </w:r>
          </w:p>
        </w:tc>
        <w:tc>
          <w:tcPr>
            <w:tcW w:w="1170" w:type="dxa"/>
            <w:tcBorders>
              <w:top w:val="nil"/>
              <w:left w:val="nil"/>
              <w:bottom w:val="single" w:sz="4" w:space="0" w:color="auto"/>
              <w:right w:val="single" w:sz="4" w:space="0" w:color="auto"/>
            </w:tcBorders>
            <w:shd w:val="clear" w:color="auto" w:fill="auto"/>
            <w:vAlign w:val="bottom"/>
            <w:hideMark/>
          </w:tcPr>
          <w:p w14:paraId="24771EE0"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7.69%</w:t>
            </w:r>
          </w:p>
        </w:tc>
        <w:tc>
          <w:tcPr>
            <w:tcW w:w="1170" w:type="dxa"/>
            <w:tcBorders>
              <w:top w:val="nil"/>
              <w:left w:val="nil"/>
              <w:bottom w:val="single" w:sz="4" w:space="0" w:color="auto"/>
              <w:right w:val="single" w:sz="4" w:space="0" w:color="auto"/>
            </w:tcBorders>
            <w:shd w:val="clear" w:color="auto" w:fill="auto"/>
            <w:vAlign w:val="bottom"/>
            <w:hideMark/>
          </w:tcPr>
          <w:p w14:paraId="08E84C0C"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 xml:space="preserve">10,359 </w:t>
            </w:r>
          </w:p>
        </w:tc>
        <w:tc>
          <w:tcPr>
            <w:tcW w:w="1170" w:type="dxa"/>
            <w:tcBorders>
              <w:top w:val="nil"/>
              <w:left w:val="nil"/>
              <w:bottom w:val="single" w:sz="4" w:space="0" w:color="auto"/>
              <w:right w:val="single" w:sz="4" w:space="0" w:color="auto"/>
            </w:tcBorders>
            <w:shd w:val="clear" w:color="auto" w:fill="auto"/>
            <w:vAlign w:val="bottom"/>
            <w:hideMark/>
          </w:tcPr>
          <w:p w14:paraId="52BA2593"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5.08%</w:t>
            </w:r>
          </w:p>
        </w:tc>
        <w:tc>
          <w:tcPr>
            <w:tcW w:w="1170" w:type="dxa"/>
            <w:tcBorders>
              <w:top w:val="nil"/>
              <w:left w:val="nil"/>
              <w:bottom w:val="single" w:sz="4" w:space="0" w:color="auto"/>
              <w:right w:val="single" w:sz="4" w:space="0" w:color="auto"/>
            </w:tcBorders>
            <w:shd w:val="clear" w:color="auto" w:fill="auto"/>
            <w:noWrap/>
            <w:vAlign w:val="bottom"/>
            <w:hideMark/>
          </w:tcPr>
          <w:p w14:paraId="4A40619A"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9.07%</w:t>
            </w:r>
          </w:p>
        </w:tc>
      </w:tr>
      <w:tr w:rsidR="000729CF" w:rsidRPr="000729CF" w14:paraId="1334B75C" w14:textId="77777777" w:rsidTr="00BC26AB">
        <w:trPr>
          <w:trHeight w:val="300"/>
        </w:trPr>
        <w:tc>
          <w:tcPr>
            <w:tcW w:w="1435" w:type="dxa"/>
            <w:vMerge/>
            <w:tcBorders>
              <w:top w:val="nil"/>
              <w:left w:val="single" w:sz="4" w:space="0" w:color="auto"/>
              <w:bottom w:val="single" w:sz="4" w:space="0" w:color="000000"/>
              <w:right w:val="single" w:sz="4" w:space="0" w:color="auto"/>
            </w:tcBorders>
            <w:shd w:val="clear" w:color="auto" w:fill="auto"/>
            <w:vAlign w:val="center"/>
            <w:hideMark/>
          </w:tcPr>
          <w:p w14:paraId="7FB1B123" w14:textId="77777777" w:rsidR="000729CF" w:rsidRPr="000729CF" w:rsidRDefault="000729CF" w:rsidP="000729CF">
            <w:pPr>
              <w:rPr>
                <w:rFonts w:ascii="Arial" w:hAnsi="Arial" w:cs="Arial"/>
                <w:sz w:val="24"/>
                <w:szCs w:val="24"/>
                <w:lang w:val="en-GB" w:eastAsia="en-GB"/>
              </w:rPr>
            </w:pPr>
          </w:p>
        </w:tc>
        <w:tc>
          <w:tcPr>
            <w:tcW w:w="2409" w:type="dxa"/>
            <w:tcBorders>
              <w:top w:val="nil"/>
              <w:left w:val="nil"/>
              <w:bottom w:val="single" w:sz="4" w:space="0" w:color="auto"/>
              <w:right w:val="single" w:sz="4" w:space="0" w:color="auto"/>
            </w:tcBorders>
            <w:shd w:val="clear" w:color="auto" w:fill="auto"/>
            <w:noWrap/>
            <w:vAlign w:val="bottom"/>
            <w:hideMark/>
          </w:tcPr>
          <w:p w14:paraId="5EE58060" w14:textId="77777777" w:rsidR="000729CF" w:rsidRPr="000729CF" w:rsidRDefault="000729CF" w:rsidP="000729CF">
            <w:pPr>
              <w:rPr>
                <w:rFonts w:ascii="Arial" w:hAnsi="Arial" w:cs="Arial"/>
                <w:sz w:val="24"/>
                <w:szCs w:val="24"/>
                <w:lang w:val="en-GB" w:eastAsia="en-GB"/>
              </w:rPr>
            </w:pPr>
            <w:r w:rsidRPr="000729CF">
              <w:rPr>
                <w:rFonts w:ascii="Arial" w:hAnsi="Arial" w:cs="Arial"/>
                <w:sz w:val="24"/>
                <w:szCs w:val="24"/>
                <w:lang w:val="en-GB" w:eastAsia="en-GB"/>
              </w:rPr>
              <w:t>Leisure</w:t>
            </w:r>
          </w:p>
        </w:tc>
        <w:tc>
          <w:tcPr>
            <w:tcW w:w="1170" w:type="dxa"/>
            <w:tcBorders>
              <w:top w:val="nil"/>
              <w:left w:val="nil"/>
              <w:bottom w:val="single" w:sz="4" w:space="0" w:color="auto"/>
              <w:right w:val="single" w:sz="4" w:space="0" w:color="auto"/>
            </w:tcBorders>
            <w:shd w:val="clear" w:color="auto" w:fill="auto"/>
            <w:vAlign w:val="bottom"/>
            <w:hideMark/>
          </w:tcPr>
          <w:p w14:paraId="257ADC09"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 xml:space="preserve">293 </w:t>
            </w:r>
          </w:p>
        </w:tc>
        <w:tc>
          <w:tcPr>
            <w:tcW w:w="1170" w:type="dxa"/>
            <w:tcBorders>
              <w:top w:val="nil"/>
              <w:left w:val="nil"/>
              <w:bottom w:val="single" w:sz="4" w:space="0" w:color="auto"/>
              <w:right w:val="single" w:sz="4" w:space="0" w:color="auto"/>
            </w:tcBorders>
            <w:shd w:val="clear" w:color="auto" w:fill="auto"/>
            <w:vAlign w:val="bottom"/>
            <w:hideMark/>
          </w:tcPr>
          <w:p w14:paraId="75581417"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2.40%</w:t>
            </w:r>
          </w:p>
        </w:tc>
        <w:tc>
          <w:tcPr>
            <w:tcW w:w="1170" w:type="dxa"/>
            <w:tcBorders>
              <w:top w:val="nil"/>
              <w:left w:val="nil"/>
              <w:bottom w:val="single" w:sz="4" w:space="0" w:color="auto"/>
              <w:right w:val="single" w:sz="4" w:space="0" w:color="auto"/>
            </w:tcBorders>
            <w:shd w:val="clear" w:color="auto" w:fill="auto"/>
            <w:vAlign w:val="bottom"/>
            <w:hideMark/>
          </w:tcPr>
          <w:p w14:paraId="4F07B9DB"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 xml:space="preserve">6,431 </w:t>
            </w:r>
          </w:p>
        </w:tc>
        <w:tc>
          <w:tcPr>
            <w:tcW w:w="1170" w:type="dxa"/>
            <w:tcBorders>
              <w:top w:val="nil"/>
              <w:left w:val="nil"/>
              <w:bottom w:val="single" w:sz="4" w:space="0" w:color="auto"/>
              <w:right w:val="single" w:sz="4" w:space="0" w:color="auto"/>
            </w:tcBorders>
            <w:shd w:val="clear" w:color="auto" w:fill="auto"/>
            <w:vAlign w:val="bottom"/>
            <w:hideMark/>
          </w:tcPr>
          <w:p w14:paraId="7671D801"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3.15%</w:t>
            </w:r>
          </w:p>
        </w:tc>
        <w:tc>
          <w:tcPr>
            <w:tcW w:w="1170" w:type="dxa"/>
            <w:tcBorders>
              <w:top w:val="nil"/>
              <w:left w:val="nil"/>
              <w:bottom w:val="single" w:sz="4" w:space="0" w:color="auto"/>
              <w:right w:val="single" w:sz="4" w:space="0" w:color="auto"/>
            </w:tcBorders>
            <w:shd w:val="clear" w:color="auto" w:fill="auto"/>
            <w:noWrap/>
            <w:vAlign w:val="bottom"/>
            <w:hideMark/>
          </w:tcPr>
          <w:p w14:paraId="08788937"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4.56%</w:t>
            </w:r>
          </w:p>
        </w:tc>
      </w:tr>
      <w:tr w:rsidR="000729CF" w:rsidRPr="000729CF" w14:paraId="3A2EE174" w14:textId="77777777" w:rsidTr="00BC26AB">
        <w:trPr>
          <w:trHeight w:val="300"/>
        </w:trPr>
        <w:tc>
          <w:tcPr>
            <w:tcW w:w="1435" w:type="dxa"/>
            <w:vMerge/>
            <w:tcBorders>
              <w:top w:val="nil"/>
              <w:left w:val="single" w:sz="4" w:space="0" w:color="auto"/>
              <w:bottom w:val="single" w:sz="4" w:space="0" w:color="000000"/>
              <w:right w:val="single" w:sz="4" w:space="0" w:color="auto"/>
            </w:tcBorders>
            <w:shd w:val="clear" w:color="auto" w:fill="auto"/>
            <w:vAlign w:val="center"/>
            <w:hideMark/>
          </w:tcPr>
          <w:p w14:paraId="686AF69F" w14:textId="77777777" w:rsidR="000729CF" w:rsidRPr="000729CF" w:rsidRDefault="000729CF" w:rsidP="000729CF">
            <w:pPr>
              <w:rPr>
                <w:rFonts w:ascii="Arial" w:hAnsi="Arial" w:cs="Arial"/>
                <w:sz w:val="24"/>
                <w:szCs w:val="24"/>
                <w:lang w:val="en-GB" w:eastAsia="en-GB"/>
              </w:rPr>
            </w:pPr>
          </w:p>
        </w:tc>
        <w:tc>
          <w:tcPr>
            <w:tcW w:w="2409" w:type="dxa"/>
            <w:tcBorders>
              <w:top w:val="nil"/>
              <w:left w:val="nil"/>
              <w:bottom w:val="single" w:sz="4" w:space="0" w:color="auto"/>
              <w:right w:val="single" w:sz="4" w:space="0" w:color="auto"/>
            </w:tcBorders>
            <w:shd w:val="clear" w:color="auto" w:fill="auto"/>
            <w:noWrap/>
            <w:vAlign w:val="bottom"/>
            <w:hideMark/>
          </w:tcPr>
          <w:p w14:paraId="6A84266C" w14:textId="77777777" w:rsidR="000729CF" w:rsidRPr="000729CF" w:rsidRDefault="000729CF" w:rsidP="000729CF">
            <w:pPr>
              <w:rPr>
                <w:rFonts w:ascii="Arial" w:hAnsi="Arial" w:cs="Arial"/>
                <w:sz w:val="24"/>
                <w:szCs w:val="24"/>
                <w:lang w:val="en-GB" w:eastAsia="en-GB"/>
              </w:rPr>
            </w:pPr>
            <w:r w:rsidRPr="000729CF">
              <w:rPr>
                <w:rFonts w:ascii="Arial" w:hAnsi="Arial" w:cs="Arial"/>
                <w:sz w:val="24"/>
                <w:szCs w:val="24"/>
                <w:lang w:val="en-GB" w:eastAsia="en-GB"/>
              </w:rPr>
              <w:t>Miscellaneous</w:t>
            </w:r>
          </w:p>
        </w:tc>
        <w:tc>
          <w:tcPr>
            <w:tcW w:w="1170" w:type="dxa"/>
            <w:tcBorders>
              <w:top w:val="nil"/>
              <w:left w:val="nil"/>
              <w:bottom w:val="single" w:sz="4" w:space="0" w:color="auto"/>
              <w:right w:val="single" w:sz="4" w:space="0" w:color="auto"/>
            </w:tcBorders>
            <w:shd w:val="clear" w:color="auto" w:fill="auto"/>
            <w:vAlign w:val="bottom"/>
            <w:hideMark/>
          </w:tcPr>
          <w:p w14:paraId="6AC2F651"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 xml:space="preserve">135 </w:t>
            </w:r>
          </w:p>
        </w:tc>
        <w:tc>
          <w:tcPr>
            <w:tcW w:w="1170" w:type="dxa"/>
            <w:tcBorders>
              <w:top w:val="nil"/>
              <w:left w:val="nil"/>
              <w:bottom w:val="single" w:sz="4" w:space="0" w:color="auto"/>
              <w:right w:val="single" w:sz="4" w:space="0" w:color="auto"/>
            </w:tcBorders>
            <w:shd w:val="clear" w:color="auto" w:fill="auto"/>
            <w:vAlign w:val="bottom"/>
            <w:hideMark/>
          </w:tcPr>
          <w:p w14:paraId="54706FA5"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1.11%</w:t>
            </w:r>
          </w:p>
        </w:tc>
        <w:tc>
          <w:tcPr>
            <w:tcW w:w="1170" w:type="dxa"/>
            <w:tcBorders>
              <w:top w:val="nil"/>
              <w:left w:val="nil"/>
              <w:bottom w:val="single" w:sz="4" w:space="0" w:color="auto"/>
              <w:right w:val="single" w:sz="4" w:space="0" w:color="auto"/>
            </w:tcBorders>
            <w:shd w:val="clear" w:color="auto" w:fill="auto"/>
            <w:vAlign w:val="bottom"/>
            <w:hideMark/>
          </w:tcPr>
          <w:p w14:paraId="7877EE32"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 xml:space="preserve">2,279 </w:t>
            </w:r>
          </w:p>
        </w:tc>
        <w:tc>
          <w:tcPr>
            <w:tcW w:w="1170" w:type="dxa"/>
            <w:tcBorders>
              <w:top w:val="nil"/>
              <w:left w:val="nil"/>
              <w:bottom w:val="single" w:sz="4" w:space="0" w:color="auto"/>
              <w:right w:val="single" w:sz="4" w:space="0" w:color="auto"/>
            </w:tcBorders>
            <w:shd w:val="clear" w:color="auto" w:fill="auto"/>
            <w:vAlign w:val="bottom"/>
            <w:hideMark/>
          </w:tcPr>
          <w:p w14:paraId="2BF9EB87"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1.12%</w:t>
            </w:r>
          </w:p>
        </w:tc>
        <w:tc>
          <w:tcPr>
            <w:tcW w:w="1170" w:type="dxa"/>
            <w:tcBorders>
              <w:top w:val="nil"/>
              <w:left w:val="nil"/>
              <w:bottom w:val="single" w:sz="4" w:space="0" w:color="auto"/>
              <w:right w:val="single" w:sz="4" w:space="0" w:color="auto"/>
            </w:tcBorders>
            <w:shd w:val="clear" w:color="auto" w:fill="auto"/>
            <w:noWrap/>
            <w:vAlign w:val="bottom"/>
            <w:hideMark/>
          </w:tcPr>
          <w:p w14:paraId="2DCD5B28"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5.92%</w:t>
            </w:r>
          </w:p>
        </w:tc>
      </w:tr>
      <w:tr w:rsidR="000729CF" w:rsidRPr="000729CF" w14:paraId="7364EF08" w14:textId="77777777" w:rsidTr="00BC26AB">
        <w:trPr>
          <w:trHeight w:val="300"/>
        </w:trPr>
        <w:tc>
          <w:tcPr>
            <w:tcW w:w="1435" w:type="dxa"/>
            <w:vMerge/>
            <w:tcBorders>
              <w:top w:val="nil"/>
              <w:left w:val="single" w:sz="4" w:space="0" w:color="auto"/>
              <w:bottom w:val="single" w:sz="4" w:space="0" w:color="000000"/>
              <w:right w:val="single" w:sz="4" w:space="0" w:color="auto"/>
            </w:tcBorders>
            <w:shd w:val="clear" w:color="auto" w:fill="auto"/>
            <w:vAlign w:val="center"/>
            <w:hideMark/>
          </w:tcPr>
          <w:p w14:paraId="338BE367" w14:textId="77777777" w:rsidR="000729CF" w:rsidRPr="000729CF" w:rsidRDefault="000729CF" w:rsidP="000729CF">
            <w:pPr>
              <w:rPr>
                <w:rFonts w:ascii="Arial" w:hAnsi="Arial" w:cs="Arial"/>
                <w:sz w:val="24"/>
                <w:szCs w:val="24"/>
                <w:lang w:val="en-GB" w:eastAsia="en-GB"/>
              </w:rPr>
            </w:pPr>
          </w:p>
        </w:tc>
        <w:tc>
          <w:tcPr>
            <w:tcW w:w="2409" w:type="dxa"/>
            <w:tcBorders>
              <w:top w:val="nil"/>
              <w:left w:val="nil"/>
              <w:bottom w:val="single" w:sz="4" w:space="0" w:color="auto"/>
              <w:right w:val="single" w:sz="4" w:space="0" w:color="auto"/>
            </w:tcBorders>
            <w:shd w:val="clear" w:color="auto" w:fill="auto"/>
            <w:noWrap/>
            <w:vAlign w:val="bottom"/>
            <w:hideMark/>
          </w:tcPr>
          <w:p w14:paraId="189FAC1B" w14:textId="77777777" w:rsidR="000729CF" w:rsidRPr="000729CF" w:rsidRDefault="000729CF" w:rsidP="000729CF">
            <w:pPr>
              <w:rPr>
                <w:rFonts w:ascii="Arial" w:hAnsi="Arial" w:cs="Arial"/>
                <w:sz w:val="24"/>
                <w:szCs w:val="24"/>
                <w:lang w:val="en-GB" w:eastAsia="en-GB"/>
              </w:rPr>
            </w:pPr>
            <w:r w:rsidRPr="000729CF">
              <w:rPr>
                <w:rFonts w:ascii="Arial" w:hAnsi="Arial" w:cs="Arial"/>
                <w:sz w:val="24"/>
                <w:szCs w:val="24"/>
                <w:lang w:val="en-GB" w:eastAsia="en-GB"/>
              </w:rPr>
              <w:t>Mixed Use</w:t>
            </w:r>
          </w:p>
        </w:tc>
        <w:tc>
          <w:tcPr>
            <w:tcW w:w="1170" w:type="dxa"/>
            <w:tcBorders>
              <w:top w:val="nil"/>
              <w:left w:val="nil"/>
              <w:bottom w:val="single" w:sz="4" w:space="0" w:color="auto"/>
              <w:right w:val="single" w:sz="4" w:space="0" w:color="auto"/>
            </w:tcBorders>
            <w:shd w:val="clear" w:color="auto" w:fill="auto"/>
            <w:vAlign w:val="bottom"/>
            <w:hideMark/>
          </w:tcPr>
          <w:p w14:paraId="409A3870"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 xml:space="preserve">48 </w:t>
            </w:r>
          </w:p>
        </w:tc>
        <w:tc>
          <w:tcPr>
            <w:tcW w:w="1170" w:type="dxa"/>
            <w:tcBorders>
              <w:top w:val="nil"/>
              <w:left w:val="nil"/>
              <w:bottom w:val="single" w:sz="4" w:space="0" w:color="auto"/>
              <w:right w:val="single" w:sz="4" w:space="0" w:color="auto"/>
            </w:tcBorders>
            <w:shd w:val="clear" w:color="auto" w:fill="auto"/>
            <w:vAlign w:val="bottom"/>
            <w:hideMark/>
          </w:tcPr>
          <w:p w14:paraId="7773F61A"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0.39%</w:t>
            </w:r>
          </w:p>
        </w:tc>
        <w:tc>
          <w:tcPr>
            <w:tcW w:w="1170" w:type="dxa"/>
            <w:tcBorders>
              <w:top w:val="nil"/>
              <w:left w:val="nil"/>
              <w:bottom w:val="single" w:sz="4" w:space="0" w:color="auto"/>
              <w:right w:val="single" w:sz="4" w:space="0" w:color="auto"/>
            </w:tcBorders>
            <w:shd w:val="clear" w:color="auto" w:fill="auto"/>
            <w:vAlign w:val="bottom"/>
            <w:hideMark/>
          </w:tcPr>
          <w:p w14:paraId="36B54659"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 xml:space="preserve">714 </w:t>
            </w:r>
          </w:p>
        </w:tc>
        <w:tc>
          <w:tcPr>
            <w:tcW w:w="1170" w:type="dxa"/>
            <w:tcBorders>
              <w:top w:val="nil"/>
              <w:left w:val="nil"/>
              <w:bottom w:val="single" w:sz="4" w:space="0" w:color="auto"/>
              <w:right w:val="single" w:sz="4" w:space="0" w:color="auto"/>
            </w:tcBorders>
            <w:shd w:val="clear" w:color="auto" w:fill="auto"/>
            <w:vAlign w:val="bottom"/>
            <w:hideMark/>
          </w:tcPr>
          <w:p w14:paraId="63588465"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0.35%</w:t>
            </w:r>
          </w:p>
        </w:tc>
        <w:tc>
          <w:tcPr>
            <w:tcW w:w="1170" w:type="dxa"/>
            <w:tcBorders>
              <w:top w:val="nil"/>
              <w:left w:val="nil"/>
              <w:bottom w:val="single" w:sz="4" w:space="0" w:color="auto"/>
              <w:right w:val="single" w:sz="4" w:space="0" w:color="auto"/>
            </w:tcBorders>
            <w:shd w:val="clear" w:color="auto" w:fill="auto"/>
            <w:noWrap/>
            <w:vAlign w:val="bottom"/>
            <w:hideMark/>
          </w:tcPr>
          <w:p w14:paraId="55DBFC25"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6.72%</w:t>
            </w:r>
          </w:p>
        </w:tc>
      </w:tr>
      <w:tr w:rsidR="000729CF" w:rsidRPr="000729CF" w14:paraId="64C37292" w14:textId="77777777" w:rsidTr="00BC26AB">
        <w:trPr>
          <w:trHeight w:val="300"/>
        </w:trPr>
        <w:tc>
          <w:tcPr>
            <w:tcW w:w="1435" w:type="dxa"/>
            <w:vMerge/>
            <w:tcBorders>
              <w:top w:val="nil"/>
              <w:left w:val="single" w:sz="4" w:space="0" w:color="auto"/>
              <w:bottom w:val="single" w:sz="4" w:space="0" w:color="000000"/>
              <w:right w:val="single" w:sz="4" w:space="0" w:color="auto"/>
            </w:tcBorders>
            <w:shd w:val="clear" w:color="auto" w:fill="auto"/>
            <w:vAlign w:val="center"/>
            <w:hideMark/>
          </w:tcPr>
          <w:p w14:paraId="0232ECB6" w14:textId="77777777" w:rsidR="000729CF" w:rsidRPr="000729CF" w:rsidRDefault="000729CF" w:rsidP="000729CF">
            <w:pPr>
              <w:rPr>
                <w:rFonts w:ascii="Arial" w:hAnsi="Arial" w:cs="Arial"/>
                <w:sz w:val="24"/>
                <w:szCs w:val="24"/>
                <w:lang w:val="en-GB" w:eastAsia="en-GB"/>
              </w:rPr>
            </w:pPr>
          </w:p>
        </w:tc>
        <w:tc>
          <w:tcPr>
            <w:tcW w:w="2409" w:type="dxa"/>
            <w:tcBorders>
              <w:top w:val="nil"/>
              <w:left w:val="nil"/>
              <w:bottom w:val="single" w:sz="4" w:space="0" w:color="auto"/>
              <w:right w:val="single" w:sz="4" w:space="0" w:color="auto"/>
            </w:tcBorders>
            <w:shd w:val="clear" w:color="auto" w:fill="auto"/>
            <w:noWrap/>
            <w:vAlign w:val="bottom"/>
            <w:hideMark/>
          </w:tcPr>
          <w:p w14:paraId="76AFBDAF" w14:textId="77777777" w:rsidR="000729CF" w:rsidRPr="000729CF" w:rsidRDefault="000729CF" w:rsidP="000729CF">
            <w:pPr>
              <w:rPr>
                <w:rFonts w:ascii="Arial" w:hAnsi="Arial" w:cs="Arial"/>
                <w:sz w:val="24"/>
                <w:szCs w:val="24"/>
                <w:lang w:val="en-GB" w:eastAsia="en-GB"/>
              </w:rPr>
            </w:pPr>
            <w:r w:rsidRPr="000729CF">
              <w:rPr>
                <w:rFonts w:ascii="Arial" w:hAnsi="Arial" w:cs="Arial"/>
                <w:sz w:val="24"/>
                <w:szCs w:val="24"/>
                <w:lang w:val="en-GB" w:eastAsia="en-GB"/>
              </w:rPr>
              <w:t>Residential</w:t>
            </w:r>
          </w:p>
        </w:tc>
        <w:tc>
          <w:tcPr>
            <w:tcW w:w="1170" w:type="dxa"/>
            <w:tcBorders>
              <w:top w:val="nil"/>
              <w:left w:val="nil"/>
              <w:bottom w:val="single" w:sz="4" w:space="0" w:color="auto"/>
              <w:right w:val="single" w:sz="4" w:space="0" w:color="auto"/>
            </w:tcBorders>
            <w:shd w:val="clear" w:color="auto" w:fill="auto"/>
            <w:vAlign w:val="bottom"/>
            <w:hideMark/>
          </w:tcPr>
          <w:p w14:paraId="4F0CCBED"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 xml:space="preserve">17 </w:t>
            </w:r>
          </w:p>
        </w:tc>
        <w:tc>
          <w:tcPr>
            <w:tcW w:w="1170" w:type="dxa"/>
            <w:tcBorders>
              <w:top w:val="nil"/>
              <w:left w:val="nil"/>
              <w:bottom w:val="single" w:sz="4" w:space="0" w:color="auto"/>
              <w:right w:val="single" w:sz="4" w:space="0" w:color="auto"/>
            </w:tcBorders>
            <w:shd w:val="clear" w:color="auto" w:fill="auto"/>
            <w:vAlign w:val="bottom"/>
            <w:hideMark/>
          </w:tcPr>
          <w:p w14:paraId="38F81C7D"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0.14%</w:t>
            </w:r>
          </w:p>
        </w:tc>
        <w:tc>
          <w:tcPr>
            <w:tcW w:w="1170" w:type="dxa"/>
            <w:tcBorders>
              <w:top w:val="nil"/>
              <w:left w:val="nil"/>
              <w:bottom w:val="single" w:sz="4" w:space="0" w:color="auto"/>
              <w:right w:val="single" w:sz="4" w:space="0" w:color="auto"/>
            </w:tcBorders>
            <w:shd w:val="clear" w:color="auto" w:fill="auto"/>
            <w:vAlign w:val="bottom"/>
            <w:hideMark/>
          </w:tcPr>
          <w:p w14:paraId="2169B5A3"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 xml:space="preserve">457 </w:t>
            </w:r>
          </w:p>
        </w:tc>
        <w:tc>
          <w:tcPr>
            <w:tcW w:w="1170" w:type="dxa"/>
            <w:tcBorders>
              <w:top w:val="nil"/>
              <w:left w:val="nil"/>
              <w:bottom w:val="single" w:sz="4" w:space="0" w:color="auto"/>
              <w:right w:val="single" w:sz="4" w:space="0" w:color="auto"/>
            </w:tcBorders>
            <w:shd w:val="clear" w:color="auto" w:fill="auto"/>
            <w:vAlign w:val="bottom"/>
            <w:hideMark/>
          </w:tcPr>
          <w:p w14:paraId="6F69F9F7"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0.22%</w:t>
            </w:r>
          </w:p>
        </w:tc>
        <w:tc>
          <w:tcPr>
            <w:tcW w:w="1170" w:type="dxa"/>
            <w:tcBorders>
              <w:top w:val="nil"/>
              <w:left w:val="nil"/>
              <w:bottom w:val="single" w:sz="4" w:space="0" w:color="auto"/>
              <w:right w:val="single" w:sz="4" w:space="0" w:color="auto"/>
            </w:tcBorders>
            <w:shd w:val="clear" w:color="auto" w:fill="auto"/>
            <w:noWrap/>
            <w:vAlign w:val="bottom"/>
            <w:hideMark/>
          </w:tcPr>
          <w:p w14:paraId="4FA76B12"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3.64%</w:t>
            </w:r>
          </w:p>
        </w:tc>
      </w:tr>
      <w:tr w:rsidR="000729CF" w:rsidRPr="000729CF" w14:paraId="661D30E3" w14:textId="77777777" w:rsidTr="00BC26AB">
        <w:trPr>
          <w:trHeight w:val="300"/>
        </w:trPr>
        <w:tc>
          <w:tcPr>
            <w:tcW w:w="1435" w:type="dxa"/>
            <w:vMerge/>
            <w:tcBorders>
              <w:top w:val="nil"/>
              <w:left w:val="single" w:sz="4" w:space="0" w:color="auto"/>
              <w:bottom w:val="single" w:sz="4" w:space="0" w:color="000000"/>
              <w:right w:val="single" w:sz="4" w:space="0" w:color="auto"/>
            </w:tcBorders>
            <w:shd w:val="clear" w:color="auto" w:fill="auto"/>
            <w:vAlign w:val="center"/>
            <w:hideMark/>
          </w:tcPr>
          <w:p w14:paraId="390F2D7F" w14:textId="77777777" w:rsidR="000729CF" w:rsidRPr="000729CF" w:rsidRDefault="000729CF" w:rsidP="000729CF">
            <w:pPr>
              <w:rPr>
                <w:rFonts w:ascii="Arial" w:hAnsi="Arial" w:cs="Arial"/>
                <w:sz w:val="24"/>
                <w:szCs w:val="24"/>
                <w:lang w:val="en-GB" w:eastAsia="en-GB"/>
              </w:rPr>
            </w:pPr>
          </w:p>
        </w:tc>
        <w:tc>
          <w:tcPr>
            <w:tcW w:w="2409" w:type="dxa"/>
            <w:tcBorders>
              <w:top w:val="nil"/>
              <w:left w:val="nil"/>
              <w:bottom w:val="single" w:sz="4" w:space="0" w:color="auto"/>
              <w:right w:val="single" w:sz="4" w:space="0" w:color="auto"/>
            </w:tcBorders>
            <w:shd w:val="clear" w:color="auto" w:fill="auto"/>
            <w:noWrap/>
            <w:vAlign w:val="bottom"/>
            <w:hideMark/>
          </w:tcPr>
          <w:p w14:paraId="16512E8A" w14:textId="77777777" w:rsidR="000729CF" w:rsidRPr="000729CF" w:rsidRDefault="000729CF" w:rsidP="000729CF">
            <w:pPr>
              <w:rPr>
                <w:rFonts w:ascii="Arial" w:hAnsi="Arial" w:cs="Arial"/>
                <w:sz w:val="24"/>
                <w:szCs w:val="24"/>
                <w:lang w:val="en-GB" w:eastAsia="en-GB"/>
              </w:rPr>
            </w:pPr>
            <w:r w:rsidRPr="000729CF">
              <w:rPr>
                <w:rFonts w:ascii="Arial" w:hAnsi="Arial" w:cs="Arial"/>
                <w:sz w:val="24"/>
                <w:szCs w:val="24"/>
                <w:lang w:val="en-GB" w:eastAsia="en-GB"/>
              </w:rPr>
              <w:t>New England House</w:t>
            </w:r>
          </w:p>
        </w:tc>
        <w:tc>
          <w:tcPr>
            <w:tcW w:w="1170" w:type="dxa"/>
            <w:tcBorders>
              <w:top w:val="nil"/>
              <w:left w:val="nil"/>
              <w:bottom w:val="single" w:sz="4" w:space="0" w:color="auto"/>
              <w:right w:val="single" w:sz="4" w:space="0" w:color="auto"/>
            </w:tcBorders>
            <w:shd w:val="clear" w:color="auto" w:fill="auto"/>
            <w:vAlign w:val="bottom"/>
            <w:hideMark/>
          </w:tcPr>
          <w:p w14:paraId="43732FF6"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 xml:space="preserve">1,054 </w:t>
            </w:r>
          </w:p>
        </w:tc>
        <w:tc>
          <w:tcPr>
            <w:tcW w:w="1170" w:type="dxa"/>
            <w:tcBorders>
              <w:top w:val="nil"/>
              <w:left w:val="nil"/>
              <w:bottom w:val="single" w:sz="4" w:space="0" w:color="auto"/>
              <w:right w:val="single" w:sz="4" w:space="0" w:color="auto"/>
            </w:tcBorders>
            <w:shd w:val="clear" w:color="auto" w:fill="auto"/>
            <w:vAlign w:val="bottom"/>
            <w:hideMark/>
          </w:tcPr>
          <w:p w14:paraId="3503C350"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8.64%</w:t>
            </w:r>
          </w:p>
        </w:tc>
        <w:tc>
          <w:tcPr>
            <w:tcW w:w="1170" w:type="dxa"/>
            <w:tcBorders>
              <w:top w:val="nil"/>
              <w:left w:val="nil"/>
              <w:bottom w:val="single" w:sz="4" w:space="0" w:color="auto"/>
              <w:right w:val="single" w:sz="4" w:space="0" w:color="auto"/>
            </w:tcBorders>
            <w:shd w:val="clear" w:color="auto" w:fill="auto"/>
            <w:vAlign w:val="bottom"/>
            <w:hideMark/>
          </w:tcPr>
          <w:p w14:paraId="6C68B0D2"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 xml:space="preserve">9,385 </w:t>
            </w:r>
          </w:p>
        </w:tc>
        <w:tc>
          <w:tcPr>
            <w:tcW w:w="1170" w:type="dxa"/>
            <w:tcBorders>
              <w:top w:val="nil"/>
              <w:left w:val="nil"/>
              <w:bottom w:val="single" w:sz="4" w:space="0" w:color="auto"/>
              <w:right w:val="single" w:sz="4" w:space="0" w:color="auto"/>
            </w:tcBorders>
            <w:shd w:val="clear" w:color="auto" w:fill="auto"/>
            <w:vAlign w:val="bottom"/>
            <w:hideMark/>
          </w:tcPr>
          <w:p w14:paraId="0754638D"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4.60%</w:t>
            </w:r>
          </w:p>
        </w:tc>
        <w:tc>
          <w:tcPr>
            <w:tcW w:w="1170" w:type="dxa"/>
            <w:tcBorders>
              <w:top w:val="nil"/>
              <w:left w:val="nil"/>
              <w:bottom w:val="single" w:sz="4" w:space="0" w:color="auto"/>
              <w:right w:val="single" w:sz="4" w:space="0" w:color="auto"/>
            </w:tcBorders>
            <w:shd w:val="clear" w:color="auto" w:fill="auto"/>
            <w:noWrap/>
            <w:vAlign w:val="bottom"/>
            <w:hideMark/>
          </w:tcPr>
          <w:p w14:paraId="4B7BC40E"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11.24%</w:t>
            </w:r>
          </w:p>
        </w:tc>
      </w:tr>
      <w:tr w:rsidR="000729CF" w:rsidRPr="000729CF" w14:paraId="67F26E63" w14:textId="77777777" w:rsidTr="00BC26AB">
        <w:trPr>
          <w:trHeight w:val="300"/>
        </w:trPr>
        <w:tc>
          <w:tcPr>
            <w:tcW w:w="1435" w:type="dxa"/>
            <w:vMerge/>
            <w:tcBorders>
              <w:top w:val="nil"/>
              <w:left w:val="single" w:sz="4" w:space="0" w:color="auto"/>
              <w:bottom w:val="single" w:sz="4" w:space="0" w:color="000000"/>
              <w:right w:val="single" w:sz="4" w:space="0" w:color="auto"/>
            </w:tcBorders>
            <w:shd w:val="clear" w:color="auto" w:fill="auto"/>
            <w:vAlign w:val="center"/>
            <w:hideMark/>
          </w:tcPr>
          <w:p w14:paraId="08E97293" w14:textId="77777777" w:rsidR="000729CF" w:rsidRPr="000729CF" w:rsidRDefault="000729CF" w:rsidP="000729CF">
            <w:pPr>
              <w:rPr>
                <w:rFonts w:ascii="Arial" w:hAnsi="Arial" w:cs="Arial"/>
                <w:sz w:val="24"/>
                <w:szCs w:val="24"/>
                <w:lang w:val="en-GB" w:eastAsia="en-GB"/>
              </w:rPr>
            </w:pPr>
          </w:p>
        </w:tc>
        <w:tc>
          <w:tcPr>
            <w:tcW w:w="2409" w:type="dxa"/>
            <w:tcBorders>
              <w:top w:val="nil"/>
              <w:left w:val="nil"/>
              <w:bottom w:val="single" w:sz="4" w:space="0" w:color="auto"/>
              <w:right w:val="single" w:sz="4" w:space="0" w:color="auto"/>
            </w:tcBorders>
            <w:shd w:val="clear" w:color="auto" w:fill="auto"/>
            <w:noWrap/>
            <w:vAlign w:val="bottom"/>
            <w:hideMark/>
          </w:tcPr>
          <w:p w14:paraId="7EDD1969" w14:textId="77777777" w:rsidR="000729CF" w:rsidRPr="000729CF" w:rsidRDefault="000729CF" w:rsidP="000729CF">
            <w:pPr>
              <w:rPr>
                <w:rFonts w:ascii="Arial" w:hAnsi="Arial" w:cs="Arial"/>
                <w:sz w:val="24"/>
                <w:szCs w:val="24"/>
                <w:lang w:val="en-GB" w:eastAsia="en-GB"/>
              </w:rPr>
            </w:pPr>
            <w:r w:rsidRPr="000729CF">
              <w:rPr>
                <w:rFonts w:ascii="Arial" w:hAnsi="Arial" w:cs="Arial"/>
                <w:sz w:val="24"/>
                <w:szCs w:val="24"/>
                <w:lang w:val="en-GB" w:eastAsia="en-GB"/>
              </w:rPr>
              <w:t>Car Parking/Garages</w:t>
            </w:r>
          </w:p>
        </w:tc>
        <w:tc>
          <w:tcPr>
            <w:tcW w:w="1170" w:type="dxa"/>
            <w:tcBorders>
              <w:top w:val="nil"/>
              <w:left w:val="nil"/>
              <w:bottom w:val="single" w:sz="4" w:space="0" w:color="auto"/>
              <w:right w:val="single" w:sz="4" w:space="0" w:color="auto"/>
            </w:tcBorders>
            <w:shd w:val="clear" w:color="auto" w:fill="auto"/>
            <w:vAlign w:val="bottom"/>
            <w:hideMark/>
          </w:tcPr>
          <w:p w14:paraId="0324D133"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 xml:space="preserve">64 </w:t>
            </w:r>
          </w:p>
        </w:tc>
        <w:tc>
          <w:tcPr>
            <w:tcW w:w="1170" w:type="dxa"/>
            <w:tcBorders>
              <w:top w:val="nil"/>
              <w:left w:val="nil"/>
              <w:bottom w:val="single" w:sz="4" w:space="0" w:color="auto"/>
              <w:right w:val="single" w:sz="4" w:space="0" w:color="auto"/>
            </w:tcBorders>
            <w:shd w:val="clear" w:color="auto" w:fill="auto"/>
            <w:vAlign w:val="bottom"/>
            <w:hideMark/>
          </w:tcPr>
          <w:p w14:paraId="367A5557"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0.52%</w:t>
            </w:r>
          </w:p>
        </w:tc>
        <w:tc>
          <w:tcPr>
            <w:tcW w:w="1170" w:type="dxa"/>
            <w:tcBorders>
              <w:top w:val="nil"/>
              <w:left w:val="nil"/>
              <w:bottom w:val="single" w:sz="4" w:space="0" w:color="auto"/>
              <w:right w:val="single" w:sz="4" w:space="0" w:color="auto"/>
            </w:tcBorders>
            <w:shd w:val="clear" w:color="auto" w:fill="auto"/>
            <w:vAlign w:val="bottom"/>
            <w:hideMark/>
          </w:tcPr>
          <w:p w14:paraId="0E28ACD9"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 xml:space="preserve">704 </w:t>
            </w:r>
          </w:p>
        </w:tc>
        <w:tc>
          <w:tcPr>
            <w:tcW w:w="1170" w:type="dxa"/>
            <w:tcBorders>
              <w:top w:val="nil"/>
              <w:left w:val="nil"/>
              <w:bottom w:val="single" w:sz="4" w:space="0" w:color="auto"/>
              <w:right w:val="single" w:sz="4" w:space="0" w:color="auto"/>
            </w:tcBorders>
            <w:shd w:val="clear" w:color="auto" w:fill="auto"/>
            <w:vAlign w:val="bottom"/>
            <w:hideMark/>
          </w:tcPr>
          <w:p w14:paraId="497BBAD4"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0.35%</w:t>
            </w:r>
          </w:p>
        </w:tc>
        <w:tc>
          <w:tcPr>
            <w:tcW w:w="1170" w:type="dxa"/>
            <w:tcBorders>
              <w:top w:val="nil"/>
              <w:left w:val="nil"/>
              <w:bottom w:val="single" w:sz="4" w:space="0" w:color="auto"/>
              <w:right w:val="single" w:sz="4" w:space="0" w:color="auto"/>
            </w:tcBorders>
            <w:shd w:val="clear" w:color="auto" w:fill="auto"/>
            <w:noWrap/>
            <w:vAlign w:val="bottom"/>
            <w:hideMark/>
          </w:tcPr>
          <w:p w14:paraId="2ABB211F"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9.03%</w:t>
            </w:r>
          </w:p>
        </w:tc>
      </w:tr>
      <w:tr w:rsidR="000729CF" w:rsidRPr="000729CF" w14:paraId="43EBC49C" w14:textId="77777777" w:rsidTr="000729CF">
        <w:trPr>
          <w:trHeight w:val="300"/>
        </w:trPr>
        <w:tc>
          <w:tcPr>
            <w:tcW w:w="3844" w:type="dxa"/>
            <w:gridSpan w:val="2"/>
            <w:tcBorders>
              <w:top w:val="nil"/>
              <w:left w:val="single" w:sz="4" w:space="0" w:color="auto"/>
              <w:bottom w:val="single" w:sz="4" w:space="0" w:color="auto"/>
              <w:right w:val="single" w:sz="4" w:space="0" w:color="auto"/>
            </w:tcBorders>
            <w:shd w:val="clear" w:color="auto" w:fill="244061"/>
            <w:noWrap/>
            <w:vAlign w:val="bottom"/>
            <w:hideMark/>
          </w:tcPr>
          <w:p w14:paraId="5A81BAC8" w14:textId="77777777" w:rsidR="000729CF" w:rsidRPr="000729CF" w:rsidRDefault="000729CF" w:rsidP="000729CF">
            <w:pPr>
              <w:rPr>
                <w:rFonts w:ascii="Arial" w:hAnsi="Arial" w:cs="Arial"/>
                <w:b/>
                <w:bCs/>
                <w:color w:val="FFFFFF"/>
                <w:sz w:val="24"/>
                <w:szCs w:val="24"/>
                <w:lang w:val="en-GB" w:eastAsia="en-GB"/>
              </w:rPr>
            </w:pPr>
            <w:r w:rsidRPr="000729CF">
              <w:rPr>
                <w:rFonts w:ascii="Arial" w:hAnsi="Arial" w:cs="Arial"/>
                <w:b/>
                <w:bCs/>
                <w:color w:val="FFFFFF"/>
                <w:sz w:val="24"/>
                <w:szCs w:val="24"/>
                <w:lang w:val="en-GB" w:eastAsia="en-GB"/>
              </w:rPr>
              <w:t>Total </w:t>
            </w:r>
          </w:p>
        </w:tc>
        <w:tc>
          <w:tcPr>
            <w:tcW w:w="1170" w:type="dxa"/>
            <w:tcBorders>
              <w:top w:val="nil"/>
              <w:left w:val="nil"/>
              <w:bottom w:val="single" w:sz="4" w:space="0" w:color="auto"/>
              <w:right w:val="single" w:sz="4" w:space="0" w:color="auto"/>
            </w:tcBorders>
            <w:shd w:val="clear" w:color="auto" w:fill="244061"/>
            <w:vAlign w:val="bottom"/>
            <w:hideMark/>
          </w:tcPr>
          <w:p w14:paraId="3DE77D4C" w14:textId="77777777" w:rsidR="000729CF" w:rsidRPr="000729CF" w:rsidRDefault="000729CF" w:rsidP="000729CF">
            <w:pPr>
              <w:jc w:val="right"/>
              <w:rPr>
                <w:rFonts w:ascii="Arial" w:hAnsi="Arial" w:cs="Arial"/>
                <w:b/>
                <w:bCs/>
                <w:color w:val="FFFFFF"/>
                <w:sz w:val="24"/>
                <w:szCs w:val="24"/>
                <w:lang w:val="en-GB" w:eastAsia="en-GB"/>
              </w:rPr>
            </w:pPr>
            <w:r w:rsidRPr="000729CF">
              <w:rPr>
                <w:rFonts w:ascii="Arial" w:hAnsi="Arial" w:cs="Arial"/>
                <w:b/>
                <w:bCs/>
                <w:color w:val="FFFFFF"/>
                <w:sz w:val="24"/>
                <w:szCs w:val="24"/>
                <w:lang w:val="en-GB" w:eastAsia="en-GB"/>
              </w:rPr>
              <w:t xml:space="preserve"> 12,206 </w:t>
            </w:r>
          </w:p>
        </w:tc>
        <w:tc>
          <w:tcPr>
            <w:tcW w:w="1170" w:type="dxa"/>
            <w:tcBorders>
              <w:top w:val="nil"/>
              <w:left w:val="nil"/>
              <w:bottom w:val="single" w:sz="4" w:space="0" w:color="auto"/>
              <w:right w:val="single" w:sz="4" w:space="0" w:color="auto"/>
            </w:tcBorders>
            <w:shd w:val="clear" w:color="auto" w:fill="244061"/>
            <w:vAlign w:val="bottom"/>
            <w:hideMark/>
          </w:tcPr>
          <w:p w14:paraId="74BEA300" w14:textId="77777777" w:rsidR="000729CF" w:rsidRPr="000729CF" w:rsidRDefault="000729CF" w:rsidP="000729CF">
            <w:pPr>
              <w:jc w:val="right"/>
              <w:rPr>
                <w:rFonts w:ascii="Arial" w:hAnsi="Arial" w:cs="Arial"/>
                <w:b/>
                <w:bCs/>
                <w:color w:val="FFFFFF"/>
                <w:sz w:val="24"/>
                <w:szCs w:val="24"/>
                <w:lang w:val="en-GB" w:eastAsia="en-GB"/>
              </w:rPr>
            </w:pPr>
            <w:r w:rsidRPr="000729CF">
              <w:rPr>
                <w:rFonts w:ascii="Arial" w:hAnsi="Arial" w:cs="Arial"/>
                <w:b/>
                <w:bCs/>
                <w:color w:val="FFFFFF"/>
                <w:sz w:val="24"/>
                <w:szCs w:val="24"/>
                <w:lang w:val="en-GB" w:eastAsia="en-GB"/>
              </w:rPr>
              <w:t>100%</w:t>
            </w:r>
          </w:p>
        </w:tc>
        <w:tc>
          <w:tcPr>
            <w:tcW w:w="1170" w:type="dxa"/>
            <w:tcBorders>
              <w:top w:val="nil"/>
              <w:left w:val="nil"/>
              <w:bottom w:val="single" w:sz="4" w:space="0" w:color="auto"/>
              <w:right w:val="single" w:sz="4" w:space="0" w:color="auto"/>
            </w:tcBorders>
            <w:shd w:val="clear" w:color="auto" w:fill="244061"/>
            <w:vAlign w:val="bottom"/>
            <w:hideMark/>
          </w:tcPr>
          <w:p w14:paraId="50802166" w14:textId="77777777" w:rsidR="000729CF" w:rsidRPr="000729CF" w:rsidRDefault="000729CF" w:rsidP="000729CF">
            <w:pPr>
              <w:jc w:val="right"/>
              <w:rPr>
                <w:rFonts w:ascii="Arial" w:hAnsi="Arial" w:cs="Arial"/>
                <w:b/>
                <w:bCs/>
                <w:color w:val="FFFFFF"/>
                <w:sz w:val="24"/>
                <w:szCs w:val="24"/>
                <w:lang w:val="en-GB" w:eastAsia="en-GB"/>
              </w:rPr>
            </w:pPr>
            <w:r w:rsidRPr="000729CF">
              <w:rPr>
                <w:rFonts w:ascii="Arial" w:hAnsi="Arial" w:cs="Arial"/>
                <w:b/>
                <w:bCs/>
                <w:color w:val="FFFFFF"/>
                <w:sz w:val="24"/>
                <w:szCs w:val="24"/>
                <w:lang w:val="en-GB" w:eastAsia="en-GB"/>
              </w:rPr>
              <w:t xml:space="preserve"> 204,006 </w:t>
            </w:r>
          </w:p>
        </w:tc>
        <w:tc>
          <w:tcPr>
            <w:tcW w:w="1170" w:type="dxa"/>
            <w:tcBorders>
              <w:top w:val="nil"/>
              <w:left w:val="nil"/>
              <w:bottom w:val="single" w:sz="4" w:space="0" w:color="auto"/>
              <w:right w:val="single" w:sz="4" w:space="0" w:color="auto"/>
            </w:tcBorders>
            <w:shd w:val="clear" w:color="auto" w:fill="244061"/>
            <w:vAlign w:val="bottom"/>
            <w:hideMark/>
          </w:tcPr>
          <w:p w14:paraId="5E8E1D32" w14:textId="77777777" w:rsidR="000729CF" w:rsidRPr="000729CF" w:rsidRDefault="000729CF" w:rsidP="000729CF">
            <w:pPr>
              <w:jc w:val="right"/>
              <w:rPr>
                <w:rFonts w:ascii="Arial" w:hAnsi="Arial" w:cs="Arial"/>
                <w:b/>
                <w:bCs/>
                <w:color w:val="FFFFFF"/>
                <w:sz w:val="24"/>
                <w:szCs w:val="24"/>
                <w:lang w:val="en-GB" w:eastAsia="en-GB"/>
              </w:rPr>
            </w:pPr>
            <w:r w:rsidRPr="000729CF">
              <w:rPr>
                <w:rFonts w:ascii="Arial" w:hAnsi="Arial" w:cs="Arial"/>
                <w:b/>
                <w:bCs/>
                <w:color w:val="FFFFFF"/>
                <w:sz w:val="24"/>
                <w:szCs w:val="24"/>
                <w:lang w:val="en-GB" w:eastAsia="en-GB"/>
              </w:rPr>
              <w:t>100%</w:t>
            </w:r>
          </w:p>
        </w:tc>
        <w:tc>
          <w:tcPr>
            <w:tcW w:w="1170" w:type="dxa"/>
            <w:tcBorders>
              <w:top w:val="nil"/>
              <w:left w:val="nil"/>
              <w:bottom w:val="single" w:sz="4" w:space="0" w:color="auto"/>
              <w:right w:val="single" w:sz="4" w:space="0" w:color="auto"/>
            </w:tcBorders>
            <w:shd w:val="clear" w:color="auto" w:fill="244061"/>
            <w:noWrap/>
            <w:vAlign w:val="bottom"/>
            <w:hideMark/>
          </w:tcPr>
          <w:p w14:paraId="0D02EA86" w14:textId="77777777" w:rsidR="000729CF" w:rsidRPr="000729CF" w:rsidRDefault="000729CF" w:rsidP="000729CF">
            <w:pPr>
              <w:jc w:val="right"/>
              <w:rPr>
                <w:rFonts w:ascii="Arial" w:hAnsi="Arial" w:cs="Arial"/>
                <w:b/>
                <w:bCs/>
                <w:color w:val="FFFFFF"/>
                <w:sz w:val="24"/>
                <w:szCs w:val="24"/>
                <w:lang w:val="en-GB" w:eastAsia="en-GB"/>
              </w:rPr>
            </w:pPr>
            <w:r w:rsidRPr="000729CF">
              <w:rPr>
                <w:rFonts w:ascii="Arial" w:hAnsi="Arial" w:cs="Arial"/>
                <w:b/>
                <w:bCs/>
                <w:color w:val="FFFFFF"/>
                <w:sz w:val="24"/>
                <w:szCs w:val="24"/>
                <w:lang w:val="en-GB" w:eastAsia="en-GB"/>
              </w:rPr>
              <w:t>7.54%</w:t>
            </w:r>
          </w:p>
        </w:tc>
      </w:tr>
    </w:tbl>
    <w:p w14:paraId="46E27BC6" w14:textId="77777777" w:rsidR="000729CF" w:rsidRPr="000729CF" w:rsidRDefault="000729CF" w:rsidP="000729CF">
      <w:pPr>
        <w:spacing w:before="120" w:after="120"/>
        <w:rPr>
          <w:rFonts w:ascii="Arial" w:eastAsia="Calibri" w:hAnsi="Arial" w:cs="Arial"/>
          <w:i/>
          <w:sz w:val="24"/>
          <w:szCs w:val="24"/>
          <w:lang w:val="en-GB"/>
        </w:rPr>
      </w:pPr>
      <w:r w:rsidRPr="000729CF">
        <w:rPr>
          <w:rFonts w:ascii="Arial" w:eastAsia="Calibri" w:hAnsi="Arial" w:cs="Arial"/>
          <w:i/>
          <w:sz w:val="24"/>
          <w:szCs w:val="24"/>
          <w:lang w:val="en-GB"/>
        </w:rPr>
        <w:t>Note – the table excludes a number of sites managed “in-house” such as community centres, car parks and legacy sites belonging to the council.</w:t>
      </w:r>
    </w:p>
    <w:p w14:paraId="79B3325E" w14:textId="77777777" w:rsidR="000729CF" w:rsidRPr="000729CF" w:rsidRDefault="000729CF" w:rsidP="00CE70A3">
      <w:pPr>
        <w:numPr>
          <w:ilvl w:val="1"/>
          <w:numId w:val="56"/>
        </w:numPr>
        <w:spacing w:after="12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The council’s Corporate Property Strategy and Asset Management Plan will be reviewed and redrafted for presentation to Members for consideration and ratification in the context of the changed rules from HM Treasury regarding PWLB borrowing. In advance of this, any disposals which seek to mitigate risk will be identified on a case-by-case basis. The council holds contracts with Avison Young to manage its urban portfolio and Savills to manage its agricultural portfolio. A key provision within these contracts is for the providers to work with the in-house property team to identify appropriate assets for disposal.</w:t>
      </w:r>
    </w:p>
    <w:p w14:paraId="6AA03F60" w14:textId="77777777" w:rsidR="000729CF" w:rsidRPr="000729CF" w:rsidRDefault="000729CF" w:rsidP="00CE70A3">
      <w:pPr>
        <w:numPr>
          <w:ilvl w:val="1"/>
          <w:numId w:val="56"/>
        </w:numPr>
        <w:spacing w:after="24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 xml:space="preserve">Any opportunities explored that result in an expected asset disposal are presented and approved by SFCR Committee in accordance with the council’s Scheme of </w:t>
      </w:r>
      <w:proofErr w:type="gramStart"/>
      <w:r w:rsidRPr="000729CF">
        <w:rPr>
          <w:rFonts w:ascii="Arial" w:eastAsia="Calibri" w:hAnsi="Arial" w:cs="Arial"/>
          <w:sz w:val="24"/>
          <w:szCs w:val="24"/>
          <w:lang w:val="en-GB"/>
        </w:rPr>
        <w:t>Delegation, and</w:t>
      </w:r>
      <w:proofErr w:type="gramEnd"/>
      <w:r w:rsidRPr="000729CF">
        <w:rPr>
          <w:rFonts w:ascii="Arial" w:eastAsia="Calibri" w:hAnsi="Arial" w:cs="Arial"/>
          <w:sz w:val="24"/>
          <w:szCs w:val="24"/>
          <w:lang w:val="en-GB"/>
        </w:rPr>
        <w:t xml:space="preserve"> executed in accordance with the council’s Financial Regulations.</w:t>
      </w:r>
    </w:p>
    <w:p w14:paraId="20AC3033" w14:textId="77777777" w:rsidR="000729CF" w:rsidRPr="000729CF" w:rsidRDefault="000729CF" w:rsidP="00CE70A3">
      <w:pPr>
        <w:numPr>
          <w:ilvl w:val="0"/>
          <w:numId w:val="56"/>
        </w:numPr>
        <w:spacing w:after="120" w:line="276" w:lineRule="auto"/>
        <w:ind w:left="709" w:hanging="709"/>
        <w:rPr>
          <w:rFonts w:ascii="Arial" w:eastAsia="Calibri" w:hAnsi="Arial" w:cs="Arial"/>
          <w:b/>
          <w:sz w:val="24"/>
          <w:szCs w:val="24"/>
          <w:lang w:val="en-GB"/>
        </w:rPr>
      </w:pPr>
      <w:r w:rsidRPr="000729CF">
        <w:rPr>
          <w:rFonts w:ascii="Arial" w:eastAsia="Calibri" w:hAnsi="Arial" w:cs="Arial"/>
          <w:b/>
          <w:sz w:val="24"/>
          <w:szCs w:val="24"/>
          <w:lang w:val="en-GB"/>
        </w:rPr>
        <w:t>Loans to External Bodies</w:t>
      </w:r>
    </w:p>
    <w:p w14:paraId="08C1E4B4" w14:textId="77777777" w:rsidR="000729CF" w:rsidRPr="000729CF" w:rsidRDefault="000729CF" w:rsidP="00CE70A3">
      <w:pPr>
        <w:numPr>
          <w:ilvl w:val="1"/>
          <w:numId w:val="56"/>
        </w:numPr>
        <w:spacing w:after="120" w:line="276" w:lineRule="auto"/>
        <w:ind w:left="709" w:hanging="709"/>
        <w:rPr>
          <w:rFonts w:ascii="Arial" w:eastAsia="Calibri" w:hAnsi="Arial" w:cs="Arial"/>
          <w:b/>
          <w:i/>
          <w:sz w:val="24"/>
          <w:szCs w:val="24"/>
          <w:lang w:val="en-GB"/>
        </w:rPr>
      </w:pPr>
      <w:r w:rsidRPr="000729CF">
        <w:rPr>
          <w:rFonts w:ascii="Arial" w:eastAsia="Calibri" w:hAnsi="Arial" w:cs="Arial"/>
          <w:sz w:val="24"/>
          <w:szCs w:val="24"/>
          <w:lang w:val="en-GB"/>
        </w:rPr>
        <w:t>The council has the ability to provide capital loans to external bodies and organisations for the purpose of supporting activities undertaken that are aligned to the council’s Local Plan and/or service objectives. For example, a loan may be given to support a project which generates economic growth in Brighton and Hove.</w:t>
      </w:r>
    </w:p>
    <w:p w14:paraId="116F8E82" w14:textId="77777777" w:rsidR="000729CF" w:rsidRPr="000729CF" w:rsidRDefault="000729CF" w:rsidP="000729CF">
      <w:pPr>
        <w:spacing w:after="120"/>
        <w:rPr>
          <w:rFonts w:ascii="Arial" w:eastAsia="Calibri" w:hAnsi="Arial" w:cs="Arial"/>
          <w:b/>
          <w:i/>
          <w:sz w:val="24"/>
          <w:szCs w:val="24"/>
          <w:lang w:val="en-GB"/>
        </w:rPr>
      </w:pPr>
      <w:r w:rsidRPr="000729CF">
        <w:rPr>
          <w:rFonts w:ascii="Arial" w:eastAsia="Calibri" w:hAnsi="Arial" w:cs="Arial"/>
          <w:b/>
          <w:i/>
          <w:sz w:val="24"/>
          <w:szCs w:val="24"/>
          <w:lang w:val="en-GB"/>
        </w:rPr>
        <w:t>Governance</w:t>
      </w:r>
    </w:p>
    <w:p w14:paraId="7FBABEC8" w14:textId="77777777" w:rsidR="000729CF" w:rsidRPr="000729CF" w:rsidRDefault="000729CF" w:rsidP="00CE70A3">
      <w:pPr>
        <w:numPr>
          <w:ilvl w:val="1"/>
          <w:numId w:val="56"/>
        </w:numPr>
        <w:spacing w:after="12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 xml:space="preserve">The Local Authorities (Capital Finance and Accounting) (England) Regulations 2003 direct that a loan to an external organisation to fund any expenditure that would be treated as capital expenditure if it were incurred by the local authority must be treated as capital. As a result, all loans to external parties are subject to the governance requirements of all capital expenditure incurred by the council, as described in section 2 of the strategy. </w:t>
      </w:r>
    </w:p>
    <w:p w14:paraId="3A35E948" w14:textId="77777777" w:rsidR="000729CF" w:rsidRPr="000729CF" w:rsidRDefault="000729CF" w:rsidP="00CE70A3">
      <w:pPr>
        <w:numPr>
          <w:ilvl w:val="1"/>
          <w:numId w:val="56"/>
        </w:numPr>
        <w:spacing w:after="24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Any loan to external organisations must be compliant with the Subsidy Control rules.  Advice from legal and finance officers is sought in each instance to ensure loans are compliant.</w:t>
      </w:r>
    </w:p>
    <w:p w14:paraId="414334EA" w14:textId="77777777" w:rsidR="000729CF" w:rsidRPr="000729CF" w:rsidRDefault="000729CF" w:rsidP="000729CF">
      <w:pPr>
        <w:spacing w:after="120"/>
        <w:rPr>
          <w:rFonts w:ascii="Arial" w:eastAsia="Calibri" w:hAnsi="Arial" w:cs="Arial"/>
          <w:b/>
          <w:i/>
          <w:sz w:val="24"/>
          <w:szCs w:val="24"/>
          <w:lang w:val="en-GB"/>
        </w:rPr>
      </w:pPr>
      <w:r w:rsidRPr="000729CF">
        <w:rPr>
          <w:rFonts w:ascii="Arial" w:eastAsia="Calibri" w:hAnsi="Arial" w:cs="Arial"/>
          <w:b/>
          <w:i/>
          <w:sz w:val="24"/>
          <w:szCs w:val="24"/>
          <w:lang w:val="en-GB"/>
        </w:rPr>
        <w:t>Decision making &amp; procedure</w:t>
      </w:r>
    </w:p>
    <w:p w14:paraId="4A51D2F8" w14:textId="77777777" w:rsidR="000729CF" w:rsidRPr="000729CF" w:rsidRDefault="000729CF" w:rsidP="00CE70A3">
      <w:pPr>
        <w:numPr>
          <w:ilvl w:val="1"/>
          <w:numId w:val="56"/>
        </w:numPr>
        <w:spacing w:after="12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Loans to external organisations are undertaken on a case-by-case basis and are subject to a thorough due diligence process to ensure:</w:t>
      </w:r>
    </w:p>
    <w:p w14:paraId="40174564" w14:textId="77777777" w:rsidR="000729CF" w:rsidRPr="000729CF" w:rsidRDefault="000729CF" w:rsidP="00CE70A3">
      <w:pPr>
        <w:numPr>
          <w:ilvl w:val="2"/>
          <w:numId w:val="56"/>
        </w:numPr>
        <w:spacing w:after="120" w:line="276" w:lineRule="auto"/>
        <w:ind w:left="1225" w:hanging="505"/>
        <w:contextualSpacing/>
        <w:rPr>
          <w:rFonts w:ascii="Arial" w:eastAsia="Calibri" w:hAnsi="Arial" w:cs="Arial"/>
          <w:sz w:val="24"/>
          <w:szCs w:val="24"/>
          <w:lang w:val="en-GB"/>
        </w:rPr>
      </w:pPr>
      <w:r w:rsidRPr="000729CF">
        <w:rPr>
          <w:rFonts w:ascii="Arial" w:eastAsia="Calibri" w:hAnsi="Arial" w:cs="Arial"/>
          <w:sz w:val="24"/>
          <w:szCs w:val="24"/>
          <w:lang w:val="en-GB"/>
        </w:rPr>
        <w:t>the business plan receives adequate scrutiny by finance, legal and service officers, including external advisory where necessary, in order to evaluate the level of risk;</w:t>
      </w:r>
    </w:p>
    <w:p w14:paraId="57CDEA3D" w14:textId="77777777" w:rsidR="000729CF" w:rsidRPr="000729CF" w:rsidRDefault="000729CF" w:rsidP="00CE70A3">
      <w:pPr>
        <w:numPr>
          <w:ilvl w:val="2"/>
          <w:numId w:val="56"/>
        </w:numPr>
        <w:spacing w:after="120" w:line="276" w:lineRule="auto"/>
        <w:ind w:left="1225" w:hanging="505"/>
        <w:contextualSpacing/>
        <w:rPr>
          <w:rFonts w:ascii="Arial" w:eastAsia="Calibri" w:hAnsi="Arial" w:cs="Arial"/>
          <w:sz w:val="24"/>
          <w:szCs w:val="24"/>
          <w:lang w:val="en-GB"/>
        </w:rPr>
      </w:pPr>
      <w:r w:rsidRPr="000729CF">
        <w:rPr>
          <w:rFonts w:ascii="Arial" w:eastAsia="Calibri" w:hAnsi="Arial" w:cs="Arial"/>
          <w:sz w:val="24"/>
          <w:szCs w:val="24"/>
          <w:lang w:val="en-GB"/>
        </w:rPr>
        <w:t>the loan is compliant with the Subsidy Control regime;</w:t>
      </w:r>
    </w:p>
    <w:p w14:paraId="11A008FE" w14:textId="77777777" w:rsidR="000729CF" w:rsidRPr="000729CF" w:rsidRDefault="000729CF" w:rsidP="00CE70A3">
      <w:pPr>
        <w:numPr>
          <w:ilvl w:val="2"/>
          <w:numId w:val="56"/>
        </w:numPr>
        <w:spacing w:after="120" w:line="276" w:lineRule="auto"/>
        <w:ind w:left="1225" w:hanging="505"/>
        <w:rPr>
          <w:rFonts w:ascii="Arial" w:eastAsia="Calibri" w:hAnsi="Arial" w:cs="Arial"/>
          <w:sz w:val="24"/>
          <w:szCs w:val="24"/>
          <w:lang w:val="en-GB"/>
        </w:rPr>
      </w:pPr>
      <w:r w:rsidRPr="000729CF">
        <w:rPr>
          <w:rFonts w:ascii="Arial" w:eastAsia="Calibri" w:hAnsi="Arial" w:cs="Arial"/>
          <w:sz w:val="24"/>
          <w:szCs w:val="24"/>
          <w:lang w:val="en-GB"/>
        </w:rPr>
        <w:t>the recipient of the loan can afford the repayments.</w:t>
      </w:r>
    </w:p>
    <w:p w14:paraId="4385C227" w14:textId="77777777" w:rsidR="000729CF" w:rsidRPr="000729CF" w:rsidRDefault="000729CF" w:rsidP="00CE70A3">
      <w:pPr>
        <w:numPr>
          <w:ilvl w:val="1"/>
          <w:numId w:val="56"/>
        </w:numPr>
        <w:spacing w:after="12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As all external loans are classed as capital expenditure, SFCR Committee is ultimately responsible for agreeing the loan as part of the capital programme and will receive a report outlining the relative risks, benefits and financial and legal implications in each instance.</w:t>
      </w:r>
    </w:p>
    <w:p w14:paraId="7D762FC0" w14:textId="77777777" w:rsidR="000729CF" w:rsidRPr="000729CF" w:rsidRDefault="000729CF" w:rsidP="00CE70A3">
      <w:pPr>
        <w:numPr>
          <w:ilvl w:val="1"/>
          <w:numId w:val="56"/>
        </w:numPr>
        <w:spacing w:after="12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The council has an obligation to review all outstanding loans to external bodies as under accounting requirements it is required to review the risk of non-repayment of all outstanding debt and make a provision for impairment where there is a probability that part or all of a loan will be irrecoverable.</w:t>
      </w:r>
    </w:p>
    <w:p w14:paraId="3A12D3EF" w14:textId="77777777" w:rsidR="000729CF" w:rsidRPr="000729CF" w:rsidRDefault="000729CF" w:rsidP="00CE70A3">
      <w:pPr>
        <w:numPr>
          <w:ilvl w:val="1"/>
          <w:numId w:val="56"/>
        </w:numPr>
        <w:spacing w:after="24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No overall parameters have been set on the total loan value that can be provided to external bodies which are assessed and agreed on a case-by-case basis.</w:t>
      </w:r>
    </w:p>
    <w:p w14:paraId="7F5942F9" w14:textId="77777777" w:rsidR="000729CF" w:rsidRPr="000729CF" w:rsidRDefault="000729CF" w:rsidP="000729CF">
      <w:pPr>
        <w:keepNext/>
        <w:spacing w:after="120"/>
        <w:rPr>
          <w:rFonts w:ascii="Arial" w:eastAsia="Calibri" w:hAnsi="Arial" w:cs="Arial"/>
          <w:b/>
          <w:i/>
          <w:sz w:val="24"/>
          <w:szCs w:val="24"/>
          <w:lang w:val="en-GB"/>
        </w:rPr>
      </w:pPr>
      <w:bookmarkStart w:id="39" w:name="_Hlk125988143"/>
      <w:r w:rsidRPr="000729CF">
        <w:rPr>
          <w:rFonts w:ascii="Arial" w:eastAsia="Calibri" w:hAnsi="Arial" w:cs="Arial"/>
          <w:b/>
          <w:i/>
          <w:sz w:val="24"/>
          <w:szCs w:val="24"/>
          <w:lang w:val="en-GB"/>
        </w:rPr>
        <w:t>Current portfolio</w:t>
      </w:r>
    </w:p>
    <w:p w14:paraId="1E6B51C8" w14:textId="77777777" w:rsidR="000729CF" w:rsidRPr="000729CF" w:rsidRDefault="000729CF" w:rsidP="00CE70A3">
      <w:pPr>
        <w:numPr>
          <w:ilvl w:val="1"/>
          <w:numId w:val="56"/>
        </w:numPr>
        <w:spacing w:after="24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The council has the following loans to external bodies outstanding as at 31 December 2023:</w:t>
      </w:r>
    </w:p>
    <w:tbl>
      <w:tblPr>
        <w:tblStyle w:val="TableGrid"/>
        <w:tblW w:w="4761" w:type="pct"/>
        <w:tblInd w:w="720" w:type="dxa"/>
        <w:tblCellMar>
          <w:left w:w="28" w:type="dxa"/>
          <w:right w:w="28" w:type="dxa"/>
        </w:tblCellMar>
        <w:tblLook w:val="04A0" w:firstRow="1" w:lastRow="0" w:firstColumn="1" w:lastColumn="0" w:noHBand="0" w:noVBand="1"/>
      </w:tblPr>
      <w:tblGrid>
        <w:gridCol w:w="1538"/>
        <w:gridCol w:w="1497"/>
        <w:gridCol w:w="3194"/>
        <w:gridCol w:w="2939"/>
      </w:tblGrid>
      <w:tr w:rsidR="000729CF" w:rsidRPr="000729CF" w14:paraId="0443773D" w14:textId="77777777" w:rsidTr="000729CF">
        <w:tc>
          <w:tcPr>
            <w:tcW w:w="838" w:type="pct"/>
            <w:shd w:val="clear" w:color="auto" w:fill="244061"/>
          </w:tcPr>
          <w:p w14:paraId="162D1AEF" w14:textId="77777777" w:rsidR="000729CF" w:rsidRPr="000729CF" w:rsidRDefault="000729CF" w:rsidP="000729CF">
            <w:pPr>
              <w:rPr>
                <w:rFonts w:ascii="Arial" w:eastAsia="Calibri" w:hAnsi="Arial" w:cs="Arial"/>
                <w:b/>
                <w:sz w:val="24"/>
                <w:szCs w:val="24"/>
              </w:rPr>
            </w:pPr>
            <w:r w:rsidRPr="000729CF">
              <w:rPr>
                <w:rFonts w:ascii="Arial" w:eastAsia="Calibri" w:hAnsi="Arial" w:cs="Arial"/>
                <w:b/>
                <w:sz w:val="24"/>
                <w:szCs w:val="24"/>
              </w:rPr>
              <w:t>Organisation</w:t>
            </w:r>
          </w:p>
        </w:tc>
        <w:tc>
          <w:tcPr>
            <w:tcW w:w="816" w:type="pct"/>
            <w:shd w:val="clear" w:color="auto" w:fill="244061"/>
          </w:tcPr>
          <w:p w14:paraId="5B6EFBEB" w14:textId="77777777" w:rsidR="000729CF" w:rsidRPr="000729CF" w:rsidRDefault="000729CF" w:rsidP="000729CF">
            <w:pPr>
              <w:rPr>
                <w:rFonts w:ascii="Arial" w:eastAsia="Calibri" w:hAnsi="Arial" w:cs="Arial"/>
                <w:b/>
                <w:sz w:val="24"/>
                <w:szCs w:val="24"/>
              </w:rPr>
            </w:pPr>
            <w:r w:rsidRPr="000729CF">
              <w:rPr>
                <w:rFonts w:ascii="Arial" w:eastAsia="Calibri" w:hAnsi="Arial" w:cs="Arial"/>
                <w:b/>
                <w:sz w:val="24"/>
                <w:szCs w:val="24"/>
              </w:rPr>
              <w:t>Loan Value at 31 Dec 2023</w:t>
            </w:r>
          </w:p>
          <w:p w14:paraId="4BC34FF2" w14:textId="77777777" w:rsidR="000729CF" w:rsidRPr="000729CF" w:rsidRDefault="000729CF" w:rsidP="000729CF">
            <w:pPr>
              <w:rPr>
                <w:rFonts w:ascii="Arial" w:eastAsia="Calibri" w:hAnsi="Arial" w:cs="Arial"/>
                <w:b/>
                <w:sz w:val="24"/>
                <w:szCs w:val="24"/>
              </w:rPr>
            </w:pPr>
            <w:r w:rsidRPr="000729CF">
              <w:rPr>
                <w:rFonts w:ascii="Arial" w:eastAsia="Calibri" w:hAnsi="Arial" w:cs="Arial"/>
                <w:b/>
                <w:sz w:val="24"/>
                <w:szCs w:val="24"/>
              </w:rPr>
              <w:t>£m</w:t>
            </w:r>
          </w:p>
        </w:tc>
        <w:tc>
          <w:tcPr>
            <w:tcW w:w="1742" w:type="pct"/>
            <w:shd w:val="clear" w:color="auto" w:fill="244061"/>
          </w:tcPr>
          <w:p w14:paraId="1EDECE22" w14:textId="77777777" w:rsidR="000729CF" w:rsidRPr="000729CF" w:rsidRDefault="000729CF" w:rsidP="000729CF">
            <w:pPr>
              <w:rPr>
                <w:rFonts w:ascii="Arial" w:eastAsia="Calibri" w:hAnsi="Arial" w:cs="Arial"/>
                <w:b/>
                <w:sz w:val="24"/>
                <w:szCs w:val="24"/>
              </w:rPr>
            </w:pPr>
            <w:r w:rsidRPr="000729CF">
              <w:rPr>
                <w:rFonts w:ascii="Arial" w:eastAsia="Calibri" w:hAnsi="Arial" w:cs="Arial"/>
                <w:b/>
                <w:sz w:val="24"/>
                <w:szCs w:val="24"/>
              </w:rPr>
              <w:t>Purpose of loan &amp; link to council priorities / service objectives</w:t>
            </w:r>
          </w:p>
        </w:tc>
        <w:tc>
          <w:tcPr>
            <w:tcW w:w="1603" w:type="pct"/>
            <w:shd w:val="clear" w:color="auto" w:fill="244061"/>
          </w:tcPr>
          <w:p w14:paraId="6496B24F" w14:textId="77777777" w:rsidR="000729CF" w:rsidRPr="000729CF" w:rsidRDefault="000729CF" w:rsidP="000729CF">
            <w:pPr>
              <w:rPr>
                <w:rFonts w:ascii="Arial" w:eastAsia="Calibri" w:hAnsi="Arial" w:cs="Arial"/>
                <w:b/>
                <w:sz w:val="24"/>
                <w:szCs w:val="24"/>
              </w:rPr>
            </w:pPr>
            <w:r w:rsidRPr="000729CF">
              <w:rPr>
                <w:rFonts w:ascii="Arial" w:eastAsia="Calibri" w:hAnsi="Arial" w:cs="Arial"/>
                <w:b/>
                <w:sz w:val="24"/>
                <w:szCs w:val="24"/>
              </w:rPr>
              <w:t>Meeting at which loan approved</w:t>
            </w:r>
          </w:p>
        </w:tc>
      </w:tr>
      <w:tr w:rsidR="000729CF" w:rsidRPr="000729CF" w14:paraId="75B47AE0" w14:textId="77777777" w:rsidTr="00BC26AB">
        <w:tc>
          <w:tcPr>
            <w:tcW w:w="838" w:type="pct"/>
          </w:tcPr>
          <w:p w14:paraId="2B422046"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The i360 Company *</w:t>
            </w:r>
          </w:p>
        </w:tc>
        <w:tc>
          <w:tcPr>
            <w:tcW w:w="816" w:type="pct"/>
          </w:tcPr>
          <w:p w14:paraId="22DCF15A" w14:textId="77777777" w:rsidR="000729CF" w:rsidRPr="000729CF" w:rsidRDefault="000729CF" w:rsidP="000729CF">
            <w:pPr>
              <w:jc w:val="right"/>
              <w:rPr>
                <w:rFonts w:ascii="Arial" w:eastAsia="Calibri" w:hAnsi="Arial" w:cs="Arial"/>
                <w:sz w:val="24"/>
                <w:szCs w:val="24"/>
              </w:rPr>
            </w:pPr>
            <w:r w:rsidRPr="000729CF">
              <w:rPr>
                <w:rFonts w:ascii="Arial" w:eastAsia="Calibri" w:hAnsi="Arial" w:cs="Arial"/>
                <w:sz w:val="24"/>
                <w:szCs w:val="24"/>
              </w:rPr>
              <w:t>50.033</w:t>
            </w:r>
          </w:p>
        </w:tc>
        <w:tc>
          <w:tcPr>
            <w:tcW w:w="1742" w:type="pct"/>
          </w:tcPr>
          <w:p w14:paraId="1123CDF5"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To build the i360 observation tower, unlocking economic regeneration on the seafront and increasing business rate income. This includes the novated loan from C2CLEP.</w:t>
            </w:r>
          </w:p>
        </w:tc>
        <w:tc>
          <w:tcPr>
            <w:tcW w:w="1603" w:type="pct"/>
          </w:tcPr>
          <w:p w14:paraId="25A0F5B0" w14:textId="77777777" w:rsidR="000729CF" w:rsidRPr="000729CF" w:rsidRDefault="000729CF" w:rsidP="00CE70A3">
            <w:pPr>
              <w:numPr>
                <w:ilvl w:val="0"/>
                <w:numId w:val="61"/>
              </w:numPr>
              <w:ind w:left="433" w:hanging="409"/>
              <w:rPr>
                <w:rFonts w:ascii="Arial" w:eastAsia="Calibri" w:hAnsi="Arial" w:cs="Arial"/>
                <w:sz w:val="24"/>
                <w:szCs w:val="24"/>
              </w:rPr>
            </w:pPr>
            <w:r w:rsidRPr="000729CF">
              <w:rPr>
                <w:rFonts w:ascii="Arial" w:eastAsia="Calibri" w:hAnsi="Arial" w:cs="Arial"/>
                <w:sz w:val="24"/>
                <w:szCs w:val="24"/>
              </w:rPr>
              <w:t>Special Policy &amp; Resources Committee, 6 March 2014.</w:t>
            </w:r>
          </w:p>
          <w:p w14:paraId="2AFE37EE" w14:textId="77777777" w:rsidR="000729CF" w:rsidRPr="000729CF" w:rsidRDefault="000729CF" w:rsidP="00CE70A3">
            <w:pPr>
              <w:numPr>
                <w:ilvl w:val="0"/>
                <w:numId w:val="61"/>
              </w:numPr>
              <w:ind w:left="459" w:hanging="459"/>
              <w:rPr>
                <w:rFonts w:ascii="Arial" w:eastAsia="Calibri" w:hAnsi="Arial" w:cs="Arial"/>
                <w:sz w:val="24"/>
                <w:szCs w:val="24"/>
              </w:rPr>
            </w:pPr>
            <w:r w:rsidRPr="000729CF">
              <w:rPr>
                <w:rFonts w:ascii="Arial" w:eastAsia="Calibri" w:hAnsi="Arial" w:cs="Arial"/>
                <w:sz w:val="24"/>
                <w:szCs w:val="24"/>
              </w:rPr>
              <w:t>Special Policy &amp; Resources Committee 27 February 2023</w:t>
            </w:r>
          </w:p>
        </w:tc>
      </w:tr>
      <w:tr w:rsidR="000729CF" w:rsidRPr="000729CF" w14:paraId="79BE74E3" w14:textId="77777777" w:rsidTr="00BC26AB">
        <w:tc>
          <w:tcPr>
            <w:tcW w:w="838" w:type="pct"/>
          </w:tcPr>
          <w:p w14:paraId="27DAE647"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Wave Community Bank (formerly East Sussex Credit Union)</w:t>
            </w:r>
          </w:p>
        </w:tc>
        <w:tc>
          <w:tcPr>
            <w:tcW w:w="816" w:type="pct"/>
          </w:tcPr>
          <w:p w14:paraId="13C0F1DC" w14:textId="77777777" w:rsidR="000729CF" w:rsidRPr="000729CF" w:rsidRDefault="000729CF" w:rsidP="000729CF">
            <w:pPr>
              <w:jc w:val="right"/>
              <w:rPr>
                <w:rFonts w:ascii="Arial" w:eastAsia="Calibri" w:hAnsi="Arial" w:cs="Arial"/>
                <w:sz w:val="24"/>
                <w:szCs w:val="24"/>
              </w:rPr>
            </w:pPr>
            <w:r w:rsidRPr="000729CF">
              <w:rPr>
                <w:rFonts w:ascii="Arial" w:eastAsia="Calibri" w:hAnsi="Arial" w:cs="Arial"/>
                <w:sz w:val="24"/>
                <w:szCs w:val="24"/>
              </w:rPr>
              <w:t>0.250</w:t>
            </w:r>
          </w:p>
        </w:tc>
        <w:tc>
          <w:tcPr>
            <w:tcW w:w="1742" w:type="pct"/>
          </w:tcPr>
          <w:p w14:paraId="6C0B4402"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To increase the reserves base for the organisation to increase affordable lending to local people and businesses, and to increase the provision of crisis loans to Brighton and Hove residents.</w:t>
            </w:r>
          </w:p>
        </w:tc>
        <w:tc>
          <w:tcPr>
            <w:tcW w:w="1603" w:type="pct"/>
          </w:tcPr>
          <w:p w14:paraId="073CFEAF" w14:textId="77777777" w:rsidR="000729CF" w:rsidRPr="000729CF" w:rsidRDefault="000729CF" w:rsidP="00CE70A3">
            <w:pPr>
              <w:numPr>
                <w:ilvl w:val="0"/>
                <w:numId w:val="65"/>
              </w:numPr>
              <w:ind w:left="397"/>
              <w:rPr>
                <w:rFonts w:ascii="Arial" w:eastAsia="Calibri" w:hAnsi="Arial" w:cs="Arial"/>
                <w:sz w:val="24"/>
                <w:szCs w:val="24"/>
              </w:rPr>
            </w:pPr>
            <w:r w:rsidRPr="000729CF">
              <w:rPr>
                <w:rFonts w:ascii="Arial" w:eastAsia="Calibri" w:hAnsi="Arial" w:cs="Arial"/>
                <w:sz w:val="24"/>
                <w:szCs w:val="24"/>
              </w:rPr>
              <w:t>PR&amp;G Committee, 21 January 2016</w:t>
            </w:r>
          </w:p>
          <w:p w14:paraId="4A034016" w14:textId="77777777" w:rsidR="000729CF" w:rsidRPr="000729CF" w:rsidRDefault="000729CF" w:rsidP="00CE70A3">
            <w:pPr>
              <w:numPr>
                <w:ilvl w:val="0"/>
                <w:numId w:val="65"/>
              </w:numPr>
              <w:ind w:left="397"/>
              <w:rPr>
                <w:rFonts w:ascii="Arial" w:eastAsia="Calibri" w:hAnsi="Arial" w:cs="Arial"/>
                <w:sz w:val="24"/>
                <w:szCs w:val="24"/>
              </w:rPr>
            </w:pPr>
            <w:r w:rsidRPr="000729CF">
              <w:rPr>
                <w:rFonts w:ascii="Arial" w:eastAsia="Calibri" w:hAnsi="Arial" w:cs="Arial"/>
                <w:sz w:val="24"/>
                <w:szCs w:val="24"/>
              </w:rPr>
              <w:t>Extended to March 2036 by Policy &amp; Resources Committee on 16  March 2023.</w:t>
            </w:r>
          </w:p>
        </w:tc>
      </w:tr>
      <w:tr w:rsidR="000729CF" w:rsidRPr="000729CF" w14:paraId="4576B538" w14:textId="77777777" w:rsidTr="00BC26AB">
        <w:tc>
          <w:tcPr>
            <w:tcW w:w="838" w:type="pct"/>
          </w:tcPr>
          <w:p w14:paraId="1A97340F"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Housing Joint Venture</w:t>
            </w:r>
          </w:p>
          <w:p w14:paraId="35B4E636" w14:textId="77777777" w:rsidR="000729CF" w:rsidRPr="000729CF" w:rsidRDefault="000729CF" w:rsidP="000729CF">
            <w:pPr>
              <w:rPr>
                <w:rFonts w:ascii="Arial" w:eastAsia="Calibri" w:hAnsi="Arial" w:cs="Arial"/>
                <w:sz w:val="24"/>
                <w:szCs w:val="24"/>
              </w:rPr>
            </w:pPr>
          </w:p>
        </w:tc>
        <w:tc>
          <w:tcPr>
            <w:tcW w:w="816" w:type="pct"/>
          </w:tcPr>
          <w:p w14:paraId="77F07962" w14:textId="77777777" w:rsidR="000729CF" w:rsidRPr="000729CF" w:rsidRDefault="000729CF" w:rsidP="000729CF">
            <w:pPr>
              <w:jc w:val="right"/>
              <w:rPr>
                <w:rFonts w:ascii="Arial" w:eastAsia="Calibri" w:hAnsi="Arial" w:cs="Arial"/>
                <w:sz w:val="24"/>
                <w:szCs w:val="24"/>
              </w:rPr>
            </w:pPr>
            <w:r w:rsidRPr="000729CF">
              <w:rPr>
                <w:rFonts w:ascii="Arial" w:eastAsia="Calibri" w:hAnsi="Arial" w:cs="Arial"/>
                <w:sz w:val="24"/>
                <w:szCs w:val="24"/>
              </w:rPr>
              <w:t>0.500</w:t>
            </w:r>
          </w:p>
        </w:tc>
        <w:tc>
          <w:tcPr>
            <w:tcW w:w="1742" w:type="pct"/>
          </w:tcPr>
          <w:p w14:paraId="5F6DA7A6"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Joint venture partnership with Hyde Housing Association for the delivery of 1,000 affordable homes within the City. This will be fully repaid during 2023/24.</w:t>
            </w:r>
          </w:p>
        </w:tc>
        <w:tc>
          <w:tcPr>
            <w:tcW w:w="1603" w:type="pct"/>
          </w:tcPr>
          <w:p w14:paraId="0CC57FAC" w14:textId="77777777" w:rsidR="000729CF" w:rsidRPr="000729CF" w:rsidRDefault="000729CF" w:rsidP="00CE70A3">
            <w:pPr>
              <w:numPr>
                <w:ilvl w:val="0"/>
                <w:numId w:val="66"/>
              </w:numPr>
              <w:ind w:left="397"/>
              <w:rPr>
                <w:rFonts w:ascii="Arial" w:eastAsia="Calibri" w:hAnsi="Arial" w:cs="Arial"/>
                <w:sz w:val="24"/>
                <w:szCs w:val="24"/>
              </w:rPr>
            </w:pPr>
            <w:r w:rsidRPr="000729CF">
              <w:rPr>
                <w:rFonts w:ascii="Arial" w:eastAsia="Calibri" w:hAnsi="Arial" w:cs="Arial"/>
                <w:sz w:val="24"/>
                <w:szCs w:val="24"/>
              </w:rPr>
              <w:t>PR&amp;G Committee, 12 October 2017</w:t>
            </w:r>
          </w:p>
          <w:p w14:paraId="0FBFA056" w14:textId="77777777" w:rsidR="000729CF" w:rsidRPr="000729CF" w:rsidRDefault="000729CF" w:rsidP="00CE70A3">
            <w:pPr>
              <w:numPr>
                <w:ilvl w:val="0"/>
                <w:numId w:val="66"/>
              </w:numPr>
              <w:ind w:left="397"/>
              <w:rPr>
                <w:rFonts w:ascii="Arial" w:eastAsia="Calibri" w:hAnsi="Arial" w:cs="Arial"/>
                <w:sz w:val="24"/>
                <w:szCs w:val="24"/>
              </w:rPr>
            </w:pPr>
            <w:r w:rsidRPr="000729CF">
              <w:rPr>
                <w:rFonts w:ascii="Arial" w:eastAsia="Calibri" w:hAnsi="Arial" w:cs="Arial"/>
                <w:sz w:val="24"/>
                <w:szCs w:val="24"/>
              </w:rPr>
              <w:t>P&amp;R Committee 21 October 2020</w:t>
            </w:r>
          </w:p>
        </w:tc>
      </w:tr>
      <w:tr w:rsidR="000729CF" w:rsidRPr="000729CF" w14:paraId="09CB6D1D" w14:textId="77777777" w:rsidTr="00BC26AB">
        <w:tc>
          <w:tcPr>
            <w:tcW w:w="838" w:type="pct"/>
          </w:tcPr>
          <w:p w14:paraId="76130519"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 xml:space="preserve">Royal Pavilion &amp; Museum Trust </w:t>
            </w:r>
          </w:p>
        </w:tc>
        <w:tc>
          <w:tcPr>
            <w:tcW w:w="816" w:type="pct"/>
          </w:tcPr>
          <w:p w14:paraId="52B79587" w14:textId="77777777" w:rsidR="000729CF" w:rsidRPr="000729CF" w:rsidRDefault="000729CF" w:rsidP="000729CF">
            <w:pPr>
              <w:jc w:val="right"/>
              <w:rPr>
                <w:rFonts w:ascii="Arial" w:eastAsia="Calibri" w:hAnsi="Arial" w:cs="Arial"/>
                <w:sz w:val="24"/>
                <w:szCs w:val="24"/>
              </w:rPr>
            </w:pPr>
            <w:r w:rsidRPr="000729CF">
              <w:rPr>
                <w:rFonts w:ascii="Arial" w:eastAsia="Calibri" w:hAnsi="Arial" w:cs="Arial"/>
                <w:sz w:val="24"/>
                <w:szCs w:val="24"/>
              </w:rPr>
              <w:t>2.000</w:t>
            </w:r>
          </w:p>
        </w:tc>
        <w:tc>
          <w:tcPr>
            <w:tcW w:w="1742" w:type="pct"/>
          </w:tcPr>
          <w:p w14:paraId="67F04936"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To provide a cash flow loan facility for the Royal Pavilion and Museum Trust.</w:t>
            </w:r>
          </w:p>
        </w:tc>
        <w:tc>
          <w:tcPr>
            <w:tcW w:w="1603" w:type="pct"/>
          </w:tcPr>
          <w:p w14:paraId="08358F69"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Special P&amp;R Committee, 30 July 2020</w:t>
            </w:r>
          </w:p>
        </w:tc>
      </w:tr>
      <w:tr w:rsidR="000729CF" w:rsidRPr="000729CF" w14:paraId="4A119D2E" w14:textId="77777777" w:rsidTr="00BC26AB">
        <w:tc>
          <w:tcPr>
            <w:tcW w:w="838" w:type="pct"/>
          </w:tcPr>
          <w:p w14:paraId="5C25AD54"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Brighton Dome &amp; Brighton Festival Ltd</w:t>
            </w:r>
          </w:p>
        </w:tc>
        <w:tc>
          <w:tcPr>
            <w:tcW w:w="816" w:type="pct"/>
          </w:tcPr>
          <w:p w14:paraId="2C774768" w14:textId="77777777" w:rsidR="000729CF" w:rsidRPr="000729CF" w:rsidRDefault="000729CF" w:rsidP="000729CF">
            <w:pPr>
              <w:jc w:val="right"/>
              <w:rPr>
                <w:rFonts w:ascii="Arial" w:eastAsia="Calibri" w:hAnsi="Arial" w:cs="Arial"/>
                <w:sz w:val="24"/>
                <w:szCs w:val="24"/>
              </w:rPr>
            </w:pPr>
            <w:r w:rsidRPr="000729CF">
              <w:rPr>
                <w:rFonts w:ascii="Arial" w:eastAsia="Calibri" w:hAnsi="Arial" w:cs="Arial"/>
                <w:sz w:val="24"/>
                <w:szCs w:val="24"/>
              </w:rPr>
              <w:t>2.704</w:t>
            </w:r>
          </w:p>
        </w:tc>
        <w:tc>
          <w:tcPr>
            <w:tcW w:w="1742" w:type="pct"/>
          </w:tcPr>
          <w:p w14:paraId="76FB3D17"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To support the capital  redevelopment works</w:t>
            </w:r>
            <w:r w:rsidRPr="000729CF">
              <w:rPr>
                <w:rFonts w:ascii="Arial" w:hAnsi="Arial"/>
                <w:spacing w:val="7"/>
                <w:sz w:val="24"/>
              </w:rPr>
              <w:t xml:space="preserve"> to the Corn Exchange and Studio Theatre.</w:t>
            </w:r>
          </w:p>
        </w:tc>
        <w:tc>
          <w:tcPr>
            <w:tcW w:w="1603" w:type="pct"/>
          </w:tcPr>
          <w:p w14:paraId="1F63932B"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P&amp;R Committee 13 October 2016</w:t>
            </w:r>
          </w:p>
        </w:tc>
      </w:tr>
    </w:tbl>
    <w:p w14:paraId="20C7CF45" w14:textId="77777777" w:rsidR="000729CF" w:rsidRPr="000729CF" w:rsidRDefault="000729CF" w:rsidP="000729CF">
      <w:pPr>
        <w:spacing w:before="240" w:after="120"/>
        <w:rPr>
          <w:rFonts w:ascii="Arial" w:eastAsia="Calibri" w:hAnsi="Arial" w:cs="Arial"/>
          <w:sz w:val="24"/>
          <w:szCs w:val="24"/>
          <w:lang w:val="en-GB"/>
        </w:rPr>
      </w:pPr>
      <w:r w:rsidRPr="000729CF">
        <w:rPr>
          <w:rFonts w:ascii="Arial" w:eastAsia="Calibri" w:hAnsi="Arial" w:cs="Arial"/>
          <w:sz w:val="24"/>
          <w:szCs w:val="24"/>
          <w:lang w:val="en-GB"/>
        </w:rPr>
        <w:t>*</w:t>
      </w:r>
      <w:r w:rsidRPr="000729CF">
        <w:rPr>
          <w:rFonts w:ascii="Arial" w:eastAsia="Calibri" w:hAnsi="Arial" w:cs="Arial"/>
          <w:sz w:val="24"/>
          <w:szCs w:val="24"/>
          <w:lang w:val="en-GB"/>
        </w:rPr>
        <w:tab/>
        <w:t>Note the loan value above refers to the value of the debt outstanding to the i360 Company. This is not the same as the value of the underlying PWLB debt undertaken by the council in respect of the facility.</w:t>
      </w:r>
    </w:p>
    <w:p w14:paraId="2C675093" w14:textId="77777777" w:rsidR="000729CF" w:rsidRPr="000729CF" w:rsidRDefault="000729CF" w:rsidP="00CE70A3">
      <w:pPr>
        <w:numPr>
          <w:ilvl w:val="1"/>
          <w:numId w:val="56"/>
        </w:numPr>
        <w:spacing w:before="240" w:after="12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 xml:space="preserve">The loan to the i360 company represents a financial risk as reported to Policy &amp; Resources Committee in February 2023. P&amp;R committee agreed to restructure the loan to provide the best financial outcome to the City Council in July 2022. However this revised loan agreement was not finalised due to further financial difficulties of the attraction. The report in February 2023 noted the change in business model that was being put in place by i360 Limited and updated the committee on the i360 Company’s financial position and performance. The 2024/25 budget makes full provision for the associated borrowing costs of the debt irrespective of i360 </w:t>
      </w:r>
      <w:proofErr w:type="spellStart"/>
      <w:r w:rsidRPr="000729CF">
        <w:rPr>
          <w:rFonts w:ascii="Arial" w:eastAsia="Calibri" w:hAnsi="Arial" w:cs="Arial"/>
          <w:sz w:val="24"/>
          <w:szCs w:val="24"/>
          <w:lang w:val="en-GB"/>
        </w:rPr>
        <w:t>Ltd’s</w:t>
      </w:r>
      <w:proofErr w:type="spellEnd"/>
      <w:r w:rsidRPr="000729CF">
        <w:rPr>
          <w:rFonts w:ascii="Arial" w:eastAsia="Calibri" w:hAnsi="Arial" w:cs="Arial"/>
          <w:sz w:val="24"/>
          <w:szCs w:val="24"/>
          <w:lang w:val="en-GB"/>
        </w:rPr>
        <w:t xml:space="preserve"> financial position and this is reflected in the revised Minimum Revenue Provision policy included at Appendix 3 of the budget report.</w:t>
      </w:r>
    </w:p>
    <w:p w14:paraId="128AEE52" w14:textId="77777777" w:rsidR="000729CF" w:rsidRPr="000729CF" w:rsidRDefault="000729CF" w:rsidP="00CE70A3">
      <w:pPr>
        <w:numPr>
          <w:ilvl w:val="1"/>
          <w:numId w:val="56"/>
        </w:numPr>
        <w:spacing w:after="120" w:line="276" w:lineRule="auto"/>
        <w:ind w:left="709" w:hanging="709"/>
        <w:rPr>
          <w:rFonts w:ascii="Arial" w:eastAsia="Calibri" w:hAnsi="Arial" w:cs="Arial"/>
          <w:sz w:val="24"/>
          <w:szCs w:val="24"/>
          <w:lang w:val="en-GB"/>
        </w:rPr>
      </w:pPr>
      <w:r w:rsidRPr="000729CF">
        <w:rPr>
          <w:rFonts w:ascii="Arial" w:eastAsia="Calibri" w:hAnsi="Arial" w:cs="Arial"/>
          <w:color w:val="000000"/>
          <w:sz w:val="24"/>
          <w:szCs w:val="24"/>
          <w:lang w:val="en-GB"/>
        </w:rPr>
        <w:t xml:space="preserve">The council is providing a (maximum) £4.0m cash flow loan facility to the Royal Pavilion &amp; Museums Trust (RPMT) to be drawn down over a three-year period and repaid over a maximum period of 10 years. This was agreed at the Special P&amp;R </w:t>
      </w:r>
      <w:r w:rsidRPr="000729CF">
        <w:rPr>
          <w:rFonts w:ascii="Arial" w:eastAsia="Calibri" w:hAnsi="Arial" w:cs="Arial"/>
          <w:sz w:val="24"/>
          <w:szCs w:val="24"/>
          <w:lang w:val="en-GB"/>
        </w:rPr>
        <w:t>Committee of 30 July 2020 in response to the potential cash flow impacts of the pandemic. To date the RMPT has drawn down £2.0m to help manage its cash flows.</w:t>
      </w:r>
    </w:p>
    <w:p w14:paraId="76E58E3C" w14:textId="77777777" w:rsidR="000729CF" w:rsidRPr="000729CF" w:rsidRDefault="000729CF" w:rsidP="00CE70A3">
      <w:pPr>
        <w:numPr>
          <w:ilvl w:val="1"/>
          <w:numId w:val="56"/>
        </w:numPr>
        <w:spacing w:after="12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The council has provided a loan of £2.704m to Brighton Dome &amp; Brighton Festival Ltd toward capital works for the redevelopment of the Corn Exchange and Studio Theatre. The loan supported match funding toward a successful National Heritage Lottery and Arts Council grant for the project.</w:t>
      </w:r>
    </w:p>
    <w:p w14:paraId="5F8E9AD1" w14:textId="77777777" w:rsidR="000729CF" w:rsidRPr="000729CF" w:rsidRDefault="000729CF" w:rsidP="00CE70A3">
      <w:pPr>
        <w:keepNext/>
        <w:numPr>
          <w:ilvl w:val="0"/>
          <w:numId w:val="56"/>
        </w:numPr>
        <w:spacing w:after="120" w:line="276" w:lineRule="auto"/>
        <w:ind w:left="709" w:hanging="709"/>
        <w:rPr>
          <w:rFonts w:ascii="Arial" w:eastAsia="Calibri" w:hAnsi="Arial" w:cs="Arial"/>
          <w:b/>
          <w:sz w:val="24"/>
          <w:szCs w:val="24"/>
          <w:lang w:val="en-GB"/>
        </w:rPr>
      </w:pPr>
      <w:bookmarkStart w:id="40" w:name="_Hlk63083710"/>
      <w:r w:rsidRPr="000729CF">
        <w:rPr>
          <w:rFonts w:ascii="Arial" w:eastAsia="Calibri" w:hAnsi="Arial" w:cs="Arial"/>
          <w:b/>
          <w:sz w:val="24"/>
          <w:szCs w:val="24"/>
          <w:lang w:val="en-GB"/>
        </w:rPr>
        <w:t>Financial and other Guarantees</w:t>
      </w:r>
    </w:p>
    <w:p w14:paraId="7CD62A0D" w14:textId="77777777" w:rsidR="000729CF" w:rsidRPr="000729CF" w:rsidRDefault="000729CF" w:rsidP="00CE70A3">
      <w:pPr>
        <w:numPr>
          <w:ilvl w:val="1"/>
          <w:numId w:val="56"/>
        </w:numPr>
        <w:spacing w:after="24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The council has provided guarantees against the underlying performance of the following arrangements:</w:t>
      </w:r>
    </w:p>
    <w:p w14:paraId="3F1824AA" w14:textId="77777777" w:rsidR="000729CF" w:rsidRPr="000729CF" w:rsidRDefault="000729CF" w:rsidP="00CE70A3">
      <w:pPr>
        <w:numPr>
          <w:ilvl w:val="2"/>
          <w:numId w:val="56"/>
        </w:numPr>
        <w:spacing w:after="120" w:line="276" w:lineRule="auto"/>
        <w:rPr>
          <w:rFonts w:ascii="Arial" w:eastAsia="Calibri" w:hAnsi="Arial" w:cs="Arial"/>
          <w:b/>
          <w:i/>
          <w:sz w:val="24"/>
          <w:szCs w:val="24"/>
          <w:lang w:val="en-GB"/>
        </w:rPr>
      </w:pPr>
      <w:r w:rsidRPr="000729CF">
        <w:rPr>
          <w:rFonts w:ascii="Arial" w:eastAsia="Calibri" w:hAnsi="Arial" w:cs="Arial"/>
          <w:b/>
          <w:i/>
          <w:sz w:val="24"/>
          <w:szCs w:val="24"/>
          <w:lang w:val="en-GB"/>
        </w:rPr>
        <w:t>Brighton &amp; Hove Seaside Community Homes (BHSCH)</w:t>
      </w:r>
    </w:p>
    <w:p w14:paraId="1C4375FC" w14:textId="77777777" w:rsidR="000729CF" w:rsidRPr="000729CF" w:rsidRDefault="000729CF" w:rsidP="000729CF">
      <w:pPr>
        <w:spacing w:after="240"/>
        <w:rPr>
          <w:rFonts w:ascii="Arial" w:eastAsia="Calibri" w:hAnsi="Arial" w:cs="Arial"/>
          <w:sz w:val="24"/>
          <w:szCs w:val="24"/>
          <w:lang w:val="en-GB"/>
        </w:rPr>
      </w:pPr>
      <w:r w:rsidRPr="000729CF">
        <w:rPr>
          <w:rFonts w:ascii="Arial" w:eastAsia="Calibri" w:hAnsi="Arial" w:cs="Arial"/>
          <w:sz w:val="24"/>
          <w:szCs w:val="24"/>
          <w:lang w:val="en-GB"/>
        </w:rPr>
        <w:t>The council has provided a rent guarantee to underwrite the rental income where Local Housing Allowance rates do not keep pace with inflation. The amount outstanding as at 31 December 2023 under this rent guarantee was £0.970m. The contract stipulates that the rent guarantee will be returned to the council when BHSCH achieves a level of surpluses as defined by the contract and business plan. However, a joint Housing and Policy &amp; Resources Committee on 27 February 2023 agreed to explore options to end the Local Delivery Vehicle (BHSCH) and return properties to council control.</w:t>
      </w:r>
    </w:p>
    <w:bookmarkEnd w:id="40"/>
    <w:p w14:paraId="6312116C" w14:textId="77777777" w:rsidR="000729CF" w:rsidRPr="000729CF" w:rsidRDefault="000729CF" w:rsidP="00CE70A3">
      <w:pPr>
        <w:numPr>
          <w:ilvl w:val="0"/>
          <w:numId w:val="56"/>
        </w:numPr>
        <w:spacing w:after="240" w:line="276" w:lineRule="auto"/>
        <w:ind w:left="709" w:hanging="709"/>
        <w:rPr>
          <w:rFonts w:ascii="Arial" w:eastAsia="Calibri" w:hAnsi="Arial" w:cs="Arial"/>
          <w:b/>
          <w:sz w:val="24"/>
          <w:szCs w:val="24"/>
          <w:lang w:val="en-GB"/>
        </w:rPr>
      </w:pPr>
      <w:r w:rsidRPr="000729CF">
        <w:rPr>
          <w:rFonts w:ascii="Arial" w:eastAsia="Calibri" w:hAnsi="Arial" w:cs="Arial"/>
          <w:b/>
          <w:sz w:val="24"/>
          <w:szCs w:val="24"/>
          <w:lang w:val="en-GB"/>
        </w:rPr>
        <w:t>Other schemes</w:t>
      </w:r>
    </w:p>
    <w:p w14:paraId="47334403" w14:textId="77777777" w:rsidR="000729CF" w:rsidRPr="000729CF" w:rsidRDefault="000729CF" w:rsidP="000729CF">
      <w:pPr>
        <w:spacing w:after="240"/>
        <w:rPr>
          <w:rFonts w:ascii="Arial" w:eastAsia="Calibri" w:hAnsi="Arial" w:cs="Arial"/>
          <w:sz w:val="24"/>
          <w:szCs w:val="24"/>
          <w:lang w:val="en-GB"/>
        </w:rPr>
      </w:pPr>
      <w:r w:rsidRPr="000729CF">
        <w:rPr>
          <w:rFonts w:ascii="Arial" w:eastAsia="Calibri" w:hAnsi="Arial" w:cs="Arial"/>
          <w:sz w:val="24"/>
          <w:szCs w:val="24"/>
          <w:lang w:val="en-GB"/>
        </w:rPr>
        <w:t>The primary objectives of the following schemes are not for financial return purposes, but to support meeting the council’s strategic priorities for the city. However, each project is expected to create net revenue income for the council and have therefore been included for completeness.</w:t>
      </w:r>
    </w:p>
    <w:p w14:paraId="14C4F086" w14:textId="77777777" w:rsidR="000729CF" w:rsidRPr="000729CF" w:rsidRDefault="000729CF" w:rsidP="000729CF">
      <w:pPr>
        <w:spacing w:after="120"/>
        <w:rPr>
          <w:rFonts w:ascii="Arial" w:eastAsia="Calibri" w:hAnsi="Arial" w:cs="Arial"/>
          <w:b/>
          <w:i/>
          <w:sz w:val="24"/>
          <w:szCs w:val="24"/>
          <w:lang w:val="en-GB"/>
        </w:rPr>
      </w:pPr>
      <w:bookmarkStart w:id="41" w:name="_Hlk63084089"/>
      <w:r w:rsidRPr="000729CF">
        <w:rPr>
          <w:rFonts w:ascii="Arial" w:eastAsia="Calibri" w:hAnsi="Arial" w:cs="Arial"/>
          <w:b/>
          <w:i/>
          <w:sz w:val="24"/>
          <w:szCs w:val="24"/>
          <w:lang w:val="en-GB"/>
        </w:rPr>
        <w:t>Housing Joint Venture</w:t>
      </w:r>
    </w:p>
    <w:p w14:paraId="624BF874" w14:textId="77777777" w:rsidR="000729CF" w:rsidRPr="000729CF" w:rsidRDefault="000729CF" w:rsidP="00CE70A3">
      <w:pPr>
        <w:numPr>
          <w:ilvl w:val="1"/>
          <w:numId w:val="56"/>
        </w:numPr>
        <w:spacing w:after="12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 xml:space="preserve">The council has entered into a joint venture with Hyde Housing Association for the delivery of 1,000 affordable </w:t>
      </w:r>
      <w:r w:rsidRPr="000729CF">
        <w:rPr>
          <w:rFonts w:ascii="Arial" w:eastAsia="Calibri" w:hAnsi="Arial" w:cs="Arial"/>
          <w:color w:val="000000"/>
          <w:sz w:val="24"/>
          <w:szCs w:val="24"/>
          <w:lang w:val="en-GB"/>
        </w:rPr>
        <w:t xml:space="preserve">homes for the city. The Homes for Brighton &amp; Hove LLP’s (LLP) business plan and legal arrangements were agreed by the former Policy, Resources &amp; Growth committee at its meeting of 12 October 2017 and included a projected investment by the council of £59.7m for 50% of the homes, net of receipts from shared ownership sales. Subsequently on 21 October 2020 a joint Policy &amp; Resources and Housing committee meeting approved that the business plan be amended for the development of the first 2 sites at Coldean Lane and Portslade, delivering 346 homes. The approval given was for 50% of the homes to be </w:t>
      </w:r>
      <w:r w:rsidRPr="000729CF">
        <w:rPr>
          <w:rFonts w:ascii="Arial" w:eastAsia="Calibri" w:hAnsi="Arial" w:cs="Arial"/>
          <w:sz w:val="24"/>
          <w:szCs w:val="24"/>
          <w:lang w:val="en-GB"/>
        </w:rPr>
        <w:t>purchased by the HRA for an investment of up to £41.0m, including fees, and utilising Homes England Grant funding.</w:t>
      </w:r>
    </w:p>
    <w:p w14:paraId="178767B0" w14:textId="77777777" w:rsidR="000729CF" w:rsidRPr="000729CF" w:rsidRDefault="000729CF" w:rsidP="00CE70A3">
      <w:pPr>
        <w:numPr>
          <w:ilvl w:val="1"/>
          <w:numId w:val="56"/>
        </w:numPr>
        <w:spacing w:after="12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The LLP’s business plan to deliver the remaining 654 homes has since been updated following a review to enable the new development company delivery model for future developments. Significant changes to the LLP agreement is a reserved matter and requires Policy &amp; Resources (now Strategy, Finance &amp; City Regeneration) Committee approval. At the 7 July 2022 Policy &amp; Resources meeting approval was given to amend the business plan accordingly. The revised business plan adopts the development company model for future projects with HBH developing homes and selling back to the Council and Hyde; all new projects require individual sign off Strategy, Finance &amp; City Regeneration Committee before progressing to the development stage.</w:t>
      </w:r>
    </w:p>
    <w:bookmarkEnd w:id="41"/>
    <w:p w14:paraId="40A193D8" w14:textId="77777777" w:rsidR="000729CF" w:rsidRPr="000729CF" w:rsidRDefault="000729CF" w:rsidP="00CE70A3">
      <w:pPr>
        <w:keepNext/>
        <w:numPr>
          <w:ilvl w:val="0"/>
          <w:numId w:val="56"/>
        </w:numPr>
        <w:spacing w:after="120" w:line="276" w:lineRule="auto"/>
        <w:ind w:left="709" w:hanging="709"/>
        <w:rPr>
          <w:rFonts w:ascii="Arial" w:eastAsia="Calibri" w:hAnsi="Arial" w:cs="Arial"/>
          <w:b/>
          <w:sz w:val="24"/>
          <w:szCs w:val="24"/>
          <w:lang w:val="en-GB"/>
        </w:rPr>
      </w:pPr>
      <w:r w:rsidRPr="000729CF">
        <w:rPr>
          <w:rFonts w:ascii="Arial" w:eastAsia="Calibri" w:hAnsi="Arial" w:cs="Arial"/>
          <w:b/>
          <w:sz w:val="24"/>
          <w:szCs w:val="24"/>
          <w:lang w:val="en-GB"/>
        </w:rPr>
        <w:t>Proportionality &amp; Summary of Risk Exposure</w:t>
      </w:r>
    </w:p>
    <w:p w14:paraId="11B19532" w14:textId="77777777" w:rsidR="000729CF" w:rsidRPr="000729CF" w:rsidRDefault="000729CF" w:rsidP="00CE70A3">
      <w:pPr>
        <w:numPr>
          <w:ilvl w:val="1"/>
          <w:numId w:val="56"/>
        </w:numPr>
        <w:spacing w:after="24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 xml:space="preserve">The Capital Strategy provides an opportunity to demonstrate the totality and proportionality of the council’s non-treasury investments in one place. </w:t>
      </w:r>
    </w:p>
    <w:p w14:paraId="64B55CD4" w14:textId="77777777" w:rsidR="000729CF" w:rsidRPr="000729CF" w:rsidRDefault="000729CF" w:rsidP="00CE70A3">
      <w:pPr>
        <w:numPr>
          <w:ilvl w:val="1"/>
          <w:numId w:val="56"/>
        </w:numPr>
        <w:spacing w:after="200" w:line="276" w:lineRule="auto"/>
        <w:ind w:left="567" w:hanging="567"/>
        <w:contextualSpacing/>
        <w:rPr>
          <w:rFonts w:ascii="Arial" w:eastAsia="Calibri" w:hAnsi="Arial" w:cs="Arial"/>
          <w:sz w:val="24"/>
          <w:szCs w:val="24"/>
          <w:lang w:val="en-GB"/>
        </w:rPr>
      </w:pPr>
      <w:r w:rsidRPr="000729CF">
        <w:rPr>
          <w:rFonts w:ascii="Arial" w:eastAsia="Calibri" w:hAnsi="Arial" w:cs="Arial"/>
          <w:sz w:val="24"/>
          <w:szCs w:val="24"/>
          <w:lang w:val="en-GB"/>
        </w:rPr>
        <w:t xml:space="preserve">The Prudential Code now requires authorities to report a new indicator showing the expected income from non-treasury investments compared to the net budget. This is shown in the table below. </w:t>
      </w:r>
    </w:p>
    <w:p w14:paraId="1CB71DAA" w14:textId="77777777" w:rsidR="000729CF" w:rsidRPr="000729CF" w:rsidRDefault="000729CF" w:rsidP="000729CF">
      <w:pPr>
        <w:spacing w:after="240"/>
        <w:rPr>
          <w:rFonts w:ascii="Arial" w:eastAsia="Calibri" w:hAnsi="Arial" w:cs="Arial"/>
          <w:sz w:val="24"/>
          <w:szCs w:val="24"/>
          <w:lang w:val="en-GB"/>
        </w:rPr>
      </w:pPr>
    </w:p>
    <w:tbl>
      <w:tblPr>
        <w:tblStyle w:val="TableGrid"/>
        <w:tblW w:w="4859" w:type="pct"/>
        <w:tblInd w:w="562" w:type="dxa"/>
        <w:tblLook w:val="04A0" w:firstRow="1" w:lastRow="0" w:firstColumn="1" w:lastColumn="0" w:noHBand="0" w:noVBand="1"/>
      </w:tblPr>
      <w:tblGrid>
        <w:gridCol w:w="4966"/>
        <w:gridCol w:w="1415"/>
        <w:gridCol w:w="1480"/>
        <w:gridCol w:w="1495"/>
      </w:tblGrid>
      <w:tr w:rsidR="000729CF" w:rsidRPr="000729CF" w14:paraId="269370A4" w14:textId="77777777" w:rsidTr="000729CF">
        <w:tc>
          <w:tcPr>
            <w:tcW w:w="2653" w:type="pct"/>
            <w:tcBorders>
              <w:bottom w:val="single" w:sz="4" w:space="0" w:color="auto"/>
            </w:tcBorders>
            <w:shd w:val="clear" w:color="auto" w:fill="244061"/>
          </w:tcPr>
          <w:p w14:paraId="37F9C4C5" w14:textId="77777777" w:rsidR="000729CF" w:rsidRPr="000729CF" w:rsidRDefault="000729CF" w:rsidP="000729CF">
            <w:pPr>
              <w:spacing w:after="120"/>
              <w:rPr>
                <w:rFonts w:ascii="Arial" w:eastAsia="Calibri" w:hAnsi="Arial" w:cs="Arial"/>
                <w:b/>
                <w:sz w:val="24"/>
                <w:szCs w:val="24"/>
              </w:rPr>
            </w:pPr>
            <w:r w:rsidRPr="000729CF">
              <w:rPr>
                <w:rFonts w:ascii="Arial" w:eastAsia="Calibri" w:hAnsi="Arial" w:cs="Arial"/>
                <w:b/>
                <w:sz w:val="24"/>
                <w:szCs w:val="24"/>
              </w:rPr>
              <w:t>Net income from Non-Treasury Investments to Net Revenue Stream</w:t>
            </w:r>
          </w:p>
        </w:tc>
        <w:tc>
          <w:tcPr>
            <w:tcW w:w="756" w:type="pct"/>
            <w:tcBorders>
              <w:bottom w:val="single" w:sz="4" w:space="0" w:color="auto"/>
            </w:tcBorders>
            <w:shd w:val="clear" w:color="auto" w:fill="244061"/>
          </w:tcPr>
          <w:p w14:paraId="03FE9462" w14:textId="77777777" w:rsidR="000729CF" w:rsidRPr="000729CF" w:rsidRDefault="000729CF" w:rsidP="000729CF">
            <w:pPr>
              <w:spacing w:after="120"/>
              <w:jc w:val="right"/>
              <w:rPr>
                <w:rFonts w:ascii="Arial" w:eastAsia="Calibri" w:hAnsi="Arial" w:cs="Arial"/>
                <w:b/>
                <w:sz w:val="24"/>
                <w:szCs w:val="24"/>
              </w:rPr>
            </w:pPr>
            <w:r w:rsidRPr="000729CF">
              <w:rPr>
                <w:rFonts w:ascii="Arial" w:eastAsia="Calibri" w:hAnsi="Arial" w:cs="Arial"/>
                <w:b/>
                <w:sz w:val="24"/>
                <w:szCs w:val="24"/>
              </w:rPr>
              <w:t>2024/25</w:t>
            </w:r>
          </w:p>
          <w:p w14:paraId="588F2CC5" w14:textId="77777777" w:rsidR="000729CF" w:rsidRPr="000729CF" w:rsidRDefault="000729CF" w:rsidP="000729CF">
            <w:pPr>
              <w:spacing w:after="120"/>
              <w:jc w:val="right"/>
              <w:rPr>
                <w:rFonts w:ascii="Arial" w:eastAsia="Calibri" w:hAnsi="Arial" w:cs="Arial"/>
                <w:b/>
                <w:sz w:val="24"/>
                <w:szCs w:val="24"/>
              </w:rPr>
            </w:pPr>
            <w:r w:rsidRPr="000729CF">
              <w:rPr>
                <w:rFonts w:ascii="Arial" w:eastAsia="Calibri" w:hAnsi="Arial" w:cs="Arial"/>
                <w:b/>
                <w:sz w:val="24"/>
                <w:szCs w:val="24"/>
              </w:rPr>
              <w:t>Estimate</w:t>
            </w:r>
          </w:p>
          <w:p w14:paraId="07B5721D" w14:textId="77777777" w:rsidR="000729CF" w:rsidRPr="000729CF" w:rsidRDefault="000729CF" w:rsidP="000729CF">
            <w:pPr>
              <w:spacing w:after="120"/>
              <w:jc w:val="right"/>
              <w:rPr>
                <w:rFonts w:ascii="Arial" w:eastAsia="Calibri" w:hAnsi="Arial" w:cs="Arial"/>
                <w:b/>
                <w:sz w:val="24"/>
                <w:szCs w:val="24"/>
              </w:rPr>
            </w:pPr>
            <w:r w:rsidRPr="000729CF">
              <w:rPr>
                <w:rFonts w:ascii="Arial" w:eastAsia="Calibri" w:hAnsi="Arial" w:cs="Arial"/>
                <w:b/>
                <w:sz w:val="24"/>
                <w:szCs w:val="24"/>
              </w:rPr>
              <w:t>£m</w:t>
            </w:r>
          </w:p>
        </w:tc>
        <w:tc>
          <w:tcPr>
            <w:tcW w:w="791" w:type="pct"/>
            <w:tcBorders>
              <w:bottom w:val="single" w:sz="4" w:space="0" w:color="auto"/>
            </w:tcBorders>
            <w:shd w:val="clear" w:color="auto" w:fill="244061"/>
          </w:tcPr>
          <w:p w14:paraId="56E76F44" w14:textId="77777777" w:rsidR="000729CF" w:rsidRPr="000729CF" w:rsidRDefault="000729CF" w:rsidP="000729CF">
            <w:pPr>
              <w:spacing w:after="120"/>
              <w:jc w:val="right"/>
              <w:rPr>
                <w:rFonts w:ascii="Arial" w:eastAsia="Calibri" w:hAnsi="Arial" w:cs="Arial"/>
                <w:b/>
                <w:sz w:val="24"/>
                <w:szCs w:val="24"/>
              </w:rPr>
            </w:pPr>
            <w:r w:rsidRPr="000729CF">
              <w:rPr>
                <w:rFonts w:ascii="Arial" w:eastAsia="Calibri" w:hAnsi="Arial" w:cs="Arial"/>
                <w:b/>
                <w:sz w:val="24"/>
                <w:szCs w:val="24"/>
              </w:rPr>
              <w:t>2025/26</w:t>
            </w:r>
          </w:p>
          <w:p w14:paraId="07A46E68" w14:textId="77777777" w:rsidR="000729CF" w:rsidRPr="000729CF" w:rsidRDefault="000729CF" w:rsidP="000729CF">
            <w:pPr>
              <w:spacing w:after="120"/>
              <w:jc w:val="right"/>
              <w:rPr>
                <w:rFonts w:ascii="Arial" w:eastAsia="Calibri" w:hAnsi="Arial" w:cs="Arial"/>
                <w:b/>
                <w:sz w:val="24"/>
                <w:szCs w:val="24"/>
              </w:rPr>
            </w:pPr>
            <w:r w:rsidRPr="000729CF">
              <w:rPr>
                <w:rFonts w:ascii="Arial" w:eastAsia="Calibri" w:hAnsi="Arial" w:cs="Arial"/>
                <w:b/>
                <w:sz w:val="24"/>
                <w:szCs w:val="24"/>
              </w:rPr>
              <w:t>Estimate</w:t>
            </w:r>
          </w:p>
          <w:p w14:paraId="4A2C3212" w14:textId="77777777" w:rsidR="000729CF" w:rsidRPr="000729CF" w:rsidRDefault="000729CF" w:rsidP="000729CF">
            <w:pPr>
              <w:spacing w:after="120"/>
              <w:jc w:val="right"/>
              <w:rPr>
                <w:rFonts w:ascii="Arial" w:eastAsia="Calibri" w:hAnsi="Arial" w:cs="Arial"/>
                <w:b/>
                <w:sz w:val="24"/>
                <w:szCs w:val="24"/>
              </w:rPr>
            </w:pPr>
            <w:r w:rsidRPr="000729CF">
              <w:rPr>
                <w:rFonts w:ascii="Arial" w:eastAsia="Calibri" w:hAnsi="Arial" w:cs="Arial"/>
                <w:b/>
                <w:sz w:val="24"/>
                <w:szCs w:val="24"/>
              </w:rPr>
              <w:t>£m</w:t>
            </w:r>
          </w:p>
        </w:tc>
        <w:tc>
          <w:tcPr>
            <w:tcW w:w="799" w:type="pct"/>
            <w:tcBorders>
              <w:bottom w:val="single" w:sz="4" w:space="0" w:color="auto"/>
            </w:tcBorders>
            <w:shd w:val="clear" w:color="auto" w:fill="244061"/>
          </w:tcPr>
          <w:p w14:paraId="1C89AF6A" w14:textId="77777777" w:rsidR="000729CF" w:rsidRPr="000729CF" w:rsidRDefault="000729CF" w:rsidP="000729CF">
            <w:pPr>
              <w:spacing w:after="120"/>
              <w:jc w:val="right"/>
              <w:rPr>
                <w:rFonts w:ascii="Arial" w:eastAsia="Calibri" w:hAnsi="Arial" w:cs="Arial"/>
                <w:b/>
                <w:sz w:val="24"/>
                <w:szCs w:val="24"/>
              </w:rPr>
            </w:pPr>
            <w:r w:rsidRPr="000729CF">
              <w:rPr>
                <w:rFonts w:ascii="Arial" w:eastAsia="Calibri" w:hAnsi="Arial" w:cs="Arial"/>
                <w:b/>
                <w:sz w:val="24"/>
                <w:szCs w:val="24"/>
              </w:rPr>
              <w:t>2026/27</w:t>
            </w:r>
          </w:p>
          <w:p w14:paraId="691B24EF" w14:textId="77777777" w:rsidR="000729CF" w:rsidRPr="000729CF" w:rsidRDefault="000729CF" w:rsidP="000729CF">
            <w:pPr>
              <w:spacing w:after="120"/>
              <w:jc w:val="right"/>
              <w:rPr>
                <w:rFonts w:ascii="Arial" w:eastAsia="Calibri" w:hAnsi="Arial" w:cs="Arial"/>
                <w:b/>
                <w:sz w:val="24"/>
                <w:szCs w:val="24"/>
              </w:rPr>
            </w:pPr>
            <w:r w:rsidRPr="000729CF">
              <w:rPr>
                <w:rFonts w:ascii="Arial" w:eastAsia="Calibri" w:hAnsi="Arial" w:cs="Arial"/>
                <w:b/>
                <w:sz w:val="24"/>
                <w:szCs w:val="24"/>
              </w:rPr>
              <w:t>Estimate</w:t>
            </w:r>
          </w:p>
          <w:p w14:paraId="5164E434" w14:textId="77777777" w:rsidR="000729CF" w:rsidRPr="000729CF" w:rsidRDefault="000729CF" w:rsidP="000729CF">
            <w:pPr>
              <w:spacing w:after="120"/>
              <w:jc w:val="right"/>
              <w:rPr>
                <w:rFonts w:ascii="Arial" w:eastAsia="Calibri" w:hAnsi="Arial" w:cs="Arial"/>
                <w:b/>
                <w:sz w:val="24"/>
                <w:szCs w:val="24"/>
              </w:rPr>
            </w:pPr>
            <w:r w:rsidRPr="000729CF">
              <w:rPr>
                <w:rFonts w:ascii="Arial" w:eastAsia="Calibri" w:hAnsi="Arial" w:cs="Arial"/>
                <w:b/>
                <w:sz w:val="24"/>
                <w:szCs w:val="24"/>
              </w:rPr>
              <w:t>£m</w:t>
            </w:r>
          </w:p>
        </w:tc>
      </w:tr>
      <w:tr w:rsidR="000729CF" w:rsidRPr="000729CF" w14:paraId="613B1060" w14:textId="77777777" w:rsidTr="00BC26AB">
        <w:tc>
          <w:tcPr>
            <w:tcW w:w="2653" w:type="pct"/>
            <w:tcBorders>
              <w:bottom w:val="nil"/>
            </w:tcBorders>
          </w:tcPr>
          <w:p w14:paraId="0154FD94" w14:textId="77777777" w:rsidR="000729CF" w:rsidRPr="000729CF" w:rsidRDefault="000729CF" w:rsidP="000729CF">
            <w:pPr>
              <w:rPr>
                <w:rFonts w:ascii="Arial" w:eastAsia="Calibri" w:hAnsi="Arial" w:cs="Arial"/>
                <w:sz w:val="24"/>
                <w:szCs w:val="24"/>
              </w:rPr>
            </w:pPr>
          </w:p>
        </w:tc>
        <w:tc>
          <w:tcPr>
            <w:tcW w:w="756" w:type="pct"/>
            <w:tcBorders>
              <w:bottom w:val="nil"/>
            </w:tcBorders>
          </w:tcPr>
          <w:p w14:paraId="3490BA82" w14:textId="77777777" w:rsidR="000729CF" w:rsidRPr="000729CF" w:rsidRDefault="000729CF" w:rsidP="000729CF">
            <w:pPr>
              <w:jc w:val="right"/>
              <w:rPr>
                <w:rFonts w:ascii="Arial" w:eastAsia="Calibri" w:hAnsi="Arial" w:cs="Arial"/>
                <w:sz w:val="24"/>
                <w:szCs w:val="24"/>
              </w:rPr>
            </w:pPr>
          </w:p>
        </w:tc>
        <w:tc>
          <w:tcPr>
            <w:tcW w:w="791" w:type="pct"/>
            <w:tcBorders>
              <w:bottom w:val="nil"/>
            </w:tcBorders>
          </w:tcPr>
          <w:p w14:paraId="2F4FD95B" w14:textId="77777777" w:rsidR="000729CF" w:rsidRPr="000729CF" w:rsidRDefault="000729CF" w:rsidP="000729CF">
            <w:pPr>
              <w:jc w:val="right"/>
              <w:rPr>
                <w:rFonts w:ascii="Arial" w:eastAsia="Calibri" w:hAnsi="Arial" w:cs="Arial"/>
                <w:sz w:val="24"/>
                <w:szCs w:val="24"/>
              </w:rPr>
            </w:pPr>
          </w:p>
        </w:tc>
        <w:tc>
          <w:tcPr>
            <w:tcW w:w="799" w:type="pct"/>
            <w:tcBorders>
              <w:bottom w:val="nil"/>
            </w:tcBorders>
          </w:tcPr>
          <w:p w14:paraId="25524C05" w14:textId="77777777" w:rsidR="000729CF" w:rsidRPr="000729CF" w:rsidRDefault="000729CF" w:rsidP="000729CF">
            <w:pPr>
              <w:jc w:val="right"/>
              <w:rPr>
                <w:rFonts w:ascii="Arial" w:eastAsia="Calibri" w:hAnsi="Arial" w:cs="Arial"/>
                <w:sz w:val="24"/>
                <w:szCs w:val="24"/>
              </w:rPr>
            </w:pPr>
          </w:p>
        </w:tc>
      </w:tr>
      <w:tr w:rsidR="000729CF" w:rsidRPr="000729CF" w14:paraId="3726B40D" w14:textId="77777777" w:rsidTr="00BC26AB">
        <w:tc>
          <w:tcPr>
            <w:tcW w:w="2653" w:type="pct"/>
            <w:tcBorders>
              <w:top w:val="nil"/>
            </w:tcBorders>
          </w:tcPr>
          <w:p w14:paraId="31F0300B"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Income from commercial properties</w:t>
            </w:r>
          </w:p>
          <w:p w14:paraId="666FED36" w14:textId="77777777" w:rsidR="000729CF" w:rsidRPr="000729CF" w:rsidRDefault="000729CF" w:rsidP="000729CF">
            <w:pPr>
              <w:rPr>
                <w:rFonts w:ascii="Arial" w:eastAsia="Calibri" w:hAnsi="Arial" w:cs="Arial"/>
                <w:sz w:val="24"/>
                <w:szCs w:val="24"/>
              </w:rPr>
            </w:pPr>
          </w:p>
        </w:tc>
        <w:tc>
          <w:tcPr>
            <w:tcW w:w="756" w:type="pct"/>
            <w:tcBorders>
              <w:top w:val="nil"/>
            </w:tcBorders>
          </w:tcPr>
          <w:p w14:paraId="6EEC1AF0" w14:textId="77777777" w:rsidR="000729CF" w:rsidRPr="000729CF" w:rsidRDefault="000729CF" w:rsidP="000729CF">
            <w:pPr>
              <w:jc w:val="right"/>
              <w:rPr>
                <w:rFonts w:ascii="Arial" w:eastAsia="Calibri" w:hAnsi="Arial" w:cs="Arial"/>
                <w:sz w:val="24"/>
                <w:szCs w:val="24"/>
              </w:rPr>
            </w:pPr>
            <w:r w:rsidRPr="000729CF">
              <w:rPr>
                <w:rFonts w:ascii="Arial" w:eastAsia="Calibri" w:hAnsi="Arial" w:cs="Arial"/>
                <w:sz w:val="24"/>
                <w:szCs w:val="24"/>
              </w:rPr>
              <w:t>13.242</w:t>
            </w:r>
          </w:p>
          <w:p w14:paraId="72D25FB9" w14:textId="77777777" w:rsidR="000729CF" w:rsidRPr="000729CF" w:rsidRDefault="000729CF" w:rsidP="000729CF">
            <w:pPr>
              <w:jc w:val="right"/>
              <w:rPr>
                <w:rFonts w:ascii="Arial" w:eastAsia="Calibri" w:hAnsi="Arial" w:cs="Arial"/>
                <w:sz w:val="24"/>
                <w:szCs w:val="24"/>
              </w:rPr>
            </w:pPr>
          </w:p>
        </w:tc>
        <w:tc>
          <w:tcPr>
            <w:tcW w:w="791" w:type="pct"/>
            <w:tcBorders>
              <w:top w:val="nil"/>
            </w:tcBorders>
          </w:tcPr>
          <w:p w14:paraId="0BAF23D6" w14:textId="77777777" w:rsidR="000729CF" w:rsidRPr="000729CF" w:rsidRDefault="000729CF" w:rsidP="000729CF">
            <w:pPr>
              <w:jc w:val="right"/>
              <w:rPr>
                <w:rFonts w:ascii="Arial" w:eastAsia="Calibri" w:hAnsi="Arial" w:cs="Arial"/>
                <w:sz w:val="24"/>
                <w:szCs w:val="24"/>
              </w:rPr>
            </w:pPr>
            <w:r w:rsidRPr="000729CF">
              <w:rPr>
                <w:rFonts w:ascii="Arial" w:eastAsia="Calibri" w:hAnsi="Arial" w:cs="Arial"/>
                <w:sz w:val="24"/>
                <w:szCs w:val="24"/>
              </w:rPr>
              <w:t>13.725</w:t>
            </w:r>
          </w:p>
        </w:tc>
        <w:tc>
          <w:tcPr>
            <w:tcW w:w="799" w:type="pct"/>
            <w:tcBorders>
              <w:top w:val="nil"/>
            </w:tcBorders>
          </w:tcPr>
          <w:p w14:paraId="58FE844F" w14:textId="77777777" w:rsidR="000729CF" w:rsidRPr="000729CF" w:rsidRDefault="000729CF" w:rsidP="000729CF">
            <w:pPr>
              <w:jc w:val="right"/>
              <w:rPr>
                <w:rFonts w:ascii="Arial" w:eastAsia="Calibri" w:hAnsi="Arial" w:cs="Arial"/>
                <w:sz w:val="24"/>
                <w:szCs w:val="24"/>
              </w:rPr>
            </w:pPr>
            <w:r w:rsidRPr="000729CF">
              <w:rPr>
                <w:rFonts w:ascii="Arial" w:eastAsia="Calibri" w:hAnsi="Arial" w:cs="Arial"/>
                <w:sz w:val="24"/>
                <w:szCs w:val="24"/>
              </w:rPr>
              <w:t>14.137</w:t>
            </w:r>
          </w:p>
        </w:tc>
      </w:tr>
      <w:tr w:rsidR="000729CF" w:rsidRPr="000729CF" w14:paraId="3773BA66" w14:textId="77777777" w:rsidTr="00BC26AB">
        <w:tc>
          <w:tcPr>
            <w:tcW w:w="2653" w:type="pct"/>
            <w:shd w:val="clear" w:color="auto" w:fill="auto"/>
          </w:tcPr>
          <w:p w14:paraId="62D61908" w14:textId="77777777" w:rsidR="000729CF" w:rsidRPr="000729CF" w:rsidRDefault="000729CF" w:rsidP="000729CF">
            <w:pPr>
              <w:rPr>
                <w:rFonts w:ascii="Arial" w:eastAsia="Calibri" w:hAnsi="Arial" w:cs="Arial"/>
                <w:bCs/>
                <w:i/>
                <w:color w:val="FF0000"/>
                <w:sz w:val="24"/>
                <w:szCs w:val="24"/>
              </w:rPr>
            </w:pPr>
            <w:r w:rsidRPr="000729CF">
              <w:rPr>
                <w:rFonts w:ascii="Arial" w:eastAsia="Calibri" w:hAnsi="Arial" w:cs="Arial"/>
                <w:bCs/>
                <w:i/>
                <w:sz w:val="24"/>
                <w:szCs w:val="24"/>
              </w:rPr>
              <w:t>Net revenue budget</w:t>
            </w:r>
          </w:p>
        </w:tc>
        <w:tc>
          <w:tcPr>
            <w:tcW w:w="756" w:type="pct"/>
            <w:shd w:val="clear" w:color="auto" w:fill="auto"/>
          </w:tcPr>
          <w:p w14:paraId="4A8B3E98" w14:textId="77777777" w:rsidR="000729CF" w:rsidRPr="000729CF" w:rsidRDefault="000729CF" w:rsidP="000729CF">
            <w:pPr>
              <w:jc w:val="right"/>
              <w:rPr>
                <w:rFonts w:ascii="Arial" w:eastAsia="Calibri" w:hAnsi="Arial" w:cs="Arial"/>
                <w:b/>
                <w:i/>
                <w:sz w:val="24"/>
                <w:szCs w:val="24"/>
              </w:rPr>
            </w:pPr>
            <w:r w:rsidRPr="000729CF">
              <w:rPr>
                <w:rFonts w:ascii="Arial" w:eastAsia="Calibri" w:hAnsi="Arial" w:cs="Arial"/>
                <w:b/>
                <w:i/>
                <w:sz w:val="24"/>
                <w:szCs w:val="24"/>
              </w:rPr>
              <w:t>246.353</w:t>
            </w:r>
          </w:p>
        </w:tc>
        <w:tc>
          <w:tcPr>
            <w:tcW w:w="791" w:type="pct"/>
            <w:shd w:val="clear" w:color="auto" w:fill="auto"/>
          </w:tcPr>
          <w:p w14:paraId="5AED1C44" w14:textId="77777777" w:rsidR="000729CF" w:rsidRPr="000729CF" w:rsidRDefault="000729CF" w:rsidP="000729CF">
            <w:pPr>
              <w:jc w:val="right"/>
              <w:rPr>
                <w:rFonts w:ascii="Arial" w:eastAsia="Calibri" w:hAnsi="Arial" w:cs="Arial"/>
                <w:b/>
                <w:i/>
                <w:sz w:val="24"/>
                <w:szCs w:val="24"/>
              </w:rPr>
            </w:pPr>
            <w:r w:rsidRPr="000729CF">
              <w:rPr>
                <w:rFonts w:ascii="Arial" w:eastAsia="Calibri" w:hAnsi="Arial" w:cs="Arial"/>
                <w:b/>
                <w:i/>
                <w:sz w:val="24"/>
                <w:szCs w:val="24"/>
              </w:rPr>
              <w:t>267.445</w:t>
            </w:r>
          </w:p>
        </w:tc>
        <w:tc>
          <w:tcPr>
            <w:tcW w:w="799" w:type="pct"/>
            <w:shd w:val="clear" w:color="auto" w:fill="auto"/>
          </w:tcPr>
          <w:p w14:paraId="55624EBE" w14:textId="77777777" w:rsidR="000729CF" w:rsidRPr="000729CF" w:rsidRDefault="000729CF" w:rsidP="000729CF">
            <w:pPr>
              <w:jc w:val="right"/>
              <w:rPr>
                <w:rFonts w:ascii="Arial" w:eastAsia="Calibri" w:hAnsi="Arial" w:cs="Arial"/>
                <w:b/>
                <w:i/>
                <w:sz w:val="24"/>
                <w:szCs w:val="24"/>
              </w:rPr>
            </w:pPr>
            <w:r w:rsidRPr="000729CF">
              <w:rPr>
                <w:rFonts w:ascii="Arial" w:eastAsia="Calibri" w:hAnsi="Arial" w:cs="Arial"/>
                <w:b/>
                <w:i/>
                <w:sz w:val="24"/>
                <w:szCs w:val="24"/>
              </w:rPr>
              <w:t>273.228</w:t>
            </w:r>
          </w:p>
        </w:tc>
      </w:tr>
      <w:tr w:rsidR="000729CF" w:rsidRPr="000729CF" w14:paraId="2267279A" w14:textId="77777777" w:rsidTr="00BC26AB">
        <w:trPr>
          <w:trHeight w:val="204"/>
        </w:trPr>
        <w:tc>
          <w:tcPr>
            <w:tcW w:w="2653" w:type="pct"/>
            <w:shd w:val="clear" w:color="auto" w:fill="auto"/>
          </w:tcPr>
          <w:p w14:paraId="6DC299B1" w14:textId="77777777" w:rsidR="000729CF" w:rsidRPr="000729CF" w:rsidRDefault="000729CF" w:rsidP="000729CF">
            <w:pPr>
              <w:rPr>
                <w:rFonts w:ascii="Arial" w:eastAsia="Calibri" w:hAnsi="Arial" w:cs="Arial"/>
                <w:b/>
                <w:i/>
                <w:sz w:val="24"/>
                <w:szCs w:val="24"/>
              </w:rPr>
            </w:pPr>
            <w:r w:rsidRPr="000729CF">
              <w:rPr>
                <w:rFonts w:ascii="Arial" w:eastAsia="Calibri" w:hAnsi="Arial" w:cs="Arial"/>
                <w:b/>
                <w:i/>
                <w:sz w:val="24"/>
                <w:szCs w:val="24"/>
              </w:rPr>
              <w:t>Ratio of net income from non-treasury investments to net revenue budget</w:t>
            </w:r>
          </w:p>
        </w:tc>
        <w:tc>
          <w:tcPr>
            <w:tcW w:w="756" w:type="pct"/>
            <w:shd w:val="clear" w:color="auto" w:fill="auto"/>
          </w:tcPr>
          <w:p w14:paraId="5D8F15CF" w14:textId="77777777" w:rsidR="000729CF" w:rsidRPr="000729CF" w:rsidRDefault="000729CF" w:rsidP="000729CF">
            <w:pPr>
              <w:jc w:val="right"/>
              <w:rPr>
                <w:rFonts w:ascii="Arial" w:eastAsia="Calibri" w:hAnsi="Arial" w:cs="Arial"/>
                <w:b/>
                <w:i/>
                <w:sz w:val="24"/>
                <w:szCs w:val="24"/>
              </w:rPr>
            </w:pPr>
            <w:r w:rsidRPr="000729CF">
              <w:rPr>
                <w:rFonts w:ascii="Arial" w:eastAsia="Calibri" w:hAnsi="Arial" w:cs="Arial"/>
                <w:b/>
                <w:i/>
                <w:sz w:val="24"/>
                <w:szCs w:val="24"/>
              </w:rPr>
              <w:t>5.4%</w:t>
            </w:r>
          </w:p>
        </w:tc>
        <w:tc>
          <w:tcPr>
            <w:tcW w:w="791" w:type="pct"/>
            <w:shd w:val="clear" w:color="auto" w:fill="auto"/>
          </w:tcPr>
          <w:p w14:paraId="55447F70" w14:textId="77777777" w:rsidR="000729CF" w:rsidRPr="000729CF" w:rsidRDefault="000729CF" w:rsidP="000729CF">
            <w:pPr>
              <w:jc w:val="right"/>
              <w:rPr>
                <w:rFonts w:ascii="Arial" w:eastAsia="Calibri" w:hAnsi="Arial" w:cs="Arial"/>
                <w:b/>
                <w:i/>
                <w:sz w:val="24"/>
                <w:szCs w:val="24"/>
              </w:rPr>
            </w:pPr>
            <w:r w:rsidRPr="000729CF">
              <w:rPr>
                <w:rFonts w:ascii="Arial" w:eastAsia="Calibri" w:hAnsi="Arial" w:cs="Arial"/>
                <w:b/>
                <w:i/>
                <w:sz w:val="24"/>
                <w:szCs w:val="24"/>
              </w:rPr>
              <w:t>5.1%</w:t>
            </w:r>
          </w:p>
        </w:tc>
        <w:tc>
          <w:tcPr>
            <w:tcW w:w="799" w:type="pct"/>
            <w:shd w:val="clear" w:color="auto" w:fill="auto"/>
          </w:tcPr>
          <w:p w14:paraId="3FD9D257" w14:textId="77777777" w:rsidR="000729CF" w:rsidRPr="000729CF" w:rsidRDefault="000729CF" w:rsidP="000729CF">
            <w:pPr>
              <w:jc w:val="right"/>
              <w:rPr>
                <w:rFonts w:ascii="Arial" w:eastAsia="Calibri" w:hAnsi="Arial" w:cs="Arial"/>
                <w:b/>
                <w:i/>
                <w:sz w:val="24"/>
                <w:szCs w:val="24"/>
              </w:rPr>
            </w:pPr>
            <w:r w:rsidRPr="000729CF">
              <w:rPr>
                <w:rFonts w:ascii="Arial" w:eastAsia="Calibri" w:hAnsi="Arial" w:cs="Arial"/>
                <w:b/>
                <w:i/>
                <w:sz w:val="24"/>
                <w:szCs w:val="24"/>
              </w:rPr>
              <w:t>5.2%</w:t>
            </w:r>
          </w:p>
        </w:tc>
      </w:tr>
    </w:tbl>
    <w:p w14:paraId="6A670A2C" w14:textId="77777777" w:rsidR="000729CF" w:rsidRPr="000729CF" w:rsidRDefault="000729CF" w:rsidP="00CE70A3">
      <w:pPr>
        <w:numPr>
          <w:ilvl w:val="1"/>
          <w:numId w:val="56"/>
        </w:numPr>
        <w:spacing w:before="240" w:after="12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The council’s underlying need to borrow is portrayed by its Capital Financing Requirement (CFR). The CFR increases each year by capital expenditure that is not funded by new or existing resources (i.e. results in borrowing). The CFR reduces each year by the MRP set aside to repay borrowing as described in paragraph 1.7</w:t>
      </w:r>
    </w:p>
    <w:p w14:paraId="0DFE21EA" w14:textId="77777777" w:rsidR="000729CF" w:rsidRPr="000729CF" w:rsidRDefault="000729CF" w:rsidP="00CE70A3">
      <w:pPr>
        <w:numPr>
          <w:ilvl w:val="1"/>
          <w:numId w:val="56"/>
        </w:numPr>
        <w:spacing w:after="120" w:line="276" w:lineRule="auto"/>
        <w:ind w:left="709" w:hanging="709"/>
        <w:rPr>
          <w:rFonts w:ascii="Arial" w:eastAsia="Calibri" w:hAnsi="Arial" w:cs="Arial"/>
          <w:sz w:val="24"/>
          <w:szCs w:val="24"/>
          <w:lang w:val="en-GB"/>
        </w:rPr>
      </w:pPr>
      <w:bookmarkStart w:id="42" w:name="_Hlk63106162"/>
      <w:r w:rsidRPr="000729CF">
        <w:rPr>
          <w:rFonts w:ascii="Arial" w:eastAsia="Calibri" w:hAnsi="Arial" w:cs="Arial"/>
          <w:sz w:val="24"/>
          <w:szCs w:val="24"/>
          <w:lang w:val="en-GB"/>
        </w:rPr>
        <w:t>Any non-treasury investments funded by borrowing will increase the council’s CFR. The table below demonstrates the proportion of the General Fund CFR (excluding PFI liabilities) outstanding at 31 March 2023 (and forecast to be outstanding at 31 March 2024) including CFR relating to commercial investments. That is, this represents the outstanding debt relating to the council’s commercial activity where MRP has not yet been applied</w:t>
      </w:r>
      <w:bookmarkEnd w:id="42"/>
      <w:r w:rsidRPr="000729CF">
        <w:rPr>
          <w:rFonts w:ascii="Arial" w:eastAsia="Calibri" w:hAnsi="Arial" w:cs="Arial"/>
          <w:sz w:val="24"/>
          <w:szCs w:val="24"/>
          <w:lang w:val="en-GB"/>
        </w:rPr>
        <w:t>.</w:t>
      </w:r>
    </w:p>
    <w:p w14:paraId="6967BF02" w14:textId="77777777" w:rsidR="000729CF" w:rsidRPr="000729CF" w:rsidRDefault="000729CF" w:rsidP="000729CF">
      <w:pPr>
        <w:spacing w:after="120"/>
        <w:rPr>
          <w:rFonts w:ascii="Arial" w:eastAsia="Calibri" w:hAnsi="Arial" w:cs="Arial"/>
          <w:sz w:val="24"/>
          <w:szCs w:val="24"/>
          <w:lang w:val="en-GB"/>
        </w:rPr>
      </w:pPr>
    </w:p>
    <w:tbl>
      <w:tblPr>
        <w:tblW w:w="4644"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9"/>
        <w:gridCol w:w="2262"/>
        <w:gridCol w:w="2511"/>
      </w:tblGrid>
      <w:tr w:rsidR="000729CF" w:rsidRPr="000729CF" w14:paraId="1FA665C2" w14:textId="77777777" w:rsidTr="000729CF">
        <w:trPr>
          <w:trHeight w:val="300"/>
        </w:trPr>
        <w:tc>
          <w:tcPr>
            <w:tcW w:w="2331" w:type="pct"/>
            <w:shd w:val="clear" w:color="auto" w:fill="244061"/>
            <w:noWrap/>
            <w:vAlign w:val="bottom"/>
            <w:hideMark/>
          </w:tcPr>
          <w:p w14:paraId="4C17A7FC" w14:textId="77777777" w:rsidR="000729CF" w:rsidRPr="000729CF" w:rsidRDefault="000729CF" w:rsidP="000729CF">
            <w:pPr>
              <w:rPr>
                <w:rFonts w:ascii="Arial" w:hAnsi="Arial" w:cs="Arial"/>
                <w:b/>
                <w:sz w:val="24"/>
                <w:szCs w:val="24"/>
                <w:lang w:val="en-GB" w:eastAsia="en-GB"/>
              </w:rPr>
            </w:pPr>
          </w:p>
        </w:tc>
        <w:tc>
          <w:tcPr>
            <w:tcW w:w="1265" w:type="pct"/>
            <w:shd w:val="clear" w:color="auto" w:fill="244061"/>
            <w:noWrap/>
            <w:vAlign w:val="bottom"/>
            <w:hideMark/>
          </w:tcPr>
          <w:p w14:paraId="42945CD7" w14:textId="77777777" w:rsidR="000729CF" w:rsidRPr="000729CF" w:rsidRDefault="000729CF" w:rsidP="000729CF">
            <w:pPr>
              <w:rPr>
                <w:rFonts w:ascii="Arial" w:hAnsi="Arial" w:cs="Arial"/>
                <w:b/>
                <w:sz w:val="24"/>
                <w:szCs w:val="24"/>
                <w:lang w:val="en-GB" w:eastAsia="en-GB"/>
              </w:rPr>
            </w:pPr>
            <w:r w:rsidRPr="000729CF">
              <w:rPr>
                <w:rFonts w:ascii="Arial" w:hAnsi="Arial" w:cs="Arial"/>
                <w:b/>
                <w:sz w:val="24"/>
                <w:szCs w:val="24"/>
                <w:lang w:val="en-GB" w:eastAsia="en-GB"/>
              </w:rPr>
              <w:t>As at 31/03/23</w:t>
            </w:r>
          </w:p>
        </w:tc>
        <w:tc>
          <w:tcPr>
            <w:tcW w:w="1404" w:type="pct"/>
            <w:shd w:val="clear" w:color="auto" w:fill="244061"/>
            <w:noWrap/>
            <w:vAlign w:val="bottom"/>
            <w:hideMark/>
          </w:tcPr>
          <w:p w14:paraId="50BA8C54" w14:textId="77777777" w:rsidR="000729CF" w:rsidRPr="000729CF" w:rsidRDefault="000729CF" w:rsidP="000729CF">
            <w:pPr>
              <w:rPr>
                <w:rFonts w:ascii="Arial" w:hAnsi="Arial" w:cs="Arial"/>
                <w:b/>
                <w:sz w:val="24"/>
                <w:szCs w:val="24"/>
                <w:lang w:val="en-GB" w:eastAsia="en-GB"/>
              </w:rPr>
            </w:pPr>
            <w:r w:rsidRPr="000729CF">
              <w:rPr>
                <w:rFonts w:ascii="Arial" w:hAnsi="Arial" w:cs="Arial"/>
                <w:b/>
                <w:sz w:val="24"/>
                <w:szCs w:val="24"/>
                <w:lang w:val="en-GB" w:eastAsia="en-GB"/>
              </w:rPr>
              <w:t>Forecast to 31/03/24</w:t>
            </w:r>
          </w:p>
        </w:tc>
      </w:tr>
      <w:tr w:rsidR="000729CF" w:rsidRPr="000729CF" w14:paraId="67AE7414" w14:textId="77777777" w:rsidTr="00BC26AB">
        <w:trPr>
          <w:trHeight w:val="300"/>
        </w:trPr>
        <w:tc>
          <w:tcPr>
            <w:tcW w:w="2331" w:type="pct"/>
            <w:shd w:val="clear" w:color="auto" w:fill="auto"/>
            <w:noWrap/>
            <w:vAlign w:val="bottom"/>
            <w:hideMark/>
          </w:tcPr>
          <w:p w14:paraId="4D9A84E3" w14:textId="77777777" w:rsidR="000729CF" w:rsidRPr="000729CF" w:rsidRDefault="000729CF" w:rsidP="000729CF">
            <w:pPr>
              <w:rPr>
                <w:rFonts w:ascii="Arial" w:hAnsi="Arial" w:cs="Arial"/>
                <w:sz w:val="24"/>
                <w:szCs w:val="24"/>
                <w:lang w:val="en-GB" w:eastAsia="en-GB"/>
              </w:rPr>
            </w:pPr>
            <w:r w:rsidRPr="000729CF">
              <w:rPr>
                <w:rFonts w:ascii="Arial" w:hAnsi="Arial" w:cs="Arial"/>
                <w:sz w:val="24"/>
                <w:szCs w:val="24"/>
                <w:lang w:val="en-GB" w:eastAsia="en-GB"/>
              </w:rPr>
              <w:t>General Assets CFR</w:t>
            </w:r>
          </w:p>
        </w:tc>
        <w:tc>
          <w:tcPr>
            <w:tcW w:w="1265" w:type="pct"/>
            <w:shd w:val="clear" w:color="auto" w:fill="auto"/>
            <w:noWrap/>
            <w:vAlign w:val="bottom"/>
            <w:hideMark/>
          </w:tcPr>
          <w:p w14:paraId="3BE8E842"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78%</w:t>
            </w:r>
          </w:p>
        </w:tc>
        <w:tc>
          <w:tcPr>
            <w:tcW w:w="1404" w:type="pct"/>
            <w:shd w:val="clear" w:color="auto" w:fill="auto"/>
            <w:noWrap/>
            <w:vAlign w:val="bottom"/>
            <w:hideMark/>
          </w:tcPr>
          <w:p w14:paraId="7123061D"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84%</w:t>
            </w:r>
          </w:p>
        </w:tc>
      </w:tr>
      <w:tr w:rsidR="000729CF" w:rsidRPr="000729CF" w14:paraId="004D7F87" w14:textId="77777777" w:rsidTr="00BC26AB">
        <w:trPr>
          <w:trHeight w:val="300"/>
        </w:trPr>
        <w:tc>
          <w:tcPr>
            <w:tcW w:w="2331" w:type="pct"/>
            <w:shd w:val="clear" w:color="auto" w:fill="auto"/>
            <w:noWrap/>
            <w:vAlign w:val="bottom"/>
            <w:hideMark/>
          </w:tcPr>
          <w:p w14:paraId="2AA812B0" w14:textId="77777777" w:rsidR="000729CF" w:rsidRPr="000729CF" w:rsidRDefault="000729CF" w:rsidP="000729CF">
            <w:pPr>
              <w:rPr>
                <w:rFonts w:ascii="Arial" w:hAnsi="Arial" w:cs="Arial"/>
                <w:sz w:val="24"/>
                <w:szCs w:val="24"/>
                <w:lang w:val="en-GB" w:eastAsia="en-GB"/>
              </w:rPr>
            </w:pPr>
            <w:r w:rsidRPr="000729CF">
              <w:rPr>
                <w:rFonts w:ascii="Arial" w:hAnsi="Arial" w:cs="Arial"/>
                <w:sz w:val="24"/>
                <w:szCs w:val="24"/>
                <w:lang w:val="en-GB" w:eastAsia="en-GB"/>
              </w:rPr>
              <w:t>i360</w:t>
            </w:r>
          </w:p>
        </w:tc>
        <w:tc>
          <w:tcPr>
            <w:tcW w:w="1265" w:type="pct"/>
            <w:shd w:val="clear" w:color="auto" w:fill="auto"/>
            <w:noWrap/>
            <w:vAlign w:val="bottom"/>
            <w:hideMark/>
          </w:tcPr>
          <w:p w14:paraId="0CE1A13D"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18%</w:t>
            </w:r>
          </w:p>
        </w:tc>
        <w:tc>
          <w:tcPr>
            <w:tcW w:w="1404" w:type="pct"/>
            <w:shd w:val="clear" w:color="auto" w:fill="auto"/>
            <w:noWrap/>
            <w:vAlign w:val="bottom"/>
            <w:hideMark/>
          </w:tcPr>
          <w:p w14:paraId="46F35695"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12%</w:t>
            </w:r>
          </w:p>
        </w:tc>
      </w:tr>
      <w:tr w:rsidR="000729CF" w:rsidRPr="000729CF" w14:paraId="051DB6A6" w14:textId="77777777" w:rsidTr="00BC26AB">
        <w:trPr>
          <w:trHeight w:val="300"/>
        </w:trPr>
        <w:tc>
          <w:tcPr>
            <w:tcW w:w="2331" w:type="pct"/>
            <w:shd w:val="clear" w:color="auto" w:fill="auto"/>
            <w:noWrap/>
            <w:vAlign w:val="bottom"/>
            <w:hideMark/>
          </w:tcPr>
          <w:p w14:paraId="38221903" w14:textId="77777777" w:rsidR="000729CF" w:rsidRPr="000729CF" w:rsidRDefault="000729CF" w:rsidP="000729CF">
            <w:pPr>
              <w:rPr>
                <w:rFonts w:ascii="Arial" w:hAnsi="Arial" w:cs="Arial"/>
                <w:sz w:val="24"/>
                <w:szCs w:val="24"/>
                <w:lang w:val="en-GB" w:eastAsia="en-GB"/>
              </w:rPr>
            </w:pPr>
            <w:r w:rsidRPr="000729CF">
              <w:rPr>
                <w:rFonts w:ascii="Arial" w:hAnsi="Arial" w:cs="Arial"/>
                <w:sz w:val="24"/>
                <w:szCs w:val="24"/>
                <w:lang w:val="en-GB" w:eastAsia="en-GB"/>
              </w:rPr>
              <w:t>Phoenix House</w:t>
            </w:r>
          </w:p>
        </w:tc>
        <w:tc>
          <w:tcPr>
            <w:tcW w:w="1265" w:type="pct"/>
            <w:shd w:val="clear" w:color="auto" w:fill="auto"/>
            <w:noWrap/>
            <w:vAlign w:val="bottom"/>
            <w:hideMark/>
          </w:tcPr>
          <w:p w14:paraId="0F26600F"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2%</w:t>
            </w:r>
          </w:p>
        </w:tc>
        <w:tc>
          <w:tcPr>
            <w:tcW w:w="1404" w:type="pct"/>
            <w:shd w:val="clear" w:color="auto" w:fill="auto"/>
            <w:noWrap/>
            <w:vAlign w:val="bottom"/>
            <w:hideMark/>
          </w:tcPr>
          <w:p w14:paraId="4E3FEAC0"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2%</w:t>
            </w:r>
          </w:p>
        </w:tc>
      </w:tr>
      <w:tr w:rsidR="000729CF" w:rsidRPr="000729CF" w14:paraId="267562AA" w14:textId="77777777" w:rsidTr="00BC26AB">
        <w:trPr>
          <w:trHeight w:val="300"/>
        </w:trPr>
        <w:tc>
          <w:tcPr>
            <w:tcW w:w="2331" w:type="pct"/>
            <w:shd w:val="clear" w:color="auto" w:fill="auto"/>
            <w:noWrap/>
            <w:vAlign w:val="bottom"/>
          </w:tcPr>
          <w:p w14:paraId="5FF4AB2F" w14:textId="77777777" w:rsidR="000729CF" w:rsidRPr="000729CF" w:rsidRDefault="000729CF" w:rsidP="000729CF">
            <w:pPr>
              <w:rPr>
                <w:rFonts w:ascii="Arial" w:hAnsi="Arial" w:cs="Arial"/>
                <w:sz w:val="24"/>
                <w:szCs w:val="24"/>
                <w:lang w:val="en-GB" w:eastAsia="en-GB"/>
              </w:rPr>
            </w:pPr>
            <w:r w:rsidRPr="000729CF">
              <w:rPr>
                <w:rFonts w:ascii="Arial" w:hAnsi="Arial" w:cs="Arial"/>
                <w:sz w:val="24"/>
                <w:szCs w:val="24"/>
                <w:lang w:val="en-GB" w:eastAsia="en-GB"/>
              </w:rPr>
              <w:t>Lyndean House</w:t>
            </w:r>
          </w:p>
        </w:tc>
        <w:tc>
          <w:tcPr>
            <w:tcW w:w="1265" w:type="pct"/>
            <w:shd w:val="clear" w:color="auto" w:fill="auto"/>
            <w:noWrap/>
            <w:vAlign w:val="bottom"/>
          </w:tcPr>
          <w:p w14:paraId="485822B5"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2%</w:t>
            </w:r>
          </w:p>
        </w:tc>
        <w:tc>
          <w:tcPr>
            <w:tcW w:w="1404" w:type="pct"/>
            <w:shd w:val="clear" w:color="auto" w:fill="auto"/>
            <w:noWrap/>
            <w:vAlign w:val="bottom"/>
          </w:tcPr>
          <w:p w14:paraId="78386486"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2%</w:t>
            </w:r>
          </w:p>
        </w:tc>
      </w:tr>
      <w:tr w:rsidR="000729CF" w:rsidRPr="000729CF" w14:paraId="5A7C17F7" w14:textId="77777777" w:rsidTr="000729CF">
        <w:trPr>
          <w:trHeight w:val="300"/>
        </w:trPr>
        <w:tc>
          <w:tcPr>
            <w:tcW w:w="2331" w:type="pct"/>
            <w:shd w:val="clear" w:color="auto" w:fill="B8CCE4"/>
            <w:noWrap/>
            <w:vAlign w:val="bottom"/>
            <w:hideMark/>
          </w:tcPr>
          <w:p w14:paraId="0056E283" w14:textId="77777777" w:rsidR="000729CF" w:rsidRPr="000729CF" w:rsidRDefault="000729CF" w:rsidP="000729CF">
            <w:pPr>
              <w:rPr>
                <w:rFonts w:ascii="Arial" w:hAnsi="Arial" w:cs="Arial"/>
                <w:b/>
                <w:sz w:val="24"/>
                <w:szCs w:val="24"/>
                <w:lang w:val="en-GB" w:eastAsia="en-GB"/>
              </w:rPr>
            </w:pPr>
            <w:r w:rsidRPr="000729CF">
              <w:rPr>
                <w:rFonts w:ascii="Arial" w:hAnsi="Arial" w:cs="Arial"/>
                <w:b/>
                <w:sz w:val="24"/>
                <w:szCs w:val="24"/>
                <w:lang w:val="en-GB" w:eastAsia="en-GB"/>
              </w:rPr>
              <w:t>Total General Fund CFR</w:t>
            </w:r>
          </w:p>
        </w:tc>
        <w:tc>
          <w:tcPr>
            <w:tcW w:w="1265" w:type="pct"/>
            <w:shd w:val="clear" w:color="auto" w:fill="B8CCE4"/>
            <w:noWrap/>
            <w:vAlign w:val="bottom"/>
            <w:hideMark/>
          </w:tcPr>
          <w:p w14:paraId="203C6B65" w14:textId="77777777" w:rsidR="000729CF" w:rsidRPr="000729CF" w:rsidRDefault="000729CF" w:rsidP="000729CF">
            <w:pPr>
              <w:jc w:val="right"/>
              <w:rPr>
                <w:rFonts w:ascii="Arial" w:hAnsi="Arial" w:cs="Arial"/>
                <w:b/>
                <w:sz w:val="24"/>
                <w:szCs w:val="24"/>
                <w:lang w:val="en-GB" w:eastAsia="en-GB"/>
              </w:rPr>
            </w:pPr>
            <w:r w:rsidRPr="000729CF">
              <w:rPr>
                <w:rFonts w:ascii="Arial" w:hAnsi="Arial" w:cs="Arial"/>
                <w:b/>
                <w:sz w:val="24"/>
                <w:szCs w:val="24"/>
                <w:lang w:val="en-GB" w:eastAsia="en-GB"/>
              </w:rPr>
              <w:t>100%</w:t>
            </w:r>
          </w:p>
        </w:tc>
        <w:tc>
          <w:tcPr>
            <w:tcW w:w="1404" w:type="pct"/>
            <w:shd w:val="clear" w:color="auto" w:fill="B8CCE4"/>
            <w:noWrap/>
            <w:vAlign w:val="bottom"/>
            <w:hideMark/>
          </w:tcPr>
          <w:p w14:paraId="48F0D730" w14:textId="77777777" w:rsidR="000729CF" w:rsidRPr="000729CF" w:rsidRDefault="000729CF" w:rsidP="000729CF">
            <w:pPr>
              <w:jc w:val="right"/>
              <w:rPr>
                <w:rFonts w:ascii="Arial" w:hAnsi="Arial" w:cs="Arial"/>
                <w:b/>
                <w:sz w:val="24"/>
                <w:szCs w:val="24"/>
                <w:lang w:val="en-GB" w:eastAsia="en-GB"/>
              </w:rPr>
            </w:pPr>
            <w:r w:rsidRPr="000729CF">
              <w:rPr>
                <w:rFonts w:ascii="Arial" w:hAnsi="Arial" w:cs="Arial"/>
                <w:b/>
                <w:sz w:val="24"/>
                <w:szCs w:val="24"/>
                <w:lang w:val="en-GB" w:eastAsia="en-GB"/>
              </w:rPr>
              <w:t>100%</w:t>
            </w:r>
          </w:p>
        </w:tc>
      </w:tr>
    </w:tbl>
    <w:p w14:paraId="65B03C2A" w14:textId="77777777" w:rsidR="000729CF" w:rsidRPr="000729CF" w:rsidRDefault="000729CF" w:rsidP="000729CF">
      <w:pPr>
        <w:spacing w:after="120"/>
        <w:rPr>
          <w:rFonts w:ascii="Arial" w:eastAsia="Calibri" w:hAnsi="Arial" w:cs="Arial"/>
          <w:sz w:val="24"/>
          <w:szCs w:val="24"/>
          <w:lang w:val="en-GB"/>
        </w:rPr>
      </w:pPr>
    </w:p>
    <w:bookmarkEnd w:id="39"/>
    <w:p w14:paraId="35010481" w14:textId="77777777" w:rsidR="000729CF" w:rsidRPr="000729CF" w:rsidRDefault="000729CF" w:rsidP="00CE70A3">
      <w:pPr>
        <w:keepNext/>
        <w:numPr>
          <w:ilvl w:val="0"/>
          <w:numId w:val="56"/>
        </w:numPr>
        <w:spacing w:after="120" w:line="276" w:lineRule="auto"/>
        <w:ind w:left="709" w:hanging="709"/>
        <w:rPr>
          <w:rFonts w:ascii="Arial" w:eastAsia="Calibri" w:hAnsi="Arial" w:cs="Arial"/>
          <w:b/>
          <w:sz w:val="24"/>
          <w:szCs w:val="24"/>
          <w:lang w:val="en-GB"/>
        </w:rPr>
      </w:pPr>
      <w:r w:rsidRPr="000729CF">
        <w:rPr>
          <w:rFonts w:ascii="Arial" w:eastAsia="Calibri" w:hAnsi="Arial" w:cs="Arial"/>
          <w:b/>
          <w:sz w:val="24"/>
          <w:szCs w:val="24"/>
          <w:lang w:val="en-GB"/>
        </w:rPr>
        <w:t>Knowledge &amp; Skills</w:t>
      </w:r>
    </w:p>
    <w:p w14:paraId="03169C43" w14:textId="77777777" w:rsidR="000729CF" w:rsidRPr="000729CF" w:rsidRDefault="000729CF" w:rsidP="00CE70A3">
      <w:pPr>
        <w:numPr>
          <w:ilvl w:val="1"/>
          <w:numId w:val="56"/>
        </w:numPr>
        <w:spacing w:after="12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The council’s Section 151 Officer has delegated responsibility for the council’s treasury and capital activities. This requires the post-holder to be a qualified accountant. The Section 151 Officer is a CIPFA qualified accountant who follows an ongoing programme of Continuous Professional Development (CPD) and is appointed by the full Council.</w:t>
      </w:r>
    </w:p>
    <w:p w14:paraId="15757030" w14:textId="77777777" w:rsidR="000729CF" w:rsidRPr="000729CF" w:rsidRDefault="000729CF" w:rsidP="00CE70A3">
      <w:pPr>
        <w:numPr>
          <w:ilvl w:val="1"/>
          <w:numId w:val="56"/>
        </w:numPr>
        <w:spacing w:after="12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The council’s treasury and capital strategies are produced and maintained by a team of officers who are professionally qualified accountants and who have extensive local authority experience. The council has a contract with Link Asset Services for the provision of specialist advice regarding its treasury investment and borrowing activity and for technical advice. Officers involved in treasury management ensure their knowledge is updated through Continuous Professional Development (CPD).</w:t>
      </w:r>
    </w:p>
    <w:p w14:paraId="555D9D9B" w14:textId="77777777" w:rsidR="000729CF" w:rsidRPr="000729CF" w:rsidRDefault="000729CF" w:rsidP="00CE70A3">
      <w:pPr>
        <w:numPr>
          <w:ilvl w:val="1"/>
          <w:numId w:val="56"/>
        </w:numPr>
        <w:spacing w:after="12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All of the council’s commercial projects have project teams made up of officers from relevant professional disciplines from across the council. These project teams access external specialist advice regarding commercial projects where required.</w:t>
      </w:r>
    </w:p>
    <w:p w14:paraId="03742EAF" w14:textId="77777777" w:rsidR="000729CF" w:rsidRPr="000729CF" w:rsidRDefault="000729CF" w:rsidP="00CE70A3">
      <w:pPr>
        <w:numPr>
          <w:ilvl w:val="1"/>
          <w:numId w:val="56"/>
        </w:numPr>
        <w:spacing w:after="12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The council’s investment property portfolios are managed by Savills (agricultural) and Avison Young (Commercial), two of the UK’s leading property companies. They administer their contracts for Estates Management Services through the provision of a dedicated team of chartered surveyors who have extensive property knowledge and expertise as well as experience of acting for local authority clients. Each local team is supported by a range of “head office” specialist services within their own organisation, including market experts, planning consultants, H&amp;S/FM services, accountancy, agency and so on, ensuring the council has access to a wide range of services to meet all of our property requirements.</w:t>
      </w:r>
    </w:p>
    <w:p w14:paraId="1B2FAE38" w14:textId="77777777" w:rsidR="000729CF" w:rsidRPr="000729CF" w:rsidRDefault="000729CF" w:rsidP="00CE70A3">
      <w:pPr>
        <w:numPr>
          <w:ilvl w:val="1"/>
          <w:numId w:val="56"/>
        </w:numPr>
        <w:spacing w:after="24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Training is available for members who are responsible for decision making and scrutiny of treasury decisions to ensure their skills and knowledge are kept up to date for their involvement in this area. Training was last provided to members on 19 January 2024.</w:t>
      </w:r>
    </w:p>
    <w:p w14:paraId="0F3B4821" w14:textId="77777777" w:rsidR="000729CF" w:rsidRPr="000729CF" w:rsidRDefault="000729CF" w:rsidP="00CE70A3">
      <w:pPr>
        <w:numPr>
          <w:ilvl w:val="0"/>
          <w:numId w:val="56"/>
        </w:numPr>
        <w:spacing w:after="120" w:line="276" w:lineRule="auto"/>
        <w:ind w:left="709" w:hanging="709"/>
        <w:rPr>
          <w:rFonts w:ascii="Arial" w:eastAsia="Calibri" w:hAnsi="Arial" w:cs="Arial"/>
          <w:b/>
          <w:sz w:val="24"/>
          <w:szCs w:val="24"/>
          <w:lang w:val="en-GB"/>
        </w:rPr>
      </w:pPr>
      <w:r w:rsidRPr="000729CF">
        <w:rPr>
          <w:rFonts w:ascii="Arial" w:eastAsia="Calibri" w:hAnsi="Arial" w:cs="Arial"/>
          <w:b/>
          <w:sz w:val="24"/>
          <w:szCs w:val="24"/>
          <w:lang w:val="en-GB"/>
        </w:rPr>
        <w:t>S151 Officer Assurance Statement</w:t>
      </w:r>
    </w:p>
    <w:p w14:paraId="704ACCC9" w14:textId="77777777" w:rsidR="000729CF" w:rsidRPr="000729CF" w:rsidRDefault="000729CF" w:rsidP="00CE70A3">
      <w:pPr>
        <w:numPr>
          <w:ilvl w:val="1"/>
          <w:numId w:val="56"/>
        </w:numPr>
        <w:spacing w:after="24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This Capital Strategy is compiled in line with the requirements of the 2021 CIPFA Prudential Code and the 2021 Treasury Management Code.</w:t>
      </w:r>
    </w:p>
    <w:p w14:paraId="009F4112" w14:textId="77777777" w:rsidR="000729CF" w:rsidRPr="000729CF" w:rsidRDefault="000729CF" w:rsidP="00CE70A3">
      <w:pPr>
        <w:numPr>
          <w:ilvl w:val="1"/>
          <w:numId w:val="56"/>
        </w:numPr>
        <w:spacing w:after="24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The Section 151 Officer has reviewed the strategy against best practice advice from CIPFA and expert advisers and considers the strategy to be prudential, sustainable and affordable within the risk framework of the council and has ensured that it is fully integrated with the council’s Medium Term Financial Strategy and Treasury Management Strategy Statement.</w:t>
      </w:r>
    </w:p>
    <w:p w14:paraId="7890015D" w14:textId="77777777" w:rsidR="000729CF" w:rsidRPr="000729CF" w:rsidRDefault="000729CF" w:rsidP="000729CF">
      <w:pPr>
        <w:spacing w:after="120"/>
        <w:rPr>
          <w:rFonts w:ascii="Arial" w:eastAsia="Calibri" w:hAnsi="Arial" w:cs="Arial"/>
          <w:b/>
          <w:sz w:val="24"/>
          <w:szCs w:val="24"/>
          <w:lang w:val="en-GB"/>
        </w:rPr>
      </w:pPr>
      <w:r w:rsidRPr="000729CF">
        <w:rPr>
          <w:rFonts w:ascii="Arial" w:eastAsia="Calibri" w:hAnsi="Arial" w:cs="Arial"/>
          <w:b/>
          <w:sz w:val="24"/>
          <w:szCs w:val="24"/>
          <w:lang w:val="en-GB"/>
        </w:rPr>
        <w:t>List of Annexes:</w:t>
      </w:r>
    </w:p>
    <w:p w14:paraId="479144F9" w14:textId="77777777" w:rsidR="000729CF" w:rsidRPr="000729CF" w:rsidRDefault="000729CF" w:rsidP="000729CF">
      <w:pPr>
        <w:spacing w:after="120"/>
        <w:rPr>
          <w:rFonts w:ascii="Arial" w:eastAsia="Calibri" w:hAnsi="Arial" w:cs="Arial"/>
          <w:sz w:val="24"/>
          <w:szCs w:val="24"/>
          <w:lang w:val="en-GB"/>
        </w:rPr>
      </w:pPr>
      <w:r w:rsidRPr="000729CF">
        <w:rPr>
          <w:rFonts w:ascii="Arial" w:eastAsia="Calibri" w:hAnsi="Arial" w:cs="Arial"/>
          <w:sz w:val="24"/>
          <w:szCs w:val="24"/>
          <w:lang w:val="en-GB"/>
        </w:rPr>
        <w:t>Annex A – Capital Resources 2024/25</w:t>
      </w:r>
    </w:p>
    <w:p w14:paraId="2B0FD0F6" w14:textId="77777777" w:rsidR="000729CF" w:rsidRPr="000729CF" w:rsidRDefault="000729CF" w:rsidP="000729CF">
      <w:pPr>
        <w:spacing w:after="120"/>
        <w:rPr>
          <w:rFonts w:ascii="Arial" w:eastAsia="Calibri" w:hAnsi="Arial" w:cs="Arial"/>
          <w:sz w:val="24"/>
          <w:szCs w:val="24"/>
          <w:lang w:val="en-GB"/>
        </w:rPr>
      </w:pPr>
      <w:r w:rsidRPr="000729CF">
        <w:rPr>
          <w:rFonts w:ascii="Arial" w:eastAsia="Calibri" w:hAnsi="Arial" w:cs="Arial"/>
          <w:sz w:val="24"/>
          <w:szCs w:val="24"/>
          <w:lang w:val="en-GB"/>
        </w:rPr>
        <w:t xml:space="preserve">Annex B - List of current non-treasury investments </w:t>
      </w:r>
    </w:p>
    <w:p w14:paraId="18D0324E" w14:textId="77777777" w:rsidR="000729CF" w:rsidRPr="000729CF" w:rsidRDefault="000729CF" w:rsidP="000729CF">
      <w:pPr>
        <w:spacing w:after="120"/>
        <w:rPr>
          <w:rFonts w:ascii="Arial" w:eastAsia="Calibri" w:hAnsi="Arial" w:cs="Arial"/>
          <w:sz w:val="24"/>
          <w:szCs w:val="24"/>
          <w:lang w:val="en-GB"/>
        </w:rPr>
      </w:pPr>
      <w:r w:rsidRPr="000729CF">
        <w:rPr>
          <w:rFonts w:ascii="Arial" w:eastAsia="Calibri" w:hAnsi="Arial" w:cs="Arial"/>
          <w:sz w:val="24"/>
          <w:szCs w:val="24"/>
          <w:lang w:val="en-GB"/>
        </w:rPr>
        <w:t>Annex C - List of planned non-treasury investments</w:t>
      </w:r>
      <w:r w:rsidRPr="000729CF">
        <w:rPr>
          <w:rFonts w:ascii="Arial" w:eastAsia="Calibri" w:hAnsi="Arial" w:cs="Arial"/>
          <w:sz w:val="24"/>
          <w:szCs w:val="24"/>
          <w:lang w:val="en-GB"/>
        </w:rPr>
        <w:br w:type="page"/>
      </w:r>
    </w:p>
    <w:p w14:paraId="06269203" w14:textId="77777777" w:rsidR="000729CF" w:rsidRPr="000729CF" w:rsidRDefault="000729CF" w:rsidP="000729CF">
      <w:pPr>
        <w:spacing w:after="200" w:line="276" w:lineRule="auto"/>
        <w:jc w:val="right"/>
        <w:rPr>
          <w:rFonts w:ascii="Arial" w:eastAsia="Calibri" w:hAnsi="Arial" w:cs="Arial"/>
          <w:b/>
          <w:sz w:val="24"/>
          <w:szCs w:val="24"/>
          <w:lang w:val="en-GB"/>
        </w:rPr>
      </w:pPr>
      <w:r w:rsidRPr="000729CF">
        <w:rPr>
          <w:rFonts w:ascii="Arial" w:eastAsia="Calibri" w:hAnsi="Arial" w:cs="Arial"/>
          <w:b/>
          <w:sz w:val="24"/>
          <w:szCs w:val="24"/>
          <w:lang w:val="en-GB"/>
        </w:rPr>
        <w:t>ANNEX A</w:t>
      </w:r>
    </w:p>
    <w:p w14:paraId="10BC2EFF" w14:textId="77777777" w:rsidR="000729CF" w:rsidRPr="000729CF" w:rsidRDefault="000729CF" w:rsidP="000729CF">
      <w:pPr>
        <w:spacing w:after="200" w:line="276" w:lineRule="auto"/>
        <w:rPr>
          <w:rFonts w:ascii="Arial" w:eastAsia="Calibri" w:hAnsi="Arial" w:cs="Arial"/>
          <w:b/>
          <w:sz w:val="24"/>
          <w:szCs w:val="24"/>
          <w:lang w:val="en-GB"/>
        </w:rPr>
      </w:pPr>
      <w:r w:rsidRPr="000729CF">
        <w:rPr>
          <w:rFonts w:ascii="Arial" w:eastAsia="Calibri" w:hAnsi="Arial" w:cs="Arial"/>
          <w:b/>
          <w:sz w:val="24"/>
          <w:szCs w:val="24"/>
          <w:lang w:val="en-GB"/>
        </w:rPr>
        <w:t>Capital Resources 2024/25</w:t>
      </w:r>
    </w:p>
    <w:p w14:paraId="1E639F11" w14:textId="77777777" w:rsidR="000729CF" w:rsidRPr="000729CF" w:rsidRDefault="000729CF" w:rsidP="000729CF">
      <w:pPr>
        <w:numPr>
          <w:ilvl w:val="1"/>
          <w:numId w:val="0"/>
        </w:numPr>
        <w:spacing w:before="240" w:after="60"/>
        <w:outlineLvl w:val="1"/>
        <w:rPr>
          <w:rFonts w:ascii="Arial" w:hAnsi="Arial" w:cs="Arial"/>
          <w:sz w:val="24"/>
          <w:szCs w:val="24"/>
          <w:lang w:val="en-GB" w:eastAsia="en-GB"/>
        </w:rPr>
      </w:pPr>
      <w:r w:rsidRPr="000729CF">
        <w:rPr>
          <w:rFonts w:ascii="Arial" w:hAnsi="Arial" w:cs="Arial"/>
          <w:sz w:val="24"/>
          <w:szCs w:val="24"/>
          <w:lang w:val="en-GB" w:eastAsia="en-GB"/>
        </w:rPr>
        <w:t>A fully financed Capital Investment Programme is proposed for 2024/25 assuming that existing approved capital projects spend in-line with approved budgets and certain net usable receipts of £19.450m in total are achieved. Table 1 below shows how the programme can be financed in 2024/25. The position for the years 2025/26 onward is less certain until future Government Grant allocations are confirmed. All Government support is allocated through capital grants and all grants are unringfenced with the exception of Devolved Schools Capital Grant which must be allocated to schools.</w:t>
      </w:r>
    </w:p>
    <w:p w14:paraId="6EDA0C04" w14:textId="77777777" w:rsidR="000729CF" w:rsidRPr="000729CF" w:rsidRDefault="000729CF" w:rsidP="000729CF">
      <w:pPr>
        <w:keepNext/>
        <w:keepLines/>
        <w:tabs>
          <w:tab w:val="left" w:pos="720"/>
        </w:tabs>
        <w:rPr>
          <w:rFonts w:ascii="Arial" w:hAnsi="Arial" w:cs="Arial"/>
          <w:sz w:val="24"/>
          <w:szCs w:val="24"/>
          <w:lang w:val="en-GB" w:eastAsia="en-GB"/>
        </w:rPr>
      </w:pPr>
    </w:p>
    <w:tbl>
      <w:tblPr>
        <w:tblW w:w="494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52"/>
        <w:gridCol w:w="1378"/>
      </w:tblGrid>
      <w:tr w:rsidR="000729CF" w:rsidRPr="000729CF" w14:paraId="52913D0D" w14:textId="77777777" w:rsidTr="00BC26AB">
        <w:trPr>
          <w:trHeight w:val="509"/>
        </w:trPr>
        <w:tc>
          <w:tcPr>
            <w:tcW w:w="4277" w:type="pct"/>
          </w:tcPr>
          <w:p w14:paraId="3E0BE22D" w14:textId="77777777" w:rsidR="000729CF" w:rsidRPr="000729CF" w:rsidRDefault="000729CF" w:rsidP="000729CF">
            <w:pPr>
              <w:spacing w:before="60" w:after="60"/>
              <w:rPr>
                <w:rFonts w:ascii="Arial" w:hAnsi="Arial" w:cs="Arial"/>
                <w:b/>
                <w:noProof/>
                <w:sz w:val="24"/>
                <w:szCs w:val="24"/>
                <w:lang w:val="en-GB" w:eastAsia="en-GB"/>
              </w:rPr>
            </w:pPr>
            <w:r w:rsidRPr="000729CF">
              <w:rPr>
                <w:rFonts w:ascii="Arial" w:hAnsi="Arial" w:cs="Arial"/>
                <w:b/>
                <w:noProof/>
                <w:sz w:val="24"/>
                <w:szCs w:val="24"/>
                <w:lang w:val="en-GB" w:eastAsia="en-GB"/>
              </w:rPr>
              <w:t>TABLE 1: Capital Resources</w:t>
            </w:r>
          </w:p>
        </w:tc>
        <w:tc>
          <w:tcPr>
            <w:tcW w:w="723" w:type="pct"/>
          </w:tcPr>
          <w:p w14:paraId="68F0A167" w14:textId="77777777" w:rsidR="000729CF" w:rsidRPr="000729CF" w:rsidRDefault="000729CF" w:rsidP="000729CF">
            <w:pPr>
              <w:jc w:val="center"/>
              <w:rPr>
                <w:rFonts w:ascii="Arial" w:hAnsi="Arial" w:cs="Arial"/>
                <w:b/>
                <w:sz w:val="24"/>
                <w:szCs w:val="24"/>
                <w:lang w:val="en-GB" w:eastAsia="en-GB"/>
              </w:rPr>
            </w:pPr>
            <w:r w:rsidRPr="000729CF">
              <w:rPr>
                <w:rFonts w:ascii="Arial" w:hAnsi="Arial" w:cs="Arial"/>
                <w:b/>
                <w:sz w:val="24"/>
                <w:szCs w:val="24"/>
                <w:lang w:val="en-GB" w:eastAsia="en-GB"/>
              </w:rPr>
              <w:t>2024/25</w:t>
            </w:r>
          </w:p>
          <w:p w14:paraId="726CCA13" w14:textId="77777777" w:rsidR="000729CF" w:rsidRPr="000729CF" w:rsidRDefault="000729CF" w:rsidP="000729CF">
            <w:pPr>
              <w:jc w:val="center"/>
              <w:rPr>
                <w:rFonts w:ascii="Arial" w:hAnsi="Arial" w:cs="Arial"/>
                <w:b/>
                <w:sz w:val="24"/>
                <w:szCs w:val="24"/>
                <w:lang w:val="en-GB" w:eastAsia="en-GB"/>
              </w:rPr>
            </w:pPr>
            <w:r w:rsidRPr="000729CF">
              <w:rPr>
                <w:rFonts w:ascii="Arial" w:hAnsi="Arial" w:cs="Arial"/>
                <w:b/>
                <w:sz w:val="24"/>
                <w:szCs w:val="24"/>
                <w:lang w:val="en-GB" w:eastAsia="en-GB"/>
              </w:rPr>
              <w:t>£ million</w:t>
            </w:r>
          </w:p>
        </w:tc>
      </w:tr>
      <w:tr w:rsidR="000729CF" w:rsidRPr="000729CF" w14:paraId="28780A4B" w14:textId="77777777" w:rsidTr="00BC26AB">
        <w:trPr>
          <w:trHeight w:val="397"/>
        </w:trPr>
        <w:tc>
          <w:tcPr>
            <w:tcW w:w="4277" w:type="pct"/>
            <w:vAlign w:val="center"/>
          </w:tcPr>
          <w:p w14:paraId="28E00932" w14:textId="77777777" w:rsidR="000729CF" w:rsidRPr="000729CF" w:rsidRDefault="000729CF" w:rsidP="000729CF">
            <w:pPr>
              <w:rPr>
                <w:rFonts w:ascii="Arial" w:hAnsi="Arial" w:cs="Arial"/>
                <w:sz w:val="24"/>
                <w:szCs w:val="24"/>
                <w:lang w:val="en-GB" w:eastAsia="en-GB"/>
              </w:rPr>
            </w:pPr>
            <w:r w:rsidRPr="000729CF">
              <w:rPr>
                <w:rFonts w:ascii="Arial" w:hAnsi="Arial" w:cs="Arial"/>
                <w:sz w:val="24"/>
                <w:szCs w:val="24"/>
                <w:lang w:val="en-GB" w:eastAsia="en-GB"/>
              </w:rPr>
              <w:t>Capital Grants:</w:t>
            </w:r>
          </w:p>
        </w:tc>
        <w:tc>
          <w:tcPr>
            <w:tcW w:w="723" w:type="pct"/>
            <w:vAlign w:val="center"/>
          </w:tcPr>
          <w:p w14:paraId="35CD851A" w14:textId="77777777" w:rsidR="000729CF" w:rsidRPr="000729CF" w:rsidRDefault="000729CF" w:rsidP="000729CF">
            <w:pPr>
              <w:jc w:val="right"/>
              <w:rPr>
                <w:rFonts w:ascii="Arial" w:hAnsi="Arial" w:cs="Arial"/>
                <w:sz w:val="24"/>
                <w:szCs w:val="24"/>
                <w:lang w:val="en-GB" w:eastAsia="en-GB"/>
              </w:rPr>
            </w:pPr>
          </w:p>
        </w:tc>
      </w:tr>
      <w:tr w:rsidR="000729CF" w:rsidRPr="000729CF" w14:paraId="3D9084CE" w14:textId="77777777" w:rsidTr="00BC26AB">
        <w:trPr>
          <w:trHeight w:val="737"/>
        </w:trPr>
        <w:tc>
          <w:tcPr>
            <w:tcW w:w="4277" w:type="pct"/>
            <w:vAlign w:val="center"/>
          </w:tcPr>
          <w:p w14:paraId="202F9C8A" w14:textId="77777777" w:rsidR="000729CF" w:rsidRPr="000729CF" w:rsidRDefault="000729CF" w:rsidP="000729CF">
            <w:pPr>
              <w:rPr>
                <w:rFonts w:ascii="Arial" w:hAnsi="Arial" w:cs="Arial"/>
                <w:sz w:val="24"/>
                <w:szCs w:val="24"/>
                <w:lang w:val="en-GB" w:eastAsia="en-GB"/>
              </w:rPr>
            </w:pPr>
            <w:r w:rsidRPr="000729CF">
              <w:rPr>
                <w:rFonts w:ascii="Arial" w:hAnsi="Arial" w:cs="Arial"/>
                <w:sz w:val="24"/>
                <w:szCs w:val="24"/>
                <w:lang w:val="en-GB" w:eastAsia="en-GB"/>
              </w:rPr>
              <w:t xml:space="preserve"> -</w:t>
            </w:r>
            <w:r w:rsidRPr="000729CF">
              <w:rPr>
                <w:rFonts w:ascii="Arial" w:hAnsi="Arial" w:cs="Arial"/>
                <w:sz w:val="24"/>
                <w:szCs w:val="24"/>
                <w:lang w:val="en-GB" w:eastAsia="en-GB"/>
              </w:rPr>
              <w:tab/>
              <w:t>Capital grant announcements in previous years and profiled for spend in 2024/25</w:t>
            </w:r>
          </w:p>
        </w:tc>
        <w:tc>
          <w:tcPr>
            <w:tcW w:w="723" w:type="pct"/>
            <w:vAlign w:val="center"/>
          </w:tcPr>
          <w:p w14:paraId="5D9523F0"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26.357</w:t>
            </w:r>
          </w:p>
        </w:tc>
      </w:tr>
      <w:tr w:rsidR="000729CF" w:rsidRPr="000729CF" w14:paraId="5838E32B" w14:textId="77777777" w:rsidTr="00BC26AB">
        <w:trPr>
          <w:trHeight w:val="397"/>
        </w:trPr>
        <w:tc>
          <w:tcPr>
            <w:tcW w:w="4277" w:type="pct"/>
            <w:vAlign w:val="center"/>
          </w:tcPr>
          <w:p w14:paraId="6C43ABC6" w14:textId="77777777" w:rsidR="000729CF" w:rsidRPr="000729CF" w:rsidRDefault="000729CF" w:rsidP="000729CF">
            <w:pPr>
              <w:rPr>
                <w:rFonts w:ascii="Arial" w:hAnsi="Arial" w:cs="Arial"/>
                <w:sz w:val="24"/>
                <w:szCs w:val="24"/>
                <w:lang w:val="en-GB" w:eastAsia="en-GB"/>
              </w:rPr>
            </w:pPr>
            <w:r w:rsidRPr="000729CF">
              <w:rPr>
                <w:rFonts w:ascii="Arial" w:hAnsi="Arial" w:cs="Arial"/>
                <w:sz w:val="24"/>
                <w:szCs w:val="24"/>
                <w:lang w:val="en-GB" w:eastAsia="en-GB"/>
              </w:rPr>
              <w:t xml:space="preserve"> -</w:t>
            </w:r>
            <w:r w:rsidRPr="000729CF">
              <w:rPr>
                <w:rFonts w:ascii="Arial" w:hAnsi="Arial" w:cs="Arial"/>
                <w:sz w:val="24"/>
                <w:szCs w:val="24"/>
                <w:lang w:val="en-GB" w:eastAsia="en-GB"/>
              </w:rPr>
              <w:tab/>
              <w:t>New capital grants</w:t>
            </w:r>
          </w:p>
        </w:tc>
        <w:tc>
          <w:tcPr>
            <w:tcW w:w="723" w:type="pct"/>
            <w:vAlign w:val="center"/>
          </w:tcPr>
          <w:p w14:paraId="7B21BC11"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25.071</w:t>
            </w:r>
          </w:p>
        </w:tc>
      </w:tr>
      <w:tr w:rsidR="000729CF" w:rsidRPr="000729CF" w14:paraId="257BC496" w14:textId="77777777" w:rsidTr="00BC26AB">
        <w:trPr>
          <w:trHeight w:val="397"/>
        </w:trPr>
        <w:tc>
          <w:tcPr>
            <w:tcW w:w="4277" w:type="pct"/>
            <w:vAlign w:val="center"/>
          </w:tcPr>
          <w:p w14:paraId="196FC05D" w14:textId="77777777" w:rsidR="000729CF" w:rsidRPr="000729CF" w:rsidRDefault="000729CF" w:rsidP="000729CF">
            <w:pPr>
              <w:rPr>
                <w:rFonts w:ascii="Arial" w:hAnsi="Arial" w:cs="Arial"/>
                <w:b/>
                <w:sz w:val="24"/>
                <w:szCs w:val="24"/>
                <w:lang w:val="en-GB" w:eastAsia="en-GB"/>
              </w:rPr>
            </w:pPr>
            <w:r w:rsidRPr="000729CF">
              <w:rPr>
                <w:rFonts w:ascii="Arial" w:hAnsi="Arial" w:cs="Arial"/>
                <w:b/>
                <w:sz w:val="24"/>
                <w:szCs w:val="24"/>
                <w:lang w:val="en-GB" w:eastAsia="en-GB"/>
              </w:rPr>
              <w:t>Total Government Support</w:t>
            </w:r>
          </w:p>
        </w:tc>
        <w:tc>
          <w:tcPr>
            <w:tcW w:w="723" w:type="pct"/>
            <w:vAlign w:val="center"/>
          </w:tcPr>
          <w:p w14:paraId="6F337E28" w14:textId="77777777" w:rsidR="000729CF" w:rsidRPr="000729CF" w:rsidRDefault="000729CF" w:rsidP="000729CF">
            <w:pPr>
              <w:jc w:val="right"/>
              <w:rPr>
                <w:rFonts w:ascii="Arial" w:hAnsi="Arial" w:cs="Arial"/>
                <w:b/>
                <w:sz w:val="24"/>
                <w:szCs w:val="24"/>
                <w:lang w:val="en-GB" w:eastAsia="en-GB"/>
              </w:rPr>
            </w:pPr>
            <w:r w:rsidRPr="000729CF">
              <w:rPr>
                <w:rFonts w:ascii="Arial" w:hAnsi="Arial" w:cs="Arial"/>
                <w:b/>
                <w:sz w:val="24"/>
                <w:szCs w:val="24"/>
                <w:lang w:val="en-GB" w:eastAsia="en-GB"/>
              </w:rPr>
              <w:t>51.428</w:t>
            </w:r>
          </w:p>
        </w:tc>
      </w:tr>
      <w:tr w:rsidR="000729CF" w:rsidRPr="000729CF" w14:paraId="21ECBCC2" w14:textId="77777777" w:rsidTr="00BC26AB">
        <w:trPr>
          <w:trHeight w:val="397"/>
        </w:trPr>
        <w:tc>
          <w:tcPr>
            <w:tcW w:w="4277" w:type="pct"/>
            <w:vAlign w:val="center"/>
          </w:tcPr>
          <w:p w14:paraId="1831724E" w14:textId="77777777" w:rsidR="000729CF" w:rsidRPr="000729CF" w:rsidRDefault="000729CF" w:rsidP="000729CF">
            <w:pPr>
              <w:rPr>
                <w:rFonts w:ascii="Arial" w:hAnsi="Arial" w:cs="Arial"/>
                <w:sz w:val="24"/>
                <w:szCs w:val="24"/>
                <w:lang w:val="en-GB" w:eastAsia="en-GB"/>
              </w:rPr>
            </w:pPr>
            <w:r w:rsidRPr="000729CF">
              <w:rPr>
                <w:rFonts w:ascii="Arial" w:hAnsi="Arial" w:cs="Arial"/>
                <w:sz w:val="24"/>
                <w:szCs w:val="24"/>
                <w:lang w:val="en-GB" w:eastAsia="en-GB"/>
              </w:rPr>
              <w:t>Capital Receipts Reserve</w:t>
            </w:r>
          </w:p>
        </w:tc>
        <w:tc>
          <w:tcPr>
            <w:tcW w:w="723" w:type="pct"/>
            <w:vAlign w:val="center"/>
          </w:tcPr>
          <w:p w14:paraId="3BFADC93"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21.576</w:t>
            </w:r>
          </w:p>
        </w:tc>
      </w:tr>
      <w:tr w:rsidR="000729CF" w:rsidRPr="000729CF" w14:paraId="3CAAC134" w14:textId="77777777" w:rsidTr="00BC26AB">
        <w:trPr>
          <w:trHeight w:val="397"/>
        </w:trPr>
        <w:tc>
          <w:tcPr>
            <w:tcW w:w="4277" w:type="pct"/>
            <w:vAlign w:val="center"/>
          </w:tcPr>
          <w:p w14:paraId="121231A6" w14:textId="77777777" w:rsidR="000729CF" w:rsidRPr="000729CF" w:rsidRDefault="000729CF" w:rsidP="000729CF">
            <w:pPr>
              <w:rPr>
                <w:rFonts w:ascii="Arial" w:hAnsi="Arial" w:cs="Arial"/>
                <w:sz w:val="24"/>
                <w:szCs w:val="24"/>
                <w:lang w:val="en-GB" w:eastAsia="en-GB"/>
              </w:rPr>
            </w:pPr>
            <w:r w:rsidRPr="000729CF">
              <w:rPr>
                <w:rFonts w:ascii="Arial" w:hAnsi="Arial" w:cs="Arial"/>
                <w:sz w:val="24"/>
                <w:szCs w:val="24"/>
                <w:lang w:val="en-GB" w:eastAsia="en-GB"/>
              </w:rPr>
              <w:t>Capital Reserves</w:t>
            </w:r>
          </w:p>
        </w:tc>
        <w:tc>
          <w:tcPr>
            <w:tcW w:w="723" w:type="pct"/>
            <w:vAlign w:val="center"/>
          </w:tcPr>
          <w:p w14:paraId="5F07789B"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0.693</w:t>
            </w:r>
          </w:p>
        </w:tc>
      </w:tr>
      <w:tr w:rsidR="000729CF" w:rsidRPr="000729CF" w14:paraId="26165179" w14:textId="77777777" w:rsidTr="00BC26AB">
        <w:trPr>
          <w:trHeight w:val="397"/>
        </w:trPr>
        <w:tc>
          <w:tcPr>
            <w:tcW w:w="4277" w:type="pct"/>
            <w:vAlign w:val="center"/>
          </w:tcPr>
          <w:p w14:paraId="7DC2BB22" w14:textId="77777777" w:rsidR="000729CF" w:rsidRPr="000729CF" w:rsidRDefault="000729CF" w:rsidP="000729CF">
            <w:pPr>
              <w:rPr>
                <w:rFonts w:ascii="Arial" w:hAnsi="Arial" w:cs="Arial"/>
                <w:sz w:val="24"/>
                <w:szCs w:val="24"/>
                <w:lang w:val="en-GB" w:eastAsia="en-GB"/>
              </w:rPr>
            </w:pPr>
            <w:r w:rsidRPr="000729CF">
              <w:rPr>
                <w:rFonts w:ascii="Arial" w:hAnsi="Arial" w:cs="Arial"/>
                <w:sz w:val="24"/>
                <w:szCs w:val="24"/>
                <w:lang w:val="en-GB" w:eastAsia="en-GB"/>
              </w:rPr>
              <w:t>Specific Reserves</w:t>
            </w:r>
          </w:p>
        </w:tc>
        <w:tc>
          <w:tcPr>
            <w:tcW w:w="723" w:type="pct"/>
            <w:vAlign w:val="center"/>
          </w:tcPr>
          <w:p w14:paraId="3291FFFD"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1.942</w:t>
            </w:r>
          </w:p>
        </w:tc>
      </w:tr>
      <w:tr w:rsidR="000729CF" w:rsidRPr="000729CF" w14:paraId="1C7A43C4" w14:textId="77777777" w:rsidTr="00BC26AB">
        <w:trPr>
          <w:trHeight w:val="397"/>
        </w:trPr>
        <w:tc>
          <w:tcPr>
            <w:tcW w:w="4277" w:type="pct"/>
            <w:vAlign w:val="center"/>
          </w:tcPr>
          <w:p w14:paraId="41404A27" w14:textId="77777777" w:rsidR="000729CF" w:rsidRPr="000729CF" w:rsidRDefault="000729CF" w:rsidP="000729CF">
            <w:pPr>
              <w:rPr>
                <w:rFonts w:ascii="Arial" w:hAnsi="Arial" w:cs="Arial"/>
                <w:sz w:val="24"/>
                <w:szCs w:val="24"/>
                <w:lang w:val="en-GB" w:eastAsia="en-GB"/>
              </w:rPr>
            </w:pPr>
            <w:r w:rsidRPr="000729CF">
              <w:rPr>
                <w:rFonts w:ascii="Arial" w:hAnsi="Arial" w:cs="Arial"/>
                <w:sz w:val="24"/>
                <w:szCs w:val="24"/>
                <w:lang w:val="en-GB" w:eastAsia="en-GB"/>
              </w:rPr>
              <w:t>External Contributions</w:t>
            </w:r>
          </w:p>
        </w:tc>
        <w:tc>
          <w:tcPr>
            <w:tcW w:w="723" w:type="pct"/>
            <w:vAlign w:val="center"/>
          </w:tcPr>
          <w:p w14:paraId="5A6980AD"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6.992</w:t>
            </w:r>
          </w:p>
        </w:tc>
      </w:tr>
      <w:tr w:rsidR="000729CF" w:rsidRPr="000729CF" w14:paraId="6E39E521" w14:textId="77777777" w:rsidTr="00BC26AB">
        <w:trPr>
          <w:trHeight w:val="397"/>
        </w:trPr>
        <w:tc>
          <w:tcPr>
            <w:tcW w:w="4277" w:type="pct"/>
            <w:vAlign w:val="center"/>
          </w:tcPr>
          <w:p w14:paraId="198684A8" w14:textId="77777777" w:rsidR="000729CF" w:rsidRPr="000729CF" w:rsidRDefault="000729CF" w:rsidP="000729CF">
            <w:pPr>
              <w:rPr>
                <w:rFonts w:ascii="Arial" w:hAnsi="Arial" w:cs="Arial"/>
                <w:sz w:val="24"/>
                <w:szCs w:val="24"/>
                <w:lang w:val="en-GB" w:eastAsia="en-GB"/>
              </w:rPr>
            </w:pPr>
            <w:r w:rsidRPr="000729CF">
              <w:rPr>
                <w:rFonts w:ascii="Arial" w:hAnsi="Arial" w:cs="Arial"/>
                <w:sz w:val="24"/>
                <w:szCs w:val="24"/>
                <w:lang w:val="en-GB" w:eastAsia="en-GB"/>
              </w:rPr>
              <w:t>Direct Revenue Funding – Housing Revenue Account</w:t>
            </w:r>
          </w:p>
        </w:tc>
        <w:tc>
          <w:tcPr>
            <w:tcW w:w="723" w:type="pct"/>
            <w:vAlign w:val="center"/>
          </w:tcPr>
          <w:p w14:paraId="589BDB53"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16.516</w:t>
            </w:r>
          </w:p>
        </w:tc>
      </w:tr>
      <w:tr w:rsidR="000729CF" w:rsidRPr="000729CF" w14:paraId="0679A96A" w14:textId="77777777" w:rsidTr="00BC26AB">
        <w:trPr>
          <w:trHeight w:val="397"/>
        </w:trPr>
        <w:tc>
          <w:tcPr>
            <w:tcW w:w="4277" w:type="pct"/>
            <w:vAlign w:val="center"/>
          </w:tcPr>
          <w:p w14:paraId="3E1804FF" w14:textId="77777777" w:rsidR="000729CF" w:rsidRPr="000729CF" w:rsidRDefault="000729CF" w:rsidP="000729CF">
            <w:pPr>
              <w:rPr>
                <w:rFonts w:ascii="Arial" w:hAnsi="Arial" w:cs="Arial"/>
                <w:sz w:val="24"/>
                <w:szCs w:val="24"/>
                <w:lang w:val="en-GB" w:eastAsia="en-GB"/>
              </w:rPr>
            </w:pPr>
            <w:r w:rsidRPr="000729CF">
              <w:rPr>
                <w:rFonts w:ascii="Arial" w:hAnsi="Arial" w:cs="Arial"/>
                <w:sz w:val="24"/>
                <w:szCs w:val="24"/>
                <w:lang w:val="en-GB" w:eastAsia="en-GB"/>
              </w:rPr>
              <w:t>Direct Revenue Funding – Service Departments</w:t>
            </w:r>
          </w:p>
        </w:tc>
        <w:tc>
          <w:tcPr>
            <w:tcW w:w="723" w:type="pct"/>
            <w:vAlign w:val="center"/>
          </w:tcPr>
          <w:p w14:paraId="3A847497"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1.070</w:t>
            </w:r>
          </w:p>
        </w:tc>
      </w:tr>
      <w:tr w:rsidR="000729CF" w:rsidRPr="000729CF" w14:paraId="76DF3212" w14:textId="77777777" w:rsidTr="00BC26AB">
        <w:trPr>
          <w:trHeight w:val="397"/>
        </w:trPr>
        <w:tc>
          <w:tcPr>
            <w:tcW w:w="4277" w:type="pct"/>
            <w:vAlign w:val="center"/>
          </w:tcPr>
          <w:p w14:paraId="0464F1D9" w14:textId="77777777" w:rsidR="000729CF" w:rsidRPr="000729CF" w:rsidRDefault="000729CF" w:rsidP="000729CF">
            <w:pPr>
              <w:rPr>
                <w:rFonts w:ascii="Arial" w:hAnsi="Arial" w:cs="Arial"/>
                <w:sz w:val="24"/>
                <w:szCs w:val="24"/>
                <w:lang w:val="en-GB" w:eastAsia="en-GB"/>
              </w:rPr>
            </w:pPr>
            <w:r w:rsidRPr="000729CF">
              <w:rPr>
                <w:rFonts w:ascii="Arial" w:hAnsi="Arial" w:cs="Arial"/>
                <w:sz w:val="24"/>
                <w:szCs w:val="24"/>
                <w:lang w:val="en-GB" w:eastAsia="en-GB"/>
              </w:rPr>
              <w:t>Council Borrowing</w:t>
            </w:r>
          </w:p>
        </w:tc>
        <w:tc>
          <w:tcPr>
            <w:tcW w:w="723" w:type="pct"/>
            <w:vAlign w:val="center"/>
          </w:tcPr>
          <w:p w14:paraId="2F9EB6FF" w14:textId="77777777" w:rsidR="000729CF" w:rsidRPr="000729CF" w:rsidRDefault="000729CF" w:rsidP="000729CF">
            <w:pPr>
              <w:jc w:val="right"/>
              <w:rPr>
                <w:rFonts w:ascii="Arial" w:hAnsi="Arial" w:cs="Arial"/>
                <w:sz w:val="24"/>
                <w:szCs w:val="24"/>
                <w:lang w:val="en-GB" w:eastAsia="en-GB"/>
              </w:rPr>
            </w:pPr>
            <w:r w:rsidRPr="000729CF">
              <w:rPr>
                <w:rFonts w:ascii="Arial" w:hAnsi="Arial" w:cs="Arial"/>
                <w:sz w:val="24"/>
                <w:szCs w:val="24"/>
                <w:lang w:val="en-GB" w:eastAsia="en-GB"/>
              </w:rPr>
              <w:t>111.253</w:t>
            </w:r>
          </w:p>
        </w:tc>
      </w:tr>
      <w:tr w:rsidR="000729CF" w:rsidRPr="000729CF" w14:paraId="29BB3D89" w14:textId="77777777" w:rsidTr="00BC26AB">
        <w:trPr>
          <w:trHeight w:val="397"/>
        </w:trPr>
        <w:tc>
          <w:tcPr>
            <w:tcW w:w="4277" w:type="pct"/>
            <w:vAlign w:val="center"/>
          </w:tcPr>
          <w:p w14:paraId="6B90C9C8" w14:textId="77777777" w:rsidR="000729CF" w:rsidRPr="000729CF" w:rsidRDefault="000729CF" w:rsidP="000729CF">
            <w:pPr>
              <w:rPr>
                <w:rFonts w:ascii="Arial" w:hAnsi="Arial" w:cs="Arial"/>
                <w:b/>
                <w:sz w:val="24"/>
                <w:szCs w:val="24"/>
                <w:lang w:val="en-GB" w:eastAsia="en-GB"/>
              </w:rPr>
            </w:pPr>
            <w:r w:rsidRPr="000729CF">
              <w:rPr>
                <w:rFonts w:ascii="Arial" w:hAnsi="Arial" w:cs="Arial"/>
                <w:b/>
                <w:sz w:val="24"/>
                <w:szCs w:val="24"/>
                <w:lang w:val="en-GB" w:eastAsia="en-GB"/>
              </w:rPr>
              <w:t xml:space="preserve">Total Capital Resources </w:t>
            </w:r>
          </w:p>
        </w:tc>
        <w:tc>
          <w:tcPr>
            <w:tcW w:w="723" w:type="pct"/>
            <w:vAlign w:val="center"/>
          </w:tcPr>
          <w:p w14:paraId="2C99F791" w14:textId="77777777" w:rsidR="000729CF" w:rsidRPr="000729CF" w:rsidRDefault="000729CF" w:rsidP="000729CF">
            <w:pPr>
              <w:jc w:val="right"/>
              <w:rPr>
                <w:rFonts w:ascii="Arial" w:hAnsi="Arial" w:cs="Arial"/>
                <w:b/>
                <w:sz w:val="24"/>
                <w:szCs w:val="24"/>
                <w:lang w:val="en-GB" w:eastAsia="en-GB"/>
              </w:rPr>
            </w:pPr>
            <w:r w:rsidRPr="000729CF">
              <w:rPr>
                <w:rFonts w:ascii="Arial" w:hAnsi="Arial" w:cs="Arial"/>
                <w:b/>
                <w:sz w:val="24"/>
                <w:szCs w:val="24"/>
                <w:lang w:val="en-GB" w:eastAsia="en-GB"/>
              </w:rPr>
              <w:t>211.470</w:t>
            </w:r>
          </w:p>
        </w:tc>
      </w:tr>
    </w:tbl>
    <w:p w14:paraId="0F346BAB" w14:textId="77777777" w:rsidR="000729CF" w:rsidRPr="000729CF" w:rsidRDefault="000729CF" w:rsidP="000729CF">
      <w:pPr>
        <w:keepNext/>
        <w:keepLines/>
        <w:tabs>
          <w:tab w:val="left" w:pos="720"/>
        </w:tabs>
        <w:rPr>
          <w:rFonts w:ascii="Arial" w:hAnsi="Arial" w:cs="Arial"/>
          <w:b/>
          <w:sz w:val="24"/>
          <w:szCs w:val="24"/>
          <w:lang w:val="en-GB" w:eastAsia="en-GB"/>
        </w:rPr>
      </w:pPr>
    </w:p>
    <w:p w14:paraId="691329C1" w14:textId="77777777" w:rsidR="000729CF" w:rsidRPr="000729CF" w:rsidRDefault="000729CF" w:rsidP="000729CF">
      <w:pPr>
        <w:keepNext/>
        <w:keepLines/>
        <w:tabs>
          <w:tab w:val="left" w:pos="720"/>
        </w:tabs>
        <w:rPr>
          <w:rFonts w:ascii="Arial" w:hAnsi="Arial" w:cs="Arial"/>
          <w:b/>
          <w:sz w:val="24"/>
          <w:szCs w:val="24"/>
          <w:lang w:val="en-GB" w:eastAsia="en-GB"/>
        </w:rPr>
      </w:pPr>
    </w:p>
    <w:p w14:paraId="1F35B884" w14:textId="77777777" w:rsidR="000729CF" w:rsidRPr="000729CF" w:rsidRDefault="000729CF" w:rsidP="000729CF">
      <w:pPr>
        <w:keepNext/>
        <w:keepLines/>
        <w:rPr>
          <w:rFonts w:ascii="Arial" w:hAnsi="Arial" w:cs="Arial"/>
          <w:b/>
          <w:sz w:val="24"/>
          <w:szCs w:val="24"/>
          <w:lang w:val="en-GB" w:eastAsia="en-GB"/>
        </w:rPr>
      </w:pPr>
      <w:r w:rsidRPr="000729CF">
        <w:rPr>
          <w:rFonts w:ascii="Arial" w:hAnsi="Arial" w:cs="Arial"/>
          <w:b/>
          <w:sz w:val="24"/>
          <w:szCs w:val="24"/>
          <w:lang w:val="en-GB" w:eastAsia="en-GB"/>
        </w:rPr>
        <w:t>Capital Grants</w:t>
      </w:r>
    </w:p>
    <w:p w14:paraId="6AF46CE7" w14:textId="77777777" w:rsidR="000729CF" w:rsidRPr="000729CF" w:rsidRDefault="000729CF" w:rsidP="000729CF">
      <w:pPr>
        <w:numPr>
          <w:ilvl w:val="1"/>
          <w:numId w:val="0"/>
        </w:numPr>
        <w:spacing w:before="240" w:after="60"/>
        <w:outlineLvl w:val="1"/>
        <w:rPr>
          <w:rFonts w:ascii="Arial" w:hAnsi="Arial" w:cs="Arial"/>
          <w:sz w:val="24"/>
          <w:szCs w:val="24"/>
          <w:lang w:val="en-GB" w:eastAsia="en-GB"/>
        </w:rPr>
      </w:pPr>
      <w:r w:rsidRPr="000729CF">
        <w:rPr>
          <w:rFonts w:ascii="Arial" w:hAnsi="Arial" w:cs="Arial"/>
          <w:sz w:val="24"/>
          <w:szCs w:val="24"/>
          <w:lang w:val="en-GB" w:eastAsia="en-GB"/>
        </w:rPr>
        <w:t>The Government distributes capital grants towards the financing of certain capital expenditure. In 2024/25, it is anticipated that the council will receive new capital grants of £25.071m as summarised in Table 2 below, and £26</w:t>
      </w:r>
      <w:r w:rsidRPr="000729CF">
        <w:rPr>
          <w:rFonts w:ascii="Arial" w:hAnsi="Arial" w:cs="Arial"/>
          <w:color w:val="000000"/>
          <w:sz w:val="24"/>
          <w:szCs w:val="24"/>
          <w:lang w:val="en-GB" w:eastAsia="en-GB"/>
        </w:rPr>
        <w:t>.357m from grants already announced where the spending of these grants is now profiled in 2024/25.</w:t>
      </w:r>
    </w:p>
    <w:p w14:paraId="3E02C8AA" w14:textId="77777777" w:rsidR="000729CF" w:rsidRPr="000729CF" w:rsidRDefault="000729CF" w:rsidP="000729CF">
      <w:pPr>
        <w:numPr>
          <w:ilvl w:val="1"/>
          <w:numId w:val="0"/>
        </w:numPr>
        <w:spacing w:before="240" w:after="60"/>
        <w:outlineLvl w:val="1"/>
        <w:rPr>
          <w:rFonts w:ascii="Arial" w:hAnsi="Arial" w:cs="Arial"/>
          <w:color w:val="000000"/>
          <w:sz w:val="24"/>
          <w:szCs w:val="24"/>
          <w:lang w:val="en-GB" w:eastAsia="en-GB"/>
        </w:rPr>
      </w:pPr>
      <w:r w:rsidRPr="000729CF">
        <w:rPr>
          <w:rFonts w:ascii="Arial" w:hAnsi="Arial" w:cs="Arial"/>
          <w:sz w:val="24"/>
          <w:szCs w:val="24"/>
          <w:lang w:val="en-GB" w:eastAsia="en-GB"/>
        </w:rPr>
        <w:t>It is possible that other capital grants may be received during the year and these will be reported through TBM budget monitoring reports to SFCR Committee as and when they are announced</w:t>
      </w:r>
      <w:r w:rsidRPr="000729CF">
        <w:rPr>
          <w:rFonts w:ascii="Arial" w:hAnsi="Arial" w:cs="Arial"/>
          <w:color w:val="000000"/>
          <w:sz w:val="24"/>
          <w:szCs w:val="24"/>
          <w:lang w:val="en-GB" w:eastAsia="en-GB"/>
        </w:rPr>
        <w:t xml:space="preserve">. </w:t>
      </w:r>
    </w:p>
    <w:p w14:paraId="0BD8E738" w14:textId="77777777" w:rsidR="000729CF" w:rsidRPr="000729CF" w:rsidRDefault="000729CF" w:rsidP="000729CF">
      <w:pPr>
        <w:numPr>
          <w:ilvl w:val="1"/>
          <w:numId w:val="0"/>
        </w:numPr>
        <w:spacing w:before="240" w:after="60"/>
        <w:outlineLvl w:val="1"/>
        <w:rPr>
          <w:rFonts w:ascii="Arial" w:hAnsi="Arial" w:cs="Arial"/>
          <w:sz w:val="24"/>
          <w:szCs w:val="24"/>
          <w:lang w:val="en-GB" w:eastAsia="en-GB"/>
        </w:rPr>
      </w:pPr>
      <w:r w:rsidRPr="000729CF">
        <w:rPr>
          <w:rFonts w:ascii="Arial" w:hAnsi="Arial" w:cs="Arial"/>
          <w:sz w:val="24"/>
          <w:szCs w:val="24"/>
          <w:lang w:val="en-GB" w:eastAsia="en-GB"/>
        </w:rPr>
        <w:t xml:space="preserve">The new capital grants are in three main areas:   </w:t>
      </w:r>
    </w:p>
    <w:p w14:paraId="1B2B116F" w14:textId="77777777" w:rsidR="000729CF" w:rsidRPr="000729CF" w:rsidRDefault="000729CF" w:rsidP="00CE70A3">
      <w:pPr>
        <w:numPr>
          <w:ilvl w:val="0"/>
          <w:numId w:val="62"/>
        </w:numPr>
        <w:spacing w:before="240" w:after="200" w:line="276" w:lineRule="auto"/>
        <w:ind w:left="567" w:hanging="567"/>
        <w:outlineLvl w:val="1"/>
        <w:rPr>
          <w:rFonts w:ascii="Arial" w:hAnsi="Arial" w:cs="Arial"/>
          <w:sz w:val="24"/>
          <w:szCs w:val="24"/>
          <w:lang w:val="en-GB" w:eastAsia="en-GB"/>
        </w:rPr>
      </w:pPr>
      <w:r w:rsidRPr="000729CF">
        <w:rPr>
          <w:rFonts w:ascii="Arial" w:hAnsi="Arial" w:cs="Arial"/>
          <w:sz w:val="24"/>
          <w:szCs w:val="24"/>
          <w:lang w:val="en-GB" w:eastAsia="en-GB"/>
        </w:rPr>
        <w:t>Education funding of £4.250m (estimated and due to be announced) for investment in the maintenance of educational buildings and Children’s Centres;</w:t>
      </w:r>
    </w:p>
    <w:p w14:paraId="5E488ABE" w14:textId="77777777" w:rsidR="000729CF" w:rsidRPr="000729CF" w:rsidRDefault="000729CF" w:rsidP="00CE70A3">
      <w:pPr>
        <w:numPr>
          <w:ilvl w:val="0"/>
          <w:numId w:val="62"/>
        </w:numPr>
        <w:spacing w:before="240" w:after="200" w:line="276" w:lineRule="auto"/>
        <w:ind w:left="567" w:hanging="567"/>
        <w:outlineLvl w:val="1"/>
        <w:rPr>
          <w:rFonts w:ascii="Arial" w:hAnsi="Arial" w:cs="Arial"/>
          <w:sz w:val="24"/>
          <w:szCs w:val="24"/>
          <w:lang w:val="en-GB" w:eastAsia="en-GB"/>
        </w:rPr>
      </w:pPr>
      <w:r w:rsidRPr="000729CF">
        <w:rPr>
          <w:rFonts w:ascii="Arial" w:hAnsi="Arial" w:cs="Arial"/>
          <w:sz w:val="24"/>
          <w:szCs w:val="24"/>
          <w:lang w:val="en-GB" w:eastAsia="en-GB"/>
        </w:rPr>
        <w:t>Transport funding of £10.820m (estimated and due to be announced) to include transport related schemes and highways maintenance. The grant comes in the form of Highways Maintenance and Integrated Transport block grant plus assumed levels of investment for pothole maintenance and support from the Highways Maintenance Incentive fund. There are further allocations for road safety, bus service improvements and emissions reductions.</w:t>
      </w:r>
    </w:p>
    <w:p w14:paraId="1FFF7670" w14:textId="77777777" w:rsidR="000729CF" w:rsidRPr="000729CF" w:rsidRDefault="000729CF" w:rsidP="00CE70A3">
      <w:pPr>
        <w:numPr>
          <w:ilvl w:val="0"/>
          <w:numId w:val="62"/>
        </w:numPr>
        <w:spacing w:before="240" w:after="200" w:line="276" w:lineRule="auto"/>
        <w:ind w:left="567" w:hanging="567"/>
        <w:outlineLvl w:val="1"/>
        <w:rPr>
          <w:rFonts w:ascii="Arial" w:hAnsi="Arial" w:cs="Arial"/>
          <w:sz w:val="24"/>
          <w:szCs w:val="24"/>
          <w:lang w:val="en-GB" w:eastAsia="en-GB"/>
        </w:rPr>
      </w:pPr>
      <w:r w:rsidRPr="000729CF">
        <w:rPr>
          <w:rFonts w:ascii="Arial" w:hAnsi="Arial" w:cs="Arial"/>
          <w:sz w:val="24"/>
          <w:szCs w:val="24"/>
          <w:lang w:val="en-GB" w:eastAsia="en-GB"/>
        </w:rPr>
        <w:t>Better Care grant funding that supports the Disabled Facilities Grant programme and Adult Social Care investment to be confirmed.</w:t>
      </w:r>
    </w:p>
    <w:p w14:paraId="266F713E" w14:textId="77777777" w:rsidR="000729CF" w:rsidRPr="000729CF" w:rsidRDefault="000729CF" w:rsidP="000729CF">
      <w:pPr>
        <w:tabs>
          <w:tab w:val="left" w:pos="720"/>
        </w:tabs>
        <w:rPr>
          <w:rFonts w:ascii="Arial" w:hAnsi="Arial" w:cs="Arial"/>
          <w:color w:val="0000FF"/>
          <w:sz w:val="24"/>
          <w:szCs w:val="24"/>
          <w:lang w:val="en-GB" w:eastAsia="en-GB"/>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39"/>
        <w:gridCol w:w="1589"/>
      </w:tblGrid>
      <w:tr w:rsidR="000729CF" w:rsidRPr="000729CF" w14:paraId="55394CDF" w14:textId="77777777" w:rsidTr="00BC26AB">
        <w:tc>
          <w:tcPr>
            <w:tcW w:w="4175" w:type="pct"/>
          </w:tcPr>
          <w:p w14:paraId="1C58271A" w14:textId="77777777" w:rsidR="000729CF" w:rsidRPr="000729CF" w:rsidRDefault="000729CF" w:rsidP="000729CF">
            <w:pPr>
              <w:spacing w:before="60" w:after="60"/>
              <w:rPr>
                <w:rFonts w:ascii="Arial" w:hAnsi="Arial" w:cs="Arial"/>
                <w:b/>
                <w:iCs/>
                <w:sz w:val="24"/>
                <w:szCs w:val="24"/>
                <w:lang w:val="en-GB"/>
              </w:rPr>
            </w:pPr>
            <w:r w:rsidRPr="000729CF">
              <w:rPr>
                <w:rFonts w:ascii="Arial" w:hAnsi="Arial" w:cs="Arial"/>
                <w:b/>
                <w:iCs/>
                <w:sz w:val="24"/>
                <w:szCs w:val="24"/>
                <w:lang w:val="en-GB"/>
              </w:rPr>
              <w:t>TABLE 2: New Grants announced for 2024/25</w:t>
            </w:r>
          </w:p>
        </w:tc>
        <w:tc>
          <w:tcPr>
            <w:tcW w:w="825" w:type="pct"/>
          </w:tcPr>
          <w:p w14:paraId="7CE0C02C" w14:textId="77777777" w:rsidR="000729CF" w:rsidRPr="000729CF" w:rsidRDefault="000729CF" w:rsidP="000729CF">
            <w:pPr>
              <w:spacing w:before="60" w:after="60"/>
              <w:jc w:val="right"/>
              <w:rPr>
                <w:rFonts w:ascii="Arial" w:hAnsi="Arial" w:cs="Arial"/>
                <w:b/>
                <w:iCs/>
                <w:sz w:val="24"/>
                <w:szCs w:val="24"/>
                <w:lang w:val="en-GB"/>
              </w:rPr>
            </w:pPr>
            <w:r w:rsidRPr="000729CF">
              <w:rPr>
                <w:rFonts w:ascii="Arial" w:hAnsi="Arial" w:cs="Arial"/>
                <w:b/>
                <w:iCs/>
                <w:sz w:val="24"/>
                <w:szCs w:val="24"/>
                <w:lang w:val="en-GB"/>
              </w:rPr>
              <w:t xml:space="preserve"> £ million</w:t>
            </w:r>
          </w:p>
        </w:tc>
      </w:tr>
      <w:tr w:rsidR="000729CF" w:rsidRPr="000729CF" w14:paraId="4ABE25EB" w14:textId="77777777" w:rsidTr="00BC26AB">
        <w:tc>
          <w:tcPr>
            <w:tcW w:w="4175" w:type="pct"/>
          </w:tcPr>
          <w:p w14:paraId="1246EEA4" w14:textId="77777777" w:rsidR="000729CF" w:rsidRPr="000729CF" w:rsidRDefault="000729CF" w:rsidP="000729CF">
            <w:pPr>
              <w:spacing w:before="60" w:after="60"/>
              <w:rPr>
                <w:rFonts w:ascii="Arial" w:hAnsi="Arial" w:cs="Arial"/>
                <w:iCs/>
                <w:color w:val="000000"/>
                <w:sz w:val="24"/>
                <w:szCs w:val="24"/>
                <w:lang w:val="en-GB"/>
              </w:rPr>
            </w:pPr>
            <w:r w:rsidRPr="000729CF">
              <w:rPr>
                <w:rFonts w:ascii="Arial" w:hAnsi="Arial" w:cs="Arial"/>
                <w:iCs/>
                <w:color w:val="000000"/>
                <w:sz w:val="24"/>
                <w:szCs w:val="24"/>
                <w:lang w:val="en-GB"/>
              </w:rPr>
              <w:t>Education Capital Maintenance *</w:t>
            </w:r>
          </w:p>
        </w:tc>
        <w:tc>
          <w:tcPr>
            <w:tcW w:w="825" w:type="pct"/>
          </w:tcPr>
          <w:p w14:paraId="463DC512" w14:textId="77777777" w:rsidR="000729CF" w:rsidRPr="000729CF" w:rsidRDefault="000729CF" w:rsidP="000729CF">
            <w:pPr>
              <w:spacing w:before="60" w:after="60"/>
              <w:jc w:val="right"/>
              <w:rPr>
                <w:rFonts w:ascii="Arial" w:hAnsi="Arial" w:cs="Arial"/>
                <w:iCs/>
                <w:sz w:val="24"/>
                <w:szCs w:val="24"/>
                <w:lang w:val="en-GB"/>
              </w:rPr>
            </w:pPr>
            <w:r w:rsidRPr="000729CF">
              <w:rPr>
                <w:rFonts w:ascii="Arial" w:hAnsi="Arial" w:cs="Arial"/>
                <w:iCs/>
                <w:sz w:val="24"/>
                <w:szCs w:val="24"/>
                <w:lang w:val="en-GB"/>
              </w:rPr>
              <w:t>3.750</w:t>
            </w:r>
          </w:p>
        </w:tc>
      </w:tr>
      <w:tr w:rsidR="000729CF" w:rsidRPr="000729CF" w14:paraId="0DC64DB0" w14:textId="77777777" w:rsidTr="00BC26AB">
        <w:tc>
          <w:tcPr>
            <w:tcW w:w="4175" w:type="pct"/>
          </w:tcPr>
          <w:p w14:paraId="7BC1952A" w14:textId="77777777" w:rsidR="000729CF" w:rsidRPr="000729CF" w:rsidRDefault="000729CF" w:rsidP="000729CF">
            <w:pPr>
              <w:spacing w:before="60" w:after="60"/>
              <w:rPr>
                <w:rFonts w:ascii="Arial" w:hAnsi="Arial" w:cs="Arial"/>
                <w:iCs/>
                <w:color w:val="000000"/>
                <w:sz w:val="24"/>
                <w:szCs w:val="24"/>
                <w:lang w:val="en-GB"/>
              </w:rPr>
            </w:pPr>
            <w:r w:rsidRPr="000729CF">
              <w:rPr>
                <w:rFonts w:ascii="Arial" w:hAnsi="Arial" w:cs="Arial"/>
                <w:iCs/>
                <w:color w:val="000000"/>
                <w:sz w:val="24"/>
                <w:szCs w:val="24"/>
                <w:lang w:val="en-GB"/>
              </w:rPr>
              <w:t>Schools Devolved Capital *</w:t>
            </w:r>
          </w:p>
        </w:tc>
        <w:tc>
          <w:tcPr>
            <w:tcW w:w="825" w:type="pct"/>
          </w:tcPr>
          <w:p w14:paraId="4C846292" w14:textId="77777777" w:rsidR="000729CF" w:rsidRPr="000729CF" w:rsidRDefault="000729CF" w:rsidP="000729CF">
            <w:pPr>
              <w:spacing w:before="60" w:after="60"/>
              <w:jc w:val="right"/>
              <w:rPr>
                <w:rFonts w:ascii="Arial" w:hAnsi="Arial" w:cs="Arial"/>
                <w:iCs/>
                <w:sz w:val="24"/>
                <w:szCs w:val="24"/>
                <w:lang w:val="en-GB"/>
              </w:rPr>
            </w:pPr>
            <w:r w:rsidRPr="000729CF">
              <w:rPr>
                <w:rFonts w:ascii="Arial" w:hAnsi="Arial" w:cs="Arial"/>
                <w:iCs/>
                <w:sz w:val="24"/>
                <w:szCs w:val="24"/>
                <w:lang w:val="en-GB"/>
              </w:rPr>
              <w:t>0.500</w:t>
            </w:r>
          </w:p>
        </w:tc>
      </w:tr>
      <w:tr w:rsidR="000729CF" w:rsidRPr="000729CF" w14:paraId="52319887" w14:textId="77777777" w:rsidTr="00BC26AB">
        <w:tc>
          <w:tcPr>
            <w:tcW w:w="4175" w:type="pct"/>
          </w:tcPr>
          <w:p w14:paraId="0B9F19D4" w14:textId="77777777" w:rsidR="000729CF" w:rsidRPr="000729CF" w:rsidRDefault="000729CF" w:rsidP="000729CF">
            <w:pPr>
              <w:spacing w:before="60" w:after="60"/>
              <w:rPr>
                <w:rFonts w:ascii="Arial" w:hAnsi="Arial" w:cs="Arial"/>
                <w:iCs/>
                <w:color w:val="000000"/>
                <w:sz w:val="24"/>
                <w:szCs w:val="24"/>
                <w:lang w:val="en-GB"/>
              </w:rPr>
            </w:pPr>
            <w:r w:rsidRPr="000729CF">
              <w:rPr>
                <w:rFonts w:ascii="Arial" w:hAnsi="Arial" w:cs="Arial"/>
                <w:iCs/>
                <w:color w:val="000000"/>
                <w:sz w:val="24"/>
                <w:szCs w:val="24"/>
                <w:lang w:val="en-GB"/>
              </w:rPr>
              <w:t>Disabled Facilities Grant &amp; Better Care *</w:t>
            </w:r>
          </w:p>
        </w:tc>
        <w:tc>
          <w:tcPr>
            <w:tcW w:w="825" w:type="pct"/>
          </w:tcPr>
          <w:p w14:paraId="71AE9907" w14:textId="77777777" w:rsidR="000729CF" w:rsidRPr="000729CF" w:rsidRDefault="000729CF" w:rsidP="000729CF">
            <w:pPr>
              <w:spacing w:before="60" w:after="60"/>
              <w:jc w:val="right"/>
              <w:rPr>
                <w:rFonts w:ascii="Arial" w:hAnsi="Arial" w:cs="Arial"/>
                <w:iCs/>
                <w:sz w:val="24"/>
                <w:szCs w:val="24"/>
                <w:lang w:val="en-GB"/>
              </w:rPr>
            </w:pPr>
            <w:r w:rsidRPr="000729CF">
              <w:rPr>
                <w:rFonts w:ascii="Arial" w:hAnsi="Arial" w:cs="Arial"/>
                <w:iCs/>
                <w:sz w:val="24"/>
                <w:szCs w:val="24"/>
                <w:lang w:val="en-GB"/>
              </w:rPr>
              <w:t>2.500</w:t>
            </w:r>
          </w:p>
        </w:tc>
      </w:tr>
      <w:tr w:rsidR="000729CF" w:rsidRPr="000729CF" w14:paraId="66451363" w14:textId="77777777" w:rsidTr="00BC26AB">
        <w:tc>
          <w:tcPr>
            <w:tcW w:w="4175" w:type="pct"/>
          </w:tcPr>
          <w:p w14:paraId="53B55DF7" w14:textId="77777777" w:rsidR="000729CF" w:rsidRPr="000729CF" w:rsidRDefault="000729CF" w:rsidP="000729CF">
            <w:pPr>
              <w:spacing w:before="60" w:after="60"/>
              <w:rPr>
                <w:rFonts w:ascii="Arial" w:hAnsi="Arial" w:cs="Arial"/>
                <w:iCs/>
                <w:color w:val="000000"/>
                <w:sz w:val="24"/>
                <w:szCs w:val="24"/>
                <w:lang w:val="en-GB"/>
              </w:rPr>
            </w:pPr>
            <w:r w:rsidRPr="000729CF">
              <w:rPr>
                <w:rFonts w:ascii="Arial" w:hAnsi="Arial" w:cs="Arial"/>
                <w:iCs/>
                <w:color w:val="000000"/>
                <w:sz w:val="24"/>
                <w:szCs w:val="24"/>
                <w:lang w:val="en-GB"/>
              </w:rPr>
              <w:t>Highways Maintenance Block Allocation (LTP)</w:t>
            </w:r>
          </w:p>
        </w:tc>
        <w:tc>
          <w:tcPr>
            <w:tcW w:w="825" w:type="pct"/>
          </w:tcPr>
          <w:p w14:paraId="6FE2AE49" w14:textId="77777777" w:rsidR="000729CF" w:rsidRPr="000729CF" w:rsidRDefault="000729CF" w:rsidP="000729CF">
            <w:pPr>
              <w:spacing w:before="60" w:after="60"/>
              <w:jc w:val="right"/>
              <w:rPr>
                <w:rFonts w:ascii="Arial" w:hAnsi="Arial" w:cs="Arial"/>
                <w:iCs/>
                <w:sz w:val="24"/>
                <w:szCs w:val="24"/>
                <w:lang w:val="en-GB"/>
              </w:rPr>
            </w:pPr>
            <w:r w:rsidRPr="000729CF">
              <w:rPr>
                <w:rFonts w:ascii="Arial" w:hAnsi="Arial" w:cs="Arial"/>
                <w:iCs/>
                <w:sz w:val="24"/>
                <w:szCs w:val="24"/>
                <w:lang w:val="en-GB"/>
              </w:rPr>
              <w:t>1.455</w:t>
            </w:r>
          </w:p>
        </w:tc>
      </w:tr>
      <w:tr w:rsidR="000729CF" w:rsidRPr="000729CF" w14:paraId="0DA01ACC" w14:textId="77777777" w:rsidTr="00BC26AB">
        <w:tc>
          <w:tcPr>
            <w:tcW w:w="4175" w:type="pct"/>
          </w:tcPr>
          <w:p w14:paraId="0305BA53" w14:textId="77777777" w:rsidR="000729CF" w:rsidRPr="000729CF" w:rsidRDefault="000729CF" w:rsidP="000729CF">
            <w:pPr>
              <w:spacing w:before="60" w:after="60"/>
              <w:rPr>
                <w:rFonts w:ascii="Arial" w:hAnsi="Arial" w:cs="Arial"/>
                <w:iCs/>
                <w:color w:val="000000"/>
                <w:sz w:val="24"/>
                <w:szCs w:val="24"/>
                <w:lang w:val="en-GB"/>
              </w:rPr>
            </w:pPr>
            <w:r w:rsidRPr="000729CF">
              <w:rPr>
                <w:rFonts w:ascii="Arial" w:hAnsi="Arial" w:cs="Arial"/>
                <w:iCs/>
                <w:color w:val="000000"/>
                <w:sz w:val="24"/>
                <w:szCs w:val="24"/>
                <w:lang w:val="en-GB"/>
              </w:rPr>
              <w:t xml:space="preserve">Integrated Transport Block Allocation (LTP) </w:t>
            </w:r>
          </w:p>
        </w:tc>
        <w:tc>
          <w:tcPr>
            <w:tcW w:w="825" w:type="pct"/>
          </w:tcPr>
          <w:p w14:paraId="0DC9B136" w14:textId="77777777" w:rsidR="000729CF" w:rsidRPr="000729CF" w:rsidRDefault="000729CF" w:rsidP="000729CF">
            <w:pPr>
              <w:spacing w:before="60" w:after="60"/>
              <w:jc w:val="right"/>
              <w:rPr>
                <w:rFonts w:ascii="Arial" w:hAnsi="Arial" w:cs="Arial"/>
                <w:iCs/>
                <w:sz w:val="24"/>
                <w:szCs w:val="24"/>
                <w:lang w:val="en-GB"/>
              </w:rPr>
            </w:pPr>
            <w:r w:rsidRPr="000729CF">
              <w:rPr>
                <w:rFonts w:ascii="Arial" w:hAnsi="Arial" w:cs="Arial"/>
                <w:iCs/>
                <w:sz w:val="24"/>
                <w:szCs w:val="24"/>
                <w:lang w:val="en-GB"/>
              </w:rPr>
              <w:t>3.083</w:t>
            </w:r>
          </w:p>
        </w:tc>
      </w:tr>
      <w:tr w:rsidR="000729CF" w:rsidRPr="000729CF" w14:paraId="5E14B7CD" w14:textId="77777777" w:rsidTr="00BC26AB">
        <w:tc>
          <w:tcPr>
            <w:tcW w:w="4175" w:type="pct"/>
            <w:shd w:val="clear" w:color="auto" w:fill="auto"/>
          </w:tcPr>
          <w:p w14:paraId="5230B4BD" w14:textId="77777777" w:rsidR="000729CF" w:rsidRPr="000729CF" w:rsidRDefault="000729CF" w:rsidP="000729CF">
            <w:pPr>
              <w:spacing w:before="60" w:after="60"/>
              <w:rPr>
                <w:rFonts w:ascii="Arial" w:hAnsi="Arial" w:cs="Arial"/>
                <w:iCs/>
                <w:color w:val="000000"/>
                <w:sz w:val="24"/>
                <w:szCs w:val="24"/>
                <w:lang w:val="en-GB"/>
              </w:rPr>
            </w:pPr>
            <w:r w:rsidRPr="000729CF">
              <w:rPr>
                <w:rFonts w:ascii="Arial" w:hAnsi="Arial" w:cs="Arial"/>
                <w:iCs/>
                <w:color w:val="000000"/>
                <w:sz w:val="24"/>
                <w:szCs w:val="24"/>
                <w:lang w:val="en-GB"/>
              </w:rPr>
              <w:t>Pothole Action Fund (LTP)</w:t>
            </w:r>
          </w:p>
        </w:tc>
        <w:tc>
          <w:tcPr>
            <w:tcW w:w="825" w:type="pct"/>
            <w:shd w:val="clear" w:color="auto" w:fill="auto"/>
          </w:tcPr>
          <w:p w14:paraId="31928C14" w14:textId="77777777" w:rsidR="000729CF" w:rsidRPr="000729CF" w:rsidRDefault="000729CF" w:rsidP="000729CF">
            <w:pPr>
              <w:spacing w:before="60" w:after="60"/>
              <w:jc w:val="right"/>
              <w:rPr>
                <w:rFonts w:ascii="Arial" w:hAnsi="Arial" w:cs="Arial"/>
                <w:iCs/>
                <w:sz w:val="24"/>
                <w:szCs w:val="24"/>
                <w:lang w:val="en-GB"/>
              </w:rPr>
            </w:pPr>
            <w:r w:rsidRPr="000729CF">
              <w:rPr>
                <w:rFonts w:ascii="Arial" w:hAnsi="Arial" w:cs="Arial"/>
                <w:iCs/>
                <w:sz w:val="24"/>
                <w:szCs w:val="24"/>
                <w:lang w:val="en-GB"/>
              </w:rPr>
              <w:t>1.455</w:t>
            </w:r>
          </w:p>
        </w:tc>
      </w:tr>
      <w:tr w:rsidR="000729CF" w:rsidRPr="000729CF" w14:paraId="5A0E246D" w14:textId="77777777" w:rsidTr="00BC26AB">
        <w:tc>
          <w:tcPr>
            <w:tcW w:w="4175" w:type="pct"/>
            <w:shd w:val="clear" w:color="auto" w:fill="auto"/>
          </w:tcPr>
          <w:p w14:paraId="5BDC19D3" w14:textId="77777777" w:rsidR="000729CF" w:rsidRPr="000729CF" w:rsidRDefault="000729CF" w:rsidP="000729CF">
            <w:pPr>
              <w:spacing w:before="60" w:after="60"/>
              <w:rPr>
                <w:rFonts w:ascii="Arial" w:hAnsi="Arial" w:cs="Arial"/>
                <w:iCs/>
                <w:color w:val="000000"/>
                <w:sz w:val="24"/>
                <w:szCs w:val="24"/>
                <w:lang w:val="en-GB"/>
              </w:rPr>
            </w:pPr>
            <w:r w:rsidRPr="000729CF">
              <w:rPr>
                <w:rFonts w:ascii="Arial" w:hAnsi="Arial" w:cs="Arial"/>
                <w:iCs/>
                <w:color w:val="000000"/>
                <w:sz w:val="24"/>
                <w:szCs w:val="24"/>
                <w:lang w:val="en-GB"/>
              </w:rPr>
              <w:t>Highways Maintenance Incentive Fund (LTP)</w:t>
            </w:r>
          </w:p>
        </w:tc>
        <w:tc>
          <w:tcPr>
            <w:tcW w:w="825" w:type="pct"/>
            <w:shd w:val="clear" w:color="auto" w:fill="auto"/>
          </w:tcPr>
          <w:p w14:paraId="25D79224" w14:textId="77777777" w:rsidR="000729CF" w:rsidRPr="000729CF" w:rsidRDefault="000729CF" w:rsidP="000729CF">
            <w:pPr>
              <w:spacing w:before="60" w:after="60"/>
              <w:jc w:val="right"/>
              <w:rPr>
                <w:rFonts w:ascii="Arial" w:hAnsi="Arial" w:cs="Arial"/>
                <w:iCs/>
                <w:sz w:val="24"/>
                <w:szCs w:val="24"/>
                <w:lang w:val="en-GB"/>
              </w:rPr>
            </w:pPr>
            <w:r w:rsidRPr="000729CF">
              <w:rPr>
                <w:rFonts w:ascii="Arial" w:hAnsi="Arial" w:cs="Arial"/>
                <w:iCs/>
                <w:sz w:val="24"/>
                <w:szCs w:val="24"/>
                <w:lang w:val="en-GB"/>
              </w:rPr>
              <w:t>0.364</w:t>
            </w:r>
          </w:p>
        </w:tc>
      </w:tr>
      <w:tr w:rsidR="000729CF" w:rsidRPr="000729CF" w14:paraId="18F0AD98" w14:textId="77777777" w:rsidTr="00BC26AB">
        <w:tc>
          <w:tcPr>
            <w:tcW w:w="4175" w:type="pct"/>
            <w:shd w:val="clear" w:color="auto" w:fill="auto"/>
          </w:tcPr>
          <w:p w14:paraId="6B985006" w14:textId="77777777" w:rsidR="000729CF" w:rsidRPr="000729CF" w:rsidRDefault="000729CF" w:rsidP="000729CF">
            <w:pPr>
              <w:spacing w:before="60" w:after="60"/>
              <w:rPr>
                <w:rFonts w:ascii="Arial" w:hAnsi="Arial" w:cs="Arial"/>
                <w:iCs/>
                <w:color w:val="000000"/>
                <w:sz w:val="24"/>
                <w:szCs w:val="24"/>
                <w:lang w:val="en-GB"/>
              </w:rPr>
            </w:pPr>
            <w:r w:rsidRPr="000729CF">
              <w:rPr>
                <w:rFonts w:ascii="Arial" w:hAnsi="Arial" w:cs="Arial"/>
                <w:iCs/>
                <w:color w:val="000000"/>
                <w:sz w:val="24"/>
                <w:szCs w:val="24"/>
                <w:lang w:val="en-GB"/>
              </w:rPr>
              <w:t>Bus Service Improvement Grant</w:t>
            </w:r>
          </w:p>
        </w:tc>
        <w:tc>
          <w:tcPr>
            <w:tcW w:w="825" w:type="pct"/>
            <w:shd w:val="clear" w:color="auto" w:fill="auto"/>
          </w:tcPr>
          <w:p w14:paraId="4D42DBA2" w14:textId="77777777" w:rsidR="000729CF" w:rsidRPr="000729CF" w:rsidRDefault="000729CF" w:rsidP="000729CF">
            <w:pPr>
              <w:spacing w:before="60" w:after="60"/>
              <w:jc w:val="right"/>
              <w:rPr>
                <w:rFonts w:ascii="Arial" w:hAnsi="Arial" w:cs="Arial"/>
                <w:iCs/>
                <w:sz w:val="24"/>
                <w:szCs w:val="24"/>
                <w:lang w:val="en-GB"/>
              </w:rPr>
            </w:pPr>
            <w:r w:rsidRPr="000729CF">
              <w:rPr>
                <w:rFonts w:ascii="Arial" w:hAnsi="Arial" w:cs="Arial"/>
                <w:iCs/>
                <w:sz w:val="24"/>
                <w:szCs w:val="24"/>
                <w:lang w:val="en-GB"/>
              </w:rPr>
              <w:t>2.100</w:t>
            </w:r>
          </w:p>
        </w:tc>
      </w:tr>
      <w:tr w:rsidR="000729CF" w:rsidRPr="000729CF" w14:paraId="1AAD2C62" w14:textId="77777777" w:rsidTr="00BC26AB">
        <w:tc>
          <w:tcPr>
            <w:tcW w:w="4175" w:type="pct"/>
            <w:shd w:val="clear" w:color="auto" w:fill="auto"/>
          </w:tcPr>
          <w:p w14:paraId="64406E98" w14:textId="77777777" w:rsidR="000729CF" w:rsidRPr="000729CF" w:rsidRDefault="000729CF" w:rsidP="000729CF">
            <w:pPr>
              <w:spacing w:before="60" w:after="60"/>
              <w:rPr>
                <w:rFonts w:ascii="Arial" w:hAnsi="Arial" w:cs="Arial"/>
                <w:iCs/>
                <w:color w:val="000000"/>
                <w:sz w:val="24"/>
                <w:szCs w:val="24"/>
                <w:lang w:val="en-GB"/>
              </w:rPr>
            </w:pPr>
            <w:r w:rsidRPr="000729CF">
              <w:rPr>
                <w:rFonts w:ascii="Arial" w:hAnsi="Arial" w:cs="Arial"/>
                <w:iCs/>
                <w:color w:val="000000"/>
                <w:sz w:val="24"/>
                <w:szCs w:val="24"/>
                <w:lang w:val="en-GB"/>
              </w:rPr>
              <w:t>Zebra 2 Zero Buses Emissions</w:t>
            </w:r>
          </w:p>
        </w:tc>
        <w:tc>
          <w:tcPr>
            <w:tcW w:w="825" w:type="pct"/>
            <w:shd w:val="clear" w:color="auto" w:fill="auto"/>
          </w:tcPr>
          <w:p w14:paraId="16DF96E9" w14:textId="77777777" w:rsidR="000729CF" w:rsidRPr="000729CF" w:rsidRDefault="000729CF" w:rsidP="000729CF">
            <w:pPr>
              <w:spacing w:before="60" w:after="60"/>
              <w:jc w:val="right"/>
              <w:rPr>
                <w:rFonts w:ascii="Arial" w:hAnsi="Arial" w:cs="Arial"/>
                <w:iCs/>
                <w:sz w:val="24"/>
                <w:szCs w:val="24"/>
                <w:lang w:val="en-GB"/>
              </w:rPr>
            </w:pPr>
            <w:r w:rsidRPr="000729CF">
              <w:rPr>
                <w:rFonts w:ascii="Arial" w:hAnsi="Arial" w:cs="Arial"/>
                <w:iCs/>
                <w:sz w:val="24"/>
                <w:szCs w:val="24"/>
                <w:lang w:val="en-GB"/>
              </w:rPr>
              <w:t>1.650</w:t>
            </w:r>
          </w:p>
        </w:tc>
      </w:tr>
      <w:tr w:rsidR="000729CF" w:rsidRPr="000729CF" w14:paraId="06C3FC36" w14:textId="77777777" w:rsidTr="00BC26AB">
        <w:tc>
          <w:tcPr>
            <w:tcW w:w="4175" w:type="pct"/>
            <w:shd w:val="clear" w:color="auto" w:fill="auto"/>
          </w:tcPr>
          <w:p w14:paraId="008C66E0" w14:textId="77777777" w:rsidR="000729CF" w:rsidRPr="000729CF" w:rsidRDefault="000729CF" w:rsidP="000729CF">
            <w:pPr>
              <w:spacing w:before="60" w:after="60"/>
              <w:rPr>
                <w:rFonts w:ascii="Arial" w:hAnsi="Arial" w:cs="Arial"/>
                <w:iCs/>
                <w:color w:val="000000"/>
                <w:sz w:val="24"/>
                <w:szCs w:val="24"/>
                <w:lang w:val="en-GB"/>
              </w:rPr>
            </w:pPr>
            <w:r w:rsidRPr="000729CF">
              <w:rPr>
                <w:rFonts w:ascii="Arial" w:hAnsi="Arial" w:cs="Arial"/>
                <w:iCs/>
                <w:color w:val="000000"/>
                <w:sz w:val="24"/>
                <w:szCs w:val="24"/>
                <w:lang w:val="en-GB"/>
              </w:rPr>
              <w:t>Road Safety Fund</w:t>
            </w:r>
          </w:p>
        </w:tc>
        <w:tc>
          <w:tcPr>
            <w:tcW w:w="825" w:type="pct"/>
            <w:shd w:val="clear" w:color="auto" w:fill="auto"/>
          </w:tcPr>
          <w:p w14:paraId="2553467D" w14:textId="77777777" w:rsidR="000729CF" w:rsidRPr="000729CF" w:rsidRDefault="000729CF" w:rsidP="000729CF">
            <w:pPr>
              <w:spacing w:before="60" w:after="60"/>
              <w:jc w:val="right"/>
              <w:rPr>
                <w:rFonts w:ascii="Arial" w:hAnsi="Arial" w:cs="Arial"/>
                <w:iCs/>
                <w:sz w:val="24"/>
                <w:szCs w:val="24"/>
                <w:lang w:val="en-GB"/>
              </w:rPr>
            </w:pPr>
            <w:r w:rsidRPr="000729CF">
              <w:rPr>
                <w:rFonts w:ascii="Arial" w:hAnsi="Arial" w:cs="Arial"/>
                <w:iCs/>
                <w:sz w:val="24"/>
                <w:szCs w:val="24"/>
                <w:lang w:val="en-GB"/>
              </w:rPr>
              <w:t>0.300</w:t>
            </w:r>
          </w:p>
        </w:tc>
      </w:tr>
      <w:tr w:rsidR="000729CF" w:rsidRPr="000729CF" w14:paraId="317E5702" w14:textId="77777777" w:rsidTr="00BC26AB">
        <w:trPr>
          <w:trHeight w:val="262"/>
        </w:trPr>
        <w:tc>
          <w:tcPr>
            <w:tcW w:w="4175" w:type="pct"/>
          </w:tcPr>
          <w:p w14:paraId="27AF5795" w14:textId="77777777" w:rsidR="000729CF" w:rsidRPr="000729CF" w:rsidRDefault="000729CF" w:rsidP="000729CF">
            <w:pPr>
              <w:spacing w:before="60" w:after="60"/>
              <w:rPr>
                <w:rFonts w:ascii="Arial" w:hAnsi="Arial" w:cs="Arial"/>
                <w:iCs/>
                <w:sz w:val="24"/>
                <w:szCs w:val="24"/>
                <w:lang w:val="en-GB"/>
              </w:rPr>
            </w:pPr>
            <w:r w:rsidRPr="000729CF">
              <w:rPr>
                <w:rFonts w:ascii="Arial" w:hAnsi="Arial" w:cs="Arial"/>
                <w:iCs/>
                <w:sz w:val="24"/>
                <w:szCs w:val="24"/>
                <w:lang w:val="en-GB"/>
              </w:rPr>
              <w:t>Highways Maintenance – Network North</w:t>
            </w:r>
          </w:p>
        </w:tc>
        <w:tc>
          <w:tcPr>
            <w:tcW w:w="825" w:type="pct"/>
          </w:tcPr>
          <w:p w14:paraId="0CBFB48E" w14:textId="77777777" w:rsidR="000729CF" w:rsidRPr="000729CF" w:rsidRDefault="000729CF" w:rsidP="000729CF">
            <w:pPr>
              <w:spacing w:before="60" w:after="60"/>
              <w:jc w:val="right"/>
              <w:rPr>
                <w:rFonts w:ascii="Arial" w:hAnsi="Arial" w:cs="Arial"/>
                <w:iCs/>
                <w:sz w:val="24"/>
                <w:szCs w:val="24"/>
                <w:lang w:val="en-GB"/>
              </w:rPr>
            </w:pPr>
            <w:r w:rsidRPr="000729CF">
              <w:rPr>
                <w:rFonts w:ascii="Arial" w:hAnsi="Arial" w:cs="Arial"/>
                <w:iCs/>
                <w:sz w:val="24"/>
                <w:szCs w:val="24"/>
                <w:lang w:val="en-GB"/>
              </w:rPr>
              <w:t>0.413</w:t>
            </w:r>
          </w:p>
        </w:tc>
      </w:tr>
      <w:tr w:rsidR="000729CF" w:rsidRPr="000729CF" w14:paraId="7F8DE913" w14:textId="77777777" w:rsidTr="00BC26AB">
        <w:trPr>
          <w:trHeight w:val="262"/>
        </w:trPr>
        <w:tc>
          <w:tcPr>
            <w:tcW w:w="4175" w:type="pct"/>
          </w:tcPr>
          <w:p w14:paraId="56DCB863" w14:textId="77777777" w:rsidR="000729CF" w:rsidRPr="000729CF" w:rsidRDefault="000729CF" w:rsidP="000729CF">
            <w:pPr>
              <w:spacing w:before="60" w:after="60"/>
              <w:rPr>
                <w:rFonts w:ascii="Arial" w:hAnsi="Arial" w:cs="Arial"/>
                <w:iCs/>
                <w:sz w:val="24"/>
                <w:szCs w:val="24"/>
                <w:lang w:val="en-GB"/>
              </w:rPr>
            </w:pPr>
            <w:r w:rsidRPr="000729CF">
              <w:rPr>
                <w:rFonts w:ascii="Arial" w:hAnsi="Arial" w:cs="Arial"/>
                <w:iCs/>
                <w:sz w:val="24"/>
                <w:szCs w:val="24"/>
                <w:lang w:val="en-GB"/>
              </w:rPr>
              <w:t>Defra Weekly Food Waste Collections Grant</w:t>
            </w:r>
          </w:p>
        </w:tc>
        <w:tc>
          <w:tcPr>
            <w:tcW w:w="825" w:type="pct"/>
          </w:tcPr>
          <w:p w14:paraId="6C9A8930" w14:textId="77777777" w:rsidR="000729CF" w:rsidRPr="000729CF" w:rsidRDefault="000729CF" w:rsidP="000729CF">
            <w:pPr>
              <w:spacing w:before="60" w:after="60"/>
              <w:jc w:val="right"/>
              <w:rPr>
                <w:rFonts w:ascii="Arial" w:hAnsi="Arial" w:cs="Arial"/>
                <w:iCs/>
                <w:sz w:val="24"/>
                <w:szCs w:val="24"/>
                <w:lang w:val="en-GB"/>
              </w:rPr>
            </w:pPr>
            <w:r w:rsidRPr="000729CF">
              <w:rPr>
                <w:rFonts w:ascii="Arial" w:hAnsi="Arial" w:cs="Arial"/>
                <w:iCs/>
                <w:sz w:val="24"/>
                <w:szCs w:val="24"/>
                <w:lang w:val="en-GB"/>
              </w:rPr>
              <w:t>2.444</w:t>
            </w:r>
          </w:p>
        </w:tc>
      </w:tr>
      <w:tr w:rsidR="000729CF" w:rsidRPr="000729CF" w14:paraId="3D6A2BC2" w14:textId="77777777" w:rsidTr="00BC26AB">
        <w:trPr>
          <w:trHeight w:val="262"/>
        </w:trPr>
        <w:tc>
          <w:tcPr>
            <w:tcW w:w="4175" w:type="pct"/>
          </w:tcPr>
          <w:p w14:paraId="02337AD0" w14:textId="77777777" w:rsidR="000729CF" w:rsidRPr="000729CF" w:rsidRDefault="000729CF" w:rsidP="000729CF">
            <w:pPr>
              <w:spacing w:before="60" w:after="60"/>
              <w:rPr>
                <w:rFonts w:ascii="Arial" w:hAnsi="Arial" w:cs="Arial"/>
                <w:iCs/>
                <w:sz w:val="24"/>
                <w:szCs w:val="24"/>
                <w:lang w:val="en-GB"/>
              </w:rPr>
            </w:pPr>
            <w:r w:rsidRPr="000729CF">
              <w:rPr>
                <w:rFonts w:ascii="Arial" w:hAnsi="Arial" w:cs="Arial"/>
                <w:iCs/>
                <w:sz w:val="24"/>
                <w:szCs w:val="24"/>
                <w:lang w:val="en-GB"/>
              </w:rPr>
              <w:t>Land Release Funding Grant HRA</w:t>
            </w:r>
          </w:p>
        </w:tc>
        <w:tc>
          <w:tcPr>
            <w:tcW w:w="825" w:type="pct"/>
          </w:tcPr>
          <w:p w14:paraId="0BFB2940" w14:textId="77777777" w:rsidR="000729CF" w:rsidRPr="000729CF" w:rsidRDefault="000729CF" w:rsidP="000729CF">
            <w:pPr>
              <w:spacing w:before="60" w:after="60"/>
              <w:jc w:val="right"/>
              <w:rPr>
                <w:rFonts w:ascii="Arial" w:hAnsi="Arial" w:cs="Arial"/>
                <w:iCs/>
                <w:sz w:val="24"/>
                <w:szCs w:val="24"/>
                <w:lang w:val="en-GB"/>
              </w:rPr>
            </w:pPr>
            <w:r w:rsidRPr="000729CF">
              <w:rPr>
                <w:rFonts w:ascii="Arial" w:hAnsi="Arial" w:cs="Arial"/>
                <w:iCs/>
                <w:sz w:val="24"/>
                <w:szCs w:val="24"/>
                <w:lang w:val="en-GB"/>
              </w:rPr>
              <w:t>1.797</w:t>
            </w:r>
          </w:p>
        </w:tc>
      </w:tr>
      <w:tr w:rsidR="000729CF" w:rsidRPr="000729CF" w14:paraId="0EB1FABC" w14:textId="77777777" w:rsidTr="00BC26AB">
        <w:trPr>
          <w:trHeight w:val="262"/>
        </w:trPr>
        <w:tc>
          <w:tcPr>
            <w:tcW w:w="4175" w:type="pct"/>
          </w:tcPr>
          <w:p w14:paraId="2D1D8217" w14:textId="77777777" w:rsidR="000729CF" w:rsidRPr="000729CF" w:rsidRDefault="000729CF" w:rsidP="000729CF">
            <w:pPr>
              <w:spacing w:before="60" w:after="60"/>
              <w:rPr>
                <w:rFonts w:ascii="Arial" w:hAnsi="Arial" w:cs="Arial"/>
                <w:iCs/>
                <w:sz w:val="24"/>
                <w:szCs w:val="24"/>
                <w:lang w:val="en-GB"/>
              </w:rPr>
            </w:pPr>
            <w:r w:rsidRPr="000729CF">
              <w:rPr>
                <w:rFonts w:ascii="Arial" w:hAnsi="Arial" w:cs="Arial"/>
                <w:iCs/>
                <w:sz w:val="24"/>
                <w:szCs w:val="24"/>
                <w:lang w:val="en-GB"/>
              </w:rPr>
              <w:t>Royal Pavilion Phase 2 Gardens NLHF</w:t>
            </w:r>
          </w:p>
        </w:tc>
        <w:tc>
          <w:tcPr>
            <w:tcW w:w="825" w:type="pct"/>
          </w:tcPr>
          <w:p w14:paraId="601487FE" w14:textId="77777777" w:rsidR="000729CF" w:rsidRPr="000729CF" w:rsidRDefault="000729CF" w:rsidP="000729CF">
            <w:pPr>
              <w:spacing w:before="60" w:after="60"/>
              <w:jc w:val="right"/>
              <w:rPr>
                <w:rFonts w:ascii="Arial" w:hAnsi="Arial" w:cs="Arial"/>
                <w:iCs/>
                <w:sz w:val="24"/>
                <w:szCs w:val="24"/>
                <w:lang w:val="en-GB"/>
              </w:rPr>
            </w:pPr>
            <w:r w:rsidRPr="000729CF">
              <w:rPr>
                <w:rFonts w:ascii="Arial" w:hAnsi="Arial" w:cs="Arial"/>
                <w:iCs/>
                <w:sz w:val="24"/>
                <w:szCs w:val="24"/>
                <w:lang w:val="en-GB"/>
              </w:rPr>
              <w:t>3.080</w:t>
            </w:r>
          </w:p>
        </w:tc>
      </w:tr>
      <w:tr w:rsidR="000729CF" w:rsidRPr="000729CF" w14:paraId="01682C61" w14:textId="77777777" w:rsidTr="00BC26AB">
        <w:trPr>
          <w:trHeight w:val="262"/>
        </w:trPr>
        <w:tc>
          <w:tcPr>
            <w:tcW w:w="4175" w:type="pct"/>
          </w:tcPr>
          <w:p w14:paraId="5CECC182" w14:textId="77777777" w:rsidR="000729CF" w:rsidRPr="000729CF" w:rsidRDefault="000729CF" w:rsidP="000729CF">
            <w:pPr>
              <w:spacing w:before="60" w:after="60"/>
              <w:rPr>
                <w:rFonts w:ascii="Arial" w:hAnsi="Arial" w:cs="Arial"/>
                <w:iCs/>
                <w:sz w:val="24"/>
                <w:szCs w:val="24"/>
                <w:lang w:val="en-GB"/>
              </w:rPr>
            </w:pPr>
            <w:r w:rsidRPr="000729CF">
              <w:rPr>
                <w:rFonts w:ascii="Arial" w:hAnsi="Arial" w:cs="Arial"/>
                <w:iCs/>
                <w:sz w:val="24"/>
                <w:szCs w:val="24"/>
                <w:lang w:val="en-GB"/>
              </w:rPr>
              <w:t>Energy Grants for HRA</w:t>
            </w:r>
          </w:p>
        </w:tc>
        <w:tc>
          <w:tcPr>
            <w:tcW w:w="825" w:type="pct"/>
          </w:tcPr>
          <w:p w14:paraId="01C86F72" w14:textId="77777777" w:rsidR="000729CF" w:rsidRPr="000729CF" w:rsidRDefault="000729CF" w:rsidP="000729CF">
            <w:pPr>
              <w:spacing w:before="60" w:after="60"/>
              <w:jc w:val="right"/>
              <w:rPr>
                <w:rFonts w:ascii="Arial" w:hAnsi="Arial" w:cs="Arial"/>
                <w:iCs/>
                <w:sz w:val="24"/>
                <w:szCs w:val="24"/>
                <w:lang w:val="en-GB"/>
              </w:rPr>
            </w:pPr>
            <w:r w:rsidRPr="000729CF">
              <w:rPr>
                <w:rFonts w:ascii="Arial" w:hAnsi="Arial" w:cs="Arial"/>
                <w:iCs/>
                <w:sz w:val="24"/>
                <w:szCs w:val="24"/>
                <w:lang w:val="en-GB"/>
              </w:rPr>
              <w:t>0.180</w:t>
            </w:r>
          </w:p>
        </w:tc>
      </w:tr>
      <w:tr w:rsidR="000729CF" w:rsidRPr="000729CF" w14:paraId="38F31279" w14:textId="77777777" w:rsidTr="00BC26AB">
        <w:trPr>
          <w:trHeight w:val="262"/>
        </w:trPr>
        <w:tc>
          <w:tcPr>
            <w:tcW w:w="4175" w:type="pct"/>
          </w:tcPr>
          <w:p w14:paraId="147B2F0E" w14:textId="77777777" w:rsidR="000729CF" w:rsidRPr="000729CF" w:rsidRDefault="000729CF" w:rsidP="000729CF">
            <w:pPr>
              <w:spacing w:before="60" w:after="60"/>
              <w:rPr>
                <w:rFonts w:ascii="Arial" w:hAnsi="Arial" w:cs="Arial"/>
                <w:b/>
                <w:iCs/>
                <w:sz w:val="24"/>
                <w:szCs w:val="24"/>
                <w:lang w:val="en-GB"/>
              </w:rPr>
            </w:pPr>
            <w:r w:rsidRPr="000729CF">
              <w:rPr>
                <w:rFonts w:ascii="Arial" w:hAnsi="Arial" w:cs="Arial"/>
                <w:b/>
                <w:iCs/>
                <w:sz w:val="24"/>
                <w:szCs w:val="24"/>
                <w:lang w:val="en-GB"/>
              </w:rPr>
              <w:t>Total</w:t>
            </w:r>
          </w:p>
        </w:tc>
        <w:tc>
          <w:tcPr>
            <w:tcW w:w="825" w:type="pct"/>
          </w:tcPr>
          <w:p w14:paraId="54C8DDD5" w14:textId="77777777" w:rsidR="000729CF" w:rsidRPr="000729CF" w:rsidRDefault="000729CF" w:rsidP="000729CF">
            <w:pPr>
              <w:spacing w:before="60" w:after="60"/>
              <w:jc w:val="right"/>
              <w:rPr>
                <w:rFonts w:ascii="Arial" w:hAnsi="Arial" w:cs="Arial"/>
                <w:b/>
                <w:iCs/>
                <w:sz w:val="24"/>
                <w:szCs w:val="24"/>
                <w:lang w:val="en-GB"/>
              </w:rPr>
            </w:pPr>
            <w:r w:rsidRPr="000729CF">
              <w:rPr>
                <w:rFonts w:ascii="Arial" w:hAnsi="Arial" w:cs="Arial"/>
                <w:b/>
                <w:iCs/>
                <w:sz w:val="24"/>
                <w:szCs w:val="24"/>
                <w:lang w:val="en-GB"/>
              </w:rPr>
              <w:t>32.035</w:t>
            </w:r>
          </w:p>
        </w:tc>
      </w:tr>
    </w:tbl>
    <w:p w14:paraId="60186CB2" w14:textId="77777777" w:rsidR="000729CF" w:rsidRPr="000729CF" w:rsidRDefault="000729CF" w:rsidP="000729CF">
      <w:pPr>
        <w:spacing w:before="120" w:after="120"/>
        <w:outlineLvl w:val="4"/>
        <w:rPr>
          <w:rFonts w:ascii="Arial" w:hAnsi="Arial" w:cs="Arial"/>
          <w:bCs/>
          <w:i/>
          <w:iCs/>
          <w:sz w:val="24"/>
          <w:szCs w:val="24"/>
          <w:lang w:val="en-GB" w:eastAsia="en-GB"/>
        </w:rPr>
      </w:pPr>
      <w:r w:rsidRPr="000729CF">
        <w:rPr>
          <w:rFonts w:ascii="Arial" w:hAnsi="Arial" w:cs="Arial"/>
          <w:bCs/>
          <w:i/>
          <w:iCs/>
          <w:sz w:val="24"/>
          <w:szCs w:val="24"/>
          <w:lang w:val="en-GB" w:eastAsia="en-GB"/>
        </w:rPr>
        <w:t>* Funding to be confirmed by government</w:t>
      </w:r>
    </w:p>
    <w:p w14:paraId="240EC01B" w14:textId="77777777" w:rsidR="000729CF" w:rsidRPr="000729CF" w:rsidRDefault="000729CF" w:rsidP="000729CF">
      <w:pPr>
        <w:spacing w:before="240" w:after="60"/>
        <w:outlineLvl w:val="1"/>
        <w:rPr>
          <w:rFonts w:ascii="Arial" w:hAnsi="Arial" w:cs="Arial"/>
          <w:color w:val="000000"/>
          <w:sz w:val="24"/>
          <w:szCs w:val="24"/>
          <w:lang w:val="en-GB" w:eastAsia="en-GB"/>
        </w:rPr>
      </w:pPr>
      <w:r w:rsidRPr="000729CF">
        <w:rPr>
          <w:rFonts w:ascii="Arial" w:hAnsi="Arial" w:cs="Arial"/>
          <w:b/>
          <w:color w:val="000000"/>
          <w:sz w:val="24"/>
          <w:szCs w:val="24"/>
          <w:lang w:val="en-GB" w:eastAsia="en-GB"/>
        </w:rPr>
        <w:t>Capital Receipts</w:t>
      </w:r>
    </w:p>
    <w:p w14:paraId="64ECA4AC" w14:textId="77777777" w:rsidR="000729CF" w:rsidRPr="000729CF" w:rsidRDefault="000729CF" w:rsidP="000729CF">
      <w:pPr>
        <w:numPr>
          <w:ilvl w:val="1"/>
          <w:numId w:val="0"/>
        </w:numPr>
        <w:spacing w:before="240" w:after="60"/>
        <w:outlineLvl w:val="1"/>
        <w:rPr>
          <w:rFonts w:ascii="Arial" w:hAnsi="Arial" w:cs="Arial"/>
          <w:bCs/>
          <w:iCs/>
          <w:color w:val="000000"/>
          <w:sz w:val="24"/>
          <w:szCs w:val="24"/>
          <w:lang w:val="en-GB" w:eastAsia="en-GB"/>
        </w:rPr>
      </w:pPr>
      <w:r w:rsidRPr="000729CF">
        <w:rPr>
          <w:rFonts w:ascii="Arial" w:hAnsi="Arial" w:cs="Arial"/>
          <w:sz w:val="24"/>
          <w:szCs w:val="24"/>
          <w:lang w:val="en-GB" w:eastAsia="en-GB"/>
        </w:rPr>
        <w:t>The funding of the capital investment programme assumes estimated net capital receipts of £19.450m in 2024/25. This includes receipts associated with the transfer of sites to the HRA for the Moulsecoomb redevelopment, the disposal of Patcham Court Farm and Montague Place. There is also a lease re-gear at Moulsecoomb Way and potential HRA transfer of land at Portslade. There are a number of surplus properties identified for disposal as part of the Residential Property Strategy and the Commercial Investment Property Strategy approved at this committee 7 December 2023. These receipts are planned for investment in future years’ capital programmes. Progress will be closely monitored throughout the year for all receipts and reported through the regular TBM budget monitoring reports. Failure to achieve some of these receipts will require the capital allocations for future years to be reviewed.</w:t>
      </w:r>
    </w:p>
    <w:p w14:paraId="657644A8" w14:textId="77777777" w:rsidR="000729CF" w:rsidRPr="000729CF" w:rsidRDefault="000729CF" w:rsidP="000729CF">
      <w:pPr>
        <w:numPr>
          <w:ilvl w:val="1"/>
          <w:numId w:val="0"/>
        </w:numPr>
        <w:spacing w:before="240" w:after="60"/>
        <w:outlineLvl w:val="1"/>
        <w:rPr>
          <w:rFonts w:ascii="Arial" w:hAnsi="Arial" w:cs="Arial"/>
          <w:sz w:val="24"/>
          <w:szCs w:val="24"/>
          <w:lang w:val="en-GB" w:eastAsia="en-GB"/>
        </w:rPr>
      </w:pPr>
      <w:r w:rsidRPr="000729CF">
        <w:rPr>
          <w:rFonts w:ascii="Arial" w:hAnsi="Arial" w:cs="Arial"/>
          <w:sz w:val="24"/>
          <w:szCs w:val="24"/>
          <w:lang w:val="en-GB" w:eastAsia="en-GB"/>
        </w:rPr>
        <w:t>The net receipts from ‘right to buy’ sales are reinvested directly in delivering additional housing.</w:t>
      </w:r>
    </w:p>
    <w:p w14:paraId="0534C9A3" w14:textId="77777777" w:rsidR="000729CF" w:rsidRPr="000729CF" w:rsidRDefault="000729CF" w:rsidP="000729CF">
      <w:pPr>
        <w:keepNext/>
        <w:spacing w:before="240" w:after="60"/>
        <w:outlineLvl w:val="1"/>
        <w:rPr>
          <w:rFonts w:ascii="Arial" w:hAnsi="Arial" w:cs="Arial"/>
          <w:b/>
          <w:sz w:val="24"/>
          <w:szCs w:val="24"/>
          <w:lang w:val="en-GB" w:eastAsia="en-GB"/>
        </w:rPr>
      </w:pPr>
      <w:r w:rsidRPr="000729CF">
        <w:rPr>
          <w:rFonts w:ascii="Arial" w:hAnsi="Arial" w:cs="Arial"/>
          <w:b/>
          <w:sz w:val="24"/>
          <w:szCs w:val="24"/>
          <w:lang w:val="en-GB" w:eastAsia="en-GB"/>
        </w:rPr>
        <w:t xml:space="preserve">Capital Reserves  </w:t>
      </w:r>
    </w:p>
    <w:p w14:paraId="55281535" w14:textId="77777777" w:rsidR="000729CF" w:rsidRPr="000729CF" w:rsidRDefault="000729CF" w:rsidP="000729CF">
      <w:pPr>
        <w:numPr>
          <w:ilvl w:val="1"/>
          <w:numId w:val="0"/>
        </w:numPr>
        <w:spacing w:before="240" w:after="60"/>
        <w:outlineLvl w:val="1"/>
        <w:rPr>
          <w:rFonts w:ascii="Arial" w:hAnsi="Arial" w:cs="Arial"/>
          <w:sz w:val="24"/>
          <w:szCs w:val="24"/>
          <w:lang w:val="en-GB" w:eastAsia="en-GB"/>
        </w:rPr>
      </w:pPr>
      <w:r w:rsidRPr="000729CF">
        <w:rPr>
          <w:rFonts w:ascii="Arial" w:hAnsi="Arial" w:cs="Arial"/>
          <w:sz w:val="24"/>
          <w:szCs w:val="24"/>
          <w:lang w:val="en-GB" w:eastAsia="en-GB"/>
        </w:rPr>
        <w:t>The level of reserves relates purely to unspent resources carried forward from previous years which have already been earmarked for specific schemes. The council monitors these resources over a rolling period by continually updating projections and comparing these against the level of commitments within the approved Capital Investment Programme.</w:t>
      </w:r>
    </w:p>
    <w:p w14:paraId="7DC2656C" w14:textId="77777777" w:rsidR="000729CF" w:rsidRPr="000729CF" w:rsidRDefault="000729CF" w:rsidP="000729CF">
      <w:pPr>
        <w:spacing w:before="240" w:after="60"/>
        <w:outlineLvl w:val="1"/>
        <w:rPr>
          <w:rFonts w:ascii="Arial" w:hAnsi="Arial" w:cs="Arial"/>
          <w:b/>
          <w:sz w:val="24"/>
          <w:szCs w:val="24"/>
          <w:lang w:val="en-GB" w:eastAsia="en-GB"/>
        </w:rPr>
      </w:pPr>
      <w:r w:rsidRPr="000729CF">
        <w:rPr>
          <w:rFonts w:ascii="Arial" w:hAnsi="Arial" w:cs="Arial"/>
          <w:b/>
          <w:sz w:val="24"/>
          <w:szCs w:val="24"/>
          <w:lang w:val="en-GB" w:eastAsia="en-GB"/>
        </w:rPr>
        <w:t>Specific Reserves</w:t>
      </w:r>
    </w:p>
    <w:p w14:paraId="25B9D1E7" w14:textId="77777777" w:rsidR="000729CF" w:rsidRPr="000729CF" w:rsidRDefault="000729CF" w:rsidP="000729CF">
      <w:pPr>
        <w:numPr>
          <w:ilvl w:val="1"/>
          <w:numId w:val="0"/>
        </w:numPr>
        <w:spacing w:before="240" w:after="60"/>
        <w:outlineLvl w:val="1"/>
        <w:rPr>
          <w:rFonts w:ascii="Arial" w:hAnsi="Arial" w:cs="Arial"/>
          <w:sz w:val="24"/>
          <w:szCs w:val="24"/>
          <w:lang w:val="en-GB" w:eastAsia="en-GB"/>
        </w:rPr>
      </w:pPr>
      <w:r w:rsidRPr="000729CF">
        <w:rPr>
          <w:rFonts w:ascii="Arial" w:hAnsi="Arial" w:cs="Arial"/>
          <w:sz w:val="24"/>
          <w:szCs w:val="24"/>
          <w:lang w:val="en-GB" w:eastAsia="en-GB"/>
        </w:rPr>
        <w:t>Specific reserves will be used to support schemes directly related to the purpose of the reserve or to support corporate priorities. Specific reserves relate to the refurbishment and maintenance of properties managed by the Brighton and Hove Seaside Community Homes with the costs being met in accordance with the housing agreement. The Property service charge reserve will support investment into Phoenix House for the commercial portfolio. The Madeira Terrace crowdfunding reserve supports the Madeira Terraces development. A contribution from the Sports Facilities reserve will support maintenance works at Prince Regent. Finally, the Income Leaseholder and Earmarked Rent reserves will support delivery of the HRA Capital Investment programme.</w:t>
      </w:r>
    </w:p>
    <w:p w14:paraId="64B65386" w14:textId="77777777" w:rsidR="000729CF" w:rsidRPr="000729CF" w:rsidRDefault="000729CF" w:rsidP="000729CF">
      <w:pPr>
        <w:spacing w:before="240" w:after="60"/>
        <w:outlineLvl w:val="1"/>
        <w:rPr>
          <w:rFonts w:ascii="Arial" w:hAnsi="Arial" w:cs="Arial"/>
          <w:b/>
          <w:sz w:val="24"/>
          <w:szCs w:val="24"/>
          <w:lang w:val="en-GB" w:eastAsia="en-GB"/>
        </w:rPr>
      </w:pPr>
      <w:r w:rsidRPr="000729CF">
        <w:rPr>
          <w:rFonts w:ascii="Arial" w:hAnsi="Arial" w:cs="Arial"/>
          <w:b/>
          <w:sz w:val="24"/>
          <w:szCs w:val="24"/>
          <w:lang w:val="en-GB" w:eastAsia="en-GB"/>
        </w:rPr>
        <w:t>External Contributions</w:t>
      </w:r>
    </w:p>
    <w:p w14:paraId="41AF15E5" w14:textId="77777777" w:rsidR="000729CF" w:rsidRPr="000729CF" w:rsidRDefault="000729CF" w:rsidP="000729CF">
      <w:pPr>
        <w:numPr>
          <w:ilvl w:val="1"/>
          <w:numId w:val="0"/>
        </w:numPr>
        <w:spacing w:before="240" w:after="60"/>
        <w:outlineLvl w:val="1"/>
        <w:rPr>
          <w:rFonts w:ascii="Arial" w:hAnsi="Arial" w:cs="Arial"/>
          <w:sz w:val="24"/>
          <w:szCs w:val="24"/>
          <w:lang w:val="en-GB" w:eastAsia="en-GB"/>
        </w:rPr>
      </w:pPr>
      <w:r w:rsidRPr="000729CF">
        <w:rPr>
          <w:rFonts w:ascii="Arial" w:hAnsi="Arial" w:cs="Arial"/>
          <w:sz w:val="24"/>
          <w:szCs w:val="24"/>
          <w:lang w:val="en-GB" w:eastAsia="en-GB"/>
        </w:rPr>
        <w:t xml:space="preserve">The council will utilise external contributions totalling £6.992m in 2024/25 associated with donations, partner and private contributions including S106 contributions. Contributions are forecast for the Brighton Museum and Art Gallery Works of £1.332m from Arts Council England. Private donations will support the Royal Pavilion Estate Phases 1 and 2 development works.  </w:t>
      </w:r>
    </w:p>
    <w:p w14:paraId="74E7C057" w14:textId="77777777" w:rsidR="000729CF" w:rsidRPr="000729CF" w:rsidRDefault="000729CF" w:rsidP="000729CF">
      <w:pPr>
        <w:numPr>
          <w:ilvl w:val="1"/>
          <w:numId w:val="0"/>
        </w:numPr>
        <w:spacing w:before="240" w:after="60"/>
        <w:outlineLvl w:val="1"/>
        <w:rPr>
          <w:rFonts w:ascii="Arial" w:hAnsi="Arial" w:cs="Arial"/>
          <w:sz w:val="24"/>
          <w:szCs w:val="24"/>
          <w:lang w:val="en-GB" w:eastAsia="en-GB"/>
        </w:rPr>
      </w:pPr>
      <w:r w:rsidRPr="000729CF">
        <w:rPr>
          <w:rFonts w:ascii="Arial" w:hAnsi="Arial" w:cs="Arial"/>
          <w:sz w:val="24"/>
          <w:szCs w:val="24"/>
          <w:lang w:val="en-GB" w:eastAsia="en-GB"/>
        </w:rPr>
        <w:t>S106 contributions are forecast for the Kingsway to the Sea development, Stanmer pond restoration, the playground refurbishment programme. There are also commuted sums associated with the Home Purchase Policy for the HRA of £1.6m.</w:t>
      </w:r>
    </w:p>
    <w:p w14:paraId="79CAB4C0" w14:textId="77777777" w:rsidR="000729CF" w:rsidRPr="000729CF" w:rsidRDefault="000729CF" w:rsidP="000729CF">
      <w:pPr>
        <w:spacing w:before="240" w:after="60"/>
        <w:outlineLvl w:val="1"/>
        <w:rPr>
          <w:rFonts w:ascii="Arial" w:hAnsi="Arial" w:cs="Arial"/>
          <w:b/>
          <w:sz w:val="24"/>
          <w:szCs w:val="24"/>
          <w:lang w:val="en-GB" w:eastAsia="en-GB"/>
        </w:rPr>
      </w:pPr>
      <w:r w:rsidRPr="000729CF">
        <w:rPr>
          <w:rFonts w:ascii="Arial" w:hAnsi="Arial" w:cs="Arial"/>
          <w:b/>
          <w:sz w:val="24"/>
          <w:szCs w:val="24"/>
          <w:lang w:val="en-GB" w:eastAsia="en-GB"/>
        </w:rPr>
        <w:t>Direct Revenue Funding</w:t>
      </w:r>
    </w:p>
    <w:p w14:paraId="7085205C" w14:textId="77777777" w:rsidR="000729CF" w:rsidRPr="000729CF" w:rsidRDefault="000729CF" w:rsidP="000729CF">
      <w:pPr>
        <w:numPr>
          <w:ilvl w:val="1"/>
          <w:numId w:val="0"/>
        </w:numPr>
        <w:spacing w:before="240" w:after="240"/>
        <w:outlineLvl w:val="1"/>
        <w:rPr>
          <w:rFonts w:ascii="Arial" w:hAnsi="Arial" w:cs="Arial"/>
          <w:sz w:val="24"/>
          <w:szCs w:val="24"/>
          <w:lang w:val="en-GB" w:eastAsia="en-GB"/>
        </w:rPr>
      </w:pPr>
      <w:r w:rsidRPr="000729CF">
        <w:rPr>
          <w:rFonts w:ascii="Arial" w:hAnsi="Arial" w:cs="Arial"/>
          <w:sz w:val="24"/>
          <w:szCs w:val="24"/>
          <w:lang w:val="en-GB" w:eastAsia="en-GB"/>
        </w:rPr>
        <w:t>The General Fund and Housing Revenue Account budget proposals include direct revenue funding of £17.586m. A summary of the allocations by service is shown in the table below.</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78"/>
        <w:gridCol w:w="1750"/>
      </w:tblGrid>
      <w:tr w:rsidR="000729CF" w:rsidRPr="000729CF" w14:paraId="5DCADD2C" w14:textId="77777777" w:rsidTr="00BC26AB">
        <w:trPr>
          <w:tblHeader/>
        </w:trPr>
        <w:tc>
          <w:tcPr>
            <w:tcW w:w="4091" w:type="pct"/>
          </w:tcPr>
          <w:p w14:paraId="3E3757F1" w14:textId="77777777" w:rsidR="000729CF" w:rsidRPr="000729CF" w:rsidRDefault="000729CF" w:rsidP="000729CF">
            <w:pPr>
              <w:spacing w:before="60" w:after="60"/>
              <w:rPr>
                <w:rFonts w:ascii="Arial" w:hAnsi="Arial" w:cs="Arial"/>
                <w:b/>
                <w:iCs/>
                <w:sz w:val="24"/>
                <w:szCs w:val="24"/>
                <w:lang w:val="en-GB"/>
              </w:rPr>
            </w:pPr>
            <w:r w:rsidRPr="000729CF">
              <w:rPr>
                <w:rFonts w:ascii="Arial" w:hAnsi="Arial" w:cs="Arial"/>
                <w:b/>
                <w:iCs/>
                <w:sz w:val="24"/>
                <w:szCs w:val="24"/>
                <w:lang w:val="en-GB"/>
              </w:rPr>
              <w:t>TABLE 3: Direct Revenue Funding 2024/25</w:t>
            </w:r>
          </w:p>
        </w:tc>
        <w:tc>
          <w:tcPr>
            <w:tcW w:w="909" w:type="pct"/>
          </w:tcPr>
          <w:p w14:paraId="6C358F64" w14:textId="77777777" w:rsidR="000729CF" w:rsidRPr="000729CF" w:rsidRDefault="000729CF" w:rsidP="000729CF">
            <w:pPr>
              <w:spacing w:before="60" w:after="60"/>
              <w:jc w:val="center"/>
              <w:rPr>
                <w:rFonts w:ascii="Arial" w:hAnsi="Arial" w:cs="Arial"/>
                <w:b/>
                <w:iCs/>
                <w:sz w:val="24"/>
                <w:szCs w:val="24"/>
                <w:lang w:val="en-GB"/>
              </w:rPr>
            </w:pPr>
            <w:r w:rsidRPr="000729CF">
              <w:rPr>
                <w:rFonts w:ascii="Arial" w:hAnsi="Arial" w:cs="Arial"/>
                <w:b/>
                <w:iCs/>
                <w:sz w:val="24"/>
                <w:szCs w:val="24"/>
                <w:lang w:val="en-GB"/>
              </w:rPr>
              <w:t>£ million</w:t>
            </w:r>
          </w:p>
        </w:tc>
      </w:tr>
      <w:tr w:rsidR="000729CF" w:rsidRPr="000729CF" w14:paraId="37E23B5C" w14:textId="77777777" w:rsidTr="00BC26AB">
        <w:tc>
          <w:tcPr>
            <w:tcW w:w="4091" w:type="pct"/>
          </w:tcPr>
          <w:p w14:paraId="4A93C5EA" w14:textId="77777777" w:rsidR="000729CF" w:rsidRPr="000729CF" w:rsidRDefault="000729CF" w:rsidP="000729CF">
            <w:pPr>
              <w:spacing w:before="60" w:after="60"/>
              <w:rPr>
                <w:rFonts w:ascii="Arial" w:hAnsi="Arial" w:cs="Arial"/>
                <w:iCs/>
                <w:sz w:val="24"/>
                <w:szCs w:val="24"/>
                <w:lang w:val="en-GB"/>
              </w:rPr>
            </w:pPr>
            <w:r w:rsidRPr="000729CF">
              <w:rPr>
                <w:rFonts w:ascii="Arial" w:hAnsi="Arial" w:cs="Arial"/>
                <w:iCs/>
                <w:sz w:val="24"/>
                <w:szCs w:val="24"/>
                <w:lang w:val="en-GB"/>
              </w:rPr>
              <w:t>Schools Services – Structural maintenance for schools</w:t>
            </w:r>
          </w:p>
        </w:tc>
        <w:tc>
          <w:tcPr>
            <w:tcW w:w="909" w:type="pct"/>
          </w:tcPr>
          <w:p w14:paraId="221C6F30" w14:textId="77777777" w:rsidR="000729CF" w:rsidRPr="000729CF" w:rsidRDefault="000729CF" w:rsidP="000729CF">
            <w:pPr>
              <w:spacing w:before="60" w:after="60"/>
              <w:jc w:val="right"/>
              <w:rPr>
                <w:rFonts w:ascii="Arial" w:hAnsi="Arial" w:cs="Arial"/>
                <w:iCs/>
                <w:sz w:val="24"/>
                <w:szCs w:val="24"/>
                <w:lang w:val="en-GB"/>
              </w:rPr>
            </w:pPr>
            <w:r w:rsidRPr="000729CF">
              <w:rPr>
                <w:rFonts w:ascii="Arial" w:hAnsi="Arial" w:cs="Arial"/>
                <w:iCs/>
                <w:sz w:val="24"/>
                <w:szCs w:val="24"/>
                <w:lang w:val="en-GB"/>
              </w:rPr>
              <w:t>0.500</w:t>
            </w:r>
          </w:p>
        </w:tc>
      </w:tr>
      <w:tr w:rsidR="000729CF" w:rsidRPr="000729CF" w14:paraId="4EDB8C92" w14:textId="77777777" w:rsidTr="00BC26AB">
        <w:tc>
          <w:tcPr>
            <w:tcW w:w="4091" w:type="pct"/>
          </w:tcPr>
          <w:p w14:paraId="7D0C17BA" w14:textId="77777777" w:rsidR="000729CF" w:rsidRPr="000729CF" w:rsidRDefault="000729CF" w:rsidP="000729CF">
            <w:pPr>
              <w:spacing w:before="60" w:after="60"/>
              <w:rPr>
                <w:rFonts w:ascii="Arial" w:hAnsi="Arial" w:cs="Arial"/>
                <w:iCs/>
                <w:sz w:val="24"/>
                <w:szCs w:val="24"/>
                <w:lang w:val="en-GB"/>
              </w:rPr>
            </w:pPr>
            <w:r w:rsidRPr="000729CF">
              <w:rPr>
                <w:rFonts w:ascii="Arial" w:hAnsi="Arial" w:cs="Arial"/>
                <w:iCs/>
                <w:sz w:val="24"/>
                <w:szCs w:val="24"/>
                <w:lang w:val="en-GB"/>
              </w:rPr>
              <w:t>City Environment Management – Playground Refurbishment Programme</w:t>
            </w:r>
          </w:p>
        </w:tc>
        <w:tc>
          <w:tcPr>
            <w:tcW w:w="909" w:type="pct"/>
          </w:tcPr>
          <w:p w14:paraId="53F73C92" w14:textId="77777777" w:rsidR="000729CF" w:rsidRPr="000729CF" w:rsidRDefault="000729CF" w:rsidP="000729CF">
            <w:pPr>
              <w:spacing w:before="60" w:after="60"/>
              <w:jc w:val="right"/>
              <w:rPr>
                <w:rFonts w:ascii="Arial" w:hAnsi="Arial" w:cs="Arial"/>
                <w:iCs/>
                <w:sz w:val="24"/>
                <w:szCs w:val="24"/>
                <w:lang w:val="en-GB"/>
              </w:rPr>
            </w:pPr>
            <w:r w:rsidRPr="000729CF">
              <w:rPr>
                <w:rFonts w:ascii="Arial" w:hAnsi="Arial" w:cs="Arial"/>
                <w:iCs/>
                <w:sz w:val="24"/>
                <w:szCs w:val="24"/>
                <w:lang w:val="en-GB"/>
              </w:rPr>
              <w:t>0.354</w:t>
            </w:r>
          </w:p>
        </w:tc>
      </w:tr>
      <w:tr w:rsidR="000729CF" w:rsidRPr="000729CF" w14:paraId="13F17568" w14:textId="77777777" w:rsidTr="00BC26AB">
        <w:tc>
          <w:tcPr>
            <w:tcW w:w="4091" w:type="pct"/>
          </w:tcPr>
          <w:p w14:paraId="57ACAD95" w14:textId="77777777" w:rsidR="000729CF" w:rsidRPr="000729CF" w:rsidRDefault="000729CF" w:rsidP="000729CF">
            <w:pPr>
              <w:spacing w:before="60" w:after="60"/>
              <w:rPr>
                <w:rFonts w:ascii="Arial" w:hAnsi="Arial" w:cs="Arial"/>
                <w:iCs/>
                <w:sz w:val="24"/>
                <w:szCs w:val="24"/>
                <w:lang w:val="en-GB"/>
              </w:rPr>
            </w:pPr>
            <w:r w:rsidRPr="000729CF">
              <w:rPr>
                <w:rFonts w:ascii="Arial" w:hAnsi="Arial" w:cs="Arial"/>
                <w:iCs/>
                <w:sz w:val="24"/>
                <w:szCs w:val="24"/>
                <w:lang w:val="en-GB"/>
              </w:rPr>
              <w:t>Culture, Tourism and Sports – Prince Regent Mechanical Equipment Replacement</w:t>
            </w:r>
          </w:p>
        </w:tc>
        <w:tc>
          <w:tcPr>
            <w:tcW w:w="909" w:type="pct"/>
          </w:tcPr>
          <w:p w14:paraId="168C003A" w14:textId="77777777" w:rsidR="000729CF" w:rsidRPr="000729CF" w:rsidRDefault="000729CF" w:rsidP="000729CF">
            <w:pPr>
              <w:spacing w:before="60" w:after="60"/>
              <w:jc w:val="right"/>
              <w:rPr>
                <w:rFonts w:ascii="Arial" w:hAnsi="Arial" w:cs="Arial"/>
                <w:iCs/>
                <w:sz w:val="24"/>
                <w:szCs w:val="24"/>
                <w:lang w:val="en-GB"/>
              </w:rPr>
            </w:pPr>
            <w:r w:rsidRPr="000729CF">
              <w:rPr>
                <w:rFonts w:ascii="Arial" w:hAnsi="Arial" w:cs="Arial"/>
                <w:iCs/>
                <w:sz w:val="24"/>
                <w:szCs w:val="24"/>
                <w:lang w:val="en-GB"/>
              </w:rPr>
              <w:t>0.162</w:t>
            </w:r>
          </w:p>
        </w:tc>
      </w:tr>
      <w:tr w:rsidR="000729CF" w:rsidRPr="000729CF" w14:paraId="25E80FF5" w14:textId="77777777" w:rsidTr="00BC26AB">
        <w:tc>
          <w:tcPr>
            <w:tcW w:w="4091" w:type="pct"/>
          </w:tcPr>
          <w:p w14:paraId="3131E36F" w14:textId="77777777" w:rsidR="000729CF" w:rsidRPr="000729CF" w:rsidRDefault="000729CF" w:rsidP="000729CF">
            <w:pPr>
              <w:spacing w:before="60" w:after="60"/>
              <w:rPr>
                <w:rFonts w:ascii="Arial" w:hAnsi="Arial" w:cs="Arial"/>
                <w:iCs/>
                <w:sz w:val="24"/>
                <w:szCs w:val="24"/>
                <w:lang w:val="en-GB"/>
              </w:rPr>
            </w:pPr>
            <w:r w:rsidRPr="000729CF">
              <w:rPr>
                <w:rFonts w:ascii="Arial" w:hAnsi="Arial" w:cs="Arial"/>
                <w:iCs/>
                <w:sz w:val="24"/>
                <w:szCs w:val="24"/>
                <w:lang w:val="en-GB"/>
              </w:rPr>
              <w:t>Housing General Fund – IT Strategy System</w:t>
            </w:r>
          </w:p>
        </w:tc>
        <w:tc>
          <w:tcPr>
            <w:tcW w:w="909" w:type="pct"/>
          </w:tcPr>
          <w:p w14:paraId="61EEEC31" w14:textId="77777777" w:rsidR="000729CF" w:rsidRPr="000729CF" w:rsidRDefault="000729CF" w:rsidP="000729CF">
            <w:pPr>
              <w:spacing w:before="60" w:after="60"/>
              <w:jc w:val="right"/>
              <w:rPr>
                <w:rFonts w:ascii="Arial" w:hAnsi="Arial" w:cs="Arial"/>
                <w:iCs/>
                <w:sz w:val="24"/>
                <w:szCs w:val="24"/>
                <w:lang w:val="en-GB"/>
              </w:rPr>
            </w:pPr>
            <w:r w:rsidRPr="000729CF">
              <w:rPr>
                <w:rFonts w:ascii="Arial" w:hAnsi="Arial" w:cs="Arial"/>
                <w:iCs/>
                <w:sz w:val="24"/>
                <w:szCs w:val="24"/>
                <w:lang w:val="en-GB"/>
              </w:rPr>
              <w:t>0.054</w:t>
            </w:r>
          </w:p>
        </w:tc>
      </w:tr>
      <w:tr w:rsidR="000729CF" w:rsidRPr="000729CF" w14:paraId="3A107CAC" w14:textId="77777777" w:rsidTr="00BC26AB">
        <w:tc>
          <w:tcPr>
            <w:tcW w:w="4091" w:type="pct"/>
          </w:tcPr>
          <w:p w14:paraId="52B90305" w14:textId="77777777" w:rsidR="000729CF" w:rsidRPr="000729CF" w:rsidRDefault="000729CF" w:rsidP="000729CF">
            <w:pPr>
              <w:spacing w:before="60" w:after="60"/>
              <w:rPr>
                <w:rFonts w:ascii="Arial" w:hAnsi="Arial" w:cs="Arial"/>
                <w:b/>
                <w:iCs/>
                <w:sz w:val="24"/>
                <w:szCs w:val="24"/>
                <w:lang w:val="en-GB"/>
              </w:rPr>
            </w:pPr>
            <w:r w:rsidRPr="000729CF">
              <w:rPr>
                <w:rFonts w:ascii="Arial" w:hAnsi="Arial" w:cs="Arial"/>
                <w:b/>
                <w:iCs/>
                <w:sz w:val="24"/>
                <w:szCs w:val="24"/>
                <w:lang w:val="en-GB"/>
              </w:rPr>
              <w:t>Total General Fund Services</w:t>
            </w:r>
          </w:p>
        </w:tc>
        <w:tc>
          <w:tcPr>
            <w:tcW w:w="909" w:type="pct"/>
          </w:tcPr>
          <w:p w14:paraId="1EB5A891" w14:textId="77777777" w:rsidR="000729CF" w:rsidRPr="000729CF" w:rsidRDefault="000729CF" w:rsidP="000729CF">
            <w:pPr>
              <w:spacing w:before="60" w:after="60"/>
              <w:jc w:val="right"/>
              <w:rPr>
                <w:rFonts w:ascii="Arial" w:hAnsi="Arial" w:cs="Arial"/>
                <w:b/>
                <w:iCs/>
                <w:sz w:val="24"/>
                <w:szCs w:val="24"/>
                <w:lang w:val="en-GB"/>
              </w:rPr>
            </w:pPr>
            <w:r w:rsidRPr="000729CF">
              <w:rPr>
                <w:rFonts w:ascii="Arial" w:hAnsi="Arial" w:cs="Arial"/>
                <w:b/>
                <w:iCs/>
                <w:sz w:val="24"/>
                <w:szCs w:val="24"/>
                <w:lang w:val="en-GB"/>
              </w:rPr>
              <w:t>1.070</w:t>
            </w:r>
          </w:p>
        </w:tc>
      </w:tr>
      <w:tr w:rsidR="000729CF" w:rsidRPr="000729CF" w14:paraId="29E24401" w14:textId="77777777" w:rsidTr="00BC26AB">
        <w:tc>
          <w:tcPr>
            <w:tcW w:w="4091" w:type="pct"/>
          </w:tcPr>
          <w:p w14:paraId="258B9C97" w14:textId="77777777" w:rsidR="000729CF" w:rsidRPr="000729CF" w:rsidRDefault="000729CF" w:rsidP="000729CF">
            <w:pPr>
              <w:spacing w:before="60" w:after="60"/>
              <w:rPr>
                <w:rFonts w:ascii="Arial" w:hAnsi="Arial" w:cs="Arial"/>
                <w:iCs/>
                <w:sz w:val="24"/>
                <w:szCs w:val="24"/>
                <w:lang w:val="en-GB"/>
              </w:rPr>
            </w:pPr>
            <w:r w:rsidRPr="000729CF">
              <w:rPr>
                <w:rFonts w:ascii="Arial" w:hAnsi="Arial" w:cs="Arial"/>
                <w:iCs/>
                <w:sz w:val="24"/>
                <w:szCs w:val="24"/>
                <w:lang w:val="en-GB"/>
              </w:rPr>
              <w:t>Housing Revenue Account</w:t>
            </w:r>
          </w:p>
        </w:tc>
        <w:tc>
          <w:tcPr>
            <w:tcW w:w="909" w:type="pct"/>
          </w:tcPr>
          <w:p w14:paraId="780318FB" w14:textId="77777777" w:rsidR="000729CF" w:rsidRPr="000729CF" w:rsidRDefault="000729CF" w:rsidP="000729CF">
            <w:pPr>
              <w:spacing w:before="60" w:after="60"/>
              <w:jc w:val="right"/>
              <w:rPr>
                <w:rFonts w:ascii="Arial" w:hAnsi="Arial" w:cs="Arial"/>
                <w:iCs/>
                <w:sz w:val="24"/>
                <w:szCs w:val="24"/>
                <w:lang w:val="en-GB"/>
              </w:rPr>
            </w:pPr>
            <w:r w:rsidRPr="000729CF">
              <w:rPr>
                <w:rFonts w:ascii="Arial" w:hAnsi="Arial" w:cs="Arial"/>
                <w:iCs/>
                <w:sz w:val="24"/>
                <w:szCs w:val="24"/>
                <w:lang w:val="en-GB"/>
              </w:rPr>
              <w:t>16.516</w:t>
            </w:r>
          </w:p>
        </w:tc>
      </w:tr>
      <w:tr w:rsidR="000729CF" w:rsidRPr="000729CF" w14:paraId="7004F961" w14:textId="77777777" w:rsidTr="00BC26AB">
        <w:tc>
          <w:tcPr>
            <w:tcW w:w="4091" w:type="pct"/>
          </w:tcPr>
          <w:p w14:paraId="6857A6B7" w14:textId="77777777" w:rsidR="000729CF" w:rsidRPr="000729CF" w:rsidRDefault="000729CF" w:rsidP="000729CF">
            <w:pPr>
              <w:spacing w:before="60" w:after="60"/>
              <w:rPr>
                <w:rFonts w:ascii="Arial" w:hAnsi="Arial" w:cs="Arial"/>
                <w:b/>
                <w:iCs/>
                <w:sz w:val="24"/>
                <w:szCs w:val="24"/>
                <w:lang w:val="en-GB"/>
              </w:rPr>
            </w:pPr>
            <w:r w:rsidRPr="000729CF">
              <w:rPr>
                <w:rFonts w:ascii="Arial" w:hAnsi="Arial" w:cs="Arial"/>
                <w:b/>
                <w:iCs/>
                <w:sz w:val="24"/>
                <w:szCs w:val="24"/>
                <w:lang w:val="en-GB"/>
              </w:rPr>
              <w:t>Grand Total</w:t>
            </w:r>
          </w:p>
        </w:tc>
        <w:tc>
          <w:tcPr>
            <w:tcW w:w="909" w:type="pct"/>
          </w:tcPr>
          <w:p w14:paraId="05A397D8" w14:textId="77777777" w:rsidR="000729CF" w:rsidRPr="000729CF" w:rsidRDefault="000729CF" w:rsidP="000729CF">
            <w:pPr>
              <w:spacing w:before="60" w:after="60"/>
              <w:jc w:val="right"/>
              <w:rPr>
                <w:rFonts w:ascii="Arial" w:hAnsi="Arial" w:cs="Arial"/>
                <w:b/>
                <w:iCs/>
                <w:sz w:val="24"/>
                <w:szCs w:val="24"/>
                <w:lang w:val="en-GB"/>
              </w:rPr>
            </w:pPr>
            <w:r w:rsidRPr="000729CF">
              <w:rPr>
                <w:rFonts w:ascii="Arial" w:hAnsi="Arial" w:cs="Arial"/>
                <w:b/>
                <w:iCs/>
                <w:sz w:val="24"/>
                <w:szCs w:val="24"/>
                <w:lang w:val="en-GB"/>
              </w:rPr>
              <w:t>17.586</w:t>
            </w:r>
          </w:p>
        </w:tc>
      </w:tr>
    </w:tbl>
    <w:p w14:paraId="09DFFC1F" w14:textId="77777777" w:rsidR="000729CF" w:rsidRPr="000729CF" w:rsidRDefault="000729CF" w:rsidP="000729CF">
      <w:pPr>
        <w:spacing w:before="360" w:after="60"/>
        <w:outlineLvl w:val="1"/>
        <w:rPr>
          <w:rFonts w:ascii="Arial" w:hAnsi="Arial" w:cs="Arial"/>
          <w:b/>
          <w:sz w:val="24"/>
          <w:szCs w:val="24"/>
          <w:lang w:val="en-GB" w:eastAsia="en-GB"/>
        </w:rPr>
      </w:pPr>
      <w:r w:rsidRPr="000729CF">
        <w:rPr>
          <w:rFonts w:ascii="Arial" w:hAnsi="Arial" w:cs="Arial"/>
          <w:b/>
          <w:sz w:val="24"/>
          <w:szCs w:val="24"/>
          <w:lang w:val="en-GB" w:eastAsia="en-GB"/>
        </w:rPr>
        <w:t>Council Borrowing under the Prudential Code</w:t>
      </w:r>
    </w:p>
    <w:p w14:paraId="70D7EABB" w14:textId="77777777" w:rsidR="000729CF" w:rsidRPr="000729CF" w:rsidRDefault="000729CF" w:rsidP="000729CF">
      <w:pPr>
        <w:rPr>
          <w:rFonts w:ascii="Arial" w:hAnsi="Arial" w:cs="Arial"/>
          <w:iCs/>
          <w:color w:val="000000"/>
          <w:sz w:val="24"/>
          <w:szCs w:val="24"/>
          <w:lang w:val="en-GB"/>
        </w:rPr>
      </w:pPr>
      <w:r w:rsidRPr="000729CF">
        <w:rPr>
          <w:rFonts w:ascii="Arial" w:hAnsi="Arial" w:cs="Arial"/>
          <w:sz w:val="24"/>
          <w:szCs w:val="24"/>
          <w:lang w:val="en-GB" w:eastAsia="en-GB"/>
        </w:rPr>
        <w:t>Council borrowing under the Prudential Code can be undertaken only when it can be demonstrated that it is affordable, for example, where the investment leads to greater efficiency in future service provision and generates revenue savings or reductions in budgeted spend. For 2024/25 it is proposed that the council will undertake borrowing of £111.253m to finance capital expenditure plans as detailed in table 4.</w:t>
      </w:r>
    </w:p>
    <w:p w14:paraId="2654EDFD" w14:textId="77777777" w:rsidR="000729CF" w:rsidRPr="000729CF" w:rsidRDefault="000729CF" w:rsidP="000729CF">
      <w:pPr>
        <w:spacing w:before="60" w:after="60"/>
        <w:rPr>
          <w:rFonts w:ascii="Arial" w:hAnsi="Arial" w:cs="Arial"/>
          <w:sz w:val="24"/>
          <w:szCs w:val="24"/>
          <w:highlight w:val="yellow"/>
          <w:lang w:val="en-GB" w:eastAsia="en-GB"/>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03"/>
        <w:gridCol w:w="1825"/>
      </w:tblGrid>
      <w:tr w:rsidR="000729CF" w:rsidRPr="000729CF" w14:paraId="3A8E394D" w14:textId="77777777" w:rsidTr="00BC26AB">
        <w:tc>
          <w:tcPr>
            <w:tcW w:w="4052" w:type="pct"/>
          </w:tcPr>
          <w:p w14:paraId="233AC5AC" w14:textId="77777777" w:rsidR="000729CF" w:rsidRPr="000729CF" w:rsidRDefault="000729CF" w:rsidP="000729CF">
            <w:pPr>
              <w:spacing w:before="60" w:after="60"/>
              <w:rPr>
                <w:rFonts w:ascii="Arial" w:hAnsi="Arial" w:cs="Arial"/>
                <w:b/>
                <w:sz w:val="24"/>
                <w:szCs w:val="24"/>
                <w:lang w:val="en-GB" w:eastAsia="en-GB"/>
              </w:rPr>
            </w:pPr>
            <w:r w:rsidRPr="000729CF">
              <w:rPr>
                <w:rFonts w:ascii="Arial" w:hAnsi="Arial" w:cs="Arial"/>
                <w:b/>
                <w:sz w:val="24"/>
                <w:szCs w:val="24"/>
                <w:lang w:val="en-GB" w:eastAsia="en-GB"/>
              </w:rPr>
              <w:t>TABLE 4: Council Borrowing in 2024/25</w:t>
            </w:r>
          </w:p>
        </w:tc>
        <w:tc>
          <w:tcPr>
            <w:tcW w:w="948" w:type="pct"/>
          </w:tcPr>
          <w:p w14:paraId="20BE2B42" w14:textId="77777777" w:rsidR="000729CF" w:rsidRPr="000729CF" w:rsidRDefault="000729CF" w:rsidP="000729CF">
            <w:pPr>
              <w:spacing w:before="60" w:after="60"/>
              <w:jc w:val="center"/>
              <w:rPr>
                <w:rFonts w:ascii="Arial" w:hAnsi="Arial" w:cs="Arial"/>
                <w:b/>
                <w:sz w:val="24"/>
                <w:szCs w:val="24"/>
                <w:lang w:val="en-GB" w:eastAsia="en-GB"/>
              </w:rPr>
            </w:pPr>
            <w:r w:rsidRPr="000729CF">
              <w:rPr>
                <w:rFonts w:ascii="Arial" w:hAnsi="Arial" w:cs="Arial"/>
                <w:b/>
                <w:sz w:val="24"/>
                <w:szCs w:val="24"/>
                <w:lang w:val="en-GB" w:eastAsia="en-GB"/>
              </w:rPr>
              <w:t>£ million</w:t>
            </w:r>
          </w:p>
        </w:tc>
      </w:tr>
      <w:tr w:rsidR="000729CF" w:rsidRPr="000729CF" w14:paraId="646ED3A5" w14:textId="77777777" w:rsidTr="00BC26AB">
        <w:tc>
          <w:tcPr>
            <w:tcW w:w="4052" w:type="pct"/>
          </w:tcPr>
          <w:p w14:paraId="7D390CE5" w14:textId="77777777" w:rsidR="000729CF" w:rsidRPr="000729CF" w:rsidRDefault="000729CF" w:rsidP="000729CF">
            <w:pPr>
              <w:spacing w:before="60" w:after="60"/>
              <w:rPr>
                <w:rFonts w:ascii="Arial" w:hAnsi="Arial" w:cs="Arial"/>
                <w:b/>
                <w:bCs/>
                <w:i/>
                <w:iCs/>
                <w:noProof/>
                <w:color w:val="000000"/>
                <w:sz w:val="24"/>
                <w:szCs w:val="24"/>
                <w:lang w:val="en-GB" w:eastAsia="en-GB"/>
              </w:rPr>
            </w:pPr>
            <w:r w:rsidRPr="000729CF">
              <w:rPr>
                <w:rFonts w:ascii="Arial" w:hAnsi="Arial" w:cs="Arial"/>
                <w:b/>
                <w:bCs/>
                <w:i/>
                <w:iCs/>
                <w:noProof/>
                <w:color w:val="000000"/>
                <w:sz w:val="24"/>
                <w:szCs w:val="24"/>
                <w:lang w:val="en-GB" w:eastAsia="en-GB"/>
              </w:rPr>
              <w:t>Housing, Neighbourhood &amp; Communities</w:t>
            </w:r>
          </w:p>
        </w:tc>
        <w:tc>
          <w:tcPr>
            <w:tcW w:w="948" w:type="pct"/>
          </w:tcPr>
          <w:p w14:paraId="10B0A9CD" w14:textId="77777777" w:rsidR="000729CF" w:rsidRPr="000729CF" w:rsidRDefault="000729CF" w:rsidP="000729CF">
            <w:pPr>
              <w:spacing w:before="60" w:after="60"/>
              <w:jc w:val="right"/>
              <w:rPr>
                <w:rFonts w:ascii="Arial" w:hAnsi="Arial" w:cs="Arial"/>
                <w:sz w:val="24"/>
                <w:szCs w:val="24"/>
                <w:lang w:val="en-GB" w:eastAsia="en-GB"/>
              </w:rPr>
            </w:pPr>
          </w:p>
        </w:tc>
      </w:tr>
      <w:tr w:rsidR="000729CF" w:rsidRPr="000729CF" w14:paraId="72996FA5" w14:textId="77777777" w:rsidTr="00BC26AB">
        <w:tc>
          <w:tcPr>
            <w:tcW w:w="4052" w:type="pct"/>
          </w:tcPr>
          <w:p w14:paraId="0ABA474C" w14:textId="77777777" w:rsidR="000729CF" w:rsidRPr="000729CF" w:rsidRDefault="000729CF" w:rsidP="000729CF">
            <w:pPr>
              <w:spacing w:before="60" w:after="60"/>
              <w:rPr>
                <w:rFonts w:ascii="Arial" w:hAnsi="Arial" w:cs="Arial"/>
                <w:noProof/>
                <w:color w:val="000000"/>
                <w:sz w:val="24"/>
                <w:szCs w:val="24"/>
                <w:lang w:val="en-GB" w:eastAsia="en-GB"/>
              </w:rPr>
            </w:pPr>
            <w:r w:rsidRPr="000729CF">
              <w:rPr>
                <w:rFonts w:ascii="Arial" w:hAnsi="Arial" w:cs="Arial"/>
                <w:noProof/>
                <w:color w:val="000000"/>
                <w:sz w:val="24"/>
                <w:szCs w:val="24"/>
                <w:lang w:val="en-GB" w:eastAsia="en-GB"/>
              </w:rPr>
              <w:t xml:space="preserve">Housing Revenue Account – 2024/25 </w:t>
            </w:r>
          </w:p>
        </w:tc>
        <w:tc>
          <w:tcPr>
            <w:tcW w:w="948" w:type="pct"/>
          </w:tcPr>
          <w:p w14:paraId="274DE6BC" w14:textId="77777777" w:rsidR="000729CF" w:rsidRPr="000729CF" w:rsidRDefault="000729CF" w:rsidP="000729CF">
            <w:pPr>
              <w:spacing w:before="60" w:after="60"/>
              <w:jc w:val="right"/>
              <w:rPr>
                <w:rFonts w:ascii="Arial" w:hAnsi="Arial" w:cs="Arial"/>
                <w:sz w:val="24"/>
                <w:szCs w:val="24"/>
                <w:lang w:val="en-GB" w:eastAsia="en-GB"/>
              </w:rPr>
            </w:pPr>
            <w:r w:rsidRPr="000729CF">
              <w:rPr>
                <w:rFonts w:ascii="Arial" w:hAnsi="Arial" w:cs="Arial"/>
                <w:sz w:val="24"/>
                <w:szCs w:val="24"/>
                <w:lang w:val="en-GB" w:eastAsia="en-GB"/>
              </w:rPr>
              <w:t>62.002</w:t>
            </w:r>
          </w:p>
        </w:tc>
      </w:tr>
      <w:tr w:rsidR="000729CF" w:rsidRPr="000729CF" w14:paraId="0597C569" w14:textId="77777777" w:rsidTr="00BC26AB">
        <w:tc>
          <w:tcPr>
            <w:tcW w:w="4052" w:type="pct"/>
          </w:tcPr>
          <w:p w14:paraId="035CF35F" w14:textId="77777777" w:rsidR="000729CF" w:rsidRPr="000729CF" w:rsidRDefault="000729CF" w:rsidP="000729CF">
            <w:pPr>
              <w:spacing w:before="60" w:after="60"/>
              <w:rPr>
                <w:rFonts w:ascii="Arial" w:hAnsi="Arial" w:cs="Arial"/>
                <w:noProof/>
                <w:sz w:val="24"/>
                <w:szCs w:val="24"/>
                <w:lang w:val="en-GB" w:eastAsia="en-GB"/>
              </w:rPr>
            </w:pPr>
            <w:r w:rsidRPr="000729CF">
              <w:rPr>
                <w:rFonts w:ascii="Arial" w:hAnsi="Arial" w:cs="Arial"/>
                <w:noProof/>
                <w:sz w:val="24"/>
                <w:szCs w:val="24"/>
                <w:lang w:val="en-GB" w:eastAsia="en-GB"/>
              </w:rPr>
              <w:t>Safe Homes Grant</w:t>
            </w:r>
          </w:p>
        </w:tc>
        <w:tc>
          <w:tcPr>
            <w:tcW w:w="948" w:type="pct"/>
          </w:tcPr>
          <w:p w14:paraId="1FF142AE" w14:textId="77777777" w:rsidR="000729CF" w:rsidRPr="000729CF" w:rsidRDefault="000729CF" w:rsidP="000729CF">
            <w:pPr>
              <w:spacing w:before="60" w:after="60"/>
              <w:jc w:val="right"/>
              <w:rPr>
                <w:rFonts w:ascii="Arial" w:hAnsi="Arial" w:cs="Arial"/>
                <w:sz w:val="24"/>
                <w:szCs w:val="24"/>
                <w:lang w:val="en-GB" w:eastAsia="en-GB"/>
              </w:rPr>
            </w:pPr>
            <w:r w:rsidRPr="000729CF">
              <w:rPr>
                <w:rFonts w:ascii="Arial" w:hAnsi="Arial" w:cs="Arial"/>
                <w:sz w:val="24"/>
                <w:szCs w:val="24"/>
                <w:lang w:val="en-GB" w:eastAsia="en-GB"/>
              </w:rPr>
              <w:t>0.331</w:t>
            </w:r>
          </w:p>
        </w:tc>
      </w:tr>
      <w:tr w:rsidR="000729CF" w:rsidRPr="000729CF" w14:paraId="61853BCF" w14:textId="77777777" w:rsidTr="00BC26AB">
        <w:tc>
          <w:tcPr>
            <w:tcW w:w="4052" w:type="pct"/>
          </w:tcPr>
          <w:p w14:paraId="2A7D0977" w14:textId="77777777" w:rsidR="000729CF" w:rsidRPr="000729CF" w:rsidRDefault="000729CF" w:rsidP="000729CF">
            <w:pPr>
              <w:spacing w:before="60" w:after="60"/>
              <w:rPr>
                <w:rFonts w:ascii="Arial" w:hAnsi="Arial" w:cs="Arial"/>
                <w:b/>
                <w:bCs/>
                <w:i/>
                <w:iCs/>
                <w:noProof/>
                <w:sz w:val="24"/>
                <w:szCs w:val="24"/>
                <w:lang w:val="en-GB" w:eastAsia="en-GB"/>
              </w:rPr>
            </w:pPr>
            <w:r w:rsidRPr="000729CF">
              <w:rPr>
                <w:rFonts w:ascii="Arial" w:hAnsi="Arial" w:cs="Arial"/>
                <w:b/>
                <w:bCs/>
                <w:i/>
                <w:iCs/>
                <w:noProof/>
                <w:sz w:val="24"/>
                <w:szCs w:val="24"/>
                <w:lang w:val="en-GB" w:eastAsia="en-GB"/>
              </w:rPr>
              <w:t>Health &amp; Adult Social Care</w:t>
            </w:r>
          </w:p>
        </w:tc>
        <w:tc>
          <w:tcPr>
            <w:tcW w:w="948" w:type="pct"/>
          </w:tcPr>
          <w:p w14:paraId="19E0D62D" w14:textId="77777777" w:rsidR="000729CF" w:rsidRPr="000729CF" w:rsidRDefault="000729CF" w:rsidP="000729CF">
            <w:pPr>
              <w:spacing w:before="60" w:after="60"/>
              <w:jc w:val="right"/>
              <w:rPr>
                <w:rFonts w:ascii="Arial" w:hAnsi="Arial" w:cs="Arial"/>
                <w:sz w:val="24"/>
                <w:szCs w:val="24"/>
                <w:lang w:val="en-GB" w:eastAsia="en-GB"/>
              </w:rPr>
            </w:pPr>
          </w:p>
        </w:tc>
      </w:tr>
      <w:tr w:rsidR="000729CF" w:rsidRPr="000729CF" w14:paraId="29BF232A" w14:textId="77777777" w:rsidTr="00BC26AB">
        <w:tc>
          <w:tcPr>
            <w:tcW w:w="4052" w:type="pct"/>
          </w:tcPr>
          <w:p w14:paraId="4F546EA2" w14:textId="77777777" w:rsidR="000729CF" w:rsidRPr="000729CF" w:rsidRDefault="000729CF" w:rsidP="000729CF">
            <w:pPr>
              <w:spacing w:before="60" w:after="60"/>
              <w:rPr>
                <w:rFonts w:ascii="Arial" w:hAnsi="Arial" w:cs="Arial"/>
                <w:noProof/>
                <w:sz w:val="24"/>
                <w:szCs w:val="24"/>
                <w:lang w:val="en-GB" w:eastAsia="en-GB"/>
              </w:rPr>
            </w:pPr>
            <w:r w:rsidRPr="000729CF">
              <w:rPr>
                <w:rFonts w:ascii="Arial" w:hAnsi="Arial" w:cs="Arial"/>
                <w:noProof/>
                <w:sz w:val="24"/>
                <w:szCs w:val="24"/>
                <w:lang w:val="en-GB" w:eastAsia="en-GB"/>
              </w:rPr>
              <w:t>Knoll House Resource Centre Supported Housing</w:t>
            </w:r>
          </w:p>
        </w:tc>
        <w:tc>
          <w:tcPr>
            <w:tcW w:w="948" w:type="pct"/>
          </w:tcPr>
          <w:p w14:paraId="75250F0C" w14:textId="77777777" w:rsidR="000729CF" w:rsidRPr="000729CF" w:rsidRDefault="000729CF" w:rsidP="000729CF">
            <w:pPr>
              <w:spacing w:before="60" w:after="60"/>
              <w:jc w:val="right"/>
              <w:rPr>
                <w:rFonts w:ascii="Arial" w:hAnsi="Arial" w:cs="Arial"/>
                <w:sz w:val="24"/>
                <w:szCs w:val="24"/>
                <w:lang w:val="en-GB" w:eastAsia="en-GB"/>
              </w:rPr>
            </w:pPr>
            <w:r w:rsidRPr="000729CF">
              <w:rPr>
                <w:rFonts w:ascii="Arial" w:hAnsi="Arial" w:cs="Arial"/>
                <w:sz w:val="24"/>
                <w:szCs w:val="24"/>
                <w:lang w:val="en-GB" w:eastAsia="en-GB"/>
              </w:rPr>
              <w:t>4.877</w:t>
            </w:r>
          </w:p>
        </w:tc>
      </w:tr>
      <w:tr w:rsidR="000729CF" w:rsidRPr="000729CF" w14:paraId="52473C90" w14:textId="77777777" w:rsidTr="00BC26AB">
        <w:tc>
          <w:tcPr>
            <w:tcW w:w="4052" w:type="pct"/>
          </w:tcPr>
          <w:p w14:paraId="24B4DA00" w14:textId="77777777" w:rsidR="000729CF" w:rsidRPr="000729CF" w:rsidRDefault="000729CF" w:rsidP="000729CF">
            <w:pPr>
              <w:spacing w:before="60" w:after="60"/>
              <w:rPr>
                <w:rFonts w:ascii="Arial" w:hAnsi="Arial" w:cs="Arial"/>
                <w:b/>
                <w:bCs/>
                <w:i/>
                <w:iCs/>
                <w:noProof/>
                <w:sz w:val="24"/>
                <w:szCs w:val="24"/>
                <w:lang w:val="en-GB" w:eastAsia="en-GB"/>
              </w:rPr>
            </w:pPr>
            <w:r w:rsidRPr="000729CF">
              <w:rPr>
                <w:rFonts w:ascii="Arial" w:hAnsi="Arial" w:cs="Arial"/>
                <w:b/>
                <w:bCs/>
                <w:i/>
                <w:iCs/>
                <w:noProof/>
                <w:sz w:val="24"/>
                <w:szCs w:val="24"/>
                <w:lang w:val="en-GB" w:eastAsia="en-GB"/>
              </w:rPr>
              <w:t>Families, Children &amp; Learning</w:t>
            </w:r>
          </w:p>
        </w:tc>
        <w:tc>
          <w:tcPr>
            <w:tcW w:w="948" w:type="pct"/>
          </w:tcPr>
          <w:p w14:paraId="491C0060" w14:textId="77777777" w:rsidR="000729CF" w:rsidRPr="000729CF" w:rsidRDefault="000729CF" w:rsidP="000729CF">
            <w:pPr>
              <w:spacing w:before="60" w:after="60"/>
              <w:jc w:val="right"/>
              <w:rPr>
                <w:rFonts w:ascii="Arial" w:hAnsi="Arial" w:cs="Arial"/>
                <w:sz w:val="24"/>
                <w:szCs w:val="24"/>
                <w:lang w:val="en-GB" w:eastAsia="en-GB"/>
              </w:rPr>
            </w:pPr>
          </w:p>
        </w:tc>
      </w:tr>
      <w:tr w:rsidR="000729CF" w:rsidRPr="000729CF" w14:paraId="313CC2C5" w14:textId="77777777" w:rsidTr="00BC26AB">
        <w:tc>
          <w:tcPr>
            <w:tcW w:w="4052" w:type="pct"/>
          </w:tcPr>
          <w:p w14:paraId="11EB4A6A" w14:textId="77777777" w:rsidR="000729CF" w:rsidRPr="000729CF" w:rsidRDefault="000729CF" w:rsidP="000729CF">
            <w:pPr>
              <w:spacing w:before="60" w:after="60"/>
              <w:rPr>
                <w:rFonts w:ascii="Arial" w:hAnsi="Arial" w:cs="Arial"/>
                <w:noProof/>
                <w:sz w:val="24"/>
                <w:szCs w:val="24"/>
                <w:lang w:val="en-GB" w:eastAsia="en-GB"/>
              </w:rPr>
            </w:pPr>
            <w:r w:rsidRPr="000729CF">
              <w:rPr>
                <w:rFonts w:ascii="Arial" w:hAnsi="Arial" w:cs="Arial"/>
                <w:noProof/>
                <w:sz w:val="24"/>
                <w:szCs w:val="24"/>
                <w:lang w:val="en-GB" w:eastAsia="en-GB"/>
              </w:rPr>
              <w:t>Cardinal Newman 4G Pitch &amp; Changing Rooms</w:t>
            </w:r>
          </w:p>
        </w:tc>
        <w:tc>
          <w:tcPr>
            <w:tcW w:w="948" w:type="pct"/>
          </w:tcPr>
          <w:p w14:paraId="0A927FC8" w14:textId="77777777" w:rsidR="000729CF" w:rsidRPr="000729CF" w:rsidRDefault="000729CF" w:rsidP="000729CF">
            <w:pPr>
              <w:spacing w:before="60" w:after="60"/>
              <w:jc w:val="right"/>
              <w:rPr>
                <w:rFonts w:ascii="Arial" w:hAnsi="Arial" w:cs="Arial"/>
                <w:sz w:val="24"/>
                <w:szCs w:val="24"/>
                <w:lang w:val="en-GB" w:eastAsia="en-GB"/>
              </w:rPr>
            </w:pPr>
            <w:r w:rsidRPr="000729CF">
              <w:rPr>
                <w:rFonts w:ascii="Arial" w:hAnsi="Arial" w:cs="Arial"/>
                <w:sz w:val="24"/>
                <w:szCs w:val="24"/>
                <w:lang w:val="en-GB" w:eastAsia="en-GB"/>
              </w:rPr>
              <w:t>0.500</w:t>
            </w:r>
          </w:p>
        </w:tc>
      </w:tr>
      <w:tr w:rsidR="000729CF" w:rsidRPr="000729CF" w14:paraId="7F0625CE" w14:textId="77777777" w:rsidTr="00BC26AB">
        <w:tc>
          <w:tcPr>
            <w:tcW w:w="4052" w:type="pct"/>
          </w:tcPr>
          <w:p w14:paraId="0308D25E" w14:textId="77777777" w:rsidR="000729CF" w:rsidRPr="000729CF" w:rsidRDefault="000729CF" w:rsidP="000729CF">
            <w:pPr>
              <w:spacing w:before="60" w:after="60"/>
              <w:rPr>
                <w:rFonts w:ascii="Arial" w:hAnsi="Arial" w:cs="Arial"/>
                <w:noProof/>
                <w:sz w:val="24"/>
                <w:szCs w:val="24"/>
                <w:lang w:val="en-GB" w:eastAsia="en-GB"/>
              </w:rPr>
            </w:pPr>
            <w:r w:rsidRPr="000729CF">
              <w:rPr>
                <w:rFonts w:ascii="Arial" w:hAnsi="Arial" w:cs="Arial"/>
                <w:noProof/>
                <w:sz w:val="24"/>
                <w:szCs w:val="24"/>
                <w:lang w:val="en-GB" w:eastAsia="en-GB"/>
              </w:rPr>
              <w:t>Brighton Youth Centre project</w:t>
            </w:r>
          </w:p>
        </w:tc>
        <w:tc>
          <w:tcPr>
            <w:tcW w:w="948" w:type="pct"/>
          </w:tcPr>
          <w:p w14:paraId="047B089D" w14:textId="77777777" w:rsidR="000729CF" w:rsidRPr="000729CF" w:rsidRDefault="000729CF" w:rsidP="000729CF">
            <w:pPr>
              <w:spacing w:before="60" w:after="60"/>
              <w:jc w:val="right"/>
              <w:rPr>
                <w:rFonts w:ascii="Arial" w:hAnsi="Arial" w:cs="Arial"/>
                <w:sz w:val="24"/>
                <w:szCs w:val="24"/>
                <w:lang w:val="en-GB" w:eastAsia="en-GB"/>
              </w:rPr>
            </w:pPr>
            <w:r w:rsidRPr="000729CF">
              <w:rPr>
                <w:rFonts w:ascii="Arial" w:hAnsi="Arial" w:cs="Arial"/>
                <w:sz w:val="24"/>
                <w:szCs w:val="24"/>
                <w:lang w:val="en-GB" w:eastAsia="en-GB"/>
              </w:rPr>
              <w:t>1.300</w:t>
            </w:r>
          </w:p>
        </w:tc>
      </w:tr>
      <w:tr w:rsidR="000729CF" w:rsidRPr="000729CF" w14:paraId="74030432" w14:textId="77777777" w:rsidTr="00BC26AB">
        <w:tc>
          <w:tcPr>
            <w:tcW w:w="4052" w:type="pct"/>
          </w:tcPr>
          <w:p w14:paraId="29E55E91" w14:textId="77777777" w:rsidR="000729CF" w:rsidRPr="000729CF" w:rsidRDefault="000729CF" w:rsidP="000729CF">
            <w:pPr>
              <w:spacing w:before="60" w:after="60"/>
              <w:rPr>
                <w:rFonts w:ascii="Arial" w:hAnsi="Arial" w:cs="Arial"/>
                <w:noProof/>
                <w:sz w:val="24"/>
                <w:szCs w:val="24"/>
                <w:lang w:val="en-GB" w:eastAsia="en-GB"/>
              </w:rPr>
            </w:pPr>
            <w:r w:rsidRPr="000729CF">
              <w:rPr>
                <w:rFonts w:ascii="Arial" w:hAnsi="Arial" w:cs="Arial"/>
                <w:noProof/>
                <w:sz w:val="24"/>
                <w:szCs w:val="24"/>
                <w:lang w:val="en-GB" w:eastAsia="en-GB"/>
              </w:rPr>
              <w:t>Impulse Education Management System</w:t>
            </w:r>
          </w:p>
        </w:tc>
        <w:tc>
          <w:tcPr>
            <w:tcW w:w="948" w:type="pct"/>
          </w:tcPr>
          <w:p w14:paraId="5F69AC47" w14:textId="77777777" w:rsidR="000729CF" w:rsidRPr="000729CF" w:rsidRDefault="000729CF" w:rsidP="000729CF">
            <w:pPr>
              <w:spacing w:before="60" w:after="60"/>
              <w:jc w:val="right"/>
              <w:rPr>
                <w:rFonts w:ascii="Arial" w:hAnsi="Arial" w:cs="Arial"/>
                <w:sz w:val="24"/>
                <w:szCs w:val="24"/>
                <w:lang w:val="en-GB" w:eastAsia="en-GB"/>
              </w:rPr>
            </w:pPr>
            <w:r w:rsidRPr="000729CF">
              <w:rPr>
                <w:rFonts w:ascii="Arial" w:hAnsi="Arial" w:cs="Arial"/>
                <w:sz w:val="24"/>
                <w:szCs w:val="24"/>
                <w:lang w:val="en-GB" w:eastAsia="en-GB"/>
              </w:rPr>
              <w:t>0.093</w:t>
            </w:r>
          </w:p>
        </w:tc>
      </w:tr>
      <w:tr w:rsidR="000729CF" w:rsidRPr="000729CF" w14:paraId="534F52E0" w14:textId="77777777" w:rsidTr="00BC26AB">
        <w:tc>
          <w:tcPr>
            <w:tcW w:w="4052" w:type="pct"/>
          </w:tcPr>
          <w:p w14:paraId="32C4DB4A" w14:textId="77777777" w:rsidR="000729CF" w:rsidRPr="000729CF" w:rsidRDefault="000729CF" w:rsidP="000729CF">
            <w:pPr>
              <w:spacing w:before="60" w:after="60"/>
              <w:rPr>
                <w:rFonts w:ascii="Arial" w:hAnsi="Arial" w:cs="Arial"/>
                <w:b/>
                <w:bCs/>
                <w:i/>
                <w:iCs/>
                <w:noProof/>
                <w:sz w:val="24"/>
                <w:szCs w:val="24"/>
                <w:lang w:val="en-GB" w:eastAsia="en-GB"/>
              </w:rPr>
            </w:pPr>
            <w:r w:rsidRPr="000729CF">
              <w:rPr>
                <w:rFonts w:ascii="Arial" w:hAnsi="Arial" w:cs="Arial"/>
                <w:b/>
                <w:bCs/>
                <w:i/>
                <w:iCs/>
                <w:noProof/>
                <w:sz w:val="24"/>
                <w:szCs w:val="24"/>
                <w:lang w:val="en-GB" w:eastAsia="en-GB"/>
              </w:rPr>
              <w:t>Economy, Environment &amp; Culture</w:t>
            </w:r>
          </w:p>
          <w:p w14:paraId="451D79BA" w14:textId="77777777" w:rsidR="000729CF" w:rsidRPr="000729CF" w:rsidRDefault="000729CF" w:rsidP="000729CF">
            <w:pPr>
              <w:spacing w:before="60" w:after="60"/>
              <w:rPr>
                <w:rFonts w:ascii="Arial" w:hAnsi="Arial" w:cs="Arial"/>
                <w:i/>
                <w:iCs/>
                <w:noProof/>
                <w:sz w:val="24"/>
                <w:szCs w:val="24"/>
                <w:u w:val="single"/>
                <w:lang w:val="en-GB" w:eastAsia="en-GB"/>
              </w:rPr>
            </w:pPr>
            <w:r w:rsidRPr="000729CF">
              <w:rPr>
                <w:rFonts w:ascii="Arial" w:hAnsi="Arial" w:cs="Arial"/>
                <w:i/>
                <w:iCs/>
                <w:noProof/>
                <w:sz w:val="24"/>
                <w:szCs w:val="24"/>
                <w:u w:val="single"/>
                <w:lang w:val="en-GB" w:eastAsia="en-GB"/>
              </w:rPr>
              <w:t>City Environment Management</w:t>
            </w:r>
          </w:p>
        </w:tc>
        <w:tc>
          <w:tcPr>
            <w:tcW w:w="948" w:type="pct"/>
          </w:tcPr>
          <w:p w14:paraId="16D3B83A" w14:textId="77777777" w:rsidR="000729CF" w:rsidRPr="000729CF" w:rsidRDefault="000729CF" w:rsidP="000729CF">
            <w:pPr>
              <w:spacing w:before="60" w:after="60"/>
              <w:jc w:val="right"/>
              <w:rPr>
                <w:rFonts w:ascii="Arial" w:hAnsi="Arial" w:cs="Arial"/>
                <w:sz w:val="24"/>
                <w:szCs w:val="24"/>
                <w:lang w:val="en-GB" w:eastAsia="en-GB"/>
              </w:rPr>
            </w:pPr>
          </w:p>
        </w:tc>
      </w:tr>
      <w:tr w:rsidR="000729CF" w:rsidRPr="000729CF" w14:paraId="2C4026C3" w14:textId="77777777" w:rsidTr="00BC26AB">
        <w:tc>
          <w:tcPr>
            <w:tcW w:w="4052" w:type="pct"/>
          </w:tcPr>
          <w:p w14:paraId="252B31FE" w14:textId="77777777" w:rsidR="000729CF" w:rsidRPr="000729CF" w:rsidRDefault="000729CF" w:rsidP="000729CF">
            <w:pPr>
              <w:spacing w:before="60" w:after="60"/>
              <w:rPr>
                <w:rFonts w:ascii="Arial" w:hAnsi="Arial" w:cs="Arial"/>
                <w:noProof/>
                <w:sz w:val="24"/>
                <w:szCs w:val="24"/>
                <w:lang w:val="en-GB" w:eastAsia="en-GB"/>
              </w:rPr>
            </w:pPr>
            <w:r w:rsidRPr="000729CF">
              <w:rPr>
                <w:rFonts w:ascii="Arial" w:hAnsi="Arial" w:cs="Arial"/>
                <w:noProof/>
                <w:sz w:val="24"/>
                <w:szCs w:val="24"/>
                <w:lang w:val="en-GB" w:eastAsia="en-GB"/>
              </w:rPr>
              <w:t xml:space="preserve">Replacement Programme Vehicles </w:t>
            </w:r>
          </w:p>
        </w:tc>
        <w:tc>
          <w:tcPr>
            <w:tcW w:w="948" w:type="pct"/>
          </w:tcPr>
          <w:p w14:paraId="0529B638" w14:textId="77777777" w:rsidR="000729CF" w:rsidRPr="000729CF" w:rsidRDefault="000729CF" w:rsidP="000729CF">
            <w:pPr>
              <w:spacing w:before="60" w:after="60"/>
              <w:jc w:val="right"/>
              <w:rPr>
                <w:rFonts w:ascii="Arial" w:hAnsi="Arial" w:cs="Arial"/>
                <w:sz w:val="24"/>
                <w:szCs w:val="24"/>
                <w:lang w:val="en-GB" w:eastAsia="en-GB"/>
              </w:rPr>
            </w:pPr>
            <w:r w:rsidRPr="000729CF">
              <w:rPr>
                <w:rFonts w:ascii="Arial" w:hAnsi="Arial" w:cs="Arial"/>
                <w:sz w:val="24"/>
                <w:szCs w:val="24"/>
                <w:lang w:val="en-GB" w:eastAsia="en-GB"/>
              </w:rPr>
              <w:t>2.500</w:t>
            </w:r>
          </w:p>
        </w:tc>
      </w:tr>
      <w:tr w:rsidR="000729CF" w:rsidRPr="000729CF" w14:paraId="7AA55FF1" w14:textId="77777777" w:rsidTr="00BC26AB">
        <w:tc>
          <w:tcPr>
            <w:tcW w:w="4052" w:type="pct"/>
          </w:tcPr>
          <w:p w14:paraId="341BC4F5" w14:textId="77777777" w:rsidR="000729CF" w:rsidRPr="000729CF" w:rsidRDefault="000729CF" w:rsidP="000729CF">
            <w:pPr>
              <w:spacing w:before="60" w:after="60"/>
              <w:rPr>
                <w:rFonts w:ascii="Arial" w:hAnsi="Arial" w:cs="Arial"/>
                <w:noProof/>
                <w:sz w:val="24"/>
                <w:szCs w:val="24"/>
                <w:lang w:val="en-GB" w:eastAsia="en-GB"/>
              </w:rPr>
            </w:pPr>
            <w:r w:rsidRPr="000729CF">
              <w:rPr>
                <w:rFonts w:ascii="Arial" w:hAnsi="Arial" w:cs="Arial"/>
                <w:noProof/>
                <w:sz w:val="24"/>
                <w:szCs w:val="24"/>
                <w:lang w:val="en-GB" w:eastAsia="en-GB"/>
              </w:rPr>
              <w:t>Pavilion and Mess Room Refurbishment Programme</w:t>
            </w:r>
          </w:p>
        </w:tc>
        <w:tc>
          <w:tcPr>
            <w:tcW w:w="948" w:type="pct"/>
          </w:tcPr>
          <w:p w14:paraId="285FB4BC" w14:textId="77777777" w:rsidR="000729CF" w:rsidRPr="000729CF" w:rsidRDefault="000729CF" w:rsidP="000729CF">
            <w:pPr>
              <w:spacing w:before="60" w:after="60"/>
              <w:jc w:val="right"/>
              <w:rPr>
                <w:rFonts w:ascii="Arial" w:hAnsi="Arial" w:cs="Arial"/>
                <w:sz w:val="24"/>
                <w:szCs w:val="24"/>
                <w:lang w:val="en-GB" w:eastAsia="en-GB"/>
              </w:rPr>
            </w:pPr>
            <w:r w:rsidRPr="000729CF">
              <w:rPr>
                <w:rFonts w:ascii="Arial" w:hAnsi="Arial" w:cs="Arial"/>
                <w:sz w:val="24"/>
                <w:szCs w:val="24"/>
                <w:lang w:val="en-GB" w:eastAsia="en-GB"/>
              </w:rPr>
              <w:t>1.400</w:t>
            </w:r>
          </w:p>
        </w:tc>
      </w:tr>
      <w:tr w:rsidR="000729CF" w:rsidRPr="000729CF" w14:paraId="54A7CA73" w14:textId="77777777" w:rsidTr="00BC26AB">
        <w:tc>
          <w:tcPr>
            <w:tcW w:w="4052" w:type="pct"/>
          </w:tcPr>
          <w:p w14:paraId="355EA3FA" w14:textId="77777777" w:rsidR="000729CF" w:rsidRPr="000729CF" w:rsidRDefault="000729CF" w:rsidP="000729CF">
            <w:pPr>
              <w:spacing w:before="60" w:after="60"/>
              <w:rPr>
                <w:rFonts w:ascii="Arial" w:hAnsi="Arial" w:cs="Arial"/>
                <w:noProof/>
                <w:sz w:val="24"/>
                <w:szCs w:val="24"/>
                <w:lang w:val="en-GB" w:eastAsia="en-GB"/>
              </w:rPr>
            </w:pPr>
            <w:r w:rsidRPr="000729CF">
              <w:rPr>
                <w:rFonts w:ascii="Arial" w:hAnsi="Arial" w:cs="Arial"/>
                <w:noProof/>
                <w:sz w:val="24"/>
                <w:szCs w:val="24"/>
                <w:lang w:val="en-GB" w:eastAsia="en-GB"/>
              </w:rPr>
              <w:t>Parks and Open Spaces Investment</w:t>
            </w:r>
          </w:p>
        </w:tc>
        <w:tc>
          <w:tcPr>
            <w:tcW w:w="948" w:type="pct"/>
          </w:tcPr>
          <w:p w14:paraId="0AC57861" w14:textId="77777777" w:rsidR="000729CF" w:rsidRPr="000729CF" w:rsidRDefault="000729CF" w:rsidP="000729CF">
            <w:pPr>
              <w:spacing w:before="60" w:after="60"/>
              <w:jc w:val="right"/>
              <w:rPr>
                <w:rFonts w:ascii="Arial" w:hAnsi="Arial" w:cs="Arial"/>
                <w:sz w:val="24"/>
                <w:szCs w:val="24"/>
                <w:lang w:val="en-GB" w:eastAsia="en-GB"/>
              </w:rPr>
            </w:pPr>
            <w:r w:rsidRPr="000729CF">
              <w:rPr>
                <w:rFonts w:ascii="Arial" w:hAnsi="Arial" w:cs="Arial"/>
                <w:sz w:val="24"/>
                <w:szCs w:val="24"/>
                <w:lang w:val="en-GB" w:eastAsia="en-GB"/>
              </w:rPr>
              <w:t>1.555</w:t>
            </w:r>
          </w:p>
        </w:tc>
      </w:tr>
      <w:tr w:rsidR="000729CF" w:rsidRPr="000729CF" w14:paraId="3EA16F65" w14:textId="77777777" w:rsidTr="00BC26AB">
        <w:tc>
          <w:tcPr>
            <w:tcW w:w="4052" w:type="pct"/>
          </w:tcPr>
          <w:p w14:paraId="440E73DF" w14:textId="77777777" w:rsidR="000729CF" w:rsidRPr="000729CF" w:rsidRDefault="000729CF" w:rsidP="000729CF">
            <w:pPr>
              <w:spacing w:before="60" w:after="60"/>
              <w:rPr>
                <w:rFonts w:ascii="Arial" w:hAnsi="Arial" w:cs="Arial"/>
                <w:noProof/>
                <w:sz w:val="24"/>
                <w:szCs w:val="24"/>
                <w:lang w:val="en-GB" w:eastAsia="en-GB"/>
              </w:rPr>
            </w:pPr>
            <w:r w:rsidRPr="000729CF">
              <w:rPr>
                <w:rFonts w:ascii="Arial" w:hAnsi="Arial" w:cs="Arial"/>
                <w:noProof/>
                <w:sz w:val="24"/>
                <w:szCs w:val="24"/>
                <w:lang w:val="en-GB" w:eastAsia="en-GB"/>
              </w:rPr>
              <w:t>Public Conveniences</w:t>
            </w:r>
          </w:p>
        </w:tc>
        <w:tc>
          <w:tcPr>
            <w:tcW w:w="948" w:type="pct"/>
          </w:tcPr>
          <w:p w14:paraId="79800089" w14:textId="77777777" w:rsidR="000729CF" w:rsidRPr="000729CF" w:rsidRDefault="000729CF" w:rsidP="000729CF">
            <w:pPr>
              <w:spacing w:before="60" w:after="60"/>
              <w:jc w:val="right"/>
              <w:rPr>
                <w:rFonts w:ascii="Arial" w:hAnsi="Arial" w:cs="Arial"/>
                <w:sz w:val="24"/>
                <w:szCs w:val="24"/>
                <w:lang w:val="en-GB" w:eastAsia="en-GB"/>
              </w:rPr>
            </w:pPr>
            <w:r w:rsidRPr="000729CF">
              <w:rPr>
                <w:rFonts w:ascii="Arial" w:hAnsi="Arial" w:cs="Arial"/>
                <w:sz w:val="24"/>
                <w:szCs w:val="24"/>
                <w:lang w:val="en-GB" w:eastAsia="en-GB"/>
              </w:rPr>
              <w:t>1.866</w:t>
            </w:r>
          </w:p>
        </w:tc>
      </w:tr>
      <w:tr w:rsidR="000729CF" w:rsidRPr="000729CF" w14:paraId="344A12D9" w14:textId="77777777" w:rsidTr="00BC26AB">
        <w:tc>
          <w:tcPr>
            <w:tcW w:w="4052" w:type="pct"/>
          </w:tcPr>
          <w:p w14:paraId="523B579F" w14:textId="77777777" w:rsidR="000729CF" w:rsidRPr="000729CF" w:rsidRDefault="000729CF" w:rsidP="000729CF">
            <w:pPr>
              <w:spacing w:before="60" w:after="60"/>
              <w:rPr>
                <w:rFonts w:ascii="Arial" w:hAnsi="Arial" w:cs="Arial"/>
                <w:noProof/>
                <w:sz w:val="24"/>
                <w:szCs w:val="24"/>
                <w:lang w:val="en-GB" w:eastAsia="en-GB"/>
              </w:rPr>
            </w:pPr>
            <w:r w:rsidRPr="000729CF">
              <w:rPr>
                <w:rFonts w:ascii="Arial" w:hAnsi="Arial" w:cs="Arial"/>
                <w:noProof/>
                <w:sz w:val="24"/>
                <w:szCs w:val="24"/>
                <w:lang w:val="en-GB" w:eastAsia="en-GB"/>
              </w:rPr>
              <w:t>On Street and Communal Bin Infrastructure</w:t>
            </w:r>
          </w:p>
        </w:tc>
        <w:tc>
          <w:tcPr>
            <w:tcW w:w="948" w:type="pct"/>
          </w:tcPr>
          <w:p w14:paraId="499D581C" w14:textId="77777777" w:rsidR="000729CF" w:rsidRPr="000729CF" w:rsidRDefault="000729CF" w:rsidP="000729CF">
            <w:pPr>
              <w:spacing w:before="60" w:after="60"/>
              <w:jc w:val="right"/>
              <w:rPr>
                <w:rFonts w:ascii="Arial" w:hAnsi="Arial" w:cs="Arial"/>
                <w:sz w:val="24"/>
                <w:szCs w:val="24"/>
                <w:lang w:val="en-GB" w:eastAsia="en-GB"/>
              </w:rPr>
            </w:pPr>
            <w:r w:rsidRPr="000729CF">
              <w:rPr>
                <w:rFonts w:ascii="Arial" w:hAnsi="Arial" w:cs="Arial"/>
                <w:sz w:val="24"/>
                <w:szCs w:val="24"/>
                <w:lang w:val="en-GB" w:eastAsia="en-GB"/>
              </w:rPr>
              <w:t>1.000</w:t>
            </w:r>
          </w:p>
        </w:tc>
      </w:tr>
      <w:tr w:rsidR="000729CF" w:rsidRPr="000729CF" w14:paraId="2E40AFCF" w14:textId="77777777" w:rsidTr="00BC26AB">
        <w:tc>
          <w:tcPr>
            <w:tcW w:w="4052" w:type="pct"/>
          </w:tcPr>
          <w:p w14:paraId="18C1DF28" w14:textId="77777777" w:rsidR="000729CF" w:rsidRPr="000729CF" w:rsidRDefault="000729CF" w:rsidP="000729CF">
            <w:pPr>
              <w:spacing w:before="60" w:after="60"/>
              <w:rPr>
                <w:rFonts w:ascii="Arial" w:hAnsi="Arial" w:cs="Arial"/>
                <w:noProof/>
                <w:sz w:val="24"/>
                <w:szCs w:val="24"/>
                <w:lang w:val="en-GB" w:eastAsia="en-GB"/>
              </w:rPr>
            </w:pPr>
            <w:r w:rsidRPr="000729CF">
              <w:rPr>
                <w:rFonts w:ascii="Arial" w:hAnsi="Arial" w:cs="Arial"/>
                <w:noProof/>
                <w:sz w:val="24"/>
                <w:szCs w:val="24"/>
                <w:lang w:val="en-GB" w:eastAsia="en-GB"/>
              </w:rPr>
              <w:t>Hollingdean Deport Office Accommodation and Site Surface</w:t>
            </w:r>
          </w:p>
        </w:tc>
        <w:tc>
          <w:tcPr>
            <w:tcW w:w="948" w:type="pct"/>
          </w:tcPr>
          <w:p w14:paraId="609AD094" w14:textId="77777777" w:rsidR="000729CF" w:rsidRPr="000729CF" w:rsidRDefault="000729CF" w:rsidP="000729CF">
            <w:pPr>
              <w:spacing w:before="60" w:after="60"/>
              <w:jc w:val="right"/>
              <w:rPr>
                <w:rFonts w:ascii="Arial" w:hAnsi="Arial" w:cs="Arial"/>
                <w:sz w:val="24"/>
                <w:szCs w:val="24"/>
                <w:lang w:val="en-GB" w:eastAsia="en-GB"/>
              </w:rPr>
            </w:pPr>
            <w:r w:rsidRPr="000729CF">
              <w:rPr>
                <w:rFonts w:ascii="Arial" w:hAnsi="Arial" w:cs="Arial"/>
                <w:sz w:val="24"/>
                <w:szCs w:val="24"/>
                <w:lang w:val="en-GB" w:eastAsia="en-GB"/>
              </w:rPr>
              <w:t>2.229</w:t>
            </w:r>
          </w:p>
        </w:tc>
      </w:tr>
      <w:tr w:rsidR="000729CF" w:rsidRPr="000729CF" w14:paraId="15EB7B20" w14:textId="77777777" w:rsidTr="00BC26AB">
        <w:tc>
          <w:tcPr>
            <w:tcW w:w="4052" w:type="pct"/>
          </w:tcPr>
          <w:p w14:paraId="02A55D36" w14:textId="77777777" w:rsidR="000729CF" w:rsidRPr="000729CF" w:rsidRDefault="000729CF" w:rsidP="000729CF">
            <w:pPr>
              <w:spacing w:before="60" w:after="60"/>
              <w:rPr>
                <w:rFonts w:ascii="Arial" w:hAnsi="Arial" w:cs="Arial"/>
                <w:noProof/>
                <w:sz w:val="24"/>
                <w:szCs w:val="24"/>
                <w:lang w:val="en-GB" w:eastAsia="en-GB"/>
              </w:rPr>
            </w:pPr>
            <w:r w:rsidRPr="000729CF">
              <w:rPr>
                <w:rFonts w:ascii="Arial" w:hAnsi="Arial" w:cs="Arial"/>
                <w:noProof/>
                <w:sz w:val="24"/>
                <w:szCs w:val="24"/>
                <w:lang w:val="en-GB" w:eastAsia="en-GB"/>
              </w:rPr>
              <w:t>Communal Bin and WEE Recycling</w:t>
            </w:r>
          </w:p>
        </w:tc>
        <w:tc>
          <w:tcPr>
            <w:tcW w:w="948" w:type="pct"/>
          </w:tcPr>
          <w:p w14:paraId="1CF59F42" w14:textId="77777777" w:rsidR="000729CF" w:rsidRPr="000729CF" w:rsidRDefault="000729CF" w:rsidP="000729CF">
            <w:pPr>
              <w:spacing w:before="60" w:after="60"/>
              <w:jc w:val="right"/>
              <w:rPr>
                <w:rFonts w:ascii="Arial" w:hAnsi="Arial" w:cs="Arial"/>
                <w:sz w:val="24"/>
                <w:szCs w:val="24"/>
                <w:lang w:val="en-GB" w:eastAsia="en-GB"/>
              </w:rPr>
            </w:pPr>
            <w:r w:rsidRPr="000729CF">
              <w:rPr>
                <w:rFonts w:ascii="Arial" w:hAnsi="Arial" w:cs="Arial"/>
                <w:sz w:val="24"/>
                <w:szCs w:val="24"/>
                <w:lang w:val="en-GB" w:eastAsia="en-GB"/>
              </w:rPr>
              <w:t>0.431</w:t>
            </w:r>
          </w:p>
        </w:tc>
      </w:tr>
      <w:tr w:rsidR="000729CF" w:rsidRPr="000729CF" w14:paraId="7C7634B4" w14:textId="77777777" w:rsidTr="00BC26AB">
        <w:tc>
          <w:tcPr>
            <w:tcW w:w="4052" w:type="pct"/>
          </w:tcPr>
          <w:p w14:paraId="05DF446F" w14:textId="77777777" w:rsidR="000729CF" w:rsidRPr="000729CF" w:rsidRDefault="000729CF" w:rsidP="000729CF">
            <w:pPr>
              <w:spacing w:before="60" w:after="60"/>
              <w:rPr>
                <w:rFonts w:ascii="Arial" w:hAnsi="Arial" w:cs="Arial"/>
                <w:noProof/>
                <w:sz w:val="24"/>
                <w:szCs w:val="24"/>
                <w:lang w:val="en-GB" w:eastAsia="en-GB"/>
              </w:rPr>
            </w:pPr>
            <w:r w:rsidRPr="000729CF">
              <w:rPr>
                <w:rFonts w:ascii="Arial" w:hAnsi="Arial" w:cs="Arial"/>
                <w:noProof/>
                <w:sz w:val="24"/>
                <w:szCs w:val="24"/>
                <w:lang w:val="en-GB" w:eastAsia="en-GB"/>
              </w:rPr>
              <w:t>Woodland Creation Scheme</w:t>
            </w:r>
          </w:p>
        </w:tc>
        <w:tc>
          <w:tcPr>
            <w:tcW w:w="948" w:type="pct"/>
          </w:tcPr>
          <w:p w14:paraId="61510694" w14:textId="77777777" w:rsidR="000729CF" w:rsidRPr="000729CF" w:rsidRDefault="000729CF" w:rsidP="000729CF">
            <w:pPr>
              <w:spacing w:before="60" w:after="60"/>
              <w:jc w:val="right"/>
              <w:rPr>
                <w:rFonts w:ascii="Arial" w:hAnsi="Arial" w:cs="Arial"/>
                <w:sz w:val="24"/>
                <w:szCs w:val="24"/>
                <w:lang w:val="en-GB" w:eastAsia="en-GB"/>
              </w:rPr>
            </w:pPr>
            <w:r w:rsidRPr="000729CF">
              <w:rPr>
                <w:rFonts w:ascii="Arial" w:hAnsi="Arial" w:cs="Arial"/>
                <w:sz w:val="24"/>
                <w:szCs w:val="24"/>
                <w:lang w:val="en-GB" w:eastAsia="en-GB"/>
              </w:rPr>
              <w:t>0.135</w:t>
            </w:r>
          </w:p>
        </w:tc>
      </w:tr>
      <w:tr w:rsidR="000729CF" w:rsidRPr="000729CF" w14:paraId="69905CEF" w14:textId="77777777" w:rsidTr="00BC26AB">
        <w:tc>
          <w:tcPr>
            <w:tcW w:w="4052" w:type="pct"/>
          </w:tcPr>
          <w:p w14:paraId="5DD0CE88" w14:textId="77777777" w:rsidR="000729CF" w:rsidRPr="000729CF" w:rsidRDefault="000729CF" w:rsidP="000729CF">
            <w:pPr>
              <w:spacing w:before="60" w:after="60"/>
              <w:rPr>
                <w:rFonts w:ascii="Arial" w:hAnsi="Arial" w:cs="Arial"/>
                <w:noProof/>
                <w:sz w:val="24"/>
                <w:szCs w:val="24"/>
                <w:lang w:val="en-GB" w:eastAsia="en-GB"/>
              </w:rPr>
            </w:pPr>
            <w:r w:rsidRPr="000729CF">
              <w:rPr>
                <w:rFonts w:ascii="Arial" w:hAnsi="Arial" w:cs="Arial"/>
                <w:noProof/>
                <w:sz w:val="24"/>
                <w:szCs w:val="24"/>
                <w:lang w:val="en-GB" w:eastAsia="en-GB"/>
              </w:rPr>
              <w:t>St Ann’s Well Café Sustainable Improvements</w:t>
            </w:r>
          </w:p>
        </w:tc>
        <w:tc>
          <w:tcPr>
            <w:tcW w:w="948" w:type="pct"/>
          </w:tcPr>
          <w:p w14:paraId="2E901C09" w14:textId="77777777" w:rsidR="000729CF" w:rsidRPr="000729CF" w:rsidRDefault="000729CF" w:rsidP="000729CF">
            <w:pPr>
              <w:spacing w:before="60" w:after="60"/>
              <w:jc w:val="right"/>
              <w:rPr>
                <w:rFonts w:ascii="Arial" w:hAnsi="Arial" w:cs="Arial"/>
                <w:sz w:val="24"/>
                <w:szCs w:val="24"/>
                <w:lang w:val="en-GB" w:eastAsia="en-GB"/>
              </w:rPr>
            </w:pPr>
            <w:r w:rsidRPr="000729CF">
              <w:rPr>
                <w:rFonts w:ascii="Arial" w:hAnsi="Arial" w:cs="Arial"/>
                <w:sz w:val="24"/>
                <w:szCs w:val="24"/>
                <w:lang w:val="en-GB" w:eastAsia="en-GB"/>
              </w:rPr>
              <w:t>0.074</w:t>
            </w:r>
          </w:p>
        </w:tc>
      </w:tr>
      <w:tr w:rsidR="000729CF" w:rsidRPr="000729CF" w14:paraId="04BBE145" w14:textId="77777777" w:rsidTr="00BC26AB">
        <w:tc>
          <w:tcPr>
            <w:tcW w:w="4052" w:type="pct"/>
          </w:tcPr>
          <w:p w14:paraId="624A2A98" w14:textId="77777777" w:rsidR="000729CF" w:rsidRPr="000729CF" w:rsidRDefault="000729CF" w:rsidP="000729CF">
            <w:pPr>
              <w:spacing w:before="60" w:after="60"/>
              <w:rPr>
                <w:rFonts w:ascii="Arial" w:hAnsi="Arial" w:cs="Arial"/>
                <w:i/>
                <w:iCs/>
                <w:noProof/>
                <w:sz w:val="24"/>
                <w:szCs w:val="24"/>
                <w:u w:val="single"/>
                <w:lang w:val="en-GB" w:eastAsia="en-GB"/>
              </w:rPr>
            </w:pPr>
            <w:r w:rsidRPr="000729CF">
              <w:rPr>
                <w:rFonts w:ascii="Arial" w:hAnsi="Arial" w:cs="Arial"/>
                <w:i/>
                <w:iCs/>
                <w:noProof/>
                <w:sz w:val="24"/>
                <w:szCs w:val="24"/>
                <w:u w:val="single"/>
                <w:lang w:val="en-GB" w:eastAsia="en-GB"/>
              </w:rPr>
              <w:t>City Development &amp; Regeneration</w:t>
            </w:r>
          </w:p>
        </w:tc>
        <w:tc>
          <w:tcPr>
            <w:tcW w:w="948" w:type="pct"/>
          </w:tcPr>
          <w:p w14:paraId="5250E707" w14:textId="77777777" w:rsidR="000729CF" w:rsidRPr="000729CF" w:rsidRDefault="000729CF" w:rsidP="000729CF">
            <w:pPr>
              <w:spacing w:before="60" w:after="60"/>
              <w:jc w:val="right"/>
              <w:rPr>
                <w:rFonts w:ascii="Arial" w:hAnsi="Arial" w:cs="Arial"/>
                <w:sz w:val="24"/>
                <w:szCs w:val="24"/>
                <w:lang w:val="en-GB" w:eastAsia="en-GB"/>
              </w:rPr>
            </w:pPr>
          </w:p>
        </w:tc>
      </w:tr>
      <w:tr w:rsidR="000729CF" w:rsidRPr="000729CF" w14:paraId="10654D81" w14:textId="77777777" w:rsidTr="00BC26AB">
        <w:tc>
          <w:tcPr>
            <w:tcW w:w="4052" w:type="pct"/>
          </w:tcPr>
          <w:p w14:paraId="36BDD2DB" w14:textId="77777777" w:rsidR="000729CF" w:rsidRPr="000729CF" w:rsidRDefault="000729CF" w:rsidP="000729CF">
            <w:pPr>
              <w:spacing w:before="60" w:after="60"/>
              <w:rPr>
                <w:rFonts w:ascii="Arial" w:hAnsi="Arial" w:cs="Arial"/>
                <w:noProof/>
                <w:sz w:val="24"/>
                <w:szCs w:val="24"/>
                <w:lang w:val="en-GB" w:eastAsia="en-GB"/>
              </w:rPr>
            </w:pPr>
            <w:r w:rsidRPr="000729CF">
              <w:rPr>
                <w:rFonts w:ascii="Arial" w:hAnsi="Arial" w:cs="Arial"/>
                <w:noProof/>
                <w:sz w:val="24"/>
                <w:szCs w:val="24"/>
                <w:lang w:val="en-GB" w:eastAsia="en-GB"/>
              </w:rPr>
              <w:t xml:space="preserve">New England House Development </w:t>
            </w:r>
          </w:p>
        </w:tc>
        <w:tc>
          <w:tcPr>
            <w:tcW w:w="948" w:type="pct"/>
          </w:tcPr>
          <w:p w14:paraId="2B4EFDA4" w14:textId="77777777" w:rsidR="000729CF" w:rsidRPr="000729CF" w:rsidRDefault="000729CF" w:rsidP="000729CF">
            <w:pPr>
              <w:spacing w:before="60" w:after="60"/>
              <w:jc w:val="right"/>
              <w:rPr>
                <w:rFonts w:ascii="Arial" w:hAnsi="Arial" w:cs="Arial"/>
                <w:sz w:val="24"/>
                <w:szCs w:val="24"/>
                <w:lang w:val="en-GB" w:eastAsia="en-GB"/>
              </w:rPr>
            </w:pPr>
            <w:r w:rsidRPr="000729CF">
              <w:rPr>
                <w:rFonts w:ascii="Arial" w:hAnsi="Arial" w:cs="Arial"/>
                <w:sz w:val="24"/>
                <w:szCs w:val="24"/>
                <w:lang w:val="en-GB" w:eastAsia="en-GB"/>
              </w:rPr>
              <w:t>2.232</w:t>
            </w:r>
          </w:p>
        </w:tc>
      </w:tr>
      <w:tr w:rsidR="000729CF" w:rsidRPr="000729CF" w14:paraId="09633B90" w14:textId="77777777" w:rsidTr="00BC26AB">
        <w:tc>
          <w:tcPr>
            <w:tcW w:w="4052" w:type="pct"/>
          </w:tcPr>
          <w:p w14:paraId="195B07EF" w14:textId="77777777" w:rsidR="000729CF" w:rsidRPr="000729CF" w:rsidRDefault="000729CF" w:rsidP="000729CF">
            <w:pPr>
              <w:spacing w:before="60" w:after="60"/>
              <w:rPr>
                <w:rFonts w:ascii="Arial" w:hAnsi="Arial" w:cs="Arial"/>
                <w:noProof/>
                <w:sz w:val="24"/>
                <w:szCs w:val="24"/>
                <w:lang w:val="en-GB" w:eastAsia="en-GB"/>
              </w:rPr>
            </w:pPr>
            <w:r w:rsidRPr="000729CF">
              <w:rPr>
                <w:rFonts w:ascii="Arial" w:hAnsi="Arial" w:cs="Arial"/>
                <w:noProof/>
                <w:sz w:val="24"/>
                <w:szCs w:val="24"/>
                <w:lang w:val="en-GB" w:eastAsia="en-GB"/>
              </w:rPr>
              <w:t>Madeira Terrace Development Implementation Works</w:t>
            </w:r>
          </w:p>
        </w:tc>
        <w:tc>
          <w:tcPr>
            <w:tcW w:w="948" w:type="pct"/>
          </w:tcPr>
          <w:p w14:paraId="544C2CE5" w14:textId="77777777" w:rsidR="000729CF" w:rsidRPr="000729CF" w:rsidRDefault="000729CF" w:rsidP="000729CF">
            <w:pPr>
              <w:spacing w:before="60" w:after="60"/>
              <w:jc w:val="right"/>
              <w:rPr>
                <w:rFonts w:ascii="Arial" w:hAnsi="Arial" w:cs="Arial"/>
                <w:sz w:val="24"/>
                <w:szCs w:val="24"/>
                <w:lang w:val="en-GB" w:eastAsia="en-GB"/>
              </w:rPr>
            </w:pPr>
            <w:r w:rsidRPr="000729CF">
              <w:rPr>
                <w:rFonts w:ascii="Arial" w:hAnsi="Arial" w:cs="Arial"/>
                <w:sz w:val="24"/>
                <w:szCs w:val="24"/>
                <w:lang w:val="en-GB" w:eastAsia="en-GB"/>
              </w:rPr>
              <w:t>6.231</w:t>
            </w:r>
          </w:p>
        </w:tc>
      </w:tr>
      <w:tr w:rsidR="000729CF" w:rsidRPr="000729CF" w14:paraId="0EE11651" w14:textId="77777777" w:rsidTr="00BC26AB">
        <w:tc>
          <w:tcPr>
            <w:tcW w:w="4052" w:type="pct"/>
          </w:tcPr>
          <w:p w14:paraId="3EF0CC25" w14:textId="77777777" w:rsidR="000729CF" w:rsidRPr="000729CF" w:rsidRDefault="000729CF" w:rsidP="000729CF">
            <w:pPr>
              <w:spacing w:before="60" w:after="60"/>
              <w:rPr>
                <w:rFonts w:ascii="Arial" w:hAnsi="Arial" w:cs="Arial"/>
                <w:noProof/>
                <w:sz w:val="24"/>
                <w:szCs w:val="24"/>
                <w:lang w:val="en-GB" w:eastAsia="en-GB"/>
              </w:rPr>
            </w:pPr>
            <w:r w:rsidRPr="000729CF">
              <w:rPr>
                <w:rFonts w:ascii="Arial" w:hAnsi="Arial" w:cs="Arial"/>
                <w:noProof/>
                <w:sz w:val="24"/>
                <w:szCs w:val="24"/>
                <w:lang w:val="en-GB" w:eastAsia="en-GB"/>
              </w:rPr>
              <w:t>Black Rock Enabling Works</w:t>
            </w:r>
          </w:p>
        </w:tc>
        <w:tc>
          <w:tcPr>
            <w:tcW w:w="948" w:type="pct"/>
          </w:tcPr>
          <w:p w14:paraId="36D47033" w14:textId="77777777" w:rsidR="000729CF" w:rsidRPr="000729CF" w:rsidRDefault="000729CF" w:rsidP="000729CF">
            <w:pPr>
              <w:spacing w:before="60" w:after="60"/>
              <w:jc w:val="right"/>
              <w:rPr>
                <w:rFonts w:ascii="Arial" w:hAnsi="Arial" w:cs="Arial"/>
                <w:sz w:val="24"/>
                <w:szCs w:val="24"/>
                <w:lang w:val="en-GB" w:eastAsia="en-GB"/>
              </w:rPr>
            </w:pPr>
            <w:r w:rsidRPr="000729CF">
              <w:rPr>
                <w:rFonts w:ascii="Arial" w:hAnsi="Arial" w:cs="Arial"/>
                <w:sz w:val="24"/>
                <w:szCs w:val="24"/>
                <w:lang w:val="en-GB" w:eastAsia="en-GB"/>
              </w:rPr>
              <w:t>0.300</w:t>
            </w:r>
          </w:p>
        </w:tc>
      </w:tr>
      <w:tr w:rsidR="000729CF" w:rsidRPr="000729CF" w14:paraId="0996025A" w14:textId="77777777" w:rsidTr="00BC26AB">
        <w:tc>
          <w:tcPr>
            <w:tcW w:w="4052" w:type="pct"/>
          </w:tcPr>
          <w:p w14:paraId="6C21E755" w14:textId="77777777" w:rsidR="000729CF" w:rsidRPr="000729CF" w:rsidRDefault="000729CF" w:rsidP="000729CF">
            <w:pPr>
              <w:spacing w:before="60" w:after="60"/>
              <w:rPr>
                <w:rFonts w:ascii="Arial" w:hAnsi="Arial" w:cs="Arial"/>
                <w:i/>
                <w:iCs/>
                <w:noProof/>
                <w:sz w:val="24"/>
                <w:szCs w:val="24"/>
                <w:u w:val="single"/>
                <w:lang w:val="en-GB" w:eastAsia="en-GB"/>
              </w:rPr>
            </w:pPr>
            <w:r w:rsidRPr="000729CF">
              <w:rPr>
                <w:rFonts w:ascii="Arial" w:hAnsi="Arial" w:cs="Arial"/>
                <w:i/>
                <w:iCs/>
                <w:noProof/>
                <w:sz w:val="24"/>
                <w:szCs w:val="24"/>
                <w:u w:val="single"/>
                <w:lang w:val="en-GB" w:eastAsia="en-GB"/>
              </w:rPr>
              <w:t>Culture, Tourism &amp; Sport</w:t>
            </w:r>
          </w:p>
        </w:tc>
        <w:tc>
          <w:tcPr>
            <w:tcW w:w="948" w:type="pct"/>
          </w:tcPr>
          <w:p w14:paraId="6BB493C6" w14:textId="77777777" w:rsidR="000729CF" w:rsidRPr="000729CF" w:rsidRDefault="000729CF" w:rsidP="000729CF">
            <w:pPr>
              <w:spacing w:before="60" w:after="60"/>
              <w:jc w:val="right"/>
              <w:rPr>
                <w:rFonts w:ascii="Arial" w:hAnsi="Arial" w:cs="Arial"/>
                <w:sz w:val="24"/>
                <w:szCs w:val="24"/>
                <w:lang w:val="en-GB" w:eastAsia="en-GB"/>
              </w:rPr>
            </w:pPr>
          </w:p>
        </w:tc>
      </w:tr>
      <w:tr w:rsidR="000729CF" w:rsidRPr="000729CF" w14:paraId="2D9467BD" w14:textId="77777777" w:rsidTr="00BC26AB">
        <w:tc>
          <w:tcPr>
            <w:tcW w:w="4052" w:type="pct"/>
          </w:tcPr>
          <w:p w14:paraId="5AE4EE11" w14:textId="77777777" w:rsidR="000729CF" w:rsidRPr="000729CF" w:rsidRDefault="000729CF" w:rsidP="000729CF">
            <w:pPr>
              <w:spacing w:before="60" w:after="60"/>
              <w:rPr>
                <w:rFonts w:ascii="Arial" w:hAnsi="Arial" w:cs="Arial"/>
                <w:noProof/>
                <w:sz w:val="24"/>
                <w:szCs w:val="24"/>
                <w:lang w:val="en-GB" w:eastAsia="en-GB"/>
              </w:rPr>
            </w:pPr>
            <w:r w:rsidRPr="000729CF">
              <w:rPr>
                <w:rFonts w:ascii="Arial" w:hAnsi="Arial" w:cs="Arial"/>
                <w:noProof/>
                <w:sz w:val="24"/>
                <w:szCs w:val="24"/>
                <w:lang w:val="en-GB" w:eastAsia="en-GB"/>
              </w:rPr>
              <w:t>Kingsway to the Sea</w:t>
            </w:r>
          </w:p>
        </w:tc>
        <w:tc>
          <w:tcPr>
            <w:tcW w:w="948" w:type="pct"/>
          </w:tcPr>
          <w:p w14:paraId="1B8DE4EF" w14:textId="77777777" w:rsidR="000729CF" w:rsidRPr="000729CF" w:rsidRDefault="000729CF" w:rsidP="000729CF">
            <w:pPr>
              <w:spacing w:before="60" w:after="60"/>
              <w:jc w:val="right"/>
              <w:rPr>
                <w:rFonts w:ascii="Arial" w:hAnsi="Arial" w:cs="Arial"/>
                <w:sz w:val="24"/>
                <w:szCs w:val="24"/>
                <w:lang w:val="en-GB" w:eastAsia="en-GB"/>
              </w:rPr>
            </w:pPr>
            <w:r w:rsidRPr="000729CF">
              <w:rPr>
                <w:rFonts w:ascii="Arial" w:hAnsi="Arial" w:cs="Arial"/>
                <w:sz w:val="24"/>
                <w:szCs w:val="24"/>
                <w:lang w:val="en-GB" w:eastAsia="en-GB"/>
              </w:rPr>
              <w:t>3.200</w:t>
            </w:r>
          </w:p>
        </w:tc>
      </w:tr>
      <w:tr w:rsidR="000729CF" w:rsidRPr="000729CF" w14:paraId="29EEA6E0" w14:textId="77777777" w:rsidTr="00BC26AB">
        <w:tc>
          <w:tcPr>
            <w:tcW w:w="4052" w:type="pct"/>
          </w:tcPr>
          <w:p w14:paraId="315C7901" w14:textId="77777777" w:rsidR="000729CF" w:rsidRPr="000729CF" w:rsidRDefault="000729CF" w:rsidP="000729CF">
            <w:pPr>
              <w:spacing w:before="60" w:after="60"/>
              <w:rPr>
                <w:rFonts w:ascii="Arial" w:hAnsi="Arial" w:cs="Arial"/>
                <w:noProof/>
                <w:sz w:val="24"/>
                <w:szCs w:val="24"/>
                <w:lang w:val="en-GB" w:eastAsia="en-GB"/>
              </w:rPr>
            </w:pPr>
            <w:r w:rsidRPr="000729CF">
              <w:rPr>
                <w:rFonts w:ascii="Arial" w:hAnsi="Arial" w:cs="Arial"/>
                <w:noProof/>
                <w:sz w:val="24"/>
                <w:szCs w:val="24"/>
                <w:lang w:val="en-GB" w:eastAsia="en-GB"/>
              </w:rPr>
              <w:t>Royal Pavilion Estate Phase 2 Gardens</w:t>
            </w:r>
          </w:p>
        </w:tc>
        <w:tc>
          <w:tcPr>
            <w:tcW w:w="948" w:type="pct"/>
          </w:tcPr>
          <w:p w14:paraId="439AEFCF" w14:textId="77777777" w:rsidR="000729CF" w:rsidRPr="000729CF" w:rsidRDefault="000729CF" w:rsidP="000729CF">
            <w:pPr>
              <w:spacing w:before="60" w:after="60"/>
              <w:jc w:val="right"/>
              <w:rPr>
                <w:rFonts w:ascii="Arial" w:hAnsi="Arial" w:cs="Arial"/>
                <w:sz w:val="24"/>
                <w:szCs w:val="24"/>
                <w:lang w:val="en-GB" w:eastAsia="en-GB"/>
              </w:rPr>
            </w:pPr>
            <w:r w:rsidRPr="000729CF">
              <w:rPr>
                <w:rFonts w:ascii="Arial" w:hAnsi="Arial" w:cs="Arial"/>
                <w:sz w:val="24"/>
                <w:szCs w:val="24"/>
                <w:lang w:val="en-GB" w:eastAsia="en-GB"/>
              </w:rPr>
              <w:t>0.250</w:t>
            </w:r>
          </w:p>
        </w:tc>
      </w:tr>
      <w:tr w:rsidR="000729CF" w:rsidRPr="000729CF" w14:paraId="6DC1D795" w14:textId="77777777" w:rsidTr="00BC26AB">
        <w:tc>
          <w:tcPr>
            <w:tcW w:w="4052" w:type="pct"/>
          </w:tcPr>
          <w:p w14:paraId="4384AE93" w14:textId="77777777" w:rsidR="000729CF" w:rsidRPr="000729CF" w:rsidRDefault="000729CF" w:rsidP="000729CF">
            <w:pPr>
              <w:spacing w:before="60" w:after="60"/>
              <w:rPr>
                <w:rFonts w:ascii="Arial" w:hAnsi="Arial" w:cs="Arial"/>
                <w:noProof/>
                <w:sz w:val="24"/>
                <w:szCs w:val="24"/>
                <w:lang w:val="en-GB" w:eastAsia="en-GB"/>
              </w:rPr>
            </w:pPr>
            <w:r w:rsidRPr="000729CF">
              <w:rPr>
                <w:rFonts w:ascii="Arial" w:hAnsi="Arial" w:cs="Arial"/>
                <w:noProof/>
                <w:sz w:val="24"/>
                <w:szCs w:val="24"/>
                <w:lang w:val="en-GB" w:eastAsia="en-GB"/>
              </w:rPr>
              <w:t>King Alfred Main Pool Reinforcement</w:t>
            </w:r>
          </w:p>
        </w:tc>
        <w:tc>
          <w:tcPr>
            <w:tcW w:w="948" w:type="pct"/>
          </w:tcPr>
          <w:p w14:paraId="542A1704" w14:textId="77777777" w:rsidR="000729CF" w:rsidRPr="000729CF" w:rsidRDefault="000729CF" w:rsidP="000729CF">
            <w:pPr>
              <w:spacing w:before="60" w:after="60"/>
              <w:jc w:val="right"/>
              <w:rPr>
                <w:rFonts w:ascii="Arial" w:hAnsi="Arial" w:cs="Arial"/>
                <w:sz w:val="24"/>
                <w:szCs w:val="24"/>
                <w:lang w:val="en-GB" w:eastAsia="en-GB"/>
              </w:rPr>
            </w:pPr>
            <w:r w:rsidRPr="000729CF">
              <w:rPr>
                <w:rFonts w:ascii="Arial" w:hAnsi="Arial" w:cs="Arial"/>
                <w:sz w:val="24"/>
                <w:szCs w:val="24"/>
                <w:lang w:val="en-GB" w:eastAsia="en-GB"/>
              </w:rPr>
              <w:t>0.674</w:t>
            </w:r>
          </w:p>
        </w:tc>
      </w:tr>
      <w:tr w:rsidR="000729CF" w:rsidRPr="000729CF" w14:paraId="08EE73F4" w14:textId="77777777" w:rsidTr="00BC26AB">
        <w:tc>
          <w:tcPr>
            <w:tcW w:w="4052" w:type="pct"/>
          </w:tcPr>
          <w:p w14:paraId="407854E2" w14:textId="77777777" w:rsidR="000729CF" w:rsidRPr="000729CF" w:rsidRDefault="000729CF" w:rsidP="000729CF">
            <w:pPr>
              <w:spacing w:before="60" w:after="60"/>
              <w:rPr>
                <w:rFonts w:ascii="Arial" w:hAnsi="Arial" w:cs="Arial"/>
                <w:noProof/>
                <w:sz w:val="24"/>
                <w:szCs w:val="24"/>
                <w:lang w:val="en-GB" w:eastAsia="en-GB"/>
              </w:rPr>
            </w:pPr>
            <w:r w:rsidRPr="000729CF">
              <w:rPr>
                <w:rFonts w:ascii="Arial" w:hAnsi="Arial" w:cs="Arial"/>
                <w:noProof/>
                <w:sz w:val="24"/>
                <w:szCs w:val="24"/>
                <w:lang w:val="en-GB" w:eastAsia="en-GB"/>
              </w:rPr>
              <w:t>Prince Regent Capital Works</w:t>
            </w:r>
          </w:p>
        </w:tc>
        <w:tc>
          <w:tcPr>
            <w:tcW w:w="948" w:type="pct"/>
          </w:tcPr>
          <w:p w14:paraId="635D2F5A" w14:textId="77777777" w:rsidR="000729CF" w:rsidRPr="000729CF" w:rsidRDefault="000729CF" w:rsidP="000729CF">
            <w:pPr>
              <w:spacing w:before="60" w:after="60"/>
              <w:jc w:val="right"/>
              <w:rPr>
                <w:rFonts w:ascii="Arial" w:hAnsi="Arial" w:cs="Arial"/>
                <w:sz w:val="24"/>
                <w:szCs w:val="24"/>
                <w:lang w:val="en-GB" w:eastAsia="en-GB"/>
              </w:rPr>
            </w:pPr>
            <w:r w:rsidRPr="000729CF">
              <w:rPr>
                <w:rFonts w:ascii="Arial" w:hAnsi="Arial" w:cs="Arial"/>
                <w:sz w:val="24"/>
                <w:szCs w:val="24"/>
                <w:lang w:val="en-GB" w:eastAsia="en-GB"/>
              </w:rPr>
              <w:t>0.130</w:t>
            </w:r>
          </w:p>
        </w:tc>
      </w:tr>
      <w:tr w:rsidR="000729CF" w:rsidRPr="000729CF" w14:paraId="77A2DF75" w14:textId="77777777" w:rsidTr="00BC26AB">
        <w:tc>
          <w:tcPr>
            <w:tcW w:w="4052" w:type="pct"/>
          </w:tcPr>
          <w:p w14:paraId="3EE30C77" w14:textId="77777777" w:rsidR="000729CF" w:rsidRPr="000729CF" w:rsidRDefault="000729CF" w:rsidP="000729CF">
            <w:pPr>
              <w:spacing w:before="60" w:after="60"/>
              <w:rPr>
                <w:rFonts w:ascii="Arial" w:hAnsi="Arial" w:cs="Arial"/>
                <w:noProof/>
                <w:sz w:val="24"/>
                <w:szCs w:val="24"/>
                <w:lang w:val="en-GB" w:eastAsia="en-GB"/>
              </w:rPr>
            </w:pPr>
            <w:r w:rsidRPr="000729CF">
              <w:rPr>
                <w:rFonts w:ascii="Arial" w:hAnsi="Arial" w:cs="Arial"/>
                <w:noProof/>
                <w:sz w:val="24"/>
                <w:szCs w:val="24"/>
                <w:lang w:val="en-GB" w:eastAsia="en-GB"/>
              </w:rPr>
              <w:t>Brighton Centre Essential Maintenance</w:t>
            </w:r>
          </w:p>
        </w:tc>
        <w:tc>
          <w:tcPr>
            <w:tcW w:w="948" w:type="pct"/>
          </w:tcPr>
          <w:p w14:paraId="27620D3F" w14:textId="77777777" w:rsidR="000729CF" w:rsidRPr="000729CF" w:rsidRDefault="000729CF" w:rsidP="000729CF">
            <w:pPr>
              <w:spacing w:before="60" w:after="60"/>
              <w:jc w:val="right"/>
              <w:rPr>
                <w:rFonts w:ascii="Arial" w:hAnsi="Arial" w:cs="Arial"/>
                <w:sz w:val="24"/>
                <w:szCs w:val="24"/>
                <w:lang w:val="en-GB" w:eastAsia="en-GB"/>
              </w:rPr>
            </w:pPr>
            <w:r w:rsidRPr="000729CF">
              <w:rPr>
                <w:rFonts w:ascii="Arial" w:hAnsi="Arial" w:cs="Arial"/>
                <w:sz w:val="24"/>
                <w:szCs w:val="24"/>
                <w:lang w:val="en-GB" w:eastAsia="en-GB"/>
              </w:rPr>
              <w:t>1.000</w:t>
            </w:r>
          </w:p>
        </w:tc>
      </w:tr>
      <w:tr w:rsidR="000729CF" w:rsidRPr="000729CF" w14:paraId="1551BBD7" w14:textId="77777777" w:rsidTr="00BC26AB">
        <w:tc>
          <w:tcPr>
            <w:tcW w:w="4052" w:type="pct"/>
          </w:tcPr>
          <w:p w14:paraId="3E6386D6" w14:textId="77777777" w:rsidR="000729CF" w:rsidRPr="000729CF" w:rsidRDefault="000729CF" w:rsidP="000729CF">
            <w:pPr>
              <w:spacing w:before="60" w:after="60"/>
              <w:rPr>
                <w:rFonts w:ascii="Arial" w:hAnsi="Arial" w:cs="Arial"/>
                <w:noProof/>
                <w:sz w:val="24"/>
                <w:szCs w:val="24"/>
                <w:lang w:val="en-GB" w:eastAsia="en-GB"/>
              </w:rPr>
            </w:pPr>
            <w:r w:rsidRPr="000729CF">
              <w:rPr>
                <w:rFonts w:ascii="Arial" w:hAnsi="Arial" w:cs="Arial"/>
                <w:noProof/>
                <w:sz w:val="24"/>
                <w:szCs w:val="24"/>
                <w:lang w:val="en-GB" w:eastAsia="en-GB"/>
              </w:rPr>
              <w:t>Withdean Sports Complex Swimming Pool</w:t>
            </w:r>
          </w:p>
        </w:tc>
        <w:tc>
          <w:tcPr>
            <w:tcW w:w="948" w:type="pct"/>
          </w:tcPr>
          <w:p w14:paraId="0B3898FC" w14:textId="77777777" w:rsidR="000729CF" w:rsidRPr="000729CF" w:rsidRDefault="000729CF" w:rsidP="000729CF">
            <w:pPr>
              <w:spacing w:before="60" w:after="60"/>
              <w:jc w:val="right"/>
              <w:rPr>
                <w:rFonts w:ascii="Arial" w:hAnsi="Arial" w:cs="Arial"/>
                <w:sz w:val="24"/>
                <w:szCs w:val="24"/>
                <w:lang w:val="en-GB" w:eastAsia="en-GB"/>
              </w:rPr>
            </w:pPr>
            <w:r w:rsidRPr="000729CF">
              <w:rPr>
                <w:rFonts w:ascii="Arial" w:hAnsi="Arial" w:cs="Arial"/>
                <w:sz w:val="24"/>
                <w:szCs w:val="24"/>
                <w:lang w:val="en-GB" w:eastAsia="en-GB"/>
              </w:rPr>
              <w:t>0.451</w:t>
            </w:r>
          </w:p>
        </w:tc>
      </w:tr>
      <w:tr w:rsidR="000729CF" w:rsidRPr="000729CF" w14:paraId="4F6DE964" w14:textId="77777777" w:rsidTr="00BC26AB">
        <w:tc>
          <w:tcPr>
            <w:tcW w:w="4052" w:type="pct"/>
          </w:tcPr>
          <w:p w14:paraId="7B9FD4BC" w14:textId="77777777" w:rsidR="000729CF" w:rsidRPr="000729CF" w:rsidRDefault="000729CF" w:rsidP="000729CF">
            <w:pPr>
              <w:spacing w:before="60" w:after="60"/>
              <w:rPr>
                <w:rFonts w:ascii="Arial" w:hAnsi="Arial" w:cs="Arial"/>
                <w:noProof/>
                <w:sz w:val="24"/>
                <w:szCs w:val="24"/>
                <w:lang w:val="en-GB" w:eastAsia="en-GB"/>
              </w:rPr>
            </w:pPr>
            <w:r w:rsidRPr="000729CF">
              <w:rPr>
                <w:rFonts w:ascii="Arial" w:hAnsi="Arial" w:cs="Arial"/>
                <w:noProof/>
                <w:sz w:val="24"/>
                <w:szCs w:val="24"/>
                <w:lang w:val="en-GB" w:eastAsia="en-GB"/>
              </w:rPr>
              <w:t>Volks Railway Disabled Access Carriage</w:t>
            </w:r>
          </w:p>
        </w:tc>
        <w:tc>
          <w:tcPr>
            <w:tcW w:w="948" w:type="pct"/>
          </w:tcPr>
          <w:p w14:paraId="3DB121E3" w14:textId="77777777" w:rsidR="000729CF" w:rsidRPr="000729CF" w:rsidRDefault="000729CF" w:rsidP="000729CF">
            <w:pPr>
              <w:spacing w:before="60" w:after="60"/>
              <w:jc w:val="right"/>
              <w:rPr>
                <w:rFonts w:ascii="Arial" w:hAnsi="Arial" w:cs="Arial"/>
                <w:sz w:val="24"/>
                <w:szCs w:val="24"/>
                <w:lang w:val="en-GB" w:eastAsia="en-GB"/>
              </w:rPr>
            </w:pPr>
            <w:r w:rsidRPr="000729CF">
              <w:rPr>
                <w:rFonts w:ascii="Arial" w:hAnsi="Arial" w:cs="Arial"/>
                <w:sz w:val="24"/>
                <w:szCs w:val="24"/>
                <w:lang w:val="en-GB" w:eastAsia="en-GB"/>
              </w:rPr>
              <w:t>0.100</w:t>
            </w:r>
          </w:p>
        </w:tc>
      </w:tr>
      <w:tr w:rsidR="000729CF" w:rsidRPr="000729CF" w14:paraId="0BFC5A3F" w14:textId="77777777" w:rsidTr="00BC26AB">
        <w:tc>
          <w:tcPr>
            <w:tcW w:w="4052" w:type="pct"/>
          </w:tcPr>
          <w:p w14:paraId="469F78B2" w14:textId="77777777" w:rsidR="000729CF" w:rsidRPr="000729CF" w:rsidRDefault="000729CF" w:rsidP="000729CF">
            <w:pPr>
              <w:spacing w:before="60" w:after="60"/>
              <w:rPr>
                <w:rFonts w:ascii="Arial" w:hAnsi="Arial" w:cs="Arial"/>
                <w:i/>
                <w:iCs/>
                <w:noProof/>
                <w:sz w:val="24"/>
                <w:szCs w:val="24"/>
                <w:u w:val="single"/>
                <w:lang w:val="en-GB" w:eastAsia="en-GB"/>
              </w:rPr>
            </w:pPr>
            <w:r w:rsidRPr="000729CF">
              <w:rPr>
                <w:rFonts w:ascii="Arial" w:hAnsi="Arial" w:cs="Arial"/>
                <w:i/>
                <w:iCs/>
                <w:noProof/>
                <w:sz w:val="24"/>
                <w:szCs w:val="24"/>
                <w:u w:val="single"/>
                <w:lang w:val="en-GB" w:eastAsia="en-GB"/>
              </w:rPr>
              <w:t>Transport</w:t>
            </w:r>
          </w:p>
        </w:tc>
        <w:tc>
          <w:tcPr>
            <w:tcW w:w="948" w:type="pct"/>
          </w:tcPr>
          <w:p w14:paraId="6EE6168F" w14:textId="77777777" w:rsidR="000729CF" w:rsidRPr="000729CF" w:rsidRDefault="000729CF" w:rsidP="000729CF">
            <w:pPr>
              <w:spacing w:before="60" w:after="60"/>
              <w:jc w:val="right"/>
              <w:rPr>
                <w:rFonts w:ascii="Arial" w:hAnsi="Arial" w:cs="Arial"/>
                <w:sz w:val="24"/>
                <w:szCs w:val="24"/>
                <w:lang w:val="en-GB" w:eastAsia="en-GB"/>
              </w:rPr>
            </w:pPr>
          </w:p>
        </w:tc>
      </w:tr>
      <w:tr w:rsidR="000729CF" w:rsidRPr="000729CF" w14:paraId="2A7FF00D" w14:textId="77777777" w:rsidTr="00BC26AB">
        <w:tc>
          <w:tcPr>
            <w:tcW w:w="4052" w:type="pct"/>
          </w:tcPr>
          <w:p w14:paraId="6B1EE4BF" w14:textId="77777777" w:rsidR="000729CF" w:rsidRPr="000729CF" w:rsidRDefault="000729CF" w:rsidP="000729CF">
            <w:pPr>
              <w:spacing w:before="60" w:after="60"/>
              <w:rPr>
                <w:rFonts w:ascii="Arial" w:hAnsi="Arial" w:cs="Arial"/>
                <w:noProof/>
                <w:sz w:val="24"/>
                <w:szCs w:val="24"/>
                <w:lang w:val="en-GB" w:eastAsia="en-GB"/>
              </w:rPr>
            </w:pPr>
            <w:r w:rsidRPr="000729CF">
              <w:rPr>
                <w:rFonts w:ascii="Arial" w:hAnsi="Arial" w:cs="Arial"/>
                <w:noProof/>
                <w:sz w:val="24"/>
                <w:szCs w:val="24"/>
                <w:lang w:val="en-GB" w:eastAsia="en-GB"/>
              </w:rPr>
              <w:t>Street Lighting Invest to Save Scheme</w:t>
            </w:r>
          </w:p>
        </w:tc>
        <w:tc>
          <w:tcPr>
            <w:tcW w:w="948" w:type="pct"/>
          </w:tcPr>
          <w:p w14:paraId="1B3A66A1" w14:textId="77777777" w:rsidR="000729CF" w:rsidRPr="000729CF" w:rsidRDefault="000729CF" w:rsidP="000729CF">
            <w:pPr>
              <w:spacing w:before="60" w:after="60"/>
              <w:jc w:val="right"/>
              <w:rPr>
                <w:rFonts w:ascii="Arial" w:hAnsi="Arial" w:cs="Arial"/>
                <w:sz w:val="24"/>
                <w:szCs w:val="24"/>
                <w:lang w:val="en-GB" w:eastAsia="en-GB"/>
              </w:rPr>
            </w:pPr>
            <w:r w:rsidRPr="000729CF">
              <w:rPr>
                <w:rFonts w:ascii="Arial" w:hAnsi="Arial" w:cs="Arial"/>
                <w:sz w:val="24"/>
                <w:szCs w:val="24"/>
                <w:lang w:val="en-GB" w:eastAsia="en-GB"/>
              </w:rPr>
              <w:t>1.000</w:t>
            </w:r>
          </w:p>
        </w:tc>
      </w:tr>
      <w:tr w:rsidR="000729CF" w:rsidRPr="000729CF" w14:paraId="51D5838B" w14:textId="77777777" w:rsidTr="00BC26AB">
        <w:tc>
          <w:tcPr>
            <w:tcW w:w="4052" w:type="pct"/>
          </w:tcPr>
          <w:p w14:paraId="0928FA18" w14:textId="77777777" w:rsidR="000729CF" w:rsidRPr="000729CF" w:rsidRDefault="000729CF" w:rsidP="000729CF">
            <w:pPr>
              <w:spacing w:before="60" w:after="60"/>
              <w:rPr>
                <w:rFonts w:ascii="Arial" w:hAnsi="Arial" w:cs="Arial"/>
                <w:noProof/>
                <w:sz w:val="24"/>
                <w:szCs w:val="24"/>
                <w:lang w:val="en-GB" w:eastAsia="en-GB"/>
              </w:rPr>
            </w:pPr>
            <w:r w:rsidRPr="000729CF">
              <w:rPr>
                <w:rFonts w:ascii="Arial" w:hAnsi="Arial" w:cs="Arial"/>
                <w:noProof/>
                <w:sz w:val="24"/>
                <w:szCs w:val="24"/>
                <w:lang w:val="en-GB" w:eastAsia="en-GB"/>
              </w:rPr>
              <w:t>Seafront Heritage Lighting Renewal Programme</w:t>
            </w:r>
          </w:p>
        </w:tc>
        <w:tc>
          <w:tcPr>
            <w:tcW w:w="948" w:type="pct"/>
          </w:tcPr>
          <w:p w14:paraId="040F1642" w14:textId="77777777" w:rsidR="000729CF" w:rsidRPr="000729CF" w:rsidRDefault="000729CF" w:rsidP="000729CF">
            <w:pPr>
              <w:spacing w:before="60" w:after="60"/>
              <w:jc w:val="right"/>
              <w:rPr>
                <w:rFonts w:ascii="Arial" w:hAnsi="Arial" w:cs="Arial"/>
                <w:sz w:val="24"/>
                <w:szCs w:val="24"/>
                <w:lang w:val="en-GB" w:eastAsia="en-GB"/>
              </w:rPr>
            </w:pPr>
            <w:r w:rsidRPr="000729CF">
              <w:rPr>
                <w:rFonts w:ascii="Arial" w:hAnsi="Arial" w:cs="Arial"/>
                <w:sz w:val="24"/>
                <w:szCs w:val="24"/>
                <w:lang w:val="en-GB" w:eastAsia="en-GB"/>
              </w:rPr>
              <w:t>1.562</w:t>
            </w:r>
          </w:p>
        </w:tc>
      </w:tr>
      <w:tr w:rsidR="000729CF" w:rsidRPr="000729CF" w14:paraId="5678E667" w14:textId="77777777" w:rsidTr="00BC26AB">
        <w:tc>
          <w:tcPr>
            <w:tcW w:w="4052" w:type="pct"/>
          </w:tcPr>
          <w:p w14:paraId="072453BA" w14:textId="77777777" w:rsidR="000729CF" w:rsidRPr="000729CF" w:rsidRDefault="000729CF" w:rsidP="000729CF">
            <w:pPr>
              <w:spacing w:before="60" w:after="60"/>
              <w:rPr>
                <w:rFonts w:ascii="Arial" w:hAnsi="Arial" w:cs="Arial"/>
                <w:noProof/>
                <w:sz w:val="24"/>
                <w:szCs w:val="24"/>
                <w:lang w:val="en-GB" w:eastAsia="en-GB"/>
              </w:rPr>
            </w:pPr>
            <w:r w:rsidRPr="000729CF">
              <w:rPr>
                <w:rFonts w:ascii="Arial" w:hAnsi="Arial" w:cs="Arial"/>
                <w:noProof/>
                <w:sz w:val="24"/>
                <w:szCs w:val="24"/>
                <w:lang w:val="en-GB" w:eastAsia="en-GB"/>
              </w:rPr>
              <w:t>Brighton Bikeshare Replacement Programme</w:t>
            </w:r>
          </w:p>
        </w:tc>
        <w:tc>
          <w:tcPr>
            <w:tcW w:w="948" w:type="pct"/>
          </w:tcPr>
          <w:p w14:paraId="17ACAD16" w14:textId="77777777" w:rsidR="000729CF" w:rsidRPr="000729CF" w:rsidRDefault="000729CF" w:rsidP="000729CF">
            <w:pPr>
              <w:spacing w:before="60" w:after="60"/>
              <w:jc w:val="right"/>
              <w:rPr>
                <w:rFonts w:ascii="Arial" w:hAnsi="Arial" w:cs="Arial"/>
                <w:sz w:val="24"/>
                <w:szCs w:val="24"/>
                <w:lang w:val="en-GB" w:eastAsia="en-GB"/>
              </w:rPr>
            </w:pPr>
            <w:r w:rsidRPr="000729CF">
              <w:rPr>
                <w:rFonts w:ascii="Arial" w:hAnsi="Arial" w:cs="Arial"/>
                <w:sz w:val="24"/>
                <w:szCs w:val="24"/>
                <w:lang w:val="en-GB" w:eastAsia="en-GB"/>
              </w:rPr>
              <w:t>0.215</w:t>
            </w:r>
          </w:p>
        </w:tc>
      </w:tr>
      <w:tr w:rsidR="000729CF" w:rsidRPr="000729CF" w14:paraId="60017BBB" w14:textId="77777777" w:rsidTr="00BC26AB">
        <w:tc>
          <w:tcPr>
            <w:tcW w:w="4052" w:type="pct"/>
          </w:tcPr>
          <w:p w14:paraId="772BED35" w14:textId="77777777" w:rsidR="000729CF" w:rsidRPr="000729CF" w:rsidRDefault="000729CF" w:rsidP="000729CF">
            <w:pPr>
              <w:spacing w:before="60" w:after="60"/>
              <w:rPr>
                <w:rFonts w:ascii="Arial" w:hAnsi="Arial" w:cs="Arial"/>
                <w:noProof/>
                <w:sz w:val="24"/>
                <w:szCs w:val="24"/>
                <w:lang w:val="en-GB" w:eastAsia="en-GB"/>
              </w:rPr>
            </w:pPr>
            <w:r w:rsidRPr="000729CF">
              <w:rPr>
                <w:rFonts w:ascii="Arial" w:hAnsi="Arial" w:cs="Arial"/>
                <w:noProof/>
                <w:sz w:val="24"/>
                <w:szCs w:val="24"/>
                <w:lang w:val="en-GB" w:eastAsia="en-GB"/>
              </w:rPr>
              <w:t>Citywide Strategic Transport Model</w:t>
            </w:r>
          </w:p>
        </w:tc>
        <w:tc>
          <w:tcPr>
            <w:tcW w:w="948" w:type="pct"/>
          </w:tcPr>
          <w:p w14:paraId="6B380AC1" w14:textId="77777777" w:rsidR="000729CF" w:rsidRPr="000729CF" w:rsidRDefault="000729CF" w:rsidP="000729CF">
            <w:pPr>
              <w:spacing w:before="60" w:after="60"/>
              <w:jc w:val="right"/>
              <w:rPr>
                <w:rFonts w:ascii="Arial" w:hAnsi="Arial" w:cs="Arial"/>
                <w:sz w:val="24"/>
                <w:szCs w:val="24"/>
                <w:lang w:val="en-GB" w:eastAsia="en-GB"/>
              </w:rPr>
            </w:pPr>
            <w:r w:rsidRPr="000729CF">
              <w:rPr>
                <w:rFonts w:ascii="Arial" w:hAnsi="Arial" w:cs="Arial"/>
                <w:sz w:val="24"/>
                <w:szCs w:val="24"/>
                <w:lang w:val="en-GB" w:eastAsia="en-GB"/>
              </w:rPr>
              <w:t>0.205</w:t>
            </w:r>
          </w:p>
        </w:tc>
      </w:tr>
      <w:tr w:rsidR="000729CF" w:rsidRPr="000729CF" w14:paraId="428002C9" w14:textId="77777777" w:rsidTr="00BC26AB">
        <w:tc>
          <w:tcPr>
            <w:tcW w:w="4052" w:type="pct"/>
          </w:tcPr>
          <w:p w14:paraId="33F4AB3F" w14:textId="77777777" w:rsidR="000729CF" w:rsidRPr="000729CF" w:rsidRDefault="000729CF" w:rsidP="000729CF">
            <w:pPr>
              <w:spacing w:before="60" w:after="60"/>
              <w:rPr>
                <w:rFonts w:ascii="Arial" w:hAnsi="Arial" w:cs="Arial"/>
                <w:noProof/>
                <w:sz w:val="24"/>
                <w:szCs w:val="24"/>
                <w:lang w:val="en-GB" w:eastAsia="en-GB"/>
              </w:rPr>
            </w:pPr>
            <w:r w:rsidRPr="000729CF">
              <w:rPr>
                <w:rFonts w:ascii="Arial" w:hAnsi="Arial" w:cs="Arial"/>
                <w:noProof/>
                <w:sz w:val="24"/>
                <w:szCs w:val="24"/>
                <w:lang w:val="en-GB" w:eastAsia="en-GB"/>
              </w:rPr>
              <w:t>Valley Gardens Phase 3</w:t>
            </w:r>
          </w:p>
        </w:tc>
        <w:tc>
          <w:tcPr>
            <w:tcW w:w="948" w:type="pct"/>
          </w:tcPr>
          <w:p w14:paraId="4C5A6275" w14:textId="77777777" w:rsidR="000729CF" w:rsidRPr="000729CF" w:rsidRDefault="000729CF" w:rsidP="000729CF">
            <w:pPr>
              <w:spacing w:before="60" w:after="60"/>
              <w:jc w:val="right"/>
              <w:rPr>
                <w:rFonts w:ascii="Arial" w:hAnsi="Arial" w:cs="Arial"/>
                <w:sz w:val="24"/>
                <w:szCs w:val="24"/>
                <w:lang w:val="en-GB" w:eastAsia="en-GB"/>
              </w:rPr>
            </w:pPr>
            <w:r w:rsidRPr="000729CF">
              <w:rPr>
                <w:rFonts w:ascii="Arial" w:hAnsi="Arial" w:cs="Arial"/>
                <w:sz w:val="24"/>
                <w:szCs w:val="24"/>
                <w:lang w:val="en-GB" w:eastAsia="en-GB"/>
              </w:rPr>
              <w:t>1.144</w:t>
            </w:r>
          </w:p>
        </w:tc>
      </w:tr>
      <w:tr w:rsidR="000729CF" w:rsidRPr="000729CF" w14:paraId="57FCDAC1" w14:textId="77777777" w:rsidTr="00BC26AB">
        <w:tc>
          <w:tcPr>
            <w:tcW w:w="4052" w:type="pct"/>
          </w:tcPr>
          <w:p w14:paraId="43F7C285" w14:textId="77777777" w:rsidR="000729CF" w:rsidRPr="000729CF" w:rsidRDefault="000729CF" w:rsidP="000729CF">
            <w:pPr>
              <w:spacing w:before="60" w:after="60"/>
              <w:rPr>
                <w:rFonts w:ascii="Arial" w:hAnsi="Arial" w:cs="Arial"/>
                <w:noProof/>
                <w:sz w:val="24"/>
                <w:szCs w:val="24"/>
                <w:lang w:val="en-GB" w:eastAsia="en-GB"/>
              </w:rPr>
            </w:pPr>
            <w:r w:rsidRPr="000729CF">
              <w:rPr>
                <w:rFonts w:ascii="Arial" w:hAnsi="Arial" w:cs="Arial"/>
                <w:noProof/>
                <w:sz w:val="24"/>
                <w:szCs w:val="24"/>
                <w:lang w:val="en-GB" w:eastAsia="en-GB"/>
              </w:rPr>
              <w:t>Hove Station Footbridge</w:t>
            </w:r>
          </w:p>
        </w:tc>
        <w:tc>
          <w:tcPr>
            <w:tcW w:w="948" w:type="pct"/>
          </w:tcPr>
          <w:p w14:paraId="12EE3891" w14:textId="77777777" w:rsidR="000729CF" w:rsidRPr="000729CF" w:rsidRDefault="000729CF" w:rsidP="000729CF">
            <w:pPr>
              <w:spacing w:before="60" w:after="60"/>
              <w:jc w:val="right"/>
              <w:rPr>
                <w:rFonts w:ascii="Arial" w:hAnsi="Arial" w:cs="Arial"/>
                <w:sz w:val="24"/>
                <w:szCs w:val="24"/>
                <w:lang w:val="en-GB" w:eastAsia="en-GB"/>
              </w:rPr>
            </w:pPr>
            <w:r w:rsidRPr="000729CF">
              <w:rPr>
                <w:rFonts w:ascii="Arial" w:hAnsi="Arial" w:cs="Arial"/>
                <w:sz w:val="24"/>
                <w:szCs w:val="24"/>
                <w:lang w:val="en-GB" w:eastAsia="en-GB"/>
              </w:rPr>
              <w:t>0.500</w:t>
            </w:r>
          </w:p>
        </w:tc>
      </w:tr>
      <w:tr w:rsidR="000729CF" w:rsidRPr="000729CF" w14:paraId="3A0ABA20" w14:textId="77777777" w:rsidTr="00BC26AB">
        <w:tc>
          <w:tcPr>
            <w:tcW w:w="4052" w:type="pct"/>
          </w:tcPr>
          <w:p w14:paraId="1A611447" w14:textId="77777777" w:rsidR="000729CF" w:rsidRPr="000729CF" w:rsidRDefault="000729CF" w:rsidP="000729CF">
            <w:pPr>
              <w:spacing w:before="60" w:after="60"/>
              <w:rPr>
                <w:rFonts w:ascii="Arial" w:hAnsi="Arial" w:cs="Arial"/>
                <w:noProof/>
                <w:sz w:val="24"/>
                <w:szCs w:val="24"/>
                <w:lang w:val="en-GB" w:eastAsia="en-GB"/>
              </w:rPr>
            </w:pPr>
            <w:r w:rsidRPr="000729CF">
              <w:rPr>
                <w:rFonts w:ascii="Arial" w:hAnsi="Arial" w:cs="Arial"/>
                <w:noProof/>
                <w:sz w:val="24"/>
                <w:szCs w:val="24"/>
                <w:lang w:val="en-GB" w:eastAsia="en-GB"/>
              </w:rPr>
              <w:t>Elm Grove/ Queens Park Road Improvements</w:t>
            </w:r>
          </w:p>
        </w:tc>
        <w:tc>
          <w:tcPr>
            <w:tcW w:w="948" w:type="pct"/>
          </w:tcPr>
          <w:p w14:paraId="1953AC6E" w14:textId="77777777" w:rsidR="000729CF" w:rsidRPr="000729CF" w:rsidRDefault="000729CF" w:rsidP="000729CF">
            <w:pPr>
              <w:spacing w:before="60" w:after="60"/>
              <w:jc w:val="right"/>
              <w:rPr>
                <w:rFonts w:ascii="Arial" w:hAnsi="Arial" w:cs="Arial"/>
                <w:sz w:val="24"/>
                <w:szCs w:val="24"/>
                <w:lang w:val="en-GB" w:eastAsia="en-GB"/>
              </w:rPr>
            </w:pPr>
            <w:r w:rsidRPr="000729CF">
              <w:rPr>
                <w:rFonts w:ascii="Arial" w:hAnsi="Arial" w:cs="Arial"/>
                <w:sz w:val="24"/>
                <w:szCs w:val="24"/>
                <w:lang w:val="en-GB" w:eastAsia="en-GB"/>
              </w:rPr>
              <w:t>0.350</w:t>
            </w:r>
          </w:p>
        </w:tc>
      </w:tr>
      <w:tr w:rsidR="000729CF" w:rsidRPr="000729CF" w14:paraId="620F7C87" w14:textId="77777777" w:rsidTr="00BC26AB">
        <w:tc>
          <w:tcPr>
            <w:tcW w:w="4052" w:type="pct"/>
          </w:tcPr>
          <w:p w14:paraId="48932003" w14:textId="77777777" w:rsidR="000729CF" w:rsidRPr="000729CF" w:rsidRDefault="000729CF" w:rsidP="000729CF">
            <w:pPr>
              <w:spacing w:before="60" w:after="60"/>
              <w:rPr>
                <w:rFonts w:ascii="Arial" w:hAnsi="Arial" w:cs="Arial"/>
                <w:noProof/>
                <w:sz w:val="24"/>
                <w:szCs w:val="24"/>
                <w:lang w:val="en-GB" w:eastAsia="en-GB"/>
              </w:rPr>
            </w:pPr>
            <w:r w:rsidRPr="000729CF">
              <w:rPr>
                <w:rFonts w:ascii="Arial" w:hAnsi="Arial" w:cs="Arial"/>
                <w:noProof/>
                <w:sz w:val="24"/>
                <w:szCs w:val="24"/>
                <w:lang w:val="en-GB" w:eastAsia="en-GB"/>
              </w:rPr>
              <w:t>Zebra 2 – Zero Emissions Buses</w:t>
            </w:r>
          </w:p>
        </w:tc>
        <w:tc>
          <w:tcPr>
            <w:tcW w:w="948" w:type="pct"/>
          </w:tcPr>
          <w:p w14:paraId="4F3FEA61" w14:textId="77777777" w:rsidR="000729CF" w:rsidRPr="000729CF" w:rsidRDefault="000729CF" w:rsidP="000729CF">
            <w:pPr>
              <w:spacing w:before="60" w:after="60"/>
              <w:jc w:val="right"/>
              <w:rPr>
                <w:rFonts w:ascii="Arial" w:hAnsi="Arial" w:cs="Arial"/>
                <w:sz w:val="24"/>
                <w:szCs w:val="24"/>
                <w:lang w:val="en-GB" w:eastAsia="en-GB"/>
              </w:rPr>
            </w:pPr>
            <w:r w:rsidRPr="000729CF">
              <w:rPr>
                <w:rFonts w:ascii="Arial" w:hAnsi="Arial" w:cs="Arial"/>
                <w:sz w:val="24"/>
                <w:szCs w:val="24"/>
                <w:lang w:val="en-GB" w:eastAsia="en-GB"/>
              </w:rPr>
              <w:t>0.275</w:t>
            </w:r>
          </w:p>
        </w:tc>
      </w:tr>
      <w:tr w:rsidR="000729CF" w:rsidRPr="000729CF" w14:paraId="0F3BE476" w14:textId="77777777" w:rsidTr="00BC26AB">
        <w:tc>
          <w:tcPr>
            <w:tcW w:w="4052" w:type="pct"/>
          </w:tcPr>
          <w:p w14:paraId="07293976" w14:textId="77777777" w:rsidR="000729CF" w:rsidRPr="000729CF" w:rsidRDefault="000729CF" w:rsidP="000729CF">
            <w:pPr>
              <w:spacing w:before="60" w:after="60"/>
              <w:rPr>
                <w:rFonts w:ascii="Arial" w:hAnsi="Arial" w:cs="Arial"/>
                <w:noProof/>
                <w:sz w:val="24"/>
                <w:szCs w:val="24"/>
                <w:lang w:val="en-GB" w:eastAsia="en-GB"/>
              </w:rPr>
            </w:pPr>
            <w:r w:rsidRPr="000729CF">
              <w:rPr>
                <w:rFonts w:ascii="Arial" w:hAnsi="Arial" w:cs="Arial"/>
                <w:noProof/>
                <w:sz w:val="24"/>
                <w:szCs w:val="24"/>
                <w:lang w:val="en-GB" w:eastAsia="en-GB"/>
              </w:rPr>
              <w:t>A27 Junction Works (to be approved)</w:t>
            </w:r>
          </w:p>
        </w:tc>
        <w:tc>
          <w:tcPr>
            <w:tcW w:w="948" w:type="pct"/>
          </w:tcPr>
          <w:p w14:paraId="538E255B" w14:textId="77777777" w:rsidR="000729CF" w:rsidRPr="000729CF" w:rsidRDefault="000729CF" w:rsidP="000729CF">
            <w:pPr>
              <w:spacing w:before="60" w:after="60"/>
              <w:jc w:val="right"/>
              <w:rPr>
                <w:rFonts w:ascii="Arial" w:hAnsi="Arial" w:cs="Arial"/>
                <w:sz w:val="24"/>
                <w:szCs w:val="24"/>
                <w:lang w:val="en-GB" w:eastAsia="en-GB"/>
              </w:rPr>
            </w:pPr>
            <w:r w:rsidRPr="000729CF">
              <w:rPr>
                <w:rFonts w:ascii="Arial" w:hAnsi="Arial" w:cs="Arial"/>
                <w:sz w:val="24"/>
                <w:szCs w:val="24"/>
                <w:lang w:val="en-GB" w:eastAsia="en-GB"/>
              </w:rPr>
              <w:t>0.600</w:t>
            </w:r>
          </w:p>
        </w:tc>
      </w:tr>
      <w:tr w:rsidR="000729CF" w:rsidRPr="000729CF" w14:paraId="3137178C" w14:textId="77777777" w:rsidTr="00BC26AB">
        <w:tc>
          <w:tcPr>
            <w:tcW w:w="4052" w:type="pct"/>
          </w:tcPr>
          <w:p w14:paraId="07B83286" w14:textId="77777777" w:rsidR="000729CF" w:rsidRPr="000729CF" w:rsidRDefault="000729CF" w:rsidP="000729CF">
            <w:pPr>
              <w:spacing w:before="60" w:after="60"/>
              <w:rPr>
                <w:rFonts w:ascii="Arial" w:hAnsi="Arial" w:cs="Arial"/>
                <w:i/>
                <w:iCs/>
                <w:noProof/>
                <w:sz w:val="24"/>
                <w:szCs w:val="24"/>
                <w:u w:val="single"/>
                <w:lang w:val="en-GB" w:eastAsia="en-GB"/>
              </w:rPr>
            </w:pPr>
            <w:r w:rsidRPr="000729CF">
              <w:rPr>
                <w:rFonts w:ascii="Arial" w:hAnsi="Arial" w:cs="Arial"/>
                <w:i/>
                <w:iCs/>
                <w:noProof/>
                <w:sz w:val="24"/>
                <w:szCs w:val="24"/>
                <w:u w:val="single"/>
                <w:lang w:val="en-GB" w:eastAsia="en-GB"/>
              </w:rPr>
              <w:t>Property</w:t>
            </w:r>
          </w:p>
        </w:tc>
        <w:tc>
          <w:tcPr>
            <w:tcW w:w="948" w:type="pct"/>
          </w:tcPr>
          <w:p w14:paraId="4077063D" w14:textId="77777777" w:rsidR="000729CF" w:rsidRPr="000729CF" w:rsidRDefault="000729CF" w:rsidP="000729CF">
            <w:pPr>
              <w:spacing w:before="60" w:after="60"/>
              <w:jc w:val="right"/>
              <w:rPr>
                <w:rFonts w:ascii="Arial" w:hAnsi="Arial" w:cs="Arial"/>
                <w:sz w:val="24"/>
                <w:szCs w:val="24"/>
                <w:lang w:val="en-GB" w:eastAsia="en-GB"/>
              </w:rPr>
            </w:pPr>
          </w:p>
        </w:tc>
      </w:tr>
      <w:tr w:rsidR="000729CF" w:rsidRPr="000729CF" w14:paraId="263F903F" w14:textId="77777777" w:rsidTr="00BC26AB">
        <w:tc>
          <w:tcPr>
            <w:tcW w:w="4052" w:type="pct"/>
          </w:tcPr>
          <w:p w14:paraId="298F10FB" w14:textId="77777777" w:rsidR="000729CF" w:rsidRPr="000729CF" w:rsidRDefault="000729CF" w:rsidP="000729CF">
            <w:pPr>
              <w:spacing w:before="60" w:after="60"/>
              <w:rPr>
                <w:rFonts w:ascii="Arial" w:hAnsi="Arial" w:cs="Arial"/>
                <w:noProof/>
                <w:sz w:val="24"/>
                <w:szCs w:val="24"/>
                <w:lang w:val="en-GB" w:eastAsia="en-GB"/>
              </w:rPr>
            </w:pPr>
            <w:r w:rsidRPr="000729CF">
              <w:rPr>
                <w:rFonts w:ascii="Arial" w:hAnsi="Arial" w:cs="Arial"/>
                <w:noProof/>
                <w:sz w:val="24"/>
                <w:szCs w:val="24"/>
                <w:lang w:val="en-GB" w:eastAsia="en-GB"/>
              </w:rPr>
              <w:t>Planned maintenance for Corporate and Social Care Buildings</w:t>
            </w:r>
          </w:p>
        </w:tc>
        <w:tc>
          <w:tcPr>
            <w:tcW w:w="948" w:type="pct"/>
          </w:tcPr>
          <w:p w14:paraId="708B2CB8" w14:textId="77777777" w:rsidR="000729CF" w:rsidRPr="000729CF" w:rsidRDefault="000729CF" w:rsidP="000729CF">
            <w:pPr>
              <w:spacing w:before="60" w:after="60"/>
              <w:jc w:val="right"/>
              <w:rPr>
                <w:rFonts w:ascii="Arial" w:hAnsi="Arial" w:cs="Arial"/>
                <w:sz w:val="24"/>
                <w:szCs w:val="24"/>
                <w:lang w:val="en-GB" w:eastAsia="en-GB"/>
              </w:rPr>
            </w:pPr>
            <w:r w:rsidRPr="000729CF">
              <w:rPr>
                <w:rFonts w:ascii="Arial" w:hAnsi="Arial" w:cs="Arial"/>
                <w:sz w:val="24"/>
                <w:szCs w:val="24"/>
                <w:lang w:val="en-GB" w:eastAsia="en-GB"/>
              </w:rPr>
              <w:t>2.000</w:t>
            </w:r>
          </w:p>
        </w:tc>
      </w:tr>
      <w:tr w:rsidR="000729CF" w:rsidRPr="000729CF" w14:paraId="571BD41E" w14:textId="77777777" w:rsidTr="00BC26AB">
        <w:tc>
          <w:tcPr>
            <w:tcW w:w="4052" w:type="pct"/>
          </w:tcPr>
          <w:p w14:paraId="6F8D8F09" w14:textId="77777777" w:rsidR="000729CF" w:rsidRPr="000729CF" w:rsidRDefault="000729CF" w:rsidP="000729CF">
            <w:pPr>
              <w:spacing w:before="60" w:after="60"/>
              <w:rPr>
                <w:rFonts w:ascii="Arial" w:hAnsi="Arial" w:cs="Arial"/>
                <w:noProof/>
                <w:sz w:val="24"/>
                <w:szCs w:val="24"/>
                <w:lang w:val="en-GB" w:eastAsia="en-GB"/>
              </w:rPr>
            </w:pPr>
            <w:r w:rsidRPr="000729CF">
              <w:rPr>
                <w:rFonts w:ascii="Arial" w:hAnsi="Arial" w:cs="Arial"/>
                <w:noProof/>
                <w:sz w:val="24"/>
                <w:szCs w:val="24"/>
                <w:lang w:val="en-GB" w:eastAsia="en-GB"/>
              </w:rPr>
              <w:t>Planned Maintenance for Corporate Buildings 2023/24 reprofiled</w:t>
            </w:r>
          </w:p>
        </w:tc>
        <w:tc>
          <w:tcPr>
            <w:tcW w:w="948" w:type="pct"/>
          </w:tcPr>
          <w:p w14:paraId="24B5376B" w14:textId="77777777" w:rsidR="000729CF" w:rsidRPr="000729CF" w:rsidRDefault="000729CF" w:rsidP="000729CF">
            <w:pPr>
              <w:spacing w:before="60" w:after="60"/>
              <w:jc w:val="right"/>
              <w:rPr>
                <w:rFonts w:ascii="Arial" w:hAnsi="Arial" w:cs="Arial"/>
                <w:sz w:val="24"/>
                <w:szCs w:val="24"/>
                <w:lang w:val="en-GB" w:eastAsia="en-GB"/>
              </w:rPr>
            </w:pPr>
            <w:r w:rsidRPr="000729CF">
              <w:rPr>
                <w:rFonts w:ascii="Arial" w:hAnsi="Arial" w:cs="Arial"/>
                <w:sz w:val="24"/>
                <w:szCs w:val="24"/>
                <w:lang w:val="en-GB" w:eastAsia="en-GB"/>
              </w:rPr>
              <w:t>0.603</w:t>
            </w:r>
          </w:p>
        </w:tc>
      </w:tr>
      <w:tr w:rsidR="000729CF" w:rsidRPr="000729CF" w14:paraId="6DC8A633" w14:textId="77777777" w:rsidTr="00BC26AB">
        <w:tc>
          <w:tcPr>
            <w:tcW w:w="4052" w:type="pct"/>
          </w:tcPr>
          <w:p w14:paraId="61A57157" w14:textId="77777777" w:rsidR="000729CF" w:rsidRPr="000729CF" w:rsidRDefault="000729CF" w:rsidP="000729CF">
            <w:pPr>
              <w:spacing w:before="60" w:after="60"/>
              <w:rPr>
                <w:rFonts w:ascii="Arial" w:hAnsi="Arial" w:cs="Arial"/>
                <w:noProof/>
                <w:sz w:val="24"/>
                <w:szCs w:val="24"/>
                <w:lang w:val="en-GB" w:eastAsia="en-GB"/>
              </w:rPr>
            </w:pPr>
            <w:r w:rsidRPr="000729CF">
              <w:rPr>
                <w:rFonts w:ascii="Arial" w:hAnsi="Arial" w:cs="Arial"/>
                <w:noProof/>
                <w:sz w:val="24"/>
                <w:szCs w:val="24"/>
                <w:lang w:val="en-GB" w:eastAsia="en-GB"/>
              </w:rPr>
              <w:t>Workstyles Phase 4 including Office Accommodation Strategy</w:t>
            </w:r>
          </w:p>
        </w:tc>
        <w:tc>
          <w:tcPr>
            <w:tcW w:w="948" w:type="pct"/>
          </w:tcPr>
          <w:p w14:paraId="22FA0CC5" w14:textId="77777777" w:rsidR="000729CF" w:rsidRPr="000729CF" w:rsidRDefault="000729CF" w:rsidP="000729CF">
            <w:pPr>
              <w:spacing w:before="60" w:after="60"/>
              <w:jc w:val="right"/>
              <w:rPr>
                <w:rFonts w:ascii="Arial" w:hAnsi="Arial" w:cs="Arial"/>
                <w:sz w:val="24"/>
                <w:szCs w:val="24"/>
                <w:lang w:val="en-GB" w:eastAsia="en-GB"/>
              </w:rPr>
            </w:pPr>
            <w:r w:rsidRPr="000729CF">
              <w:rPr>
                <w:rFonts w:ascii="Arial" w:hAnsi="Arial" w:cs="Arial"/>
                <w:sz w:val="24"/>
                <w:szCs w:val="24"/>
                <w:lang w:val="en-GB" w:eastAsia="en-GB"/>
              </w:rPr>
              <w:t>0.271</w:t>
            </w:r>
          </w:p>
        </w:tc>
      </w:tr>
      <w:tr w:rsidR="000729CF" w:rsidRPr="000729CF" w14:paraId="7EE05B1E" w14:textId="77777777" w:rsidTr="00BC26AB">
        <w:tc>
          <w:tcPr>
            <w:tcW w:w="4052" w:type="pct"/>
          </w:tcPr>
          <w:p w14:paraId="459CDB0D" w14:textId="77777777" w:rsidR="000729CF" w:rsidRPr="000729CF" w:rsidRDefault="000729CF" w:rsidP="000729CF">
            <w:pPr>
              <w:spacing w:before="60" w:after="60"/>
              <w:rPr>
                <w:rFonts w:ascii="Arial" w:hAnsi="Arial" w:cs="Arial"/>
                <w:noProof/>
                <w:vanish/>
                <w:sz w:val="24"/>
                <w:szCs w:val="24"/>
                <w:lang w:val="en-GB" w:eastAsia="en-GB"/>
              </w:rPr>
            </w:pPr>
            <w:r w:rsidRPr="000729CF">
              <w:rPr>
                <w:rFonts w:ascii="Arial" w:hAnsi="Arial" w:cs="Arial"/>
                <w:noProof/>
                <w:sz w:val="24"/>
                <w:szCs w:val="24"/>
                <w:lang w:val="en-GB" w:eastAsia="en-GB"/>
              </w:rPr>
              <w:t>Phoenix House Improvements</w:t>
            </w:r>
          </w:p>
        </w:tc>
        <w:tc>
          <w:tcPr>
            <w:tcW w:w="948" w:type="pct"/>
          </w:tcPr>
          <w:p w14:paraId="2D8C6A8C" w14:textId="77777777" w:rsidR="000729CF" w:rsidRPr="000729CF" w:rsidRDefault="000729CF" w:rsidP="000729CF">
            <w:pPr>
              <w:spacing w:before="60" w:after="60"/>
              <w:jc w:val="right"/>
              <w:rPr>
                <w:rFonts w:ascii="Arial" w:hAnsi="Arial" w:cs="Arial"/>
                <w:sz w:val="24"/>
                <w:szCs w:val="24"/>
                <w:lang w:val="en-GB" w:eastAsia="en-GB"/>
              </w:rPr>
            </w:pPr>
            <w:r w:rsidRPr="000729CF">
              <w:rPr>
                <w:rFonts w:ascii="Arial" w:hAnsi="Arial" w:cs="Arial"/>
                <w:sz w:val="24"/>
                <w:szCs w:val="24"/>
                <w:lang w:val="en-GB" w:eastAsia="en-GB"/>
              </w:rPr>
              <w:t>0.332</w:t>
            </w:r>
          </w:p>
        </w:tc>
      </w:tr>
      <w:tr w:rsidR="000729CF" w:rsidRPr="000729CF" w14:paraId="306D20EF" w14:textId="77777777" w:rsidTr="00BC26AB">
        <w:tc>
          <w:tcPr>
            <w:tcW w:w="4052" w:type="pct"/>
          </w:tcPr>
          <w:p w14:paraId="00147B13" w14:textId="77777777" w:rsidR="000729CF" w:rsidRPr="000729CF" w:rsidRDefault="000729CF" w:rsidP="000729CF">
            <w:pPr>
              <w:spacing w:before="60" w:after="60"/>
              <w:rPr>
                <w:rFonts w:ascii="Arial" w:hAnsi="Arial" w:cs="Arial"/>
                <w:noProof/>
                <w:sz w:val="24"/>
                <w:szCs w:val="24"/>
                <w:lang w:val="en-GB" w:eastAsia="en-GB"/>
              </w:rPr>
            </w:pPr>
            <w:r w:rsidRPr="000729CF">
              <w:rPr>
                <w:rFonts w:ascii="Arial" w:hAnsi="Arial" w:cs="Arial"/>
                <w:noProof/>
                <w:sz w:val="24"/>
                <w:szCs w:val="24"/>
                <w:lang w:val="en-GB" w:eastAsia="en-GB"/>
              </w:rPr>
              <w:t>Carbon Reduction in Operational Buildings</w:t>
            </w:r>
          </w:p>
        </w:tc>
        <w:tc>
          <w:tcPr>
            <w:tcW w:w="948" w:type="pct"/>
          </w:tcPr>
          <w:p w14:paraId="2CC22E0B" w14:textId="77777777" w:rsidR="000729CF" w:rsidRPr="000729CF" w:rsidRDefault="000729CF" w:rsidP="000729CF">
            <w:pPr>
              <w:spacing w:before="60" w:after="60"/>
              <w:jc w:val="right"/>
              <w:rPr>
                <w:rFonts w:ascii="Arial" w:hAnsi="Arial" w:cs="Arial"/>
                <w:sz w:val="24"/>
                <w:szCs w:val="24"/>
                <w:lang w:val="en-GB" w:eastAsia="en-GB"/>
              </w:rPr>
            </w:pPr>
            <w:r w:rsidRPr="000729CF">
              <w:rPr>
                <w:rFonts w:ascii="Arial" w:hAnsi="Arial" w:cs="Arial"/>
                <w:sz w:val="24"/>
                <w:szCs w:val="24"/>
                <w:lang w:val="en-GB" w:eastAsia="en-GB"/>
              </w:rPr>
              <w:t>1.267</w:t>
            </w:r>
          </w:p>
        </w:tc>
      </w:tr>
      <w:tr w:rsidR="000729CF" w:rsidRPr="000729CF" w14:paraId="4FA4584F" w14:textId="77777777" w:rsidTr="00BC26AB">
        <w:tc>
          <w:tcPr>
            <w:tcW w:w="4052" w:type="pct"/>
          </w:tcPr>
          <w:p w14:paraId="65953622" w14:textId="77777777" w:rsidR="000729CF" w:rsidRPr="000729CF" w:rsidRDefault="000729CF" w:rsidP="000729CF">
            <w:pPr>
              <w:spacing w:before="60" w:after="60"/>
              <w:rPr>
                <w:rFonts w:ascii="Arial" w:hAnsi="Arial" w:cs="Arial"/>
                <w:noProof/>
                <w:sz w:val="24"/>
                <w:szCs w:val="24"/>
                <w:lang w:val="en-GB" w:eastAsia="en-GB"/>
              </w:rPr>
            </w:pPr>
            <w:r w:rsidRPr="000729CF">
              <w:rPr>
                <w:rFonts w:ascii="Arial" w:hAnsi="Arial" w:cs="Arial"/>
                <w:noProof/>
                <w:sz w:val="24"/>
                <w:szCs w:val="24"/>
                <w:lang w:val="en-GB" w:eastAsia="en-GB"/>
              </w:rPr>
              <w:t>Schools Energy Efficiency Reinvestment Fund</w:t>
            </w:r>
          </w:p>
        </w:tc>
        <w:tc>
          <w:tcPr>
            <w:tcW w:w="948" w:type="pct"/>
          </w:tcPr>
          <w:p w14:paraId="284A90DE" w14:textId="77777777" w:rsidR="000729CF" w:rsidRPr="000729CF" w:rsidRDefault="000729CF" w:rsidP="000729CF">
            <w:pPr>
              <w:spacing w:before="60" w:after="60"/>
              <w:jc w:val="right"/>
              <w:rPr>
                <w:rFonts w:ascii="Arial" w:hAnsi="Arial" w:cs="Arial"/>
                <w:sz w:val="24"/>
                <w:szCs w:val="24"/>
                <w:lang w:val="en-GB" w:eastAsia="en-GB"/>
              </w:rPr>
            </w:pPr>
            <w:r w:rsidRPr="000729CF">
              <w:rPr>
                <w:rFonts w:ascii="Arial" w:hAnsi="Arial" w:cs="Arial"/>
                <w:sz w:val="24"/>
                <w:szCs w:val="24"/>
                <w:lang w:val="en-GB" w:eastAsia="en-GB"/>
              </w:rPr>
              <w:t>0.400</w:t>
            </w:r>
          </w:p>
        </w:tc>
      </w:tr>
      <w:tr w:rsidR="000729CF" w:rsidRPr="000729CF" w14:paraId="777F5018" w14:textId="77777777" w:rsidTr="00BC26AB">
        <w:tc>
          <w:tcPr>
            <w:tcW w:w="4052" w:type="pct"/>
          </w:tcPr>
          <w:p w14:paraId="6EDCA95C" w14:textId="77777777" w:rsidR="000729CF" w:rsidRPr="000729CF" w:rsidRDefault="000729CF" w:rsidP="000729CF">
            <w:pPr>
              <w:spacing w:before="60" w:after="60"/>
              <w:rPr>
                <w:rFonts w:ascii="Arial" w:hAnsi="Arial" w:cs="Arial"/>
                <w:noProof/>
                <w:sz w:val="24"/>
                <w:szCs w:val="24"/>
                <w:lang w:val="en-GB" w:eastAsia="en-GB"/>
              </w:rPr>
            </w:pPr>
            <w:r w:rsidRPr="000729CF">
              <w:rPr>
                <w:rFonts w:ascii="Arial" w:hAnsi="Arial" w:cs="Arial"/>
                <w:noProof/>
                <w:sz w:val="24"/>
                <w:szCs w:val="24"/>
                <w:lang w:val="en-GB" w:eastAsia="en-GB"/>
              </w:rPr>
              <w:t>Moulsecoomb Hub Sustainability Measures</w:t>
            </w:r>
          </w:p>
        </w:tc>
        <w:tc>
          <w:tcPr>
            <w:tcW w:w="948" w:type="pct"/>
          </w:tcPr>
          <w:p w14:paraId="225A2662" w14:textId="77777777" w:rsidR="000729CF" w:rsidRPr="000729CF" w:rsidRDefault="000729CF" w:rsidP="000729CF">
            <w:pPr>
              <w:spacing w:before="60" w:after="60"/>
              <w:jc w:val="right"/>
              <w:rPr>
                <w:rFonts w:ascii="Arial" w:hAnsi="Arial" w:cs="Arial"/>
                <w:sz w:val="24"/>
                <w:szCs w:val="24"/>
                <w:lang w:val="en-GB" w:eastAsia="en-GB"/>
              </w:rPr>
            </w:pPr>
            <w:r w:rsidRPr="000729CF">
              <w:rPr>
                <w:rFonts w:ascii="Arial" w:hAnsi="Arial" w:cs="Arial"/>
                <w:sz w:val="24"/>
                <w:szCs w:val="24"/>
                <w:lang w:val="en-GB" w:eastAsia="en-GB"/>
              </w:rPr>
              <w:t>0.100</w:t>
            </w:r>
          </w:p>
        </w:tc>
      </w:tr>
      <w:tr w:rsidR="000729CF" w:rsidRPr="000729CF" w14:paraId="42E684F0" w14:textId="77777777" w:rsidTr="00BC26AB">
        <w:tc>
          <w:tcPr>
            <w:tcW w:w="4052" w:type="pct"/>
          </w:tcPr>
          <w:p w14:paraId="6A30A865" w14:textId="77777777" w:rsidR="000729CF" w:rsidRPr="000729CF" w:rsidRDefault="000729CF" w:rsidP="000729CF">
            <w:pPr>
              <w:spacing w:before="60" w:after="60"/>
              <w:rPr>
                <w:rFonts w:ascii="Arial" w:hAnsi="Arial" w:cs="Arial"/>
                <w:noProof/>
                <w:sz w:val="24"/>
                <w:szCs w:val="24"/>
                <w:lang w:val="en-GB" w:eastAsia="en-GB"/>
              </w:rPr>
            </w:pPr>
            <w:r w:rsidRPr="000729CF">
              <w:rPr>
                <w:rFonts w:ascii="Arial" w:hAnsi="Arial" w:cs="Arial"/>
                <w:noProof/>
                <w:sz w:val="24"/>
                <w:szCs w:val="24"/>
                <w:lang w:val="en-GB" w:eastAsia="en-GB"/>
              </w:rPr>
              <w:t>Solar Panels on Corporate Buildings</w:t>
            </w:r>
          </w:p>
        </w:tc>
        <w:tc>
          <w:tcPr>
            <w:tcW w:w="948" w:type="pct"/>
          </w:tcPr>
          <w:p w14:paraId="67B9184F" w14:textId="77777777" w:rsidR="000729CF" w:rsidRPr="000729CF" w:rsidRDefault="000729CF" w:rsidP="000729CF">
            <w:pPr>
              <w:spacing w:before="60" w:after="60"/>
              <w:jc w:val="right"/>
              <w:rPr>
                <w:rFonts w:ascii="Arial" w:hAnsi="Arial" w:cs="Arial"/>
                <w:sz w:val="24"/>
                <w:szCs w:val="24"/>
                <w:lang w:val="en-GB" w:eastAsia="en-GB"/>
              </w:rPr>
            </w:pPr>
            <w:r w:rsidRPr="000729CF">
              <w:rPr>
                <w:rFonts w:ascii="Arial" w:hAnsi="Arial" w:cs="Arial"/>
                <w:sz w:val="24"/>
                <w:szCs w:val="24"/>
                <w:lang w:val="en-GB" w:eastAsia="en-GB"/>
              </w:rPr>
              <w:t>0.678</w:t>
            </w:r>
          </w:p>
        </w:tc>
      </w:tr>
      <w:tr w:rsidR="000729CF" w:rsidRPr="000729CF" w14:paraId="2A11D325" w14:textId="77777777" w:rsidTr="00BC26AB">
        <w:tc>
          <w:tcPr>
            <w:tcW w:w="4052" w:type="pct"/>
          </w:tcPr>
          <w:p w14:paraId="2086B6CB" w14:textId="77777777" w:rsidR="000729CF" w:rsidRPr="000729CF" w:rsidRDefault="000729CF" w:rsidP="000729CF">
            <w:pPr>
              <w:spacing w:before="60" w:after="60"/>
              <w:rPr>
                <w:rFonts w:ascii="Arial" w:hAnsi="Arial" w:cs="Arial"/>
                <w:b/>
                <w:bCs/>
                <w:i/>
                <w:iCs/>
                <w:noProof/>
                <w:sz w:val="24"/>
                <w:szCs w:val="24"/>
                <w:lang w:val="en-GB" w:eastAsia="en-GB"/>
              </w:rPr>
            </w:pPr>
            <w:r w:rsidRPr="000729CF">
              <w:rPr>
                <w:rFonts w:ascii="Arial" w:hAnsi="Arial" w:cs="Arial"/>
                <w:b/>
                <w:bCs/>
                <w:i/>
                <w:iCs/>
                <w:noProof/>
                <w:sz w:val="24"/>
                <w:szCs w:val="24"/>
                <w:lang w:val="en-GB" w:eastAsia="en-GB"/>
              </w:rPr>
              <w:t>Finance &amp; Resources</w:t>
            </w:r>
          </w:p>
        </w:tc>
        <w:tc>
          <w:tcPr>
            <w:tcW w:w="948" w:type="pct"/>
          </w:tcPr>
          <w:p w14:paraId="6B1F47C9" w14:textId="77777777" w:rsidR="000729CF" w:rsidRPr="000729CF" w:rsidRDefault="000729CF" w:rsidP="000729CF">
            <w:pPr>
              <w:spacing w:before="60" w:after="60"/>
              <w:jc w:val="right"/>
              <w:rPr>
                <w:rFonts w:ascii="Arial" w:hAnsi="Arial" w:cs="Arial"/>
                <w:sz w:val="24"/>
                <w:szCs w:val="24"/>
                <w:lang w:val="en-GB" w:eastAsia="en-GB"/>
              </w:rPr>
            </w:pPr>
          </w:p>
        </w:tc>
      </w:tr>
      <w:tr w:rsidR="000729CF" w:rsidRPr="000729CF" w14:paraId="56F44227" w14:textId="77777777" w:rsidTr="00BC26AB">
        <w:tc>
          <w:tcPr>
            <w:tcW w:w="4052" w:type="pct"/>
          </w:tcPr>
          <w:p w14:paraId="08DE064A" w14:textId="77777777" w:rsidR="000729CF" w:rsidRPr="000729CF" w:rsidRDefault="000729CF" w:rsidP="000729CF">
            <w:pPr>
              <w:spacing w:before="60" w:after="60"/>
              <w:rPr>
                <w:rFonts w:ascii="Arial" w:hAnsi="Arial" w:cs="Arial"/>
                <w:noProof/>
                <w:sz w:val="24"/>
                <w:szCs w:val="24"/>
                <w:lang w:val="en-GB" w:eastAsia="en-GB"/>
              </w:rPr>
            </w:pPr>
            <w:r w:rsidRPr="000729CF">
              <w:rPr>
                <w:rFonts w:ascii="Arial" w:hAnsi="Arial" w:cs="Arial"/>
                <w:noProof/>
                <w:sz w:val="24"/>
                <w:szCs w:val="24"/>
                <w:lang w:val="en-GB" w:eastAsia="en-GB"/>
              </w:rPr>
              <w:t>IT&amp;D Programme and Investment for Desktop and Laptop Replacement Programme</w:t>
            </w:r>
          </w:p>
        </w:tc>
        <w:tc>
          <w:tcPr>
            <w:tcW w:w="948" w:type="pct"/>
          </w:tcPr>
          <w:p w14:paraId="48A4022D" w14:textId="77777777" w:rsidR="000729CF" w:rsidRPr="000729CF" w:rsidRDefault="000729CF" w:rsidP="000729CF">
            <w:pPr>
              <w:spacing w:before="60" w:after="60"/>
              <w:jc w:val="right"/>
              <w:rPr>
                <w:rFonts w:ascii="Arial" w:hAnsi="Arial" w:cs="Arial"/>
                <w:sz w:val="24"/>
                <w:szCs w:val="24"/>
                <w:lang w:val="en-GB" w:eastAsia="en-GB"/>
              </w:rPr>
            </w:pPr>
            <w:r w:rsidRPr="000729CF">
              <w:rPr>
                <w:rFonts w:ascii="Arial" w:hAnsi="Arial" w:cs="Arial"/>
                <w:sz w:val="24"/>
                <w:szCs w:val="24"/>
                <w:lang w:val="en-GB" w:eastAsia="en-GB"/>
              </w:rPr>
              <w:t>3.660</w:t>
            </w:r>
          </w:p>
        </w:tc>
      </w:tr>
      <w:tr w:rsidR="000729CF" w:rsidRPr="000729CF" w14:paraId="24ED4B39" w14:textId="77777777" w:rsidTr="00BC26AB">
        <w:tc>
          <w:tcPr>
            <w:tcW w:w="4052" w:type="pct"/>
          </w:tcPr>
          <w:p w14:paraId="739AA8C8" w14:textId="77777777" w:rsidR="000729CF" w:rsidRPr="000729CF" w:rsidRDefault="000729CF" w:rsidP="000729CF">
            <w:pPr>
              <w:spacing w:before="60" w:after="60"/>
              <w:rPr>
                <w:rFonts w:ascii="Arial" w:hAnsi="Arial" w:cs="Arial"/>
                <w:noProof/>
                <w:sz w:val="24"/>
                <w:szCs w:val="24"/>
                <w:lang w:val="en-GB" w:eastAsia="en-GB"/>
              </w:rPr>
            </w:pPr>
            <w:r w:rsidRPr="000729CF">
              <w:rPr>
                <w:rFonts w:ascii="Arial" w:hAnsi="Arial" w:cs="Arial"/>
                <w:noProof/>
                <w:sz w:val="24"/>
                <w:szCs w:val="24"/>
                <w:lang w:val="en-GB" w:eastAsia="en-GB"/>
              </w:rPr>
              <w:t>Custmomer Digital</w:t>
            </w:r>
          </w:p>
        </w:tc>
        <w:tc>
          <w:tcPr>
            <w:tcW w:w="948" w:type="pct"/>
          </w:tcPr>
          <w:p w14:paraId="0F49FFF6" w14:textId="77777777" w:rsidR="000729CF" w:rsidRPr="000729CF" w:rsidRDefault="000729CF" w:rsidP="000729CF">
            <w:pPr>
              <w:spacing w:before="60" w:after="60"/>
              <w:jc w:val="right"/>
              <w:rPr>
                <w:rFonts w:ascii="Arial" w:hAnsi="Arial" w:cs="Arial"/>
                <w:sz w:val="24"/>
                <w:szCs w:val="24"/>
                <w:lang w:val="en-GB" w:eastAsia="en-GB"/>
              </w:rPr>
            </w:pPr>
            <w:r w:rsidRPr="000729CF">
              <w:rPr>
                <w:rFonts w:ascii="Arial" w:hAnsi="Arial" w:cs="Arial"/>
                <w:sz w:val="24"/>
                <w:szCs w:val="24"/>
                <w:lang w:val="en-GB" w:eastAsia="en-GB"/>
              </w:rPr>
              <w:t>0.380</w:t>
            </w:r>
          </w:p>
        </w:tc>
      </w:tr>
      <w:tr w:rsidR="000729CF" w:rsidRPr="000729CF" w14:paraId="3F59BE15" w14:textId="77777777" w:rsidTr="00BC26AB">
        <w:tc>
          <w:tcPr>
            <w:tcW w:w="4052" w:type="pct"/>
          </w:tcPr>
          <w:p w14:paraId="3E6B8ECB" w14:textId="77777777" w:rsidR="000729CF" w:rsidRPr="000729CF" w:rsidRDefault="000729CF" w:rsidP="000729CF">
            <w:pPr>
              <w:spacing w:before="60" w:after="60"/>
              <w:rPr>
                <w:rFonts w:ascii="Arial" w:hAnsi="Arial" w:cs="Arial"/>
                <w:noProof/>
                <w:sz w:val="24"/>
                <w:szCs w:val="24"/>
                <w:lang w:val="en-GB" w:eastAsia="en-GB"/>
              </w:rPr>
            </w:pPr>
            <w:r w:rsidRPr="000729CF">
              <w:rPr>
                <w:rFonts w:ascii="Arial" w:hAnsi="Arial" w:cs="Arial"/>
                <w:noProof/>
                <w:sz w:val="24"/>
                <w:szCs w:val="24"/>
                <w:lang w:val="en-GB" w:eastAsia="en-GB"/>
              </w:rPr>
              <w:t>Electronic Document Management Replacement System</w:t>
            </w:r>
          </w:p>
        </w:tc>
        <w:tc>
          <w:tcPr>
            <w:tcW w:w="948" w:type="pct"/>
          </w:tcPr>
          <w:p w14:paraId="3F51C75B" w14:textId="77777777" w:rsidR="000729CF" w:rsidRPr="000729CF" w:rsidRDefault="000729CF" w:rsidP="000729CF">
            <w:pPr>
              <w:spacing w:before="60" w:after="60"/>
              <w:jc w:val="right"/>
              <w:rPr>
                <w:rFonts w:ascii="Arial" w:hAnsi="Arial" w:cs="Arial"/>
                <w:sz w:val="24"/>
                <w:szCs w:val="24"/>
                <w:lang w:val="en-GB" w:eastAsia="en-GB"/>
              </w:rPr>
            </w:pPr>
            <w:r w:rsidRPr="000729CF">
              <w:rPr>
                <w:rFonts w:ascii="Arial" w:hAnsi="Arial" w:cs="Arial"/>
                <w:sz w:val="24"/>
                <w:szCs w:val="24"/>
                <w:lang w:val="en-GB" w:eastAsia="en-GB"/>
              </w:rPr>
              <w:t>0.400</w:t>
            </w:r>
          </w:p>
        </w:tc>
      </w:tr>
      <w:tr w:rsidR="000729CF" w:rsidRPr="000729CF" w14:paraId="119EC8AF" w14:textId="77777777" w:rsidTr="00BC26AB">
        <w:tc>
          <w:tcPr>
            <w:tcW w:w="4052" w:type="pct"/>
          </w:tcPr>
          <w:p w14:paraId="70DE052A" w14:textId="77777777" w:rsidR="000729CF" w:rsidRPr="000729CF" w:rsidRDefault="000729CF" w:rsidP="000729CF">
            <w:pPr>
              <w:spacing w:before="60" w:after="60"/>
              <w:rPr>
                <w:rFonts w:ascii="Arial" w:hAnsi="Arial" w:cs="Arial"/>
                <w:noProof/>
                <w:sz w:val="24"/>
                <w:szCs w:val="24"/>
                <w:lang w:val="en-GB" w:eastAsia="en-GB"/>
              </w:rPr>
            </w:pPr>
            <w:r w:rsidRPr="000729CF">
              <w:rPr>
                <w:rFonts w:ascii="Arial" w:hAnsi="Arial" w:cs="Arial"/>
                <w:noProof/>
                <w:sz w:val="24"/>
                <w:szCs w:val="24"/>
                <w:lang w:val="en-GB" w:eastAsia="en-GB"/>
              </w:rPr>
              <w:t>Local Area Network Hardware Refresh</w:t>
            </w:r>
          </w:p>
        </w:tc>
        <w:tc>
          <w:tcPr>
            <w:tcW w:w="948" w:type="pct"/>
          </w:tcPr>
          <w:p w14:paraId="10791EC9" w14:textId="77777777" w:rsidR="000729CF" w:rsidRPr="000729CF" w:rsidRDefault="000729CF" w:rsidP="000729CF">
            <w:pPr>
              <w:spacing w:before="60" w:after="60"/>
              <w:jc w:val="right"/>
              <w:rPr>
                <w:rFonts w:ascii="Arial" w:hAnsi="Arial" w:cs="Arial"/>
                <w:sz w:val="24"/>
                <w:szCs w:val="24"/>
                <w:lang w:val="en-GB" w:eastAsia="en-GB"/>
              </w:rPr>
            </w:pPr>
            <w:r w:rsidRPr="000729CF">
              <w:rPr>
                <w:rFonts w:ascii="Arial" w:hAnsi="Arial" w:cs="Arial"/>
                <w:sz w:val="24"/>
                <w:szCs w:val="24"/>
                <w:lang w:val="en-GB" w:eastAsia="en-GB"/>
              </w:rPr>
              <w:t>0.450</w:t>
            </w:r>
          </w:p>
        </w:tc>
      </w:tr>
      <w:tr w:rsidR="000729CF" w:rsidRPr="000729CF" w14:paraId="7B7AB9E0" w14:textId="77777777" w:rsidTr="00BC26AB">
        <w:tc>
          <w:tcPr>
            <w:tcW w:w="4052" w:type="pct"/>
          </w:tcPr>
          <w:p w14:paraId="138595E1" w14:textId="77777777" w:rsidR="000729CF" w:rsidRPr="000729CF" w:rsidRDefault="000729CF" w:rsidP="000729CF">
            <w:pPr>
              <w:keepNext/>
              <w:spacing w:before="60" w:after="60"/>
              <w:outlineLvl w:val="3"/>
              <w:rPr>
                <w:rFonts w:ascii="Arial" w:hAnsi="Arial" w:cs="Arial"/>
                <w:b/>
                <w:bCs/>
                <w:iCs/>
                <w:color w:val="000000"/>
                <w:sz w:val="24"/>
                <w:szCs w:val="24"/>
                <w:lang w:val="en-GB"/>
              </w:rPr>
            </w:pPr>
            <w:r w:rsidRPr="000729CF">
              <w:rPr>
                <w:rFonts w:ascii="Arial" w:hAnsi="Arial" w:cs="Arial"/>
                <w:b/>
                <w:bCs/>
                <w:iCs/>
                <w:color w:val="000000"/>
                <w:sz w:val="24"/>
                <w:szCs w:val="24"/>
                <w:lang w:val="en-GB"/>
              </w:rPr>
              <w:t>Total for Capital Programme</w:t>
            </w:r>
          </w:p>
        </w:tc>
        <w:tc>
          <w:tcPr>
            <w:tcW w:w="948" w:type="pct"/>
          </w:tcPr>
          <w:p w14:paraId="06D383FA" w14:textId="77777777" w:rsidR="000729CF" w:rsidRPr="000729CF" w:rsidRDefault="000729CF" w:rsidP="000729CF">
            <w:pPr>
              <w:spacing w:before="60" w:after="60"/>
              <w:jc w:val="right"/>
              <w:rPr>
                <w:rFonts w:ascii="Arial" w:hAnsi="Arial" w:cs="Arial"/>
                <w:b/>
                <w:sz w:val="24"/>
                <w:szCs w:val="24"/>
                <w:lang w:val="en-GB" w:eastAsia="en-GB"/>
              </w:rPr>
            </w:pPr>
            <w:r w:rsidRPr="000729CF">
              <w:rPr>
                <w:rFonts w:ascii="Arial" w:hAnsi="Arial" w:cs="Arial"/>
                <w:b/>
                <w:sz w:val="24"/>
                <w:szCs w:val="24"/>
                <w:lang w:val="en-GB" w:eastAsia="en-GB"/>
              </w:rPr>
              <w:t>111.253</w:t>
            </w:r>
          </w:p>
        </w:tc>
      </w:tr>
    </w:tbl>
    <w:p w14:paraId="2E39BF16" w14:textId="77777777" w:rsidR="000729CF" w:rsidRPr="000729CF" w:rsidRDefault="000729CF" w:rsidP="000729CF">
      <w:pPr>
        <w:spacing w:before="120"/>
        <w:rPr>
          <w:rFonts w:ascii="Arial" w:hAnsi="Arial" w:cs="Arial"/>
          <w:sz w:val="24"/>
          <w:szCs w:val="24"/>
          <w:lang w:val="en-GB" w:eastAsia="en-GB"/>
        </w:rPr>
      </w:pPr>
    </w:p>
    <w:p w14:paraId="78647A71" w14:textId="77777777" w:rsidR="000729CF" w:rsidRPr="000729CF" w:rsidRDefault="000729CF" w:rsidP="000729CF">
      <w:pPr>
        <w:spacing w:before="120"/>
        <w:rPr>
          <w:rFonts w:ascii="Arial" w:hAnsi="Arial" w:cs="Arial"/>
          <w:color w:val="FF0000"/>
          <w:sz w:val="24"/>
          <w:szCs w:val="24"/>
          <w:lang w:val="en-GB" w:eastAsia="en-GB"/>
        </w:rPr>
      </w:pPr>
    </w:p>
    <w:p w14:paraId="41BA3DE2" w14:textId="77777777" w:rsidR="000729CF" w:rsidRPr="000729CF" w:rsidRDefault="000729CF" w:rsidP="000729CF">
      <w:pPr>
        <w:spacing w:before="120"/>
        <w:rPr>
          <w:rFonts w:ascii="Arial" w:hAnsi="Arial" w:cs="Arial"/>
          <w:sz w:val="24"/>
          <w:szCs w:val="24"/>
          <w:lang w:val="en-GB" w:eastAsia="en-GB"/>
        </w:rPr>
      </w:pPr>
    </w:p>
    <w:p w14:paraId="20E4D242" w14:textId="77777777" w:rsidR="000729CF" w:rsidRPr="000729CF" w:rsidRDefault="000729CF" w:rsidP="000729CF">
      <w:pPr>
        <w:spacing w:before="120"/>
        <w:rPr>
          <w:rFonts w:ascii="Arial" w:hAnsi="Arial" w:cs="Arial"/>
          <w:sz w:val="24"/>
          <w:szCs w:val="24"/>
          <w:lang w:val="en-GB" w:eastAsia="en-GB"/>
        </w:rPr>
      </w:pPr>
    </w:p>
    <w:p w14:paraId="0562E893" w14:textId="77777777" w:rsidR="000729CF" w:rsidRPr="000729CF" w:rsidRDefault="000729CF" w:rsidP="000729CF">
      <w:pPr>
        <w:spacing w:after="200" w:line="276" w:lineRule="auto"/>
        <w:rPr>
          <w:rFonts w:ascii="Arial" w:eastAsia="Calibri" w:hAnsi="Arial" w:cs="Arial"/>
          <w:sz w:val="24"/>
          <w:szCs w:val="24"/>
          <w:lang w:val="en-GB"/>
        </w:rPr>
      </w:pPr>
      <w:r w:rsidRPr="000729CF">
        <w:rPr>
          <w:rFonts w:ascii="Arial" w:eastAsia="Calibri" w:hAnsi="Arial" w:cs="Arial"/>
          <w:sz w:val="24"/>
          <w:szCs w:val="24"/>
          <w:lang w:val="en-GB"/>
        </w:rPr>
        <w:br w:type="page"/>
      </w:r>
    </w:p>
    <w:p w14:paraId="3E810487" w14:textId="77777777" w:rsidR="000729CF" w:rsidRPr="000729CF" w:rsidRDefault="000729CF" w:rsidP="000729CF">
      <w:pPr>
        <w:spacing w:after="200" w:line="276" w:lineRule="auto"/>
        <w:rPr>
          <w:rFonts w:ascii="Arial" w:eastAsia="Calibri" w:hAnsi="Arial" w:cs="Arial"/>
          <w:sz w:val="24"/>
          <w:szCs w:val="24"/>
          <w:lang w:val="en-GB"/>
        </w:rPr>
      </w:pPr>
    </w:p>
    <w:p w14:paraId="76978090" w14:textId="77777777" w:rsidR="000729CF" w:rsidRPr="000729CF" w:rsidRDefault="000729CF" w:rsidP="000729CF">
      <w:pPr>
        <w:spacing w:after="120"/>
        <w:jc w:val="right"/>
        <w:rPr>
          <w:rFonts w:ascii="Arial" w:eastAsia="Calibri" w:hAnsi="Arial" w:cs="Arial"/>
          <w:b/>
          <w:sz w:val="24"/>
          <w:szCs w:val="24"/>
          <w:lang w:val="en-GB"/>
        </w:rPr>
      </w:pPr>
      <w:r w:rsidRPr="000729CF">
        <w:rPr>
          <w:rFonts w:ascii="Arial" w:eastAsia="Calibri" w:hAnsi="Arial" w:cs="Arial"/>
          <w:b/>
          <w:sz w:val="24"/>
          <w:szCs w:val="24"/>
          <w:lang w:val="en-GB"/>
        </w:rPr>
        <w:t>ANNEX B</w:t>
      </w:r>
    </w:p>
    <w:p w14:paraId="2D2C0621" w14:textId="77777777" w:rsidR="000729CF" w:rsidRPr="000729CF" w:rsidRDefault="000729CF" w:rsidP="000729CF">
      <w:pPr>
        <w:spacing w:after="120"/>
        <w:rPr>
          <w:rFonts w:ascii="Arial" w:eastAsia="Calibri" w:hAnsi="Arial" w:cs="Arial"/>
          <w:b/>
          <w:sz w:val="24"/>
          <w:szCs w:val="24"/>
          <w:lang w:val="en-GB"/>
        </w:rPr>
      </w:pPr>
      <w:bookmarkStart w:id="43" w:name="_Hlk63102584"/>
      <w:bookmarkStart w:id="44" w:name="_Hlk63101524"/>
      <w:r w:rsidRPr="000729CF">
        <w:rPr>
          <w:rFonts w:ascii="Arial" w:eastAsia="Calibri" w:hAnsi="Arial" w:cs="Arial"/>
          <w:b/>
          <w:sz w:val="24"/>
          <w:szCs w:val="24"/>
          <w:lang w:val="en-GB"/>
        </w:rPr>
        <w:t>List of current non-treasury Investments</w:t>
      </w:r>
    </w:p>
    <w:p w14:paraId="0CF3F689" w14:textId="77777777" w:rsidR="000729CF" w:rsidRPr="000729CF" w:rsidRDefault="000729CF" w:rsidP="000729CF">
      <w:pPr>
        <w:spacing w:after="120"/>
        <w:rPr>
          <w:rFonts w:ascii="Arial" w:eastAsia="Calibri" w:hAnsi="Arial" w:cs="Arial"/>
          <w:sz w:val="24"/>
          <w:szCs w:val="24"/>
          <w:lang w:val="en-GB"/>
        </w:rPr>
      </w:pPr>
      <w:r w:rsidRPr="000729CF">
        <w:rPr>
          <w:rFonts w:ascii="Arial" w:eastAsia="Calibri" w:hAnsi="Arial" w:cs="Arial"/>
          <w:sz w:val="24"/>
          <w:szCs w:val="24"/>
          <w:lang w:val="en-GB"/>
        </w:rPr>
        <w:t>This list is reviewed on an on-going basis by finance officers to ensure risks are monitored and updates are escalated through the Strategic Delivery Board and Corporate Investment Board where required.</w:t>
      </w:r>
    </w:p>
    <w:p w14:paraId="06459162" w14:textId="77777777" w:rsidR="000729CF" w:rsidRPr="000729CF" w:rsidRDefault="000729CF" w:rsidP="000729CF">
      <w:pPr>
        <w:spacing w:after="120"/>
        <w:rPr>
          <w:rFonts w:ascii="Arial" w:eastAsia="Calibri" w:hAnsi="Arial" w:cs="Arial"/>
          <w:color w:val="FF0000"/>
          <w:sz w:val="24"/>
          <w:szCs w:val="24"/>
          <w:lang w:val="en-GB"/>
        </w:rPr>
      </w:pPr>
    </w:p>
    <w:tbl>
      <w:tblPr>
        <w:tblStyle w:val="TableGrid"/>
        <w:tblW w:w="0" w:type="auto"/>
        <w:tblInd w:w="-5" w:type="dxa"/>
        <w:tblLook w:val="04A0" w:firstRow="1" w:lastRow="0" w:firstColumn="1" w:lastColumn="0" w:noHBand="0" w:noVBand="1"/>
      </w:tblPr>
      <w:tblGrid>
        <w:gridCol w:w="3154"/>
        <w:gridCol w:w="4661"/>
        <w:gridCol w:w="1818"/>
      </w:tblGrid>
      <w:tr w:rsidR="000729CF" w:rsidRPr="000729CF" w14:paraId="37366E76" w14:textId="77777777" w:rsidTr="000729CF">
        <w:tc>
          <w:tcPr>
            <w:tcW w:w="3154" w:type="dxa"/>
            <w:shd w:val="clear" w:color="auto" w:fill="0F243E"/>
          </w:tcPr>
          <w:p w14:paraId="35E70524" w14:textId="77777777" w:rsidR="000729CF" w:rsidRPr="000729CF" w:rsidRDefault="000729CF" w:rsidP="000729CF">
            <w:pPr>
              <w:spacing w:after="120"/>
              <w:rPr>
                <w:rFonts w:ascii="Arial" w:eastAsia="Calibri" w:hAnsi="Arial" w:cs="Arial"/>
                <w:b/>
                <w:sz w:val="24"/>
                <w:szCs w:val="24"/>
              </w:rPr>
            </w:pPr>
            <w:r w:rsidRPr="000729CF">
              <w:rPr>
                <w:rFonts w:ascii="Arial" w:eastAsia="Calibri" w:hAnsi="Arial" w:cs="Arial"/>
                <w:b/>
                <w:sz w:val="24"/>
                <w:szCs w:val="24"/>
              </w:rPr>
              <w:t>Investment Type</w:t>
            </w:r>
          </w:p>
        </w:tc>
        <w:tc>
          <w:tcPr>
            <w:tcW w:w="4661" w:type="dxa"/>
            <w:shd w:val="clear" w:color="auto" w:fill="0F243E"/>
          </w:tcPr>
          <w:p w14:paraId="7ABCF3D1" w14:textId="77777777" w:rsidR="000729CF" w:rsidRPr="000729CF" w:rsidRDefault="000729CF" w:rsidP="000729CF">
            <w:pPr>
              <w:spacing w:after="120"/>
              <w:rPr>
                <w:rFonts w:ascii="Arial" w:eastAsia="Calibri" w:hAnsi="Arial" w:cs="Arial"/>
                <w:b/>
                <w:sz w:val="24"/>
                <w:szCs w:val="24"/>
              </w:rPr>
            </w:pPr>
            <w:r w:rsidRPr="000729CF">
              <w:rPr>
                <w:rFonts w:ascii="Arial" w:eastAsia="Calibri" w:hAnsi="Arial" w:cs="Arial"/>
                <w:b/>
                <w:sz w:val="24"/>
                <w:szCs w:val="24"/>
              </w:rPr>
              <w:t>Scheme Name</w:t>
            </w:r>
          </w:p>
        </w:tc>
        <w:tc>
          <w:tcPr>
            <w:tcW w:w="1818" w:type="dxa"/>
            <w:shd w:val="clear" w:color="auto" w:fill="0F243E"/>
          </w:tcPr>
          <w:p w14:paraId="3DE28C8A" w14:textId="77777777" w:rsidR="000729CF" w:rsidRPr="000729CF" w:rsidRDefault="000729CF" w:rsidP="000729CF">
            <w:pPr>
              <w:spacing w:after="120"/>
              <w:rPr>
                <w:rFonts w:ascii="Arial" w:eastAsia="Calibri" w:hAnsi="Arial" w:cs="Arial"/>
                <w:b/>
                <w:sz w:val="24"/>
                <w:szCs w:val="24"/>
              </w:rPr>
            </w:pPr>
            <w:r w:rsidRPr="000729CF">
              <w:rPr>
                <w:rFonts w:ascii="Arial" w:eastAsia="Calibri" w:hAnsi="Arial" w:cs="Arial"/>
                <w:b/>
                <w:sz w:val="24"/>
                <w:szCs w:val="24"/>
              </w:rPr>
              <w:t>Value</w:t>
            </w:r>
          </w:p>
        </w:tc>
      </w:tr>
      <w:tr w:rsidR="000729CF" w:rsidRPr="000729CF" w14:paraId="098AE3A5" w14:textId="77777777" w:rsidTr="00BC26AB">
        <w:trPr>
          <w:trHeight w:val="567"/>
        </w:trPr>
        <w:tc>
          <w:tcPr>
            <w:tcW w:w="3154" w:type="dxa"/>
          </w:tcPr>
          <w:p w14:paraId="3E388706"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Investment Property Portfolio</w:t>
            </w:r>
          </w:p>
        </w:tc>
        <w:tc>
          <w:tcPr>
            <w:tcW w:w="4661" w:type="dxa"/>
          </w:tcPr>
          <w:p w14:paraId="19A0C913"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Urban &amp; Agriculture Property Portfolios</w:t>
            </w:r>
          </w:p>
        </w:tc>
        <w:tc>
          <w:tcPr>
            <w:tcW w:w="1818" w:type="dxa"/>
            <w:shd w:val="clear" w:color="auto" w:fill="auto"/>
          </w:tcPr>
          <w:p w14:paraId="484E93DA" w14:textId="77777777" w:rsidR="000729CF" w:rsidRPr="000729CF" w:rsidRDefault="000729CF" w:rsidP="000729CF">
            <w:pPr>
              <w:jc w:val="right"/>
              <w:rPr>
                <w:rFonts w:ascii="Arial" w:eastAsia="Calibri" w:hAnsi="Arial" w:cs="Arial"/>
                <w:sz w:val="24"/>
                <w:szCs w:val="24"/>
              </w:rPr>
            </w:pPr>
            <w:r w:rsidRPr="000729CF">
              <w:rPr>
                <w:rFonts w:ascii="Arial" w:eastAsia="Calibri" w:hAnsi="Arial" w:cs="Arial"/>
                <w:sz w:val="24"/>
                <w:szCs w:val="24"/>
              </w:rPr>
              <w:t>£286.014m*</w:t>
            </w:r>
          </w:p>
        </w:tc>
      </w:tr>
      <w:tr w:rsidR="000729CF" w:rsidRPr="000729CF" w14:paraId="46F867B8" w14:textId="77777777" w:rsidTr="00BC26AB">
        <w:trPr>
          <w:trHeight w:val="567"/>
        </w:trPr>
        <w:tc>
          <w:tcPr>
            <w:tcW w:w="3154" w:type="dxa"/>
          </w:tcPr>
          <w:p w14:paraId="304BF56D"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Loan to external body</w:t>
            </w:r>
          </w:p>
        </w:tc>
        <w:tc>
          <w:tcPr>
            <w:tcW w:w="4661" w:type="dxa"/>
          </w:tcPr>
          <w:p w14:paraId="6D13312F"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i360 Company</w:t>
            </w:r>
          </w:p>
        </w:tc>
        <w:tc>
          <w:tcPr>
            <w:tcW w:w="1818" w:type="dxa"/>
          </w:tcPr>
          <w:p w14:paraId="1452C912" w14:textId="77777777" w:rsidR="000729CF" w:rsidRPr="000729CF" w:rsidRDefault="000729CF" w:rsidP="000729CF">
            <w:pPr>
              <w:jc w:val="right"/>
              <w:rPr>
                <w:rFonts w:ascii="Arial" w:eastAsia="Calibri" w:hAnsi="Arial" w:cs="Arial"/>
                <w:color w:val="7030A0"/>
                <w:sz w:val="24"/>
                <w:szCs w:val="24"/>
              </w:rPr>
            </w:pPr>
            <w:r w:rsidRPr="000729CF">
              <w:rPr>
                <w:rFonts w:ascii="Arial" w:eastAsia="Calibri" w:hAnsi="Arial" w:cs="Arial"/>
                <w:sz w:val="24"/>
                <w:szCs w:val="24"/>
              </w:rPr>
              <w:t>£50.033m</w:t>
            </w:r>
          </w:p>
        </w:tc>
      </w:tr>
      <w:tr w:rsidR="000729CF" w:rsidRPr="000729CF" w14:paraId="230D44BB" w14:textId="77777777" w:rsidTr="00BC26AB">
        <w:trPr>
          <w:trHeight w:val="70"/>
        </w:trPr>
        <w:tc>
          <w:tcPr>
            <w:tcW w:w="3154" w:type="dxa"/>
          </w:tcPr>
          <w:p w14:paraId="42AFCFD1"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Loan to external body</w:t>
            </w:r>
          </w:p>
        </w:tc>
        <w:tc>
          <w:tcPr>
            <w:tcW w:w="4661" w:type="dxa"/>
          </w:tcPr>
          <w:p w14:paraId="6DC453D3"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 xml:space="preserve">The Wave Community Bank (formerly ESCU) </w:t>
            </w:r>
          </w:p>
        </w:tc>
        <w:tc>
          <w:tcPr>
            <w:tcW w:w="1818" w:type="dxa"/>
          </w:tcPr>
          <w:p w14:paraId="1FD0A9C2" w14:textId="77777777" w:rsidR="000729CF" w:rsidRPr="000729CF" w:rsidRDefault="000729CF" w:rsidP="000729CF">
            <w:pPr>
              <w:jc w:val="right"/>
              <w:rPr>
                <w:rFonts w:ascii="Arial" w:eastAsia="Calibri" w:hAnsi="Arial" w:cs="Arial"/>
                <w:sz w:val="24"/>
                <w:szCs w:val="24"/>
              </w:rPr>
            </w:pPr>
            <w:r w:rsidRPr="000729CF">
              <w:rPr>
                <w:rFonts w:ascii="Arial" w:eastAsia="Calibri" w:hAnsi="Arial" w:cs="Arial"/>
                <w:sz w:val="24"/>
                <w:szCs w:val="24"/>
              </w:rPr>
              <w:t>£0.250m</w:t>
            </w:r>
          </w:p>
        </w:tc>
      </w:tr>
      <w:tr w:rsidR="000729CF" w:rsidRPr="000729CF" w14:paraId="2AFDF2D6" w14:textId="77777777" w:rsidTr="00BC26AB">
        <w:trPr>
          <w:trHeight w:val="70"/>
        </w:trPr>
        <w:tc>
          <w:tcPr>
            <w:tcW w:w="3154" w:type="dxa"/>
          </w:tcPr>
          <w:p w14:paraId="4F1277D3"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Loan to external body</w:t>
            </w:r>
          </w:p>
        </w:tc>
        <w:tc>
          <w:tcPr>
            <w:tcW w:w="4661" w:type="dxa"/>
          </w:tcPr>
          <w:p w14:paraId="128BB4D8"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Royal Pavilion and Museums Trust</w:t>
            </w:r>
          </w:p>
        </w:tc>
        <w:tc>
          <w:tcPr>
            <w:tcW w:w="1818" w:type="dxa"/>
          </w:tcPr>
          <w:p w14:paraId="14A5781F" w14:textId="77777777" w:rsidR="000729CF" w:rsidRPr="000729CF" w:rsidRDefault="000729CF" w:rsidP="000729CF">
            <w:pPr>
              <w:jc w:val="right"/>
              <w:rPr>
                <w:rFonts w:ascii="Arial" w:eastAsia="Calibri" w:hAnsi="Arial" w:cs="Arial"/>
                <w:sz w:val="24"/>
                <w:szCs w:val="24"/>
              </w:rPr>
            </w:pPr>
            <w:r w:rsidRPr="000729CF">
              <w:rPr>
                <w:rFonts w:ascii="Arial" w:eastAsia="Calibri" w:hAnsi="Arial" w:cs="Arial"/>
                <w:sz w:val="24"/>
                <w:szCs w:val="24"/>
              </w:rPr>
              <w:t>£2.000m</w:t>
            </w:r>
          </w:p>
        </w:tc>
      </w:tr>
      <w:tr w:rsidR="000729CF" w:rsidRPr="000729CF" w14:paraId="4D3C5247" w14:textId="77777777" w:rsidTr="00BC26AB">
        <w:trPr>
          <w:trHeight w:val="70"/>
        </w:trPr>
        <w:tc>
          <w:tcPr>
            <w:tcW w:w="3154" w:type="dxa"/>
          </w:tcPr>
          <w:p w14:paraId="6B59D0B5"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Loan to external body</w:t>
            </w:r>
          </w:p>
        </w:tc>
        <w:tc>
          <w:tcPr>
            <w:tcW w:w="4661" w:type="dxa"/>
          </w:tcPr>
          <w:p w14:paraId="6FA8AF34"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Corn Exchange &amp; Studio Theatre</w:t>
            </w:r>
          </w:p>
        </w:tc>
        <w:tc>
          <w:tcPr>
            <w:tcW w:w="1818" w:type="dxa"/>
          </w:tcPr>
          <w:p w14:paraId="35565D0B" w14:textId="77777777" w:rsidR="000729CF" w:rsidRPr="000729CF" w:rsidRDefault="000729CF" w:rsidP="000729CF">
            <w:pPr>
              <w:jc w:val="right"/>
              <w:rPr>
                <w:rFonts w:ascii="Arial" w:eastAsia="Calibri" w:hAnsi="Arial" w:cs="Arial"/>
                <w:sz w:val="24"/>
                <w:szCs w:val="24"/>
              </w:rPr>
            </w:pPr>
            <w:r w:rsidRPr="000729CF">
              <w:rPr>
                <w:rFonts w:ascii="Arial" w:eastAsia="Calibri" w:hAnsi="Arial" w:cs="Arial"/>
                <w:sz w:val="24"/>
                <w:szCs w:val="24"/>
              </w:rPr>
              <w:t>£2.704m</w:t>
            </w:r>
          </w:p>
        </w:tc>
      </w:tr>
      <w:tr w:rsidR="000729CF" w:rsidRPr="000729CF" w14:paraId="48C3DFE7" w14:textId="77777777" w:rsidTr="00BC26AB">
        <w:trPr>
          <w:trHeight w:val="567"/>
        </w:trPr>
        <w:tc>
          <w:tcPr>
            <w:tcW w:w="3154" w:type="dxa"/>
          </w:tcPr>
          <w:p w14:paraId="1E2D3B1F"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Financial Guarantee</w:t>
            </w:r>
          </w:p>
        </w:tc>
        <w:tc>
          <w:tcPr>
            <w:tcW w:w="4661" w:type="dxa"/>
          </w:tcPr>
          <w:p w14:paraId="4841D91F"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Brighton &amp; Hove Seaside Community Homes</w:t>
            </w:r>
          </w:p>
        </w:tc>
        <w:tc>
          <w:tcPr>
            <w:tcW w:w="1818" w:type="dxa"/>
          </w:tcPr>
          <w:p w14:paraId="21335155" w14:textId="77777777" w:rsidR="000729CF" w:rsidRPr="000729CF" w:rsidRDefault="000729CF" w:rsidP="000729CF">
            <w:pPr>
              <w:jc w:val="right"/>
              <w:rPr>
                <w:rFonts w:ascii="Arial" w:eastAsia="Calibri" w:hAnsi="Arial" w:cs="Arial"/>
                <w:sz w:val="24"/>
                <w:szCs w:val="24"/>
              </w:rPr>
            </w:pPr>
            <w:r w:rsidRPr="000729CF">
              <w:rPr>
                <w:rFonts w:ascii="Arial" w:eastAsia="Calibri" w:hAnsi="Arial" w:cs="Arial"/>
                <w:sz w:val="24"/>
                <w:szCs w:val="24"/>
              </w:rPr>
              <w:t>£0.970m**</w:t>
            </w:r>
          </w:p>
        </w:tc>
      </w:tr>
      <w:tr w:rsidR="000729CF" w:rsidRPr="000729CF" w14:paraId="18883D8A" w14:textId="77777777" w:rsidTr="00BC26AB">
        <w:trPr>
          <w:trHeight w:val="567"/>
        </w:trPr>
        <w:tc>
          <w:tcPr>
            <w:tcW w:w="3154" w:type="dxa"/>
          </w:tcPr>
          <w:p w14:paraId="1D717956"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Housing Property Joint Venture</w:t>
            </w:r>
          </w:p>
        </w:tc>
        <w:tc>
          <w:tcPr>
            <w:tcW w:w="4661" w:type="dxa"/>
          </w:tcPr>
          <w:p w14:paraId="2548989C"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 xml:space="preserve">Housing Joint Venture </w:t>
            </w:r>
          </w:p>
        </w:tc>
        <w:tc>
          <w:tcPr>
            <w:tcW w:w="1818" w:type="dxa"/>
          </w:tcPr>
          <w:p w14:paraId="6D134D45" w14:textId="77777777" w:rsidR="000729CF" w:rsidRPr="000729CF" w:rsidRDefault="000729CF" w:rsidP="000729CF">
            <w:pPr>
              <w:jc w:val="right"/>
              <w:rPr>
                <w:rFonts w:ascii="Arial" w:eastAsia="Calibri" w:hAnsi="Arial" w:cs="Arial"/>
                <w:sz w:val="24"/>
                <w:szCs w:val="24"/>
                <w:highlight w:val="yellow"/>
              </w:rPr>
            </w:pPr>
            <w:r w:rsidRPr="000729CF">
              <w:rPr>
                <w:rFonts w:ascii="Arial" w:eastAsia="Calibri" w:hAnsi="Arial" w:cs="Arial"/>
                <w:sz w:val="24"/>
                <w:szCs w:val="24"/>
              </w:rPr>
              <w:t>£0.500m***</w:t>
            </w:r>
          </w:p>
        </w:tc>
      </w:tr>
      <w:bookmarkEnd w:id="43"/>
    </w:tbl>
    <w:p w14:paraId="3DAD9925" w14:textId="77777777" w:rsidR="000729CF" w:rsidRPr="000729CF" w:rsidRDefault="000729CF" w:rsidP="000729CF">
      <w:pPr>
        <w:spacing w:after="120"/>
        <w:rPr>
          <w:rFonts w:ascii="Arial" w:eastAsia="Calibri" w:hAnsi="Arial" w:cs="Arial"/>
          <w:sz w:val="24"/>
          <w:szCs w:val="24"/>
          <w:vertAlign w:val="superscript"/>
          <w:lang w:val="en-GB"/>
        </w:rPr>
      </w:pPr>
    </w:p>
    <w:p w14:paraId="47D8FB41" w14:textId="77777777" w:rsidR="000729CF" w:rsidRPr="000729CF" w:rsidRDefault="000729CF" w:rsidP="000729CF">
      <w:pPr>
        <w:spacing w:after="120"/>
        <w:rPr>
          <w:rFonts w:ascii="Arial" w:eastAsia="Calibri" w:hAnsi="Arial" w:cs="Arial"/>
          <w:sz w:val="24"/>
          <w:szCs w:val="24"/>
          <w:vertAlign w:val="superscript"/>
          <w:lang w:val="en-GB"/>
        </w:rPr>
      </w:pPr>
      <w:r w:rsidRPr="000729CF">
        <w:rPr>
          <w:rFonts w:ascii="Arial" w:eastAsia="Calibri" w:hAnsi="Arial" w:cs="Arial"/>
          <w:b/>
          <w:sz w:val="24"/>
          <w:szCs w:val="24"/>
          <w:vertAlign w:val="superscript"/>
          <w:lang w:val="en-GB"/>
        </w:rPr>
        <w:t>*</w:t>
      </w:r>
      <w:r w:rsidRPr="000729CF">
        <w:rPr>
          <w:rFonts w:ascii="Arial" w:eastAsia="Calibri" w:hAnsi="Arial" w:cs="Arial"/>
          <w:b/>
          <w:sz w:val="24"/>
          <w:szCs w:val="24"/>
          <w:vertAlign w:val="superscript"/>
          <w:lang w:val="en-GB"/>
        </w:rPr>
        <w:tab/>
      </w:r>
      <w:r w:rsidRPr="000729CF">
        <w:rPr>
          <w:rFonts w:ascii="Arial" w:eastAsia="Calibri" w:hAnsi="Arial" w:cs="Arial"/>
          <w:sz w:val="24"/>
          <w:szCs w:val="24"/>
          <w:lang w:val="en-GB"/>
        </w:rPr>
        <w:t>Value as at 31 March 2023</w:t>
      </w:r>
      <w:r w:rsidRPr="000729CF">
        <w:rPr>
          <w:rFonts w:ascii="Arial" w:eastAsia="Calibri" w:hAnsi="Arial" w:cs="Arial"/>
          <w:sz w:val="24"/>
          <w:szCs w:val="24"/>
          <w:vertAlign w:val="superscript"/>
          <w:lang w:val="en-GB"/>
        </w:rPr>
        <w:tab/>
        <w:t xml:space="preserve"> </w:t>
      </w:r>
    </w:p>
    <w:p w14:paraId="6A2BCC25" w14:textId="77777777" w:rsidR="000729CF" w:rsidRPr="000729CF" w:rsidRDefault="000729CF" w:rsidP="000729CF">
      <w:pPr>
        <w:spacing w:after="120"/>
        <w:rPr>
          <w:rFonts w:ascii="Arial" w:eastAsia="Calibri" w:hAnsi="Arial" w:cs="Arial"/>
          <w:sz w:val="24"/>
          <w:szCs w:val="24"/>
          <w:lang w:val="en-GB"/>
        </w:rPr>
      </w:pPr>
      <w:r w:rsidRPr="000729CF">
        <w:rPr>
          <w:rFonts w:ascii="Arial" w:eastAsia="Calibri" w:hAnsi="Arial" w:cs="Arial"/>
          <w:sz w:val="24"/>
          <w:szCs w:val="24"/>
          <w:lang w:val="en-GB"/>
        </w:rPr>
        <w:t>**</w:t>
      </w:r>
      <w:r w:rsidRPr="000729CF">
        <w:rPr>
          <w:rFonts w:ascii="Arial" w:eastAsia="Calibri" w:hAnsi="Arial" w:cs="Arial"/>
          <w:sz w:val="24"/>
          <w:szCs w:val="24"/>
          <w:lang w:val="en-GB"/>
        </w:rPr>
        <w:tab/>
        <w:t>Estimated value of debtor at 31 March 2023</w:t>
      </w:r>
    </w:p>
    <w:p w14:paraId="2D4397FC" w14:textId="77777777" w:rsidR="000729CF" w:rsidRPr="000729CF" w:rsidRDefault="000729CF" w:rsidP="000729CF">
      <w:pPr>
        <w:spacing w:after="120"/>
        <w:rPr>
          <w:rFonts w:ascii="Arial" w:eastAsia="Calibri" w:hAnsi="Arial" w:cs="Arial"/>
          <w:sz w:val="24"/>
          <w:szCs w:val="24"/>
          <w:lang w:val="en-GB"/>
        </w:rPr>
      </w:pPr>
      <w:r w:rsidRPr="000729CF">
        <w:rPr>
          <w:rFonts w:ascii="Arial" w:eastAsia="Calibri" w:hAnsi="Arial" w:cs="Arial"/>
          <w:sz w:val="24"/>
          <w:szCs w:val="24"/>
          <w:lang w:val="en-GB"/>
        </w:rPr>
        <w:t>***</w:t>
      </w:r>
      <w:r w:rsidRPr="000729CF">
        <w:rPr>
          <w:rFonts w:ascii="Arial" w:eastAsia="Calibri" w:hAnsi="Arial" w:cs="Arial"/>
          <w:sz w:val="24"/>
          <w:szCs w:val="24"/>
          <w:lang w:val="en-GB"/>
        </w:rPr>
        <w:tab/>
      </w:r>
      <w:bookmarkEnd w:id="44"/>
      <w:r w:rsidRPr="000729CF">
        <w:rPr>
          <w:rFonts w:ascii="Arial" w:eastAsia="Calibri" w:hAnsi="Arial" w:cs="Arial"/>
          <w:sz w:val="24"/>
          <w:szCs w:val="24"/>
          <w:lang w:val="en-GB"/>
        </w:rPr>
        <w:t>This will be fully repaid by 31 March 2024</w:t>
      </w:r>
    </w:p>
    <w:p w14:paraId="152A71A5" w14:textId="77777777" w:rsidR="000729CF" w:rsidRPr="000729CF" w:rsidRDefault="000729CF" w:rsidP="000729CF">
      <w:pPr>
        <w:spacing w:after="200" w:line="276" w:lineRule="auto"/>
        <w:rPr>
          <w:rFonts w:ascii="Arial" w:eastAsia="Calibri" w:hAnsi="Arial" w:cs="Arial"/>
          <w:sz w:val="24"/>
          <w:szCs w:val="24"/>
          <w:lang w:val="en-GB"/>
        </w:rPr>
      </w:pPr>
      <w:r w:rsidRPr="000729CF">
        <w:rPr>
          <w:rFonts w:ascii="Arial" w:eastAsia="Calibri" w:hAnsi="Arial" w:cs="Arial"/>
          <w:sz w:val="24"/>
          <w:szCs w:val="24"/>
          <w:lang w:val="en-GB"/>
        </w:rPr>
        <w:br w:type="page"/>
      </w:r>
    </w:p>
    <w:p w14:paraId="18568B47" w14:textId="77777777" w:rsidR="000729CF" w:rsidRPr="000729CF" w:rsidRDefault="000729CF" w:rsidP="000729CF">
      <w:pPr>
        <w:spacing w:after="120"/>
        <w:jc w:val="right"/>
        <w:rPr>
          <w:rFonts w:ascii="Arial" w:eastAsia="Calibri" w:hAnsi="Arial" w:cs="Arial"/>
          <w:b/>
          <w:sz w:val="24"/>
          <w:szCs w:val="24"/>
          <w:lang w:val="en-GB"/>
        </w:rPr>
      </w:pPr>
      <w:r w:rsidRPr="000729CF">
        <w:rPr>
          <w:rFonts w:ascii="Arial" w:eastAsia="Calibri" w:hAnsi="Arial" w:cs="Arial"/>
          <w:b/>
          <w:sz w:val="24"/>
          <w:szCs w:val="24"/>
          <w:lang w:val="en-GB"/>
        </w:rPr>
        <w:t>ANNEX C</w:t>
      </w:r>
    </w:p>
    <w:p w14:paraId="4B29EF72" w14:textId="77777777" w:rsidR="000729CF" w:rsidRPr="000729CF" w:rsidRDefault="000729CF" w:rsidP="000729CF">
      <w:pPr>
        <w:spacing w:after="120"/>
        <w:rPr>
          <w:rFonts w:ascii="Arial" w:eastAsia="Calibri" w:hAnsi="Arial" w:cs="Arial"/>
          <w:b/>
          <w:color w:val="000000"/>
          <w:sz w:val="24"/>
          <w:szCs w:val="24"/>
          <w:lang w:val="en-GB"/>
        </w:rPr>
      </w:pPr>
      <w:r w:rsidRPr="000729CF">
        <w:rPr>
          <w:rFonts w:ascii="Arial" w:eastAsia="Calibri" w:hAnsi="Arial" w:cs="Arial"/>
          <w:b/>
          <w:sz w:val="24"/>
          <w:szCs w:val="24"/>
          <w:lang w:val="en-GB"/>
        </w:rPr>
        <w:t>List of planned non-treasury Investments</w:t>
      </w:r>
    </w:p>
    <w:p w14:paraId="22D3BB49" w14:textId="77777777" w:rsidR="000729CF" w:rsidRPr="000729CF" w:rsidRDefault="000729CF" w:rsidP="000729CF">
      <w:pPr>
        <w:spacing w:after="120"/>
        <w:rPr>
          <w:rFonts w:ascii="Arial" w:eastAsia="Calibri" w:hAnsi="Arial" w:cs="Arial"/>
          <w:color w:val="000000"/>
          <w:sz w:val="24"/>
          <w:szCs w:val="24"/>
          <w:lang w:val="en-GB"/>
        </w:rPr>
      </w:pPr>
      <w:r w:rsidRPr="000729CF">
        <w:rPr>
          <w:rFonts w:ascii="Arial" w:eastAsia="Calibri" w:hAnsi="Arial" w:cs="Arial"/>
          <w:color w:val="000000"/>
          <w:sz w:val="24"/>
          <w:szCs w:val="24"/>
          <w:lang w:val="en-GB"/>
        </w:rPr>
        <w:t>This list is reviewed on an on-going basis by finance officers to ensure risks are monitored and updates are escalated through the Strategic Delivery Board and Corporate Investment Board where required.</w:t>
      </w:r>
    </w:p>
    <w:p w14:paraId="2FC4B550" w14:textId="77777777" w:rsidR="000729CF" w:rsidRPr="000729CF" w:rsidRDefault="000729CF" w:rsidP="000729CF">
      <w:pPr>
        <w:spacing w:after="120"/>
        <w:rPr>
          <w:rFonts w:ascii="Arial" w:eastAsia="Calibri" w:hAnsi="Arial" w:cs="Arial"/>
          <w:sz w:val="24"/>
          <w:szCs w:val="24"/>
          <w:lang w:val="en-GB"/>
        </w:rPr>
      </w:pPr>
    </w:p>
    <w:tbl>
      <w:tblPr>
        <w:tblStyle w:val="TableGrid"/>
        <w:tblW w:w="0" w:type="auto"/>
        <w:tblInd w:w="-5" w:type="dxa"/>
        <w:tblLook w:val="04A0" w:firstRow="1" w:lastRow="0" w:firstColumn="1" w:lastColumn="0" w:noHBand="0" w:noVBand="1"/>
      </w:tblPr>
      <w:tblGrid>
        <w:gridCol w:w="3214"/>
        <w:gridCol w:w="4780"/>
        <w:gridCol w:w="1639"/>
      </w:tblGrid>
      <w:tr w:rsidR="000729CF" w:rsidRPr="000729CF" w14:paraId="5A1638E1" w14:textId="77777777" w:rsidTr="000729CF">
        <w:tc>
          <w:tcPr>
            <w:tcW w:w="3214" w:type="dxa"/>
            <w:shd w:val="clear" w:color="auto" w:fill="0F243E"/>
          </w:tcPr>
          <w:p w14:paraId="286C9714" w14:textId="77777777" w:rsidR="000729CF" w:rsidRPr="000729CF" w:rsidRDefault="000729CF" w:rsidP="000729CF">
            <w:pPr>
              <w:spacing w:after="120"/>
              <w:rPr>
                <w:rFonts w:ascii="Arial" w:eastAsia="Calibri" w:hAnsi="Arial" w:cs="Arial"/>
                <w:b/>
                <w:sz w:val="24"/>
                <w:szCs w:val="24"/>
              </w:rPr>
            </w:pPr>
            <w:r w:rsidRPr="000729CF">
              <w:rPr>
                <w:rFonts w:ascii="Arial" w:eastAsia="Calibri" w:hAnsi="Arial" w:cs="Arial"/>
                <w:b/>
                <w:sz w:val="24"/>
                <w:szCs w:val="24"/>
              </w:rPr>
              <w:t>Investment Type</w:t>
            </w:r>
          </w:p>
        </w:tc>
        <w:tc>
          <w:tcPr>
            <w:tcW w:w="4780" w:type="dxa"/>
            <w:shd w:val="clear" w:color="auto" w:fill="0F243E"/>
          </w:tcPr>
          <w:p w14:paraId="68ECAC03" w14:textId="77777777" w:rsidR="000729CF" w:rsidRPr="000729CF" w:rsidRDefault="000729CF" w:rsidP="000729CF">
            <w:pPr>
              <w:spacing w:after="120"/>
              <w:rPr>
                <w:rFonts w:ascii="Arial" w:eastAsia="Calibri" w:hAnsi="Arial" w:cs="Arial"/>
                <w:b/>
                <w:sz w:val="24"/>
                <w:szCs w:val="24"/>
              </w:rPr>
            </w:pPr>
            <w:r w:rsidRPr="000729CF">
              <w:rPr>
                <w:rFonts w:ascii="Arial" w:eastAsia="Calibri" w:hAnsi="Arial" w:cs="Arial"/>
                <w:b/>
                <w:sz w:val="24"/>
                <w:szCs w:val="24"/>
              </w:rPr>
              <w:t>Scheme Name</w:t>
            </w:r>
          </w:p>
        </w:tc>
        <w:tc>
          <w:tcPr>
            <w:tcW w:w="1639" w:type="dxa"/>
            <w:shd w:val="clear" w:color="auto" w:fill="0F243E"/>
          </w:tcPr>
          <w:p w14:paraId="5A8FCF72" w14:textId="77777777" w:rsidR="000729CF" w:rsidRPr="000729CF" w:rsidRDefault="000729CF" w:rsidP="000729CF">
            <w:pPr>
              <w:spacing w:after="120"/>
              <w:rPr>
                <w:rFonts w:ascii="Arial" w:eastAsia="Calibri" w:hAnsi="Arial" w:cs="Arial"/>
                <w:b/>
                <w:sz w:val="24"/>
                <w:szCs w:val="24"/>
              </w:rPr>
            </w:pPr>
            <w:r w:rsidRPr="000729CF">
              <w:rPr>
                <w:rFonts w:ascii="Arial" w:eastAsia="Calibri" w:hAnsi="Arial" w:cs="Arial"/>
                <w:b/>
                <w:sz w:val="24"/>
                <w:szCs w:val="24"/>
              </w:rPr>
              <w:t>Value</w:t>
            </w:r>
          </w:p>
        </w:tc>
      </w:tr>
      <w:tr w:rsidR="000729CF" w:rsidRPr="000729CF" w14:paraId="668C7E33" w14:textId="77777777" w:rsidTr="00BC26AB">
        <w:trPr>
          <w:trHeight w:val="567"/>
        </w:trPr>
        <w:tc>
          <w:tcPr>
            <w:tcW w:w="3214" w:type="dxa"/>
          </w:tcPr>
          <w:p w14:paraId="2191023B"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Cash flow support (third party loan)</w:t>
            </w:r>
          </w:p>
        </w:tc>
        <w:tc>
          <w:tcPr>
            <w:tcW w:w="4780" w:type="dxa"/>
          </w:tcPr>
          <w:p w14:paraId="530F59E3"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Cash flow support to Royal Pavilion Museums Trust</w:t>
            </w:r>
          </w:p>
        </w:tc>
        <w:tc>
          <w:tcPr>
            <w:tcW w:w="1639" w:type="dxa"/>
          </w:tcPr>
          <w:p w14:paraId="0EF84C1C" w14:textId="77777777" w:rsidR="000729CF" w:rsidRPr="000729CF" w:rsidRDefault="000729CF" w:rsidP="000729CF">
            <w:pPr>
              <w:jc w:val="right"/>
              <w:rPr>
                <w:rFonts w:ascii="Arial" w:eastAsia="Calibri" w:hAnsi="Arial" w:cs="Arial"/>
                <w:sz w:val="24"/>
                <w:szCs w:val="24"/>
              </w:rPr>
            </w:pPr>
            <w:r w:rsidRPr="000729CF">
              <w:rPr>
                <w:rFonts w:ascii="Arial" w:eastAsia="Calibri" w:hAnsi="Arial" w:cs="Arial"/>
                <w:sz w:val="24"/>
                <w:szCs w:val="24"/>
              </w:rPr>
              <w:t>£2.000m</w:t>
            </w:r>
          </w:p>
        </w:tc>
      </w:tr>
    </w:tbl>
    <w:p w14:paraId="36D254ED" w14:textId="77777777" w:rsidR="000729CF" w:rsidRPr="000729CF" w:rsidRDefault="000729CF" w:rsidP="000729CF">
      <w:pPr>
        <w:spacing w:after="120"/>
        <w:rPr>
          <w:rFonts w:ascii="Arial" w:eastAsia="Calibri" w:hAnsi="Arial" w:cs="Arial"/>
          <w:sz w:val="24"/>
          <w:szCs w:val="24"/>
          <w:lang w:val="en-GB"/>
        </w:rPr>
      </w:pPr>
    </w:p>
    <w:p w14:paraId="46051D3E" w14:textId="77777777" w:rsidR="000729CF" w:rsidRDefault="000729CF" w:rsidP="009B058F">
      <w:pPr>
        <w:rPr>
          <w:rFonts w:ascii="Arial" w:hAnsi="Arial" w:cs="Arial"/>
          <w:sz w:val="24"/>
          <w:szCs w:val="24"/>
          <w:lang w:val="en-GB"/>
        </w:rPr>
        <w:sectPr w:rsidR="000729CF" w:rsidSect="008D4738">
          <w:headerReference w:type="even" r:id="rId19"/>
          <w:headerReference w:type="default" r:id="rId20"/>
          <w:footerReference w:type="even" r:id="rId21"/>
          <w:footerReference w:type="default" r:id="rId22"/>
          <w:headerReference w:type="first" r:id="rId23"/>
          <w:footerReference w:type="first" r:id="rId24"/>
          <w:pgSz w:w="11906" w:h="16838"/>
          <w:pgMar w:top="1134" w:right="1134" w:bottom="1134" w:left="1134" w:header="709" w:footer="709" w:gutter="0"/>
          <w:cols w:space="708"/>
          <w:docGrid w:linePitch="360"/>
        </w:sectPr>
      </w:pPr>
    </w:p>
    <w:p w14:paraId="7936F7FA" w14:textId="77777777" w:rsidR="000729CF" w:rsidRPr="000729CF" w:rsidRDefault="000729CF" w:rsidP="000729CF">
      <w:pPr>
        <w:tabs>
          <w:tab w:val="right" w:pos="7727"/>
        </w:tabs>
        <w:spacing w:after="200" w:line="276" w:lineRule="auto"/>
        <w:rPr>
          <w:rFonts w:ascii="Arial" w:eastAsia="Calibri" w:hAnsi="Arial" w:cs="Arial"/>
          <w:b/>
          <w:sz w:val="24"/>
          <w:szCs w:val="24"/>
          <w:lang w:val="en-GB"/>
        </w:rPr>
      </w:pPr>
      <w:r w:rsidRPr="000729CF">
        <w:rPr>
          <w:rFonts w:ascii="Arial" w:eastAsia="Calibri" w:hAnsi="Arial" w:cs="Arial"/>
          <w:b/>
          <w:sz w:val="24"/>
          <w:szCs w:val="24"/>
          <w:lang w:val="en-GB"/>
        </w:rPr>
        <w:t>TREASURY MANAGEMENT POLICY AND STRATEGY 2024/25</w:t>
      </w:r>
    </w:p>
    <w:p w14:paraId="4CD423B6" w14:textId="77777777" w:rsidR="000729CF" w:rsidRPr="000729CF" w:rsidRDefault="000729CF" w:rsidP="000729CF">
      <w:pPr>
        <w:tabs>
          <w:tab w:val="right" w:pos="7727"/>
        </w:tabs>
        <w:spacing w:after="200" w:line="276" w:lineRule="auto"/>
        <w:rPr>
          <w:rFonts w:ascii="Arial" w:eastAsia="Calibri" w:hAnsi="Arial" w:cs="Arial"/>
          <w:b/>
          <w:sz w:val="24"/>
          <w:szCs w:val="24"/>
          <w:lang w:val="en-GB"/>
        </w:rPr>
      </w:pPr>
    </w:p>
    <w:p w14:paraId="016ADA8F" w14:textId="77777777" w:rsidR="000729CF" w:rsidRPr="000729CF" w:rsidRDefault="000729CF" w:rsidP="000729CF">
      <w:pPr>
        <w:autoSpaceDE w:val="0"/>
        <w:autoSpaceDN w:val="0"/>
        <w:adjustRightInd w:val="0"/>
        <w:spacing w:after="60"/>
        <w:jc w:val="center"/>
        <w:rPr>
          <w:rFonts w:ascii="Arial" w:eastAsia="Calibri" w:hAnsi="Arial" w:cs="Arial"/>
          <w:b/>
          <w:bCs/>
          <w:color w:val="000000"/>
          <w:sz w:val="24"/>
          <w:szCs w:val="24"/>
          <w:u w:val="single"/>
          <w:lang w:val="en-GB" w:eastAsia="en-GB"/>
        </w:rPr>
      </w:pPr>
      <w:r w:rsidRPr="000729CF">
        <w:rPr>
          <w:rFonts w:ascii="Arial" w:eastAsia="Calibri" w:hAnsi="Arial" w:cs="Arial"/>
          <w:b/>
          <w:bCs/>
          <w:color w:val="000000"/>
          <w:sz w:val="24"/>
          <w:szCs w:val="24"/>
          <w:u w:val="single"/>
          <w:lang w:val="en-GB" w:eastAsia="en-GB"/>
        </w:rPr>
        <w:t>CONTENTS</w:t>
      </w:r>
    </w:p>
    <w:p w14:paraId="7B4F4077" w14:textId="77777777" w:rsidR="000729CF" w:rsidRPr="000729CF" w:rsidRDefault="000729CF" w:rsidP="00CE70A3">
      <w:pPr>
        <w:numPr>
          <w:ilvl w:val="0"/>
          <w:numId w:val="72"/>
        </w:numPr>
        <w:autoSpaceDE w:val="0"/>
        <w:autoSpaceDN w:val="0"/>
        <w:adjustRightInd w:val="0"/>
        <w:spacing w:after="60" w:line="276" w:lineRule="auto"/>
        <w:ind w:left="851" w:hanging="851"/>
        <w:jc w:val="both"/>
        <w:rPr>
          <w:rFonts w:ascii="Arial" w:eastAsia="Calibri" w:hAnsi="Arial" w:cs="Arial"/>
          <w:bCs/>
          <w:color w:val="000000"/>
          <w:sz w:val="24"/>
          <w:szCs w:val="24"/>
          <w:lang w:val="en-GB" w:eastAsia="en-GB"/>
        </w:rPr>
      </w:pPr>
      <w:r w:rsidRPr="000729CF">
        <w:rPr>
          <w:rFonts w:ascii="Arial" w:eastAsia="Calibri" w:hAnsi="Arial" w:cs="Arial"/>
          <w:b/>
          <w:bCs/>
          <w:color w:val="000000"/>
          <w:sz w:val="24"/>
          <w:szCs w:val="24"/>
          <w:lang w:val="en-GB" w:eastAsia="en-GB"/>
        </w:rPr>
        <w:t>INTRODUCTION</w:t>
      </w:r>
    </w:p>
    <w:p w14:paraId="2A690EFE" w14:textId="77777777" w:rsidR="000729CF" w:rsidRPr="000729CF" w:rsidRDefault="000729CF" w:rsidP="00CE70A3">
      <w:pPr>
        <w:numPr>
          <w:ilvl w:val="1"/>
          <w:numId w:val="72"/>
        </w:numPr>
        <w:autoSpaceDE w:val="0"/>
        <w:autoSpaceDN w:val="0"/>
        <w:adjustRightInd w:val="0"/>
        <w:spacing w:after="60" w:line="276" w:lineRule="auto"/>
        <w:ind w:left="851" w:hanging="851"/>
        <w:jc w:val="both"/>
        <w:rPr>
          <w:rFonts w:ascii="Arial" w:eastAsia="Calibri" w:hAnsi="Arial" w:cs="Arial"/>
          <w:bCs/>
          <w:color w:val="000000"/>
          <w:sz w:val="24"/>
          <w:szCs w:val="24"/>
          <w:lang w:val="en-GB" w:eastAsia="en-GB"/>
        </w:rPr>
      </w:pPr>
      <w:r w:rsidRPr="000729CF">
        <w:rPr>
          <w:rFonts w:ascii="Arial" w:eastAsia="Calibri" w:hAnsi="Arial" w:cs="Arial"/>
          <w:bCs/>
          <w:color w:val="000000"/>
          <w:sz w:val="24"/>
          <w:szCs w:val="24"/>
          <w:lang w:val="en-GB" w:eastAsia="en-GB"/>
        </w:rPr>
        <w:t>Background</w:t>
      </w:r>
    </w:p>
    <w:p w14:paraId="1B70EBBC" w14:textId="77777777" w:rsidR="000729CF" w:rsidRPr="000729CF" w:rsidRDefault="000729CF" w:rsidP="00CE70A3">
      <w:pPr>
        <w:numPr>
          <w:ilvl w:val="1"/>
          <w:numId w:val="72"/>
        </w:numPr>
        <w:autoSpaceDE w:val="0"/>
        <w:autoSpaceDN w:val="0"/>
        <w:adjustRightInd w:val="0"/>
        <w:spacing w:after="60" w:line="276" w:lineRule="auto"/>
        <w:ind w:left="851" w:hanging="851"/>
        <w:jc w:val="both"/>
        <w:rPr>
          <w:rFonts w:ascii="Arial" w:eastAsia="Calibri" w:hAnsi="Arial" w:cs="Arial"/>
          <w:bCs/>
          <w:color w:val="000000"/>
          <w:sz w:val="24"/>
          <w:szCs w:val="24"/>
          <w:lang w:val="en-GB" w:eastAsia="en-GB"/>
        </w:rPr>
      </w:pPr>
      <w:r w:rsidRPr="000729CF">
        <w:rPr>
          <w:rFonts w:ascii="Arial" w:eastAsia="Calibri" w:hAnsi="Arial" w:cs="Arial"/>
          <w:bCs/>
          <w:color w:val="000000"/>
          <w:sz w:val="24"/>
          <w:szCs w:val="24"/>
          <w:lang w:val="en-GB" w:eastAsia="en-GB"/>
        </w:rPr>
        <w:t>Reporting Requirements</w:t>
      </w:r>
    </w:p>
    <w:p w14:paraId="56104D62" w14:textId="77777777" w:rsidR="000729CF" w:rsidRPr="000729CF" w:rsidRDefault="000729CF" w:rsidP="00CE70A3">
      <w:pPr>
        <w:numPr>
          <w:ilvl w:val="1"/>
          <w:numId w:val="72"/>
        </w:numPr>
        <w:autoSpaceDE w:val="0"/>
        <w:autoSpaceDN w:val="0"/>
        <w:adjustRightInd w:val="0"/>
        <w:spacing w:after="60" w:line="276" w:lineRule="auto"/>
        <w:ind w:left="851" w:hanging="851"/>
        <w:jc w:val="both"/>
        <w:rPr>
          <w:rFonts w:ascii="Arial" w:eastAsia="Calibri" w:hAnsi="Arial" w:cs="Arial"/>
          <w:bCs/>
          <w:color w:val="000000"/>
          <w:sz w:val="24"/>
          <w:szCs w:val="24"/>
          <w:lang w:val="en-GB" w:eastAsia="en-GB"/>
        </w:rPr>
      </w:pPr>
      <w:r w:rsidRPr="000729CF">
        <w:rPr>
          <w:rFonts w:ascii="Arial" w:eastAsia="Calibri" w:hAnsi="Arial" w:cs="Arial"/>
          <w:bCs/>
          <w:color w:val="000000"/>
          <w:sz w:val="24"/>
          <w:szCs w:val="24"/>
          <w:lang w:val="en-GB" w:eastAsia="en-GB"/>
        </w:rPr>
        <w:t>Treasury Management Strategy for 2024/25</w:t>
      </w:r>
    </w:p>
    <w:p w14:paraId="4A758A62" w14:textId="77777777" w:rsidR="000729CF" w:rsidRPr="000729CF" w:rsidRDefault="000729CF" w:rsidP="00CE70A3">
      <w:pPr>
        <w:numPr>
          <w:ilvl w:val="1"/>
          <w:numId w:val="72"/>
        </w:numPr>
        <w:autoSpaceDE w:val="0"/>
        <w:autoSpaceDN w:val="0"/>
        <w:adjustRightInd w:val="0"/>
        <w:spacing w:after="60" w:line="276" w:lineRule="auto"/>
        <w:ind w:left="851" w:hanging="851"/>
        <w:jc w:val="both"/>
        <w:rPr>
          <w:rFonts w:ascii="Arial" w:eastAsia="Calibri" w:hAnsi="Arial" w:cs="Arial"/>
          <w:bCs/>
          <w:color w:val="000000"/>
          <w:sz w:val="24"/>
          <w:szCs w:val="24"/>
          <w:lang w:val="en-GB" w:eastAsia="en-GB"/>
        </w:rPr>
      </w:pPr>
      <w:r w:rsidRPr="000729CF">
        <w:rPr>
          <w:rFonts w:ascii="Arial" w:eastAsia="Calibri" w:hAnsi="Arial" w:cs="Arial"/>
          <w:bCs/>
          <w:color w:val="000000"/>
          <w:sz w:val="24"/>
          <w:szCs w:val="24"/>
          <w:lang w:val="en-GB" w:eastAsia="en-GB"/>
        </w:rPr>
        <w:t>Treasury Management Policy Statement</w:t>
      </w:r>
    </w:p>
    <w:p w14:paraId="1A4AAD04" w14:textId="77777777" w:rsidR="000729CF" w:rsidRPr="000729CF" w:rsidRDefault="000729CF" w:rsidP="00CE70A3">
      <w:pPr>
        <w:numPr>
          <w:ilvl w:val="1"/>
          <w:numId w:val="72"/>
        </w:numPr>
        <w:autoSpaceDE w:val="0"/>
        <w:autoSpaceDN w:val="0"/>
        <w:adjustRightInd w:val="0"/>
        <w:spacing w:after="120" w:line="276" w:lineRule="auto"/>
        <w:ind w:left="851" w:hanging="851"/>
        <w:jc w:val="both"/>
        <w:rPr>
          <w:rFonts w:ascii="Arial" w:eastAsia="Calibri" w:hAnsi="Arial" w:cs="Arial"/>
          <w:color w:val="000000"/>
          <w:sz w:val="24"/>
          <w:szCs w:val="24"/>
          <w:lang w:val="en-GB" w:eastAsia="en-GB"/>
        </w:rPr>
      </w:pPr>
      <w:bookmarkStart w:id="45" w:name="_Ref94638556"/>
      <w:r w:rsidRPr="000729CF">
        <w:rPr>
          <w:rFonts w:ascii="Arial" w:eastAsia="Calibri" w:hAnsi="Arial" w:cs="Arial"/>
          <w:bCs/>
          <w:color w:val="000000"/>
          <w:sz w:val="24"/>
          <w:szCs w:val="24"/>
          <w:lang w:val="en-GB" w:eastAsia="en-GB"/>
        </w:rPr>
        <w:t>Current Portfolio Position</w:t>
      </w:r>
      <w:bookmarkEnd w:id="45"/>
    </w:p>
    <w:p w14:paraId="3DDC3D02" w14:textId="77777777" w:rsidR="000729CF" w:rsidRPr="000729CF" w:rsidRDefault="000729CF" w:rsidP="00CE70A3">
      <w:pPr>
        <w:numPr>
          <w:ilvl w:val="0"/>
          <w:numId w:val="72"/>
        </w:numPr>
        <w:autoSpaceDE w:val="0"/>
        <w:autoSpaceDN w:val="0"/>
        <w:adjustRightInd w:val="0"/>
        <w:spacing w:after="60" w:line="276" w:lineRule="auto"/>
        <w:ind w:left="851" w:hanging="851"/>
        <w:jc w:val="both"/>
        <w:rPr>
          <w:rFonts w:ascii="Arial" w:eastAsia="Calibri" w:hAnsi="Arial" w:cs="Arial"/>
          <w:b/>
          <w:color w:val="000000"/>
          <w:sz w:val="24"/>
          <w:szCs w:val="24"/>
          <w:lang w:val="en-GB" w:eastAsia="en-GB"/>
        </w:rPr>
      </w:pPr>
      <w:bookmarkStart w:id="46" w:name="_Ref94635285"/>
      <w:r w:rsidRPr="000729CF">
        <w:rPr>
          <w:rFonts w:ascii="Arial" w:eastAsia="Calibri" w:hAnsi="Arial" w:cs="Arial"/>
          <w:b/>
          <w:bCs/>
          <w:color w:val="000000"/>
          <w:sz w:val="24"/>
          <w:szCs w:val="24"/>
          <w:lang w:val="en-GB" w:eastAsia="en-GB"/>
        </w:rPr>
        <w:t>BORROWING STRATEGY</w:t>
      </w:r>
      <w:bookmarkEnd w:id="46"/>
    </w:p>
    <w:p w14:paraId="451D454D" w14:textId="77777777" w:rsidR="000729CF" w:rsidRPr="000729CF" w:rsidRDefault="000729CF" w:rsidP="00CE70A3">
      <w:pPr>
        <w:numPr>
          <w:ilvl w:val="1"/>
          <w:numId w:val="72"/>
        </w:numPr>
        <w:autoSpaceDE w:val="0"/>
        <w:autoSpaceDN w:val="0"/>
        <w:adjustRightInd w:val="0"/>
        <w:spacing w:after="60" w:line="276" w:lineRule="auto"/>
        <w:ind w:left="851" w:hanging="851"/>
        <w:jc w:val="both"/>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Capital Prudential Indicators</w:t>
      </w:r>
    </w:p>
    <w:p w14:paraId="0EF87112" w14:textId="77777777" w:rsidR="000729CF" w:rsidRPr="000729CF" w:rsidRDefault="000729CF" w:rsidP="00CE70A3">
      <w:pPr>
        <w:numPr>
          <w:ilvl w:val="1"/>
          <w:numId w:val="72"/>
        </w:numPr>
        <w:autoSpaceDE w:val="0"/>
        <w:autoSpaceDN w:val="0"/>
        <w:adjustRightInd w:val="0"/>
        <w:spacing w:after="60" w:line="276" w:lineRule="auto"/>
        <w:ind w:left="851" w:hanging="851"/>
        <w:jc w:val="both"/>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 xml:space="preserve">General Fund Borrowing Position and Strategy for </w:t>
      </w:r>
      <w:r w:rsidRPr="000729CF">
        <w:rPr>
          <w:rFonts w:ascii="Arial" w:eastAsia="Calibri" w:hAnsi="Arial" w:cs="Arial"/>
          <w:bCs/>
          <w:color w:val="000000"/>
          <w:sz w:val="24"/>
          <w:szCs w:val="24"/>
          <w:lang w:val="en-GB" w:eastAsia="en-GB"/>
        </w:rPr>
        <w:t>2024/25</w:t>
      </w:r>
    </w:p>
    <w:p w14:paraId="6C1667B3" w14:textId="77777777" w:rsidR="000729CF" w:rsidRPr="000729CF" w:rsidRDefault="000729CF" w:rsidP="00CE70A3">
      <w:pPr>
        <w:numPr>
          <w:ilvl w:val="1"/>
          <w:numId w:val="72"/>
        </w:numPr>
        <w:autoSpaceDE w:val="0"/>
        <w:autoSpaceDN w:val="0"/>
        <w:adjustRightInd w:val="0"/>
        <w:spacing w:after="60" w:line="276" w:lineRule="auto"/>
        <w:ind w:left="851" w:hanging="851"/>
        <w:jc w:val="both"/>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 xml:space="preserve">Housing Revenue Account Borrowing Position and Strategy for </w:t>
      </w:r>
      <w:r w:rsidRPr="000729CF">
        <w:rPr>
          <w:rFonts w:ascii="Arial" w:eastAsia="Calibri" w:hAnsi="Arial" w:cs="Arial"/>
          <w:bCs/>
          <w:color w:val="000000"/>
          <w:sz w:val="24"/>
          <w:szCs w:val="24"/>
          <w:lang w:val="en-GB" w:eastAsia="en-GB"/>
        </w:rPr>
        <w:t>2024/25</w:t>
      </w:r>
    </w:p>
    <w:p w14:paraId="329525A8" w14:textId="77777777" w:rsidR="000729CF" w:rsidRPr="000729CF" w:rsidRDefault="000729CF" w:rsidP="00CE70A3">
      <w:pPr>
        <w:numPr>
          <w:ilvl w:val="1"/>
          <w:numId w:val="72"/>
        </w:numPr>
        <w:autoSpaceDE w:val="0"/>
        <w:autoSpaceDN w:val="0"/>
        <w:adjustRightInd w:val="0"/>
        <w:spacing w:after="60" w:line="276" w:lineRule="auto"/>
        <w:ind w:left="851" w:hanging="851"/>
        <w:jc w:val="both"/>
        <w:rPr>
          <w:rFonts w:ascii="Arial" w:eastAsia="Calibri" w:hAnsi="Arial" w:cs="Arial"/>
          <w:color w:val="000000"/>
          <w:sz w:val="24"/>
          <w:szCs w:val="24"/>
          <w:lang w:val="en-GB" w:eastAsia="en-GB"/>
        </w:rPr>
      </w:pPr>
      <w:r w:rsidRPr="000729CF">
        <w:rPr>
          <w:rFonts w:ascii="Arial" w:eastAsia="Calibri" w:hAnsi="Arial" w:cs="Arial"/>
          <w:bCs/>
          <w:color w:val="000000"/>
          <w:sz w:val="24"/>
          <w:szCs w:val="24"/>
          <w:lang w:val="en-GB" w:eastAsia="en-GB"/>
        </w:rPr>
        <w:t>Capital Financing Requirement</w:t>
      </w:r>
    </w:p>
    <w:p w14:paraId="1ED2599A" w14:textId="77777777" w:rsidR="000729CF" w:rsidRPr="000729CF" w:rsidRDefault="000729CF" w:rsidP="00CE70A3">
      <w:pPr>
        <w:numPr>
          <w:ilvl w:val="1"/>
          <w:numId w:val="72"/>
        </w:numPr>
        <w:autoSpaceDE w:val="0"/>
        <w:autoSpaceDN w:val="0"/>
        <w:adjustRightInd w:val="0"/>
        <w:spacing w:after="60" w:line="276" w:lineRule="auto"/>
        <w:ind w:left="851" w:hanging="851"/>
        <w:jc w:val="both"/>
        <w:rPr>
          <w:rFonts w:ascii="Arial" w:eastAsia="Calibri" w:hAnsi="Arial" w:cs="Arial"/>
          <w:color w:val="000000"/>
          <w:sz w:val="24"/>
          <w:szCs w:val="24"/>
          <w:lang w:val="en-GB" w:eastAsia="en-GB"/>
        </w:rPr>
      </w:pPr>
      <w:bookmarkStart w:id="47" w:name="_Ref94638576"/>
      <w:r w:rsidRPr="000729CF">
        <w:rPr>
          <w:rFonts w:ascii="Arial" w:eastAsia="Calibri" w:hAnsi="Arial" w:cs="Arial"/>
          <w:color w:val="000000"/>
          <w:sz w:val="24"/>
          <w:szCs w:val="24"/>
          <w:lang w:val="en-GB" w:eastAsia="en-GB"/>
        </w:rPr>
        <w:t>Policy on Borrowing in Advance of Need</w:t>
      </w:r>
      <w:bookmarkEnd w:id="47"/>
    </w:p>
    <w:p w14:paraId="06C42BEF" w14:textId="77777777" w:rsidR="000729CF" w:rsidRPr="000729CF" w:rsidRDefault="000729CF" w:rsidP="00CE70A3">
      <w:pPr>
        <w:numPr>
          <w:ilvl w:val="1"/>
          <w:numId w:val="72"/>
        </w:numPr>
        <w:autoSpaceDE w:val="0"/>
        <w:autoSpaceDN w:val="0"/>
        <w:adjustRightInd w:val="0"/>
        <w:spacing w:after="60" w:line="276" w:lineRule="auto"/>
        <w:ind w:left="851" w:hanging="851"/>
        <w:jc w:val="both"/>
        <w:rPr>
          <w:rFonts w:ascii="Arial" w:eastAsia="Calibri" w:hAnsi="Arial" w:cs="Arial"/>
          <w:color w:val="000000"/>
          <w:sz w:val="24"/>
          <w:szCs w:val="24"/>
          <w:lang w:val="en-GB" w:eastAsia="en-GB"/>
        </w:rPr>
      </w:pPr>
      <w:bookmarkStart w:id="48" w:name="_Ref94638584"/>
      <w:r w:rsidRPr="000729CF">
        <w:rPr>
          <w:rFonts w:ascii="Arial" w:eastAsia="Calibri" w:hAnsi="Arial" w:cs="Arial"/>
          <w:color w:val="000000"/>
          <w:sz w:val="24"/>
          <w:szCs w:val="24"/>
          <w:lang w:val="en-GB" w:eastAsia="en-GB"/>
        </w:rPr>
        <w:t>Debt Rescheduling</w:t>
      </w:r>
      <w:bookmarkEnd w:id="48"/>
    </w:p>
    <w:p w14:paraId="2ED63223" w14:textId="77777777" w:rsidR="000729CF" w:rsidRPr="000729CF" w:rsidRDefault="000729CF" w:rsidP="00CE70A3">
      <w:pPr>
        <w:numPr>
          <w:ilvl w:val="1"/>
          <w:numId w:val="72"/>
        </w:numPr>
        <w:autoSpaceDE w:val="0"/>
        <w:autoSpaceDN w:val="0"/>
        <w:adjustRightInd w:val="0"/>
        <w:spacing w:after="120" w:line="276" w:lineRule="auto"/>
        <w:ind w:left="851" w:hanging="851"/>
        <w:jc w:val="both"/>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Interest Rate Risk &amp; Continual Review</w:t>
      </w:r>
    </w:p>
    <w:p w14:paraId="6A4E3909" w14:textId="77777777" w:rsidR="000729CF" w:rsidRPr="000729CF" w:rsidRDefault="000729CF" w:rsidP="00CE70A3">
      <w:pPr>
        <w:numPr>
          <w:ilvl w:val="0"/>
          <w:numId w:val="72"/>
        </w:numPr>
        <w:autoSpaceDE w:val="0"/>
        <w:autoSpaceDN w:val="0"/>
        <w:adjustRightInd w:val="0"/>
        <w:spacing w:after="120" w:line="276" w:lineRule="auto"/>
        <w:ind w:left="851" w:hanging="851"/>
        <w:jc w:val="both"/>
        <w:rPr>
          <w:rFonts w:ascii="Arial" w:eastAsia="Calibri" w:hAnsi="Arial" w:cs="Arial"/>
          <w:b/>
          <w:color w:val="000000"/>
          <w:sz w:val="24"/>
          <w:szCs w:val="24"/>
          <w:lang w:val="en-GB" w:eastAsia="en-GB"/>
        </w:rPr>
      </w:pPr>
      <w:bookmarkStart w:id="49" w:name="_Ref94635295"/>
      <w:r w:rsidRPr="000729CF">
        <w:rPr>
          <w:rFonts w:ascii="Arial" w:eastAsia="Calibri" w:hAnsi="Arial" w:cs="Arial"/>
          <w:b/>
          <w:bCs/>
          <w:color w:val="000000"/>
          <w:sz w:val="24"/>
          <w:szCs w:val="24"/>
          <w:lang w:val="en-GB" w:eastAsia="en-GB"/>
        </w:rPr>
        <w:t>MINIMUM REVENUE PROVISION POLICY STATEMENT</w:t>
      </w:r>
      <w:bookmarkEnd w:id="49"/>
    </w:p>
    <w:p w14:paraId="55EF03AE" w14:textId="77777777" w:rsidR="000729CF" w:rsidRPr="000729CF" w:rsidRDefault="000729CF" w:rsidP="00CE70A3">
      <w:pPr>
        <w:numPr>
          <w:ilvl w:val="0"/>
          <w:numId w:val="72"/>
        </w:numPr>
        <w:autoSpaceDE w:val="0"/>
        <w:autoSpaceDN w:val="0"/>
        <w:adjustRightInd w:val="0"/>
        <w:spacing w:after="60" w:line="276" w:lineRule="auto"/>
        <w:ind w:left="851" w:hanging="851"/>
        <w:jc w:val="both"/>
        <w:rPr>
          <w:rFonts w:ascii="Arial" w:eastAsia="Calibri" w:hAnsi="Arial" w:cs="Arial"/>
          <w:b/>
          <w:color w:val="000000"/>
          <w:sz w:val="24"/>
          <w:szCs w:val="24"/>
          <w:lang w:val="en-GB" w:eastAsia="en-GB"/>
        </w:rPr>
      </w:pPr>
      <w:bookmarkStart w:id="50" w:name="_Ref94638595"/>
      <w:r w:rsidRPr="000729CF">
        <w:rPr>
          <w:rFonts w:ascii="Arial" w:eastAsia="Calibri" w:hAnsi="Arial" w:cs="Arial"/>
          <w:b/>
          <w:bCs/>
          <w:color w:val="000000"/>
          <w:sz w:val="24"/>
          <w:szCs w:val="24"/>
          <w:lang w:val="en-GB" w:eastAsia="en-GB"/>
        </w:rPr>
        <w:t>ANNUAL INVESTMENT STRATEGY</w:t>
      </w:r>
      <w:bookmarkEnd w:id="50"/>
      <w:r w:rsidRPr="000729CF">
        <w:rPr>
          <w:rFonts w:ascii="Arial" w:eastAsia="Calibri" w:hAnsi="Arial" w:cs="Arial"/>
          <w:b/>
          <w:bCs/>
          <w:color w:val="000000"/>
          <w:sz w:val="24"/>
          <w:szCs w:val="24"/>
          <w:lang w:val="en-GB" w:eastAsia="en-GB"/>
        </w:rPr>
        <w:t xml:space="preserve"> </w:t>
      </w:r>
    </w:p>
    <w:p w14:paraId="4D6D1C40" w14:textId="77777777" w:rsidR="000729CF" w:rsidRPr="000729CF" w:rsidRDefault="000729CF" w:rsidP="00CE70A3">
      <w:pPr>
        <w:numPr>
          <w:ilvl w:val="1"/>
          <w:numId w:val="72"/>
        </w:numPr>
        <w:autoSpaceDE w:val="0"/>
        <w:autoSpaceDN w:val="0"/>
        <w:adjustRightInd w:val="0"/>
        <w:spacing w:after="60" w:line="276" w:lineRule="auto"/>
        <w:ind w:left="851" w:hanging="851"/>
        <w:jc w:val="both"/>
        <w:rPr>
          <w:rFonts w:ascii="Arial" w:eastAsia="Calibri" w:hAnsi="Arial" w:cs="Arial"/>
          <w:color w:val="000000"/>
          <w:sz w:val="24"/>
          <w:szCs w:val="24"/>
          <w:lang w:val="en-GB" w:eastAsia="en-GB"/>
        </w:rPr>
      </w:pPr>
      <w:r w:rsidRPr="000729CF">
        <w:rPr>
          <w:rFonts w:ascii="Arial" w:eastAsia="Calibri" w:hAnsi="Arial" w:cs="Arial"/>
          <w:bCs/>
          <w:color w:val="000000"/>
          <w:sz w:val="24"/>
          <w:szCs w:val="24"/>
          <w:lang w:val="en-GB" w:eastAsia="en-GB"/>
        </w:rPr>
        <w:t>Annual Investment Strategy for 2024/25</w:t>
      </w:r>
    </w:p>
    <w:p w14:paraId="6DE1AE9F" w14:textId="77777777" w:rsidR="000729CF" w:rsidRPr="000729CF" w:rsidRDefault="000729CF" w:rsidP="00CE70A3">
      <w:pPr>
        <w:numPr>
          <w:ilvl w:val="1"/>
          <w:numId w:val="72"/>
        </w:numPr>
        <w:autoSpaceDE w:val="0"/>
        <w:autoSpaceDN w:val="0"/>
        <w:adjustRightInd w:val="0"/>
        <w:spacing w:after="60" w:line="276" w:lineRule="auto"/>
        <w:ind w:left="851" w:hanging="851"/>
        <w:jc w:val="both"/>
        <w:rPr>
          <w:rFonts w:ascii="Arial" w:eastAsia="Calibri" w:hAnsi="Arial" w:cs="Arial"/>
          <w:color w:val="000000"/>
          <w:sz w:val="24"/>
          <w:szCs w:val="24"/>
          <w:lang w:val="en-GB" w:eastAsia="en-GB"/>
        </w:rPr>
      </w:pPr>
      <w:r w:rsidRPr="000729CF">
        <w:rPr>
          <w:rFonts w:ascii="Arial" w:eastAsia="Calibri" w:hAnsi="Arial" w:cs="Arial"/>
          <w:bCs/>
          <w:color w:val="000000"/>
          <w:sz w:val="24"/>
          <w:szCs w:val="24"/>
          <w:lang w:val="en-GB" w:eastAsia="en-GB"/>
        </w:rPr>
        <w:t>Investment Policy – Management of Risk</w:t>
      </w:r>
    </w:p>
    <w:p w14:paraId="05F4EEC5" w14:textId="77777777" w:rsidR="000729CF" w:rsidRPr="000729CF" w:rsidRDefault="000729CF" w:rsidP="00CE70A3">
      <w:pPr>
        <w:numPr>
          <w:ilvl w:val="1"/>
          <w:numId w:val="72"/>
        </w:numPr>
        <w:autoSpaceDE w:val="0"/>
        <w:autoSpaceDN w:val="0"/>
        <w:adjustRightInd w:val="0"/>
        <w:spacing w:after="60" w:line="276" w:lineRule="auto"/>
        <w:ind w:left="851" w:hanging="851"/>
        <w:jc w:val="both"/>
        <w:rPr>
          <w:rFonts w:ascii="Arial" w:eastAsia="Calibri" w:hAnsi="Arial" w:cs="Arial"/>
          <w:color w:val="000000"/>
          <w:sz w:val="24"/>
          <w:szCs w:val="24"/>
          <w:lang w:val="en-GB" w:eastAsia="en-GB"/>
        </w:rPr>
      </w:pPr>
      <w:r w:rsidRPr="000729CF">
        <w:rPr>
          <w:rFonts w:ascii="Arial" w:eastAsia="Calibri" w:hAnsi="Arial" w:cs="Arial"/>
          <w:bCs/>
          <w:color w:val="000000"/>
          <w:sz w:val="24"/>
          <w:szCs w:val="24"/>
          <w:lang w:val="en-GB" w:eastAsia="en-GB"/>
        </w:rPr>
        <w:t>Sovereign Credit Ratings</w:t>
      </w:r>
    </w:p>
    <w:p w14:paraId="2078A95A" w14:textId="77777777" w:rsidR="000729CF" w:rsidRPr="000729CF" w:rsidRDefault="000729CF" w:rsidP="00CE70A3">
      <w:pPr>
        <w:numPr>
          <w:ilvl w:val="1"/>
          <w:numId w:val="72"/>
        </w:numPr>
        <w:autoSpaceDE w:val="0"/>
        <w:autoSpaceDN w:val="0"/>
        <w:adjustRightInd w:val="0"/>
        <w:spacing w:after="60" w:line="276" w:lineRule="auto"/>
        <w:ind w:left="851" w:hanging="851"/>
        <w:jc w:val="both"/>
        <w:rPr>
          <w:rFonts w:ascii="Arial" w:eastAsia="Calibri" w:hAnsi="Arial" w:cs="Arial"/>
          <w:color w:val="000000"/>
          <w:sz w:val="24"/>
          <w:szCs w:val="24"/>
          <w:lang w:val="en-GB" w:eastAsia="en-GB"/>
        </w:rPr>
      </w:pPr>
      <w:bookmarkStart w:id="51" w:name="_Ref94636936"/>
      <w:r w:rsidRPr="000729CF">
        <w:rPr>
          <w:rFonts w:ascii="Arial" w:eastAsia="Calibri" w:hAnsi="Arial" w:cs="Arial"/>
          <w:bCs/>
          <w:color w:val="000000"/>
          <w:sz w:val="24"/>
          <w:szCs w:val="24"/>
          <w:lang w:val="en-GB" w:eastAsia="en-GB"/>
        </w:rPr>
        <w:t>Creditworthiness Policy</w:t>
      </w:r>
      <w:bookmarkEnd w:id="51"/>
    </w:p>
    <w:p w14:paraId="5005947F" w14:textId="77777777" w:rsidR="000729CF" w:rsidRPr="000729CF" w:rsidRDefault="000729CF" w:rsidP="00CE70A3">
      <w:pPr>
        <w:numPr>
          <w:ilvl w:val="1"/>
          <w:numId w:val="72"/>
        </w:numPr>
        <w:autoSpaceDE w:val="0"/>
        <w:autoSpaceDN w:val="0"/>
        <w:adjustRightInd w:val="0"/>
        <w:spacing w:after="60" w:line="276" w:lineRule="auto"/>
        <w:ind w:left="851" w:hanging="851"/>
        <w:jc w:val="both"/>
        <w:rPr>
          <w:rFonts w:ascii="Arial" w:eastAsia="Calibri" w:hAnsi="Arial" w:cs="Arial"/>
          <w:color w:val="000000"/>
          <w:sz w:val="24"/>
          <w:szCs w:val="24"/>
          <w:lang w:val="en-GB" w:eastAsia="en-GB"/>
        </w:rPr>
      </w:pPr>
      <w:r w:rsidRPr="000729CF">
        <w:rPr>
          <w:rFonts w:ascii="Arial" w:eastAsia="Calibri" w:hAnsi="Arial" w:cs="Arial"/>
          <w:bCs/>
          <w:color w:val="000000"/>
          <w:sz w:val="24"/>
          <w:szCs w:val="24"/>
          <w:lang w:val="en-GB" w:eastAsia="en-GB"/>
        </w:rPr>
        <w:t>Other Limits</w:t>
      </w:r>
    </w:p>
    <w:p w14:paraId="011EABD3" w14:textId="77777777" w:rsidR="000729CF" w:rsidRPr="000729CF" w:rsidRDefault="000729CF" w:rsidP="00CE70A3">
      <w:pPr>
        <w:numPr>
          <w:ilvl w:val="1"/>
          <w:numId w:val="72"/>
        </w:numPr>
        <w:autoSpaceDE w:val="0"/>
        <w:autoSpaceDN w:val="0"/>
        <w:adjustRightInd w:val="0"/>
        <w:spacing w:after="60" w:line="276" w:lineRule="auto"/>
        <w:ind w:left="851" w:hanging="851"/>
        <w:jc w:val="both"/>
        <w:rPr>
          <w:rFonts w:ascii="Arial" w:eastAsia="Calibri" w:hAnsi="Arial" w:cs="Arial"/>
          <w:color w:val="000000"/>
          <w:sz w:val="24"/>
          <w:szCs w:val="24"/>
          <w:lang w:val="en-GB" w:eastAsia="en-GB"/>
        </w:rPr>
      </w:pPr>
      <w:r w:rsidRPr="000729CF">
        <w:rPr>
          <w:rFonts w:ascii="Arial" w:eastAsia="Calibri" w:hAnsi="Arial" w:cs="Arial"/>
          <w:bCs/>
          <w:color w:val="000000"/>
          <w:sz w:val="24"/>
          <w:szCs w:val="24"/>
          <w:lang w:val="en-GB" w:eastAsia="en-GB"/>
        </w:rPr>
        <w:t>Approved Methodology for adding &amp; removing counterparties</w:t>
      </w:r>
    </w:p>
    <w:p w14:paraId="10B26F68" w14:textId="77777777" w:rsidR="000729CF" w:rsidRPr="000729CF" w:rsidRDefault="000729CF" w:rsidP="00CE70A3">
      <w:pPr>
        <w:numPr>
          <w:ilvl w:val="1"/>
          <w:numId w:val="72"/>
        </w:numPr>
        <w:autoSpaceDE w:val="0"/>
        <w:autoSpaceDN w:val="0"/>
        <w:adjustRightInd w:val="0"/>
        <w:spacing w:after="120" w:line="276" w:lineRule="auto"/>
        <w:ind w:left="851" w:hanging="851"/>
        <w:jc w:val="both"/>
        <w:rPr>
          <w:rFonts w:ascii="Arial" w:eastAsia="Calibri" w:hAnsi="Arial" w:cs="Arial"/>
          <w:color w:val="000000"/>
          <w:sz w:val="24"/>
          <w:szCs w:val="24"/>
          <w:lang w:val="en-GB" w:eastAsia="en-GB"/>
        </w:rPr>
      </w:pPr>
      <w:bookmarkStart w:id="52" w:name="_Ref94637259"/>
      <w:r w:rsidRPr="000729CF">
        <w:rPr>
          <w:rFonts w:ascii="Arial" w:eastAsia="Calibri" w:hAnsi="Arial" w:cs="Arial"/>
          <w:bCs/>
          <w:color w:val="000000"/>
          <w:sz w:val="24"/>
          <w:szCs w:val="24"/>
          <w:lang w:val="en-GB" w:eastAsia="en-GB"/>
        </w:rPr>
        <w:t>Investment Risk Benchmarking</w:t>
      </w:r>
      <w:bookmarkEnd w:id="52"/>
    </w:p>
    <w:p w14:paraId="2868B3A3" w14:textId="77777777" w:rsidR="000729CF" w:rsidRPr="000729CF" w:rsidRDefault="000729CF" w:rsidP="00CE70A3">
      <w:pPr>
        <w:numPr>
          <w:ilvl w:val="1"/>
          <w:numId w:val="72"/>
        </w:numPr>
        <w:autoSpaceDE w:val="0"/>
        <w:autoSpaceDN w:val="0"/>
        <w:adjustRightInd w:val="0"/>
        <w:spacing w:after="120" w:line="276" w:lineRule="auto"/>
        <w:ind w:left="851" w:hanging="851"/>
        <w:jc w:val="both"/>
        <w:rPr>
          <w:rFonts w:ascii="Arial" w:eastAsia="Calibri" w:hAnsi="Arial" w:cs="Arial"/>
          <w:color w:val="000000"/>
          <w:sz w:val="24"/>
          <w:szCs w:val="24"/>
          <w:lang w:val="en-GB" w:eastAsia="en-GB"/>
        </w:rPr>
      </w:pPr>
      <w:r w:rsidRPr="000729CF">
        <w:rPr>
          <w:rFonts w:ascii="Arial" w:eastAsia="Calibri" w:hAnsi="Arial" w:cs="Arial"/>
          <w:bCs/>
          <w:color w:val="000000"/>
          <w:sz w:val="24"/>
          <w:szCs w:val="24"/>
          <w:lang w:val="en-GB" w:eastAsia="en-GB"/>
        </w:rPr>
        <w:t>Investment Performance Benchmarking</w:t>
      </w:r>
    </w:p>
    <w:p w14:paraId="53C044CD" w14:textId="77777777" w:rsidR="000729CF" w:rsidRPr="000729CF" w:rsidRDefault="000729CF" w:rsidP="00CE70A3">
      <w:pPr>
        <w:numPr>
          <w:ilvl w:val="0"/>
          <w:numId w:val="72"/>
        </w:numPr>
        <w:autoSpaceDE w:val="0"/>
        <w:autoSpaceDN w:val="0"/>
        <w:adjustRightInd w:val="0"/>
        <w:spacing w:after="60" w:line="276" w:lineRule="auto"/>
        <w:ind w:left="851" w:hanging="851"/>
        <w:jc w:val="both"/>
        <w:rPr>
          <w:rFonts w:ascii="Arial" w:eastAsia="Calibri" w:hAnsi="Arial" w:cs="Arial"/>
          <w:b/>
          <w:color w:val="000000"/>
          <w:sz w:val="24"/>
          <w:szCs w:val="24"/>
          <w:lang w:val="en-GB" w:eastAsia="en-GB"/>
        </w:rPr>
      </w:pPr>
      <w:r w:rsidRPr="000729CF">
        <w:rPr>
          <w:rFonts w:ascii="Arial" w:eastAsia="Calibri" w:hAnsi="Arial" w:cs="Arial"/>
          <w:b/>
          <w:bCs/>
          <w:color w:val="000000"/>
          <w:sz w:val="24"/>
          <w:szCs w:val="24"/>
          <w:lang w:val="en-GB" w:eastAsia="en-GB"/>
        </w:rPr>
        <w:t>OTHER TREASURY MATTERS</w:t>
      </w:r>
    </w:p>
    <w:p w14:paraId="121C40BC" w14:textId="77777777" w:rsidR="000729CF" w:rsidRPr="000729CF" w:rsidRDefault="000729CF" w:rsidP="00CE70A3">
      <w:pPr>
        <w:numPr>
          <w:ilvl w:val="1"/>
          <w:numId w:val="72"/>
        </w:numPr>
        <w:autoSpaceDE w:val="0"/>
        <w:autoSpaceDN w:val="0"/>
        <w:adjustRightInd w:val="0"/>
        <w:spacing w:after="60" w:line="276" w:lineRule="auto"/>
        <w:ind w:left="851" w:hanging="851"/>
        <w:jc w:val="both"/>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Banking Services</w:t>
      </w:r>
    </w:p>
    <w:p w14:paraId="60EC1668" w14:textId="77777777" w:rsidR="000729CF" w:rsidRPr="000729CF" w:rsidRDefault="000729CF" w:rsidP="00CE70A3">
      <w:pPr>
        <w:numPr>
          <w:ilvl w:val="1"/>
          <w:numId w:val="72"/>
        </w:numPr>
        <w:autoSpaceDE w:val="0"/>
        <w:autoSpaceDN w:val="0"/>
        <w:adjustRightInd w:val="0"/>
        <w:spacing w:after="60" w:line="276" w:lineRule="auto"/>
        <w:ind w:left="851" w:hanging="851"/>
        <w:jc w:val="both"/>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Training</w:t>
      </w:r>
    </w:p>
    <w:p w14:paraId="5C2470C4" w14:textId="77777777" w:rsidR="000729CF" w:rsidRPr="000729CF" w:rsidRDefault="000729CF" w:rsidP="00CE70A3">
      <w:pPr>
        <w:numPr>
          <w:ilvl w:val="1"/>
          <w:numId w:val="72"/>
        </w:numPr>
        <w:autoSpaceDE w:val="0"/>
        <w:autoSpaceDN w:val="0"/>
        <w:adjustRightInd w:val="0"/>
        <w:spacing w:after="60" w:line="276" w:lineRule="auto"/>
        <w:ind w:left="851" w:hanging="851"/>
        <w:jc w:val="both"/>
        <w:rPr>
          <w:rFonts w:ascii="Arial" w:eastAsia="Calibri" w:hAnsi="Arial" w:cs="Arial"/>
          <w:color w:val="000000"/>
          <w:sz w:val="24"/>
          <w:szCs w:val="24"/>
          <w:lang w:val="en-GB" w:eastAsia="en-GB"/>
        </w:rPr>
      </w:pPr>
      <w:bookmarkStart w:id="53" w:name="_Ref94637235"/>
      <w:r w:rsidRPr="000729CF">
        <w:rPr>
          <w:rFonts w:ascii="Arial" w:eastAsia="Calibri" w:hAnsi="Arial" w:cs="Arial"/>
          <w:color w:val="000000"/>
          <w:sz w:val="24"/>
          <w:szCs w:val="24"/>
          <w:lang w:val="en-GB" w:eastAsia="en-GB"/>
        </w:rPr>
        <w:t>Policy on the use of External Service Providers</w:t>
      </w:r>
      <w:bookmarkEnd w:id="53"/>
    </w:p>
    <w:p w14:paraId="7D06F900" w14:textId="77777777" w:rsidR="000729CF" w:rsidRPr="000729CF" w:rsidRDefault="000729CF" w:rsidP="00CE70A3">
      <w:pPr>
        <w:numPr>
          <w:ilvl w:val="1"/>
          <w:numId w:val="72"/>
        </w:numPr>
        <w:autoSpaceDE w:val="0"/>
        <w:autoSpaceDN w:val="0"/>
        <w:adjustRightInd w:val="0"/>
        <w:spacing w:after="60" w:line="276" w:lineRule="auto"/>
        <w:ind w:left="851" w:hanging="851"/>
        <w:jc w:val="both"/>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Lending to Third Parties</w:t>
      </w:r>
    </w:p>
    <w:p w14:paraId="0F8B6120" w14:textId="77777777" w:rsidR="000729CF" w:rsidRPr="000729CF" w:rsidRDefault="000729CF" w:rsidP="00CE70A3">
      <w:pPr>
        <w:numPr>
          <w:ilvl w:val="1"/>
          <w:numId w:val="72"/>
        </w:numPr>
        <w:autoSpaceDE w:val="0"/>
        <w:autoSpaceDN w:val="0"/>
        <w:adjustRightInd w:val="0"/>
        <w:spacing w:after="60" w:line="276" w:lineRule="auto"/>
        <w:ind w:left="851" w:hanging="851"/>
        <w:jc w:val="both"/>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Updates to the Codes of Practice 2021</w:t>
      </w:r>
    </w:p>
    <w:p w14:paraId="7119C04B" w14:textId="77777777" w:rsidR="000729CF" w:rsidRPr="000729CF" w:rsidRDefault="000729CF" w:rsidP="00CE70A3">
      <w:pPr>
        <w:numPr>
          <w:ilvl w:val="1"/>
          <w:numId w:val="72"/>
        </w:numPr>
        <w:autoSpaceDE w:val="0"/>
        <w:autoSpaceDN w:val="0"/>
        <w:adjustRightInd w:val="0"/>
        <w:spacing w:after="60" w:line="276" w:lineRule="auto"/>
        <w:ind w:left="851" w:hanging="851"/>
        <w:jc w:val="both"/>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Updates to Accounting Requirements</w:t>
      </w:r>
    </w:p>
    <w:p w14:paraId="03F2FBE1" w14:textId="77777777" w:rsidR="000729CF" w:rsidRPr="000729CF" w:rsidRDefault="000729CF" w:rsidP="000729CF">
      <w:pPr>
        <w:autoSpaceDE w:val="0"/>
        <w:autoSpaceDN w:val="0"/>
        <w:adjustRightInd w:val="0"/>
        <w:spacing w:after="200"/>
        <w:ind w:left="851"/>
        <w:contextualSpacing/>
        <w:jc w:val="both"/>
        <w:rPr>
          <w:rFonts w:ascii="Arial" w:eastAsia="Calibri" w:hAnsi="Arial" w:cs="Arial"/>
          <w:color w:val="000000"/>
          <w:sz w:val="24"/>
          <w:szCs w:val="24"/>
          <w:lang w:val="en-GB" w:eastAsia="en-GB"/>
        </w:rPr>
      </w:pPr>
    </w:p>
    <w:p w14:paraId="1BB59951" w14:textId="77777777" w:rsidR="000729CF" w:rsidRPr="000729CF" w:rsidRDefault="000729CF" w:rsidP="000729CF">
      <w:pPr>
        <w:autoSpaceDE w:val="0"/>
        <w:autoSpaceDN w:val="0"/>
        <w:adjustRightInd w:val="0"/>
        <w:spacing w:after="60"/>
        <w:jc w:val="both"/>
        <w:rPr>
          <w:rFonts w:ascii="Arial" w:eastAsia="Calibri" w:hAnsi="Arial" w:cs="Arial"/>
          <w:b/>
          <w:color w:val="000000"/>
          <w:sz w:val="24"/>
          <w:szCs w:val="24"/>
          <w:lang w:val="en-GB" w:eastAsia="en-GB"/>
        </w:rPr>
      </w:pPr>
      <w:r w:rsidRPr="000729CF">
        <w:rPr>
          <w:rFonts w:ascii="Arial" w:eastAsia="Calibri" w:hAnsi="Arial" w:cs="Arial"/>
          <w:b/>
          <w:color w:val="000000"/>
          <w:sz w:val="24"/>
          <w:szCs w:val="24"/>
          <w:lang w:val="en-GB" w:eastAsia="en-GB"/>
        </w:rPr>
        <w:t>ANNEXES:</w:t>
      </w:r>
    </w:p>
    <w:p w14:paraId="20C78335" w14:textId="77777777" w:rsidR="000729CF" w:rsidRPr="000729CF" w:rsidRDefault="000729CF" w:rsidP="000729CF">
      <w:pPr>
        <w:autoSpaceDE w:val="0"/>
        <w:autoSpaceDN w:val="0"/>
        <w:adjustRightInd w:val="0"/>
        <w:spacing w:after="60"/>
        <w:jc w:val="both"/>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Annex A</w:t>
      </w:r>
      <w:r w:rsidRPr="000729CF">
        <w:rPr>
          <w:rFonts w:ascii="Arial" w:eastAsia="Calibri" w:hAnsi="Arial" w:cs="Arial"/>
          <w:color w:val="000000"/>
          <w:sz w:val="24"/>
          <w:szCs w:val="24"/>
          <w:lang w:val="en-GB" w:eastAsia="en-GB"/>
        </w:rPr>
        <w:tab/>
        <w:t>Counterparty List</w:t>
      </w:r>
    </w:p>
    <w:p w14:paraId="2101465F" w14:textId="77777777" w:rsidR="000729CF" w:rsidRPr="000729CF" w:rsidRDefault="000729CF" w:rsidP="000729CF">
      <w:pPr>
        <w:autoSpaceDE w:val="0"/>
        <w:autoSpaceDN w:val="0"/>
        <w:adjustRightInd w:val="0"/>
        <w:spacing w:after="60"/>
        <w:jc w:val="both"/>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Annex B</w:t>
      </w:r>
      <w:r w:rsidRPr="000729CF">
        <w:rPr>
          <w:rFonts w:ascii="Arial" w:eastAsia="Calibri" w:hAnsi="Arial" w:cs="Arial"/>
          <w:color w:val="000000"/>
          <w:sz w:val="24"/>
          <w:szCs w:val="24"/>
          <w:lang w:val="en-GB" w:eastAsia="en-GB"/>
        </w:rPr>
        <w:tab/>
        <w:t xml:space="preserve">Economic Overview &amp; Prospect for Interest Rates </w:t>
      </w:r>
    </w:p>
    <w:p w14:paraId="48F5743E" w14:textId="77777777" w:rsidR="000729CF" w:rsidRPr="000729CF" w:rsidRDefault="000729CF" w:rsidP="000729CF">
      <w:pPr>
        <w:autoSpaceDE w:val="0"/>
        <w:autoSpaceDN w:val="0"/>
        <w:adjustRightInd w:val="0"/>
        <w:spacing w:after="60"/>
        <w:jc w:val="both"/>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Annex C</w:t>
      </w:r>
      <w:r w:rsidRPr="000729CF">
        <w:rPr>
          <w:rFonts w:ascii="Arial" w:eastAsia="Calibri" w:hAnsi="Arial" w:cs="Arial"/>
          <w:color w:val="000000"/>
          <w:sz w:val="24"/>
          <w:szCs w:val="24"/>
          <w:lang w:val="en-GB" w:eastAsia="en-GB"/>
        </w:rPr>
        <w:tab/>
        <w:t>Prudential &amp; Treasury Indicators</w:t>
      </w:r>
    </w:p>
    <w:p w14:paraId="0B793E2D" w14:textId="77777777" w:rsidR="000729CF" w:rsidRPr="000729CF" w:rsidRDefault="000729CF" w:rsidP="000729CF">
      <w:pPr>
        <w:autoSpaceDE w:val="0"/>
        <w:autoSpaceDN w:val="0"/>
        <w:adjustRightInd w:val="0"/>
        <w:spacing w:after="120"/>
        <w:jc w:val="both"/>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Annex D</w:t>
      </w:r>
      <w:r w:rsidRPr="000729CF">
        <w:rPr>
          <w:rFonts w:ascii="Arial" w:eastAsia="Calibri" w:hAnsi="Arial" w:cs="Arial"/>
          <w:color w:val="000000"/>
          <w:sz w:val="24"/>
          <w:szCs w:val="24"/>
          <w:lang w:val="en-GB" w:eastAsia="en-GB"/>
        </w:rPr>
        <w:tab/>
        <w:t>Scheme of Delegation</w:t>
      </w:r>
    </w:p>
    <w:p w14:paraId="4552FB0C" w14:textId="77777777" w:rsidR="000729CF" w:rsidRPr="000729CF" w:rsidRDefault="000729CF" w:rsidP="00CE70A3">
      <w:pPr>
        <w:keepNext/>
        <w:numPr>
          <w:ilvl w:val="0"/>
          <w:numId w:val="67"/>
        </w:numPr>
        <w:spacing w:before="240" w:after="120" w:line="276" w:lineRule="auto"/>
        <w:ind w:left="709" w:hanging="709"/>
        <w:outlineLvl w:val="0"/>
        <w:rPr>
          <w:rFonts w:ascii="Arial" w:hAnsi="Arial" w:cs="Arial"/>
          <w:b/>
          <w:bCs/>
          <w:kern w:val="32"/>
          <w:sz w:val="24"/>
          <w:szCs w:val="24"/>
          <w:lang w:val="en-GB"/>
        </w:rPr>
      </w:pPr>
      <w:r w:rsidRPr="000729CF">
        <w:rPr>
          <w:rFonts w:ascii="Arial" w:hAnsi="Arial" w:cs="Arial"/>
          <w:b/>
          <w:bCs/>
          <w:kern w:val="32"/>
          <w:sz w:val="24"/>
          <w:szCs w:val="24"/>
          <w:highlight w:val="yellow"/>
          <w:lang w:val="en-GB"/>
        </w:rPr>
        <w:br w:type="page"/>
      </w:r>
      <w:r w:rsidRPr="000729CF">
        <w:rPr>
          <w:rFonts w:ascii="Arial" w:hAnsi="Arial" w:cs="Arial"/>
          <w:b/>
          <w:bCs/>
          <w:kern w:val="32"/>
          <w:sz w:val="24"/>
          <w:szCs w:val="24"/>
          <w:lang w:val="en-GB"/>
        </w:rPr>
        <w:t>INTRODUCTION</w:t>
      </w:r>
    </w:p>
    <w:p w14:paraId="1B75C5C4" w14:textId="77777777" w:rsidR="000729CF" w:rsidRPr="000729CF" w:rsidRDefault="000729CF" w:rsidP="00CE70A3">
      <w:pPr>
        <w:keepNext/>
        <w:numPr>
          <w:ilvl w:val="1"/>
          <w:numId w:val="67"/>
        </w:numPr>
        <w:spacing w:before="120" w:after="120" w:line="276" w:lineRule="auto"/>
        <w:ind w:left="709" w:hanging="709"/>
        <w:outlineLvl w:val="1"/>
        <w:rPr>
          <w:rFonts w:ascii="Arial" w:hAnsi="Arial" w:cs="Arial"/>
          <w:b/>
          <w:bCs/>
          <w:i/>
          <w:iCs/>
          <w:sz w:val="24"/>
          <w:szCs w:val="24"/>
          <w:lang w:val="en-GB"/>
        </w:rPr>
      </w:pPr>
      <w:r w:rsidRPr="000729CF">
        <w:rPr>
          <w:rFonts w:ascii="Arial" w:hAnsi="Arial" w:cs="Arial"/>
          <w:b/>
          <w:bCs/>
          <w:i/>
          <w:iCs/>
          <w:sz w:val="24"/>
          <w:szCs w:val="24"/>
          <w:lang w:val="en-GB"/>
        </w:rPr>
        <w:t>Background</w:t>
      </w:r>
    </w:p>
    <w:p w14:paraId="1030B1D8" w14:textId="77777777" w:rsidR="000729CF" w:rsidRPr="000729CF" w:rsidRDefault="000729CF" w:rsidP="000729CF">
      <w:pPr>
        <w:autoSpaceDE w:val="0"/>
        <w:autoSpaceDN w:val="0"/>
        <w:adjustRightInd w:val="0"/>
        <w:spacing w:after="120"/>
        <w:ind w:left="709"/>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The council is required to set a balanced budget, which broadly means that cash raised and received during the year will meet cash expenditure. Part of the treasury management operation is to ensure that this cash flow is adequately planned, with cash being available when it is needed.  Cash can often be set aside (e.g. reserves) or received ahead of when it is required, for example, government capital grant funding, and therefore cash balances are invested in counterparties or instruments commensurate with the council’s risk appetite, and always prioritising adequate liquidity before considering investment return.</w:t>
      </w:r>
    </w:p>
    <w:p w14:paraId="37236371" w14:textId="77777777" w:rsidR="000729CF" w:rsidRPr="000729CF" w:rsidRDefault="000729CF" w:rsidP="000729CF">
      <w:pPr>
        <w:autoSpaceDE w:val="0"/>
        <w:autoSpaceDN w:val="0"/>
        <w:adjustRightInd w:val="0"/>
        <w:spacing w:after="120"/>
        <w:ind w:left="709"/>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The second main function of the treasury management service is the funding of the council’s capital plans.  These capital plans provide a guide to the borrowing need of the council, essentially the longer-term cash flow planning, to ensure that the council can meet its capital spending obligations. This management of longer-term cash may involve arranging long or short-term loans or using longer-term cash flow surpluses. On occasion, when it is prudent and economic, any debt previously drawn down may be restructured to meet council risk or cost objectives.</w:t>
      </w:r>
    </w:p>
    <w:p w14:paraId="63AAB3D3" w14:textId="77777777" w:rsidR="000729CF" w:rsidRPr="000729CF" w:rsidRDefault="000729CF" w:rsidP="000729CF">
      <w:pPr>
        <w:autoSpaceDE w:val="0"/>
        <w:autoSpaceDN w:val="0"/>
        <w:adjustRightInd w:val="0"/>
        <w:spacing w:after="120"/>
        <w:ind w:left="709"/>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The contribution that the treasury management function makes to the authority is critical, as the balance of debt and investment operations ensure liquidity and the ability to meet spending commitments as they fall due, either on day-to-day revenue spending or for larger capital projects.  The treasury operations will see a balance of the interest costs of debt and the investment income arising from cash deposits affecting the available budget.  Since cash balances generally result from holding reserves and balances, it is paramount to ensure adequate security of the sums invested, as a loss of principal will in effect result in a direct loss to the General Fund.</w:t>
      </w:r>
    </w:p>
    <w:p w14:paraId="26C19453" w14:textId="77777777" w:rsidR="000729CF" w:rsidRPr="000729CF" w:rsidRDefault="000729CF" w:rsidP="000729CF">
      <w:pPr>
        <w:autoSpaceDE w:val="0"/>
        <w:autoSpaceDN w:val="0"/>
        <w:adjustRightInd w:val="0"/>
        <w:spacing w:after="120"/>
        <w:ind w:left="709"/>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CIPFA defines treasury management as:</w:t>
      </w:r>
    </w:p>
    <w:p w14:paraId="6B63F27E" w14:textId="77777777" w:rsidR="000729CF" w:rsidRPr="000729CF" w:rsidRDefault="000729CF" w:rsidP="000729CF">
      <w:pPr>
        <w:autoSpaceDE w:val="0"/>
        <w:autoSpaceDN w:val="0"/>
        <w:adjustRightInd w:val="0"/>
        <w:spacing w:after="120"/>
        <w:ind w:left="709"/>
        <w:rPr>
          <w:rFonts w:ascii="Arial" w:eastAsia="Calibri" w:hAnsi="Arial" w:cs="Arial"/>
          <w:i/>
          <w:color w:val="000000"/>
          <w:sz w:val="24"/>
          <w:szCs w:val="24"/>
          <w:lang w:val="en-GB" w:eastAsia="en-GB"/>
        </w:rPr>
      </w:pPr>
      <w:r w:rsidRPr="000729CF">
        <w:rPr>
          <w:rFonts w:ascii="Arial" w:eastAsia="Calibri" w:hAnsi="Arial" w:cs="Arial"/>
          <w:i/>
          <w:color w:val="000000"/>
          <w:sz w:val="24"/>
          <w:szCs w:val="24"/>
          <w:lang w:val="en-GB" w:eastAsia="en-GB"/>
        </w:rPr>
        <w:t>“The management of the local authority’s borrowing, investments and cash flows, its banking, money market and capital market transactions; the effective control of the risks associated with those activities; and the pursuit of optimum performance consistent with those risks.”</w:t>
      </w:r>
    </w:p>
    <w:p w14:paraId="745AAA68" w14:textId="77777777" w:rsidR="000729CF" w:rsidRPr="000729CF" w:rsidRDefault="000729CF" w:rsidP="000729CF">
      <w:pPr>
        <w:autoSpaceDE w:val="0"/>
        <w:autoSpaceDN w:val="0"/>
        <w:adjustRightInd w:val="0"/>
        <w:spacing w:after="120"/>
        <w:ind w:left="709"/>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Whilst any commercial initiatives or loans to third parties will impact on the treasury function, these activities are generally classed as non-treasury activities (arising usually from capital expenditure) and are separate from the day-to-day treasury management activities.</w:t>
      </w:r>
    </w:p>
    <w:p w14:paraId="55484181" w14:textId="77777777" w:rsidR="000729CF" w:rsidRPr="000729CF" w:rsidRDefault="000729CF" w:rsidP="00CE70A3">
      <w:pPr>
        <w:keepNext/>
        <w:numPr>
          <w:ilvl w:val="1"/>
          <w:numId w:val="67"/>
        </w:numPr>
        <w:spacing w:before="120" w:after="120" w:line="276" w:lineRule="auto"/>
        <w:ind w:left="709" w:hanging="709"/>
        <w:outlineLvl w:val="1"/>
        <w:rPr>
          <w:rFonts w:ascii="Arial" w:hAnsi="Arial" w:cs="Arial"/>
          <w:b/>
          <w:bCs/>
          <w:i/>
          <w:iCs/>
          <w:sz w:val="24"/>
          <w:szCs w:val="24"/>
          <w:lang w:val="en-GB"/>
        </w:rPr>
      </w:pPr>
      <w:r w:rsidRPr="000729CF">
        <w:rPr>
          <w:rFonts w:ascii="Arial" w:hAnsi="Arial" w:cs="Arial"/>
          <w:b/>
          <w:bCs/>
          <w:i/>
          <w:iCs/>
          <w:sz w:val="24"/>
          <w:szCs w:val="24"/>
          <w:lang w:val="en-GB"/>
        </w:rPr>
        <w:t>Reporting Requirements</w:t>
      </w:r>
    </w:p>
    <w:p w14:paraId="5005D717" w14:textId="77777777" w:rsidR="000729CF" w:rsidRPr="000729CF" w:rsidRDefault="000729CF" w:rsidP="00CE70A3">
      <w:pPr>
        <w:numPr>
          <w:ilvl w:val="2"/>
          <w:numId w:val="67"/>
        </w:numPr>
        <w:spacing w:before="120" w:after="120" w:line="276" w:lineRule="auto"/>
        <w:outlineLvl w:val="2"/>
        <w:rPr>
          <w:rFonts w:ascii="Arial" w:hAnsi="Arial" w:cs="Arial"/>
          <w:b/>
          <w:bCs/>
          <w:i/>
          <w:iCs/>
          <w:sz w:val="24"/>
          <w:szCs w:val="24"/>
          <w:lang w:val="en-GB"/>
        </w:rPr>
      </w:pPr>
      <w:r w:rsidRPr="000729CF">
        <w:rPr>
          <w:rFonts w:ascii="Arial" w:hAnsi="Arial" w:cs="Arial"/>
          <w:b/>
          <w:bCs/>
          <w:i/>
          <w:iCs/>
          <w:sz w:val="24"/>
          <w:szCs w:val="24"/>
          <w:lang w:val="en-GB"/>
        </w:rPr>
        <w:t>Capital Strategy</w:t>
      </w:r>
    </w:p>
    <w:p w14:paraId="0B197669" w14:textId="77777777" w:rsidR="000729CF" w:rsidRPr="000729CF" w:rsidRDefault="000729CF" w:rsidP="000729CF">
      <w:pPr>
        <w:autoSpaceDE w:val="0"/>
        <w:autoSpaceDN w:val="0"/>
        <w:adjustRightInd w:val="0"/>
        <w:spacing w:after="120"/>
        <w:ind w:left="709"/>
        <w:rPr>
          <w:rFonts w:ascii="Arial" w:eastAsia="Calibri" w:hAnsi="Arial" w:cs="Arial"/>
          <w:color w:val="000000"/>
          <w:sz w:val="24"/>
          <w:szCs w:val="22"/>
          <w:lang w:val="en-GB" w:eastAsia="en-GB"/>
        </w:rPr>
      </w:pPr>
      <w:r w:rsidRPr="000729CF">
        <w:rPr>
          <w:rFonts w:ascii="Arial" w:eastAsia="Calibri" w:hAnsi="Arial" w:cs="Arial"/>
          <w:color w:val="000000"/>
          <w:sz w:val="24"/>
          <w:szCs w:val="22"/>
          <w:lang w:val="en-GB" w:eastAsia="en-GB"/>
        </w:rPr>
        <w:t>The CIPFA 2021 Prudential and Treasury Management Codes require all local authorities to prepare a capital strategy report, to provide the following:</w:t>
      </w:r>
    </w:p>
    <w:p w14:paraId="6AE04095" w14:textId="77777777" w:rsidR="000729CF" w:rsidRPr="000729CF" w:rsidRDefault="000729CF" w:rsidP="00CE70A3">
      <w:pPr>
        <w:numPr>
          <w:ilvl w:val="0"/>
          <w:numId w:val="57"/>
        </w:numPr>
        <w:autoSpaceDE w:val="0"/>
        <w:autoSpaceDN w:val="0"/>
        <w:adjustRightInd w:val="0"/>
        <w:spacing w:after="120" w:line="276" w:lineRule="auto"/>
        <w:ind w:left="1134" w:hanging="425"/>
        <w:contextualSpacing/>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a high-level long-term overview of how capital expenditure, capital financing and treasury management activity contribute to the provision of services;</w:t>
      </w:r>
    </w:p>
    <w:p w14:paraId="381A74F0" w14:textId="77777777" w:rsidR="000729CF" w:rsidRPr="000729CF" w:rsidRDefault="000729CF" w:rsidP="00CE70A3">
      <w:pPr>
        <w:numPr>
          <w:ilvl w:val="0"/>
          <w:numId w:val="57"/>
        </w:numPr>
        <w:autoSpaceDE w:val="0"/>
        <w:autoSpaceDN w:val="0"/>
        <w:adjustRightInd w:val="0"/>
        <w:spacing w:after="120" w:line="276" w:lineRule="auto"/>
        <w:ind w:left="1134" w:hanging="425"/>
        <w:contextualSpacing/>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an overview of how the associated risks are managed;</w:t>
      </w:r>
    </w:p>
    <w:p w14:paraId="6A04E8BC" w14:textId="77777777" w:rsidR="000729CF" w:rsidRPr="000729CF" w:rsidRDefault="000729CF" w:rsidP="00CE70A3">
      <w:pPr>
        <w:numPr>
          <w:ilvl w:val="0"/>
          <w:numId w:val="57"/>
        </w:numPr>
        <w:autoSpaceDE w:val="0"/>
        <w:autoSpaceDN w:val="0"/>
        <w:adjustRightInd w:val="0"/>
        <w:spacing w:after="120" w:line="276" w:lineRule="auto"/>
        <w:ind w:left="1134" w:hanging="425"/>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the implications for future financial sustainability.</w:t>
      </w:r>
    </w:p>
    <w:p w14:paraId="5961746C" w14:textId="77777777" w:rsidR="000729CF" w:rsidRPr="000729CF" w:rsidRDefault="000729CF" w:rsidP="000729CF">
      <w:pPr>
        <w:autoSpaceDE w:val="0"/>
        <w:autoSpaceDN w:val="0"/>
        <w:adjustRightInd w:val="0"/>
        <w:spacing w:after="120"/>
        <w:ind w:left="709"/>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The aim of the strategy is to ensure that all the Authority’s elected members fully understand the overall long-term policy objectives and resulting Capital Strategy requirements, governance procedures and risk appetite.</w:t>
      </w:r>
    </w:p>
    <w:p w14:paraId="0ABC444E" w14:textId="77777777" w:rsidR="000729CF" w:rsidRPr="000729CF" w:rsidRDefault="000729CF" w:rsidP="000729CF">
      <w:pPr>
        <w:autoSpaceDE w:val="0"/>
        <w:autoSpaceDN w:val="0"/>
        <w:adjustRightInd w:val="0"/>
        <w:spacing w:after="120"/>
        <w:ind w:left="709"/>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 xml:space="preserve">This Capital Strategy is reported separately from the Treasury Management Strategy Statement with non-treasury investments being reported through the former. This ensures the separation of the core treasury function under security, liquidity and yield principles, and the policy-driven and commercial investments usually driven by expenditure on an asset. </w:t>
      </w:r>
    </w:p>
    <w:p w14:paraId="73951B7B" w14:textId="77777777" w:rsidR="000729CF" w:rsidRPr="000729CF" w:rsidRDefault="000729CF" w:rsidP="00CE70A3">
      <w:pPr>
        <w:numPr>
          <w:ilvl w:val="2"/>
          <w:numId w:val="67"/>
        </w:numPr>
        <w:spacing w:before="120" w:after="120" w:line="276" w:lineRule="auto"/>
        <w:outlineLvl w:val="2"/>
        <w:rPr>
          <w:rFonts w:ascii="Arial" w:hAnsi="Arial" w:cs="Arial"/>
          <w:b/>
          <w:bCs/>
          <w:i/>
          <w:iCs/>
          <w:sz w:val="24"/>
          <w:szCs w:val="24"/>
          <w:lang w:val="en-GB"/>
        </w:rPr>
      </w:pPr>
      <w:r w:rsidRPr="000729CF">
        <w:rPr>
          <w:rFonts w:ascii="Arial" w:hAnsi="Arial" w:cs="Arial"/>
          <w:b/>
          <w:bCs/>
          <w:i/>
          <w:iCs/>
          <w:sz w:val="24"/>
          <w:szCs w:val="24"/>
          <w:lang w:val="en-GB"/>
        </w:rPr>
        <w:t>Treasury Management reporting</w:t>
      </w:r>
    </w:p>
    <w:p w14:paraId="3A4C31E6" w14:textId="77777777" w:rsidR="000729CF" w:rsidRPr="000729CF" w:rsidRDefault="000729CF" w:rsidP="000729CF">
      <w:pPr>
        <w:spacing w:after="200" w:line="276" w:lineRule="auto"/>
        <w:ind w:left="720"/>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 xml:space="preserve">The Council is currently required to receive and approve, as a minimum, three main treasury reports each year, which incorporate a variety of policies, estimates and actuals.  </w:t>
      </w:r>
    </w:p>
    <w:p w14:paraId="182313E8" w14:textId="77777777" w:rsidR="000729CF" w:rsidRPr="000729CF" w:rsidRDefault="000729CF" w:rsidP="00CE70A3">
      <w:pPr>
        <w:numPr>
          <w:ilvl w:val="0"/>
          <w:numId w:val="69"/>
        </w:numPr>
        <w:spacing w:after="200" w:line="276" w:lineRule="auto"/>
        <w:ind w:left="1134" w:hanging="425"/>
        <w:rPr>
          <w:rFonts w:ascii="Arial" w:eastAsia="Calibri" w:hAnsi="Arial" w:cs="Arial"/>
          <w:color w:val="000000"/>
          <w:sz w:val="24"/>
          <w:szCs w:val="24"/>
          <w:lang w:val="en-GB" w:eastAsia="en-GB"/>
        </w:rPr>
      </w:pPr>
      <w:r w:rsidRPr="000729CF">
        <w:rPr>
          <w:rFonts w:ascii="Arial" w:eastAsia="Calibri" w:hAnsi="Arial" w:cs="Arial"/>
          <w:b/>
          <w:color w:val="000000"/>
          <w:sz w:val="24"/>
          <w:szCs w:val="24"/>
          <w:lang w:val="en-GB" w:eastAsia="en-GB"/>
        </w:rPr>
        <w:t>Prudential and treasury indicators, and treasury strategy</w:t>
      </w:r>
      <w:r w:rsidRPr="000729CF">
        <w:rPr>
          <w:rFonts w:ascii="Arial" w:eastAsia="Calibri" w:hAnsi="Arial" w:cs="Arial"/>
          <w:color w:val="000000"/>
          <w:sz w:val="24"/>
          <w:szCs w:val="24"/>
          <w:lang w:val="en-GB" w:eastAsia="en-GB"/>
        </w:rPr>
        <w:t xml:space="preserve"> (this report) - The first, and most important report, is forward looking and covers:</w:t>
      </w:r>
    </w:p>
    <w:p w14:paraId="14BF6C79" w14:textId="77777777" w:rsidR="000729CF" w:rsidRPr="000729CF" w:rsidRDefault="000729CF" w:rsidP="00CE70A3">
      <w:pPr>
        <w:numPr>
          <w:ilvl w:val="0"/>
          <w:numId w:val="58"/>
        </w:numPr>
        <w:spacing w:after="200" w:line="276" w:lineRule="auto"/>
        <w:ind w:left="1560" w:hanging="425"/>
        <w:contextualSpacing/>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the capital investment plans, (including prudential indicators);</w:t>
      </w:r>
    </w:p>
    <w:p w14:paraId="0EB1127C" w14:textId="77777777" w:rsidR="000729CF" w:rsidRPr="000729CF" w:rsidRDefault="000729CF" w:rsidP="00CE70A3">
      <w:pPr>
        <w:numPr>
          <w:ilvl w:val="0"/>
          <w:numId w:val="58"/>
        </w:numPr>
        <w:spacing w:after="200" w:line="276" w:lineRule="auto"/>
        <w:ind w:left="1560" w:hanging="425"/>
        <w:contextualSpacing/>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a Minimum Revenue Provision (MRP) policy, (how residual capital expenditure is charged to revenue over time);</w:t>
      </w:r>
    </w:p>
    <w:p w14:paraId="3A1EDF30" w14:textId="77777777" w:rsidR="000729CF" w:rsidRPr="000729CF" w:rsidRDefault="000729CF" w:rsidP="00CE70A3">
      <w:pPr>
        <w:numPr>
          <w:ilvl w:val="0"/>
          <w:numId w:val="58"/>
        </w:numPr>
        <w:spacing w:after="200" w:line="276" w:lineRule="auto"/>
        <w:ind w:left="1560" w:hanging="425"/>
        <w:contextualSpacing/>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 xml:space="preserve">the Treasury Management Strategy, (how the investments and borrowings are to be organised), including treasury indicators; and </w:t>
      </w:r>
    </w:p>
    <w:p w14:paraId="4D64FA7F" w14:textId="77777777" w:rsidR="000729CF" w:rsidRPr="000729CF" w:rsidRDefault="000729CF" w:rsidP="00CE70A3">
      <w:pPr>
        <w:numPr>
          <w:ilvl w:val="0"/>
          <w:numId w:val="58"/>
        </w:numPr>
        <w:spacing w:after="120" w:line="276" w:lineRule="auto"/>
        <w:ind w:left="1560" w:hanging="425"/>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an Annual Investment Strategy, (the parameters on how investments are to be managed).</w:t>
      </w:r>
    </w:p>
    <w:p w14:paraId="35EAAD9C" w14:textId="77777777" w:rsidR="000729CF" w:rsidRPr="000729CF" w:rsidRDefault="000729CF" w:rsidP="00CE70A3">
      <w:pPr>
        <w:numPr>
          <w:ilvl w:val="0"/>
          <w:numId w:val="69"/>
        </w:numPr>
        <w:spacing w:after="120" w:line="276" w:lineRule="auto"/>
        <w:ind w:left="1134" w:hanging="425"/>
        <w:rPr>
          <w:rFonts w:ascii="Arial" w:eastAsia="Calibri" w:hAnsi="Arial" w:cs="Arial"/>
          <w:color w:val="000000"/>
          <w:sz w:val="24"/>
          <w:szCs w:val="24"/>
          <w:lang w:val="en-GB" w:eastAsia="en-GB"/>
        </w:rPr>
      </w:pPr>
      <w:r w:rsidRPr="000729CF">
        <w:rPr>
          <w:rFonts w:ascii="Arial" w:eastAsia="Calibri" w:hAnsi="Arial" w:cs="Arial"/>
          <w:b/>
          <w:color w:val="000000"/>
          <w:sz w:val="24"/>
          <w:szCs w:val="24"/>
          <w:lang w:val="en-GB" w:eastAsia="en-GB"/>
        </w:rPr>
        <w:t xml:space="preserve">A mid-year treasury management report </w:t>
      </w:r>
      <w:r w:rsidRPr="000729CF">
        <w:rPr>
          <w:rFonts w:ascii="Arial" w:eastAsia="Calibri" w:hAnsi="Arial" w:cs="Arial"/>
          <w:color w:val="000000"/>
          <w:sz w:val="24"/>
          <w:szCs w:val="24"/>
          <w:lang w:val="en-GB" w:eastAsia="en-GB"/>
        </w:rPr>
        <w:t>– This is primarily a progress report and will update members on the capital position, amending prudential indicators as necessary, and whether any policies require revision.</w:t>
      </w:r>
      <w:r w:rsidRPr="000729CF">
        <w:rPr>
          <w:rFonts w:ascii="Calibri" w:eastAsia="Calibri" w:hAnsi="Calibri"/>
          <w:sz w:val="22"/>
          <w:szCs w:val="22"/>
          <w:lang w:val="en-GB"/>
        </w:rPr>
        <w:t xml:space="preserve"> </w:t>
      </w:r>
      <w:r w:rsidRPr="000729CF">
        <w:rPr>
          <w:rFonts w:ascii="Arial" w:eastAsia="Calibri" w:hAnsi="Arial" w:cs="Arial"/>
          <w:color w:val="000000"/>
          <w:sz w:val="24"/>
          <w:szCs w:val="24"/>
          <w:lang w:val="en-GB" w:eastAsia="en-GB"/>
        </w:rPr>
        <w:t>In addition, this Authority will receive quarterly update reports.</w:t>
      </w:r>
    </w:p>
    <w:p w14:paraId="0712FA7D" w14:textId="77777777" w:rsidR="000729CF" w:rsidRPr="000729CF" w:rsidRDefault="000729CF" w:rsidP="00CE70A3">
      <w:pPr>
        <w:numPr>
          <w:ilvl w:val="0"/>
          <w:numId w:val="69"/>
        </w:numPr>
        <w:spacing w:after="120" w:line="276" w:lineRule="auto"/>
        <w:ind w:left="1134" w:hanging="425"/>
        <w:rPr>
          <w:rFonts w:ascii="Arial" w:eastAsia="Calibri" w:hAnsi="Arial" w:cs="Arial"/>
          <w:color w:val="000000"/>
          <w:sz w:val="24"/>
          <w:szCs w:val="24"/>
          <w:lang w:val="en-GB" w:eastAsia="en-GB"/>
        </w:rPr>
      </w:pPr>
      <w:r w:rsidRPr="000729CF">
        <w:rPr>
          <w:rFonts w:ascii="Arial" w:eastAsia="Calibri" w:hAnsi="Arial" w:cs="Arial"/>
          <w:b/>
          <w:color w:val="000000"/>
          <w:sz w:val="24"/>
          <w:szCs w:val="24"/>
          <w:lang w:val="en-GB" w:eastAsia="en-GB"/>
        </w:rPr>
        <w:t>An annual treasury management report</w:t>
      </w:r>
      <w:r w:rsidRPr="000729CF">
        <w:rPr>
          <w:rFonts w:ascii="Arial" w:eastAsia="Calibri" w:hAnsi="Arial" w:cs="Arial"/>
          <w:color w:val="000000"/>
          <w:sz w:val="24"/>
          <w:szCs w:val="24"/>
          <w:lang w:val="en-GB" w:eastAsia="en-GB"/>
        </w:rPr>
        <w:t xml:space="preserve"> – This is a backward looking review document and provides details of a selection of actual prudential and treasury indicators and actual treasury operations compared to the estimates within the strategy.</w:t>
      </w:r>
    </w:p>
    <w:p w14:paraId="7E204574" w14:textId="77777777" w:rsidR="000729CF" w:rsidRPr="000729CF" w:rsidRDefault="000729CF" w:rsidP="000729CF">
      <w:pPr>
        <w:spacing w:after="120" w:line="276" w:lineRule="auto"/>
        <w:ind w:left="709"/>
        <w:rPr>
          <w:rFonts w:ascii="Arial" w:eastAsia="Calibri" w:hAnsi="Arial" w:cs="Arial"/>
          <w:i/>
          <w:color w:val="000000"/>
          <w:sz w:val="24"/>
          <w:szCs w:val="24"/>
          <w:lang w:val="en-GB" w:eastAsia="en-GB"/>
        </w:rPr>
      </w:pPr>
      <w:r w:rsidRPr="000729CF">
        <w:rPr>
          <w:rFonts w:ascii="Arial" w:eastAsia="Calibri" w:hAnsi="Arial" w:cs="Arial"/>
          <w:i/>
          <w:color w:val="000000"/>
          <w:sz w:val="24"/>
          <w:szCs w:val="24"/>
          <w:lang w:val="en-GB" w:eastAsia="en-GB"/>
        </w:rPr>
        <w:t xml:space="preserve">This Council delegates responsibility for implementation and monitoring of treasury management to the Strategy, Finance &amp; City Regeneration Committee (SFCR) and responsibility for the execution and administration of treasury management decisions to the Section 151 Officer. SFCR therefore receives the mid-year report in December and the annual report in July each year. </w:t>
      </w:r>
    </w:p>
    <w:p w14:paraId="37156E40" w14:textId="77777777" w:rsidR="000729CF" w:rsidRPr="000729CF" w:rsidRDefault="000729CF" w:rsidP="000729CF">
      <w:pPr>
        <w:spacing w:after="200" w:line="276" w:lineRule="auto"/>
        <w:ind w:left="709"/>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The above reports are required to be adequately scrutinised before being recommended to the Council.  This role is undertaken by the SFCR Committee.</w:t>
      </w:r>
    </w:p>
    <w:p w14:paraId="4C335182" w14:textId="77777777" w:rsidR="000729CF" w:rsidRPr="000729CF" w:rsidRDefault="000729CF" w:rsidP="000729CF">
      <w:pPr>
        <w:spacing w:after="200" w:line="276" w:lineRule="auto"/>
        <w:ind w:left="709"/>
        <w:rPr>
          <w:rFonts w:ascii="Arial" w:eastAsia="Calibri" w:hAnsi="Arial" w:cs="Arial"/>
          <w:color w:val="000000"/>
          <w:sz w:val="24"/>
          <w:szCs w:val="24"/>
          <w:lang w:val="en-GB" w:eastAsia="en-GB"/>
        </w:rPr>
      </w:pPr>
      <w:bookmarkStart w:id="54" w:name="_Hlk121309908"/>
      <w:r w:rsidRPr="000729CF">
        <w:rPr>
          <w:rFonts w:ascii="Arial" w:eastAsia="Calibri" w:hAnsi="Arial" w:cs="Arial"/>
          <w:b/>
          <w:bCs/>
          <w:color w:val="000000"/>
          <w:sz w:val="24"/>
          <w:szCs w:val="24"/>
          <w:lang w:val="en-GB" w:eastAsia="en-GB"/>
        </w:rPr>
        <w:t>Quarterly reports</w:t>
      </w:r>
      <w:r w:rsidRPr="000729CF">
        <w:rPr>
          <w:rFonts w:ascii="Arial" w:eastAsia="Calibri" w:hAnsi="Arial" w:cs="Arial"/>
          <w:color w:val="000000"/>
          <w:sz w:val="24"/>
          <w:szCs w:val="24"/>
          <w:lang w:val="en-GB" w:eastAsia="en-GB"/>
        </w:rPr>
        <w:t xml:space="preserve"> – In addition to the three major reports detailed above, from 2023/24 quarterly reporting is also required.  However, these additional reports do not have to be reported to Full Council but are required to be adequately scrutinised.  This role is undertaken by the SFCR Committee and reporting will be incorporated into relevant Targeted Budget Management (TBM) budget monitoring reports at month 5 (August) and month 9 (December) presented in October and February of each year, with the other quarters already being fulfilled by the mid-year and annual end of year reports.</w:t>
      </w:r>
    </w:p>
    <w:bookmarkEnd w:id="54"/>
    <w:p w14:paraId="67CAD445" w14:textId="77777777" w:rsidR="000729CF" w:rsidRPr="000729CF" w:rsidRDefault="000729CF" w:rsidP="00CE70A3">
      <w:pPr>
        <w:keepNext/>
        <w:numPr>
          <w:ilvl w:val="1"/>
          <w:numId w:val="67"/>
        </w:numPr>
        <w:spacing w:before="120" w:after="120" w:line="276" w:lineRule="auto"/>
        <w:ind w:left="709" w:hanging="709"/>
        <w:outlineLvl w:val="1"/>
        <w:rPr>
          <w:rFonts w:ascii="Arial" w:hAnsi="Arial" w:cs="Arial"/>
          <w:b/>
          <w:bCs/>
          <w:i/>
          <w:iCs/>
          <w:sz w:val="24"/>
          <w:szCs w:val="24"/>
          <w:lang w:val="en-GB" w:eastAsia="en-GB"/>
        </w:rPr>
      </w:pPr>
      <w:r w:rsidRPr="000729CF">
        <w:rPr>
          <w:rFonts w:ascii="Arial" w:hAnsi="Arial" w:cs="Arial"/>
          <w:b/>
          <w:bCs/>
          <w:i/>
          <w:iCs/>
          <w:sz w:val="24"/>
          <w:szCs w:val="24"/>
          <w:lang w:val="en-GB" w:eastAsia="en-GB"/>
        </w:rPr>
        <w:tab/>
        <w:t>Treasury Management Strategy for 2024/25</w:t>
      </w:r>
    </w:p>
    <w:p w14:paraId="6B3E586B" w14:textId="77777777" w:rsidR="000729CF" w:rsidRPr="000729CF" w:rsidRDefault="000729CF" w:rsidP="000729CF">
      <w:pPr>
        <w:spacing w:after="120"/>
        <w:ind w:left="709"/>
        <w:rPr>
          <w:rFonts w:ascii="Arial" w:hAnsi="Arial" w:cs="Arial"/>
          <w:sz w:val="24"/>
          <w:szCs w:val="24"/>
          <w:lang w:val="en-GB" w:eastAsia="en-GB"/>
        </w:rPr>
      </w:pPr>
      <w:r w:rsidRPr="000729CF">
        <w:rPr>
          <w:rFonts w:ascii="Arial" w:hAnsi="Arial" w:cs="Arial"/>
          <w:sz w:val="24"/>
          <w:szCs w:val="24"/>
          <w:lang w:val="en-GB" w:eastAsia="en-GB"/>
        </w:rPr>
        <w:t>The strategy for 2024/25 covers two main areas:</w:t>
      </w:r>
    </w:p>
    <w:p w14:paraId="51D2FCA7" w14:textId="77777777" w:rsidR="000729CF" w:rsidRPr="000729CF" w:rsidRDefault="000729CF" w:rsidP="00CE70A3">
      <w:pPr>
        <w:numPr>
          <w:ilvl w:val="2"/>
          <w:numId w:val="67"/>
        </w:numPr>
        <w:spacing w:before="120" w:after="120" w:line="276" w:lineRule="auto"/>
        <w:outlineLvl w:val="2"/>
        <w:rPr>
          <w:rFonts w:ascii="Arial" w:eastAsia="Calibri" w:hAnsi="Arial" w:cs="Arial"/>
          <w:b/>
          <w:bCs/>
          <w:i/>
          <w:iCs/>
          <w:sz w:val="24"/>
          <w:szCs w:val="24"/>
          <w:lang w:val="en-GB"/>
        </w:rPr>
      </w:pPr>
      <w:r w:rsidRPr="000729CF">
        <w:rPr>
          <w:rFonts w:ascii="Arial" w:eastAsia="Calibri" w:hAnsi="Arial" w:cs="Arial"/>
          <w:b/>
          <w:bCs/>
          <w:i/>
          <w:iCs/>
          <w:sz w:val="24"/>
          <w:szCs w:val="24"/>
          <w:lang w:val="en-GB"/>
        </w:rPr>
        <w:t>Capital issues:</w:t>
      </w:r>
    </w:p>
    <w:p w14:paraId="26336F35" w14:textId="77777777" w:rsidR="000729CF" w:rsidRPr="000729CF" w:rsidRDefault="000729CF" w:rsidP="00CE70A3">
      <w:pPr>
        <w:numPr>
          <w:ilvl w:val="0"/>
          <w:numId w:val="70"/>
        </w:numPr>
        <w:spacing w:before="45" w:after="45" w:line="276" w:lineRule="auto"/>
        <w:ind w:left="1134"/>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 xml:space="preserve">the capital expenditure plans (section </w:t>
      </w:r>
      <w:r w:rsidRPr="000729CF">
        <w:rPr>
          <w:rFonts w:ascii="Arial" w:eastAsia="Calibri" w:hAnsi="Arial" w:cs="Arial"/>
          <w:color w:val="000000"/>
          <w:sz w:val="24"/>
          <w:szCs w:val="24"/>
          <w:lang w:val="en-GB" w:eastAsia="en-GB"/>
        </w:rPr>
        <w:fldChar w:fldCharType="begin"/>
      </w:r>
      <w:r w:rsidRPr="000729CF">
        <w:rPr>
          <w:rFonts w:ascii="Arial" w:eastAsia="Calibri" w:hAnsi="Arial" w:cs="Arial"/>
          <w:color w:val="000000"/>
          <w:sz w:val="24"/>
          <w:szCs w:val="24"/>
          <w:lang w:val="en-GB" w:eastAsia="en-GB"/>
        </w:rPr>
        <w:instrText xml:space="preserve"> REF _Ref94635285 \r \h </w:instrText>
      </w:r>
      <w:r w:rsidRPr="000729CF">
        <w:rPr>
          <w:rFonts w:ascii="Arial" w:eastAsia="Calibri" w:hAnsi="Arial" w:cs="Arial"/>
          <w:color w:val="000000"/>
          <w:sz w:val="24"/>
          <w:szCs w:val="24"/>
          <w:lang w:val="en-GB" w:eastAsia="en-GB"/>
        </w:rPr>
      </w:r>
      <w:r w:rsidRPr="000729CF">
        <w:rPr>
          <w:rFonts w:ascii="Arial" w:eastAsia="Calibri" w:hAnsi="Arial" w:cs="Arial"/>
          <w:color w:val="000000"/>
          <w:sz w:val="24"/>
          <w:szCs w:val="24"/>
          <w:lang w:val="en-GB" w:eastAsia="en-GB"/>
        </w:rPr>
        <w:fldChar w:fldCharType="separate"/>
      </w:r>
      <w:r w:rsidRPr="000729CF">
        <w:rPr>
          <w:rFonts w:ascii="Arial" w:eastAsia="Calibri" w:hAnsi="Arial" w:cs="Arial"/>
          <w:color w:val="000000"/>
          <w:sz w:val="24"/>
          <w:szCs w:val="24"/>
          <w:lang w:val="en-GB" w:eastAsia="en-GB"/>
        </w:rPr>
        <w:t>2</w:t>
      </w:r>
      <w:r w:rsidRPr="000729CF">
        <w:rPr>
          <w:rFonts w:ascii="Arial" w:eastAsia="Calibri" w:hAnsi="Arial" w:cs="Arial"/>
          <w:color w:val="000000"/>
          <w:sz w:val="24"/>
          <w:szCs w:val="24"/>
          <w:lang w:val="en-GB" w:eastAsia="en-GB"/>
        </w:rPr>
        <w:fldChar w:fldCharType="end"/>
      </w:r>
      <w:r w:rsidRPr="000729CF">
        <w:rPr>
          <w:rFonts w:ascii="Arial" w:eastAsia="Calibri" w:hAnsi="Arial" w:cs="Arial"/>
          <w:color w:val="000000"/>
          <w:sz w:val="24"/>
          <w:szCs w:val="24"/>
          <w:lang w:val="en-GB" w:eastAsia="en-GB"/>
        </w:rPr>
        <w:t>) and the associated prudential indicators (Annex C</w:t>
      </w:r>
      <w:proofErr w:type="gramStart"/>
      <w:r w:rsidRPr="000729CF">
        <w:rPr>
          <w:rFonts w:ascii="Arial" w:eastAsia="Calibri" w:hAnsi="Arial" w:cs="Arial"/>
          <w:color w:val="000000"/>
          <w:sz w:val="24"/>
          <w:szCs w:val="24"/>
          <w:lang w:val="en-GB" w:eastAsia="en-GB"/>
        </w:rPr>
        <w:t>);</w:t>
      </w:r>
      <w:proofErr w:type="gramEnd"/>
    </w:p>
    <w:p w14:paraId="1E3E043F" w14:textId="77777777" w:rsidR="000729CF" w:rsidRPr="000729CF" w:rsidRDefault="000729CF" w:rsidP="00CE70A3">
      <w:pPr>
        <w:numPr>
          <w:ilvl w:val="0"/>
          <w:numId w:val="70"/>
        </w:numPr>
        <w:spacing w:before="45" w:after="200" w:line="276" w:lineRule="auto"/>
        <w:ind w:left="1134"/>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 xml:space="preserve">the Minimum Revenue Provision (MRP) policy (Section </w:t>
      </w:r>
      <w:r w:rsidRPr="000729CF">
        <w:rPr>
          <w:rFonts w:ascii="Arial" w:eastAsia="Calibri" w:hAnsi="Arial" w:cs="Arial"/>
          <w:color w:val="000000"/>
          <w:sz w:val="24"/>
          <w:szCs w:val="24"/>
          <w:lang w:val="en-GB" w:eastAsia="en-GB"/>
        </w:rPr>
        <w:fldChar w:fldCharType="begin"/>
      </w:r>
      <w:r w:rsidRPr="000729CF">
        <w:rPr>
          <w:rFonts w:ascii="Arial" w:eastAsia="Calibri" w:hAnsi="Arial" w:cs="Arial"/>
          <w:color w:val="000000"/>
          <w:sz w:val="24"/>
          <w:szCs w:val="24"/>
          <w:lang w:val="en-GB" w:eastAsia="en-GB"/>
        </w:rPr>
        <w:instrText xml:space="preserve"> REF _Ref94635295 \r \h </w:instrText>
      </w:r>
      <w:r w:rsidRPr="000729CF">
        <w:rPr>
          <w:rFonts w:ascii="Arial" w:eastAsia="Calibri" w:hAnsi="Arial" w:cs="Arial"/>
          <w:color w:val="000000"/>
          <w:sz w:val="24"/>
          <w:szCs w:val="24"/>
          <w:lang w:val="en-GB" w:eastAsia="en-GB"/>
        </w:rPr>
      </w:r>
      <w:r w:rsidRPr="000729CF">
        <w:rPr>
          <w:rFonts w:ascii="Arial" w:eastAsia="Calibri" w:hAnsi="Arial" w:cs="Arial"/>
          <w:color w:val="000000"/>
          <w:sz w:val="24"/>
          <w:szCs w:val="24"/>
          <w:lang w:val="en-GB" w:eastAsia="en-GB"/>
        </w:rPr>
        <w:fldChar w:fldCharType="separate"/>
      </w:r>
      <w:r w:rsidRPr="000729CF">
        <w:rPr>
          <w:rFonts w:ascii="Arial" w:eastAsia="Calibri" w:hAnsi="Arial" w:cs="Arial"/>
          <w:color w:val="000000"/>
          <w:sz w:val="24"/>
          <w:szCs w:val="24"/>
          <w:lang w:val="en-GB" w:eastAsia="en-GB"/>
        </w:rPr>
        <w:t>3</w:t>
      </w:r>
      <w:r w:rsidRPr="000729CF">
        <w:rPr>
          <w:rFonts w:ascii="Arial" w:eastAsia="Calibri" w:hAnsi="Arial" w:cs="Arial"/>
          <w:color w:val="000000"/>
          <w:sz w:val="24"/>
          <w:szCs w:val="24"/>
          <w:lang w:val="en-GB" w:eastAsia="en-GB"/>
        </w:rPr>
        <w:fldChar w:fldCharType="end"/>
      </w:r>
      <w:r w:rsidRPr="000729CF">
        <w:rPr>
          <w:rFonts w:ascii="Arial" w:eastAsia="Calibri" w:hAnsi="Arial" w:cs="Arial"/>
          <w:color w:val="000000"/>
          <w:sz w:val="24"/>
          <w:szCs w:val="24"/>
          <w:lang w:val="en-GB" w:eastAsia="en-GB"/>
        </w:rPr>
        <w:t>).</w:t>
      </w:r>
    </w:p>
    <w:p w14:paraId="4C359D02" w14:textId="77777777" w:rsidR="000729CF" w:rsidRPr="000729CF" w:rsidRDefault="000729CF" w:rsidP="00CE70A3">
      <w:pPr>
        <w:numPr>
          <w:ilvl w:val="2"/>
          <w:numId w:val="67"/>
        </w:numPr>
        <w:spacing w:before="120" w:after="120" w:line="276" w:lineRule="auto"/>
        <w:outlineLvl w:val="2"/>
        <w:rPr>
          <w:rFonts w:ascii="Arial" w:hAnsi="Arial" w:cs="Arial"/>
          <w:b/>
          <w:bCs/>
          <w:i/>
          <w:iCs/>
          <w:sz w:val="24"/>
          <w:szCs w:val="24"/>
          <w:lang w:val="en-GB" w:eastAsia="en-GB"/>
        </w:rPr>
      </w:pPr>
      <w:r w:rsidRPr="000729CF">
        <w:rPr>
          <w:rFonts w:ascii="Arial" w:hAnsi="Arial" w:cs="Arial"/>
          <w:b/>
          <w:bCs/>
          <w:i/>
          <w:iCs/>
          <w:sz w:val="24"/>
          <w:szCs w:val="24"/>
          <w:lang w:val="en-GB" w:eastAsia="en-GB"/>
        </w:rPr>
        <w:t>Treasury management issues:</w:t>
      </w:r>
    </w:p>
    <w:p w14:paraId="3FD53170" w14:textId="77777777" w:rsidR="000729CF" w:rsidRPr="000729CF" w:rsidRDefault="000729CF" w:rsidP="00CE70A3">
      <w:pPr>
        <w:numPr>
          <w:ilvl w:val="0"/>
          <w:numId w:val="71"/>
        </w:numPr>
        <w:spacing w:before="45" w:after="45" w:line="276" w:lineRule="auto"/>
        <w:ind w:left="1134"/>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 xml:space="preserve">the current treasury position (section </w:t>
      </w:r>
      <w:r w:rsidRPr="000729CF">
        <w:rPr>
          <w:rFonts w:ascii="Arial" w:eastAsia="Calibri" w:hAnsi="Arial" w:cs="Arial"/>
          <w:color w:val="000000"/>
          <w:sz w:val="24"/>
          <w:szCs w:val="24"/>
          <w:lang w:val="en-GB" w:eastAsia="en-GB"/>
        </w:rPr>
        <w:fldChar w:fldCharType="begin"/>
      </w:r>
      <w:r w:rsidRPr="000729CF">
        <w:rPr>
          <w:rFonts w:ascii="Arial" w:eastAsia="Calibri" w:hAnsi="Arial" w:cs="Arial"/>
          <w:color w:val="000000"/>
          <w:sz w:val="24"/>
          <w:szCs w:val="24"/>
          <w:lang w:val="en-GB" w:eastAsia="en-GB"/>
        </w:rPr>
        <w:instrText xml:space="preserve"> REF _Ref94638556 \r \h </w:instrText>
      </w:r>
      <w:r w:rsidRPr="000729CF">
        <w:rPr>
          <w:rFonts w:ascii="Arial" w:eastAsia="Calibri" w:hAnsi="Arial" w:cs="Arial"/>
          <w:color w:val="000000"/>
          <w:sz w:val="24"/>
          <w:szCs w:val="24"/>
          <w:lang w:val="en-GB" w:eastAsia="en-GB"/>
        </w:rPr>
      </w:r>
      <w:r w:rsidRPr="000729CF">
        <w:rPr>
          <w:rFonts w:ascii="Arial" w:eastAsia="Calibri" w:hAnsi="Arial" w:cs="Arial"/>
          <w:color w:val="000000"/>
          <w:sz w:val="24"/>
          <w:szCs w:val="24"/>
          <w:lang w:val="en-GB" w:eastAsia="en-GB"/>
        </w:rPr>
        <w:fldChar w:fldCharType="separate"/>
      </w:r>
      <w:r w:rsidRPr="000729CF">
        <w:rPr>
          <w:rFonts w:ascii="Arial" w:eastAsia="Calibri" w:hAnsi="Arial" w:cs="Arial"/>
          <w:color w:val="000000"/>
          <w:sz w:val="24"/>
          <w:szCs w:val="24"/>
          <w:lang w:val="en-GB" w:eastAsia="en-GB"/>
        </w:rPr>
        <w:t>1.5</w:t>
      </w:r>
      <w:r w:rsidRPr="000729CF">
        <w:rPr>
          <w:rFonts w:ascii="Arial" w:eastAsia="Calibri" w:hAnsi="Arial" w:cs="Arial"/>
          <w:color w:val="000000"/>
          <w:sz w:val="24"/>
          <w:szCs w:val="24"/>
          <w:lang w:val="en-GB" w:eastAsia="en-GB"/>
        </w:rPr>
        <w:fldChar w:fldCharType="end"/>
      </w:r>
      <w:proofErr w:type="gramStart"/>
      <w:r w:rsidRPr="000729CF">
        <w:rPr>
          <w:rFonts w:ascii="Arial" w:eastAsia="Calibri" w:hAnsi="Arial" w:cs="Arial"/>
          <w:color w:val="000000"/>
          <w:sz w:val="24"/>
          <w:szCs w:val="24"/>
          <w:lang w:val="en-GB" w:eastAsia="en-GB"/>
        </w:rPr>
        <w:t>);</w:t>
      </w:r>
      <w:proofErr w:type="gramEnd"/>
    </w:p>
    <w:p w14:paraId="70D67C1D" w14:textId="77777777" w:rsidR="000729CF" w:rsidRPr="000729CF" w:rsidRDefault="000729CF" w:rsidP="00CE70A3">
      <w:pPr>
        <w:numPr>
          <w:ilvl w:val="0"/>
          <w:numId w:val="71"/>
        </w:numPr>
        <w:spacing w:before="45" w:after="45" w:line="276" w:lineRule="auto"/>
        <w:ind w:left="1134"/>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treasury indicators which limit the treasury risk and activities of the council (Annex C);</w:t>
      </w:r>
    </w:p>
    <w:p w14:paraId="6F6449FC" w14:textId="77777777" w:rsidR="000729CF" w:rsidRPr="000729CF" w:rsidRDefault="000729CF" w:rsidP="00CE70A3">
      <w:pPr>
        <w:numPr>
          <w:ilvl w:val="0"/>
          <w:numId w:val="71"/>
        </w:numPr>
        <w:spacing w:before="45" w:after="45" w:line="276" w:lineRule="auto"/>
        <w:ind w:left="1134"/>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prospects for interest rates (Annex B);</w:t>
      </w:r>
    </w:p>
    <w:p w14:paraId="757746A6" w14:textId="77777777" w:rsidR="000729CF" w:rsidRPr="000729CF" w:rsidRDefault="000729CF" w:rsidP="00CE70A3">
      <w:pPr>
        <w:numPr>
          <w:ilvl w:val="0"/>
          <w:numId w:val="71"/>
        </w:numPr>
        <w:spacing w:before="45" w:after="45" w:line="276" w:lineRule="auto"/>
        <w:ind w:left="1134"/>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 xml:space="preserve">the borrowing strategy (section </w:t>
      </w:r>
      <w:r w:rsidRPr="000729CF">
        <w:rPr>
          <w:rFonts w:ascii="Arial" w:eastAsia="Calibri" w:hAnsi="Arial" w:cs="Arial"/>
          <w:color w:val="000000"/>
          <w:sz w:val="24"/>
          <w:szCs w:val="24"/>
          <w:lang w:val="en-GB" w:eastAsia="en-GB"/>
        </w:rPr>
        <w:fldChar w:fldCharType="begin"/>
      </w:r>
      <w:r w:rsidRPr="000729CF">
        <w:rPr>
          <w:rFonts w:ascii="Arial" w:eastAsia="Calibri" w:hAnsi="Arial" w:cs="Arial"/>
          <w:color w:val="000000"/>
          <w:sz w:val="24"/>
          <w:szCs w:val="24"/>
          <w:lang w:val="en-GB" w:eastAsia="en-GB"/>
        </w:rPr>
        <w:instrText xml:space="preserve"> REF _Ref94635285 \r \h </w:instrText>
      </w:r>
      <w:r w:rsidRPr="000729CF">
        <w:rPr>
          <w:rFonts w:ascii="Arial" w:eastAsia="Calibri" w:hAnsi="Arial" w:cs="Arial"/>
          <w:color w:val="000000"/>
          <w:sz w:val="24"/>
          <w:szCs w:val="24"/>
          <w:lang w:val="en-GB" w:eastAsia="en-GB"/>
        </w:rPr>
      </w:r>
      <w:r w:rsidRPr="000729CF">
        <w:rPr>
          <w:rFonts w:ascii="Arial" w:eastAsia="Calibri" w:hAnsi="Arial" w:cs="Arial"/>
          <w:color w:val="000000"/>
          <w:sz w:val="24"/>
          <w:szCs w:val="24"/>
          <w:lang w:val="en-GB" w:eastAsia="en-GB"/>
        </w:rPr>
        <w:fldChar w:fldCharType="separate"/>
      </w:r>
      <w:r w:rsidRPr="000729CF">
        <w:rPr>
          <w:rFonts w:ascii="Arial" w:eastAsia="Calibri" w:hAnsi="Arial" w:cs="Arial"/>
          <w:color w:val="000000"/>
          <w:sz w:val="24"/>
          <w:szCs w:val="24"/>
          <w:lang w:val="en-GB" w:eastAsia="en-GB"/>
        </w:rPr>
        <w:t>2</w:t>
      </w:r>
      <w:r w:rsidRPr="000729CF">
        <w:rPr>
          <w:rFonts w:ascii="Arial" w:eastAsia="Calibri" w:hAnsi="Arial" w:cs="Arial"/>
          <w:color w:val="000000"/>
          <w:sz w:val="24"/>
          <w:szCs w:val="24"/>
          <w:lang w:val="en-GB" w:eastAsia="en-GB"/>
        </w:rPr>
        <w:fldChar w:fldCharType="end"/>
      </w:r>
      <w:proofErr w:type="gramStart"/>
      <w:r w:rsidRPr="000729CF">
        <w:rPr>
          <w:rFonts w:ascii="Arial" w:eastAsia="Calibri" w:hAnsi="Arial" w:cs="Arial"/>
          <w:color w:val="000000"/>
          <w:sz w:val="24"/>
          <w:szCs w:val="24"/>
          <w:lang w:val="en-GB" w:eastAsia="en-GB"/>
        </w:rPr>
        <w:t>);</w:t>
      </w:r>
      <w:proofErr w:type="gramEnd"/>
    </w:p>
    <w:p w14:paraId="7BDE431D" w14:textId="77777777" w:rsidR="000729CF" w:rsidRPr="000729CF" w:rsidRDefault="000729CF" w:rsidP="00CE70A3">
      <w:pPr>
        <w:numPr>
          <w:ilvl w:val="0"/>
          <w:numId w:val="71"/>
        </w:numPr>
        <w:spacing w:before="45" w:after="45" w:line="276" w:lineRule="auto"/>
        <w:ind w:left="1134"/>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policy on borrowing in advance of need (section 2.5);</w:t>
      </w:r>
    </w:p>
    <w:p w14:paraId="18C1B6A2" w14:textId="77777777" w:rsidR="000729CF" w:rsidRPr="000729CF" w:rsidRDefault="000729CF" w:rsidP="00CE70A3">
      <w:pPr>
        <w:numPr>
          <w:ilvl w:val="0"/>
          <w:numId w:val="71"/>
        </w:numPr>
        <w:spacing w:before="45" w:after="45" w:line="276" w:lineRule="auto"/>
        <w:ind w:left="1134"/>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debt rescheduling (section 2.6);</w:t>
      </w:r>
    </w:p>
    <w:p w14:paraId="5A882B82" w14:textId="77777777" w:rsidR="000729CF" w:rsidRPr="000729CF" w:rsidRDefault="000729CF" w:rsidP="00CE70A3">
      <w:pPr>
        <w:numPr>
          <w:ilvl w:val="0"/>
          <w:numId w:val="71"/>
        </w:numPr>
        <w:spacing w:before="45" w:after="45" w:line="276" w:lineRule="auto"/>
        <w:ind w:left="1134"/>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 xml:space="preserve">the investment strategy (section </w:t>
      </w:r>
      <w:r w:rsidRPr="000729CF">
        <w:rPr>
          <w:rFonts w:ascii="Arial" w:eastAsia="Calibri" w:hAnsi="Arial" w:cs="Arial"/>
          <w:color w:val="000000"/>
          <w:sz w:val="24"/>
          <w:szCs w:val="24"/>
          <w:lang w:val="en-GB" w:eastAsia="en-GB"/>
        </w:rPr>
        <w:fldChar w:fldCharType="begin"/>
      </w:r>
      <w:r w:rsidRPr="000729CF">
        <w:rPr>
          <w:rFonts w:ascii="Arial" w:eastAsia="Calibri" w:hAnsi="Arial" w:cs="Arial"/>
          <w:color w:val="000000"/>
          <w:sz w:val="24"/>
          <w:szCs w:val="24"/>
          <w:lang w:val="en-GB" w:eastAsia="en-GB"/>
        </w:rPr>
        <w:instrText xml:space="preserve"> REF _Ref94638595 \r \h </w:instrText>
      </w:r>
      <w:r w:rsidRPr="000729CF">
        <w:rPr>
          <w:rFonts w:ascii="Arial" w:eastAsia="Calibri" w:hAnsi="Arial" w:cs="Arial"/>
          <w:color w:val="000000"/>
          <w:sz w:val="24"/>
          <w:szCs w:val="24"/>
          <w:lang w:val="en-GB" w:eastAsia="en-GB"/>
        </w:rPr>
      </w:r>
      <w:r w:rsidRPr="000729CF">
        <w:rPr>
          <w:rFonts w:ascii="Arial" w:eastAsia="Calibri" w:hAnsi="Arial" w:cs="Arial"/>
          <w:color w:val="000000"/>
          <w:sz w:val="24"/>
          <w:szCs w:val="24"/>
          <w:lang w:val="en-GB" w:eastAsia="en-GB"/>
        </w:rPr>
        <w:fldChar w:fldCharType="separate"/>
      </w:r>
      <w:r w:rsidRPr="000729CF">
        <w:rPr>
          <w:rFonts w:ascii="Arial" w:eastAsia="Calibri" w:hAnsi="Arial" w:cs="Arial"/>
          <w:color w:val="000000"/>
          <w:sz w:val="24"/>
          <w:szCs w:val="24"/>
          <w:lang w:val="en-GB" w:eastAsia="en-GB"/>
        </w:rPr>
        <w:t>4</w:t>
      </w:r>
      <w:r w:rsidRPr="000729CF">
        <w:rPr>
          <w:rFonts w:ascii="Arial" w:eastAsia="Calibri" w:hAnsi="Arial" w:cs="Arial"/>
          <w:color w:val="000000"/>
          <w:sz w:val="24"/>
          <w:szCs w:val="24"/>
          <w:lang w:val="en-GB" w:eastAsia="en-GB"/>
        </w:rPr>
        <w:fldChar w:fldCharType="end"/>
      </w:r>
      <w:proofErr w:type="gramStart"/>
      <w:r w:rsidRPr="000729CF">
        <w:rPr>
          <w:rFonts w:ascii="Arial" w:eastAsia="Calibri" w:hAnsi="Arial" w:cs="Arial"/>
          <w:color w:val="000000"/>
          <w:sz w:val="24"/>
          <w:szCs w:val="24"/>
          <w:lang w:val="en-GB" w:eastAsia="en-GB"/>
        </w:rPr>
        <w:t>);</w:t>
      </w:r>
      <w:proofErr w:type="gramEnd"/>
    </w:p>
    <w:p w14:paraId="34F9FF15" w14:textId="77777777" w:rsidR="000729CF" w:rsidRPr="000729CF" w:rsidRDefault="000729CF" w:rsidP="00CE70A3">
      <w:pPr>
        <w:numPr>
          <w:ilvl w:val="0"/>
          <w:numId w:val="71"/>
        </w:numPr>
        <w:spacing w:before="45" w:after="45" w:line="276" w:lineRule="auto"/>
        <w:ind w:left="1134"/>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 xml:space="preserve">creditworthiness policy (section </w:t>
      </w:r>
      <w:r w:rsidRPr="000729CF">
        <w:rPr>
          <w:rFonts w:ascii="Arial" w:eastAsia="Calibri" w:hAnsi="Arial" w:cs="Arial"/>
          <w:color w:val="000000"/>
          <w:sz w:val="24"/>
          <w:szCs w:val="24"/>
          <w:lang w:val="en-GB" w:eastAsia="en-GB"/>
        </w:rPr>
        <w:fldChar w:fldCharType="begin"/>
      </w:r>
      <w:r w:rsidRPr="000729CF">
        <w:rPr>
          <w:rFonts w:ascii="Arial" w:eastAsia="Calibri" w:hAnsi="Arial" w:cs="Arial"/>
          <w:color w:val="000000"/>
          <w:sz w:val="24"/>
          <w:szCs w:val="24"/>
          <w:lang w:val="en-GB" w:eastAsia="en-GB"/>
        </w:rPr>
        <w:instrText xml:space="preserve"> REF _Ref94636936 \r \h </w:instrText>
      </w:r>
      <w:r w:rsidRPr="000729CF">
        <w:rPr>
          <w:rFonts w:ascii="Arial" w:eastAsia="Calibri" w:hAnsi="Arial" w:cs="Arial"/>
          <w:color w:val="000000"/>
          <w:sz w:val="24"/>
          <w:szCs w:val="24"/>
          <w:lang w:val="en-GB" w:eastAsia="en-GB"/>
        </w:rPr>
      </w:r>
      <w:r w:rsidRPr="000729CF">
        <w:rPr>
          <w:rFonts w:ascii="Arial" w:eastAsia="Calibri" w:hAnsi="Arial" w:cs="Arial"/>
          <w:color w:val="000000"/>
          <w:sz w:val="24"/>
          <w:szCs w:val="24"/>
          <w:lang w:val="en-GB" w:eastAsia="en-GB"/>
        </w:rPr>
        <w:fldChar w:fldCharType="separate"/>
      </w:r>
      <w:r w:rsidRPr="000729CF">
        <w:rPr>
          <w:rFonts w:ascii="Arial" w:eastAsia="Calibri" w:hAnsi="Arial" w:cs="Arial"/>
          <w:color w:val="000000"/>
          <w:sz w:val="24"/>
          <w:szCs w:val="24"/>
          <w:lang w:val="en-GB" w:eastAsia="en-GB"/>
        </w:rPr>
        <w:t>4.4</w:t>
      </w:r>
      <w:r w:rsidRPr="000729CF">
        <w:rPr>
          <w:rFonts w:ascii="Arial" w:eastAsia="Calibri" w:hAnsi="Arial" w:cs="Arial"/>
          <w:color w:val="000000"/>
          <w:sz w:val="24"/>
          <w:szCs w:val="24"/>
          <w:lang w:val="en-GB" w:eastAsia="en-GB"/>
        </w:rPr>
        <w:fldChar w:fldCharType="end"/>
      </w:r>
      <w:r w:rsidRPr="000729CF">
        <w:rPr>
          <w:rFonts w:ascii="Arial" w:eastAsia="Calibri" w:hAnsi="Arial" w:cs="Arial"/>
          <w:color w:val="000000"/>
          <w:sz w:val="24"/>
          <w:szCs w:val="24"/>
          <w:lang w:val="en-GB" w:eastAsia="en-GB"/>
        </w:rPr>
        <w:t>); and</w:t>
      </w:r>
    </w:p>
    <w:p w14:paraId="75BB8ED5" w14:textId="77777777" w:rsidR="000729CF" w:rsidRPr="000729CF" w:rsidRDefault="000729CF" w:rsidP="00CE70A3">
      <w:pPr>
        <w:numPr>
          <w:ilvl w:val="0"/>
          <w:numId w:val="71"/>
        </w:numPr>
        <w:spacing w:before="45" w:after="45" w:line="276" w:lineRule="auto"/>
        <w:ind w:left="1134"/>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 xml:space="preserve">the policy on the use of external service providers (section </w:t>
      </w:r>
      <w:r w:rsidRPr="000729CF">
        <w:rPr>
          <w:rFonts w:ascii="Arial" w:eastAsia="Calibri" w:hAnsi="Arial" w:cs="Arial"/>
          <w:color w:val="000000"/>
          <w:sz w:val="24"/>
          <w:szCs w:val="24"/>
          <w:lang w:val="en-GB" w:eastAsia="en-GB"/>
        </w:rPr>
        <w:fldChar w:fldCharType="begin"/>
      </w:r>
      <w:r w:rsidRPr="000729CF">
        <w:rPr>
          <w:rFonts w:ascii="Arial" w:eastAsia="Calibri" w:hAnsi="Arial" w:cs="Arial"/>
          <w:color w:val="000000"/>
          <w:sz w:val="24"/>
          <w:szCs w:val="24"/>
          <w:lang w:val="en-GB" w:eastAsia="en-GB"/>
        </w:rPr>
        <w:instrText xml:space="preserve"> REF _Ref94637235 \r \h </w:instrText>
      </w:r>
      <w:r w:rsidRPr="000729CF">
        <w:rPr>
          <w:rFonts w:ascii="Arial" w:eastAsia="Calibri" w:hAnsi="Arial" w:cs="Arial"/>
          <w:color w:val="000000"/>
          <w:sz w:val="24"/>
          <w:szCs w:val="24"/>
          <w:lang w:val="en-GB" w:eastAsia="en-GB"/>
        </w:rPr>
      </w:r>
      <w:r w:rsidRPr="000729CF">
        <w:rPr>
          <w:rFonts w:ascii="Arial" w:eastAsia="Calibri" w:hAnsi="Arial" w:cs="Arial"/>
          <w:color w:val="000000"/>
          <w:sz w:val="24"/>
          <w:szCs w:val="24"/>
          <w:lang w:val="en-GB" w:eastAsia="en-GB"/>
        </w:rPr>
        <w:fldChar w:fldCharType="separate"/>
      </w:r>
      <w:r w:rsidRPr="000729CF">
        <w:rPr>
          <w:rFonts w:ascii="Arial" w:eastAsia="Calibri" w:hAnsi="Arial" w:cs="Arial"/>
          <w:color w:val="000000"/>
          <w:sz w:val="24"/>
          <w:szCs w:val="24"/>
          <w:lang w:val="en-GB" w:eastAsia="en-GB"/>
        </w:rPr>
        <w:t>5.3</w:t>
      </w:r>
      <w:r w:rsidRPr="000729CF">
        <w:rPr>
          <w:rFonts w:ascii="Arial" w:eastAsia="Calibri" w:hAnsi="Arial" w:cs="Arial"/>
          <w:color w:val="000000"/>
          <w:sz w:val="24"/>
          <w:szCs w:val="24"/>
          <w:lang w:val="en-GB" w:eastAsia="en-GB"/>
        </w:rPr>
        <w:fldChar w:fldCharType="end"/>
      </w:r>
      <w:r w:rsidRPr="000729CF">
        <w:rPr>
          <w:rFonts w:ascii="Arial" w:eastAsia="Calibri" w:hAnsi="Arial" w:cs="Arial"/>
          <w:color w:val="000000"/>
          <w:sz w:val="24"/>
          <w:szCs w:val="24"/>
          <w:lang w:val="en-GB" w:eastAsia="en-GB"/>
        </w:rPr>
        <w:t>).</w:t>
      </w:r>
    </w:p>
    <w:p w14:paraId="37638926" w14:textId="77777777" w:rsidR="000729CF" w:rsidRPr="000729CF" w:rsidRDefault="000729CF" w:rsidP="000729CF">
      <w:pPr>
        <w:spacing w:before="120" w:after="200" w:line="276" w:lineRule="auto"/>
        <w:ind w:left="720"/>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 xml:space="preserve">These elements cover the requirements of the Local Government Act 2003, the CIPFA Prudential Code, </w:t>
      </w:r>
      <w:r w:rsidRPr="000729CF">
        <w:rPr>
          <w:rFonts w:ascii="Arial" w:eastAsia="Calibri" w:hAnsi="Arial" w:cs="Arial"/>
          <w:bCs/>
          <w:sz w:val="24"/>
          <w:szCs w:val="24"/>
          <w:lang w:val="en-GB"/>
        </w:rPr>
        <w:t>DLUHC</w:t>
      </w:r>
      <w:r w:rsidRPr="000729CF">
        <w:rPr>
          <w:rFonts w:ascii="Arial" w:eastAsia="Calibri" w:hAnsi="Arial" w:cs="Arial"/>
          <w:color w:val="000000"/>
          <w:sz w:val="24"/>
          <w:szCs w:val="24"/>
          <w:lang w:val="en-GB" w:eastAsia="en-GB"/>
        </w:rPr>
        <w:t xml:space="preserve"> MRP Guidance, the CIPFA Treasury Management Code and DLUHC Investment Guidance.</w:t>
      </w:r>
    </w:p>
    <w:p w14:paraId="009155BE" w14:textId="77777777" w:rsidR="000729CF" w:rsidRPr="000729CF" w:rsidRDefault="000729CF" w:rsidP="00CE70A3">
      <w:pPr>
        <w:keepNext/>
        <w:numPr>
          <w:ilvl w:val="1"/>
          <w:numId w:val="67"/>
        </w:numPr>
        <w:spacing w:before="120" w:after="120" w:line="276" w:lineRule="auto"/>
        <w:ind w:left="709" w:hanging="709"/>
        <w:outlineLvl w:val="1"/>
        <w:rPr>
          <w:rFonts w:ascii="Arial" w:hAnsi="Arial" w:cs="Arial"/>
          <w:b/>
          <w:bCs/>
          <w:i/>
          <w:iCs/>
          <w:sz w:val="24"/>
          <w:szCs w:val="24"/>
          <w:lang w:val="en-GB" w:eastAsia="en-GB"/>
        </w:rPr>
      </w:pPr>
      <w:r w:rsidRPr="000729CF">
        <w:rPr>
          <w:rFonts w:ascii="Arial" w:hAnsi="Arial" w:cs="Arial"/>
          <w:b/>
          <w:bCs/>
          <w:i/>
          <w:iCs/>
          <w:sz w:val="24"/>
          <w:szCs w:val="24"/>
          <w:lang w:val="en-GB" w:eastAsia="en-GB"/>
        </w:rPr>
        <w:tab/>
        <w:t>Treasury Management Policy Statement</w:t>
      </w:r>
    </w:p>
    <w:p w14:paraId="629312D1" w14:textId="77777777" w:rsidR="000729CF" w:rsidRPr="000729CF" w:rsidRDefault="000729CF" w:rsidP="000729CF">
      <w:pPr>
        <w:autoSpaceDE w:val="0"/>
        <w:autoSpaceDN w:val="0"/>
        <w:adjustRightInd w:val="0"/>
        <w:spacing w:after="120"/>
        <w:ind w:left="709"/>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The policies and objectives of the council’s treasury management activities are as follows:</w:t>
      </w:r>
    </w:p>
    <w:p w14:paraId="3F45CFFE" w14:textId="77777777" w:rsidR="000729CF" w:rsidRPr="000729CF" w:rsidRDefault="000729CF" w:rsidP="00CE70A3">
      <w:pPr>
        <w:numPr>
          <w:ilvl w:val="0"/>
          <w:numId w:val="74"/>
        </w:numPr>
        <w:autoSpaceDE w:val="0"/>
        <w:autoSpaceDN w:val="0"/>
        <w:adjustRightInd w:val="0"/>
        <w:spacing w:after="120" w:line="276" w:lineRule="auto"/>
        <w:ind w:left="1134" w:hanging="425"/>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 xml:space="preserve">This council defines its treasury management activities as: </w:t>
      </w:r>
    </w:p>
    <w:p w14:paraId="74491012" w14:textId="77777777" w:rsidR="000729CF" w:rsidRPr="000729CF" w:rsidRDefault="000729CF" w:rsidP="000729CF">
      <w:pPr>
        <w:autoSpaceDE w:val="0"/>
        <w:autoSpaceDN w:val="0"/>
        <w:adjustRightInd w:val="0"/>
        <w:spacing w:after="120"/>
        <w:ind w:left="1134"/>
        <w:rPr>
          <w:rFonts w:ascii="Arial" w:eastAsia="Calibri" w:hAnsi="Arial" w:cs="Arial"/>
          <w:i/>
          <w:color w:val="000000"/>
          <w:sz w:val="24"/>
          <w:szCs w:val="24"/>
          <w:lang w:val="en-GB" w:eastAsia="en-GB"/>
        </w:rPr>
      </w:pPr>
      <w:r w:rsidRPr="000729CF">
        <w:rPr>
          <w:rFonts w:ascii="Arial" w:eastAsia="Calibri" w:hAnsi="Arial" w:cs="Arial"/>
          <w:i/>
          <w:color w:val="000000"/>
          <w:sz w:val="24"/>
          <w:szCs w:val="24"/>
          <w:lang w:val="en-GB" w:eastAsia="en-GB"/>
        </w:rPr>
        <w:t>‘The management of the authority’s investments and cash flows, its banking, money market and capital market transactions; the effective control of the risks associated with those activities; and the pursuit of optimum performance consistent with those risks’.</w:t>
      </w:r>
    </w:p>
    <w:p w14:paraId="31FA89B6" w14:textId="77777777" w:rsidR="000729CF" w:rsidRPr="000729CF" w:rsidRDefault="000729CF" w:rsidP="00CE70A3">
      <w:pPr>
        <w:numPr>
          <w:ilvl w:val="0"/>
          <w:numId w:val="74"/>
        </w:numPr>
        <w:autoSpaceDE w:val="0"/>
        <w:autoSpaceDN w:val="0"/>
        <w:adjustRightInd w:val="0"/>
        <w:spacing w:after="120" w:line="276" w:lineRule="auto"/>
        <w:ind w:left="1134" w:hanging="425"/>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This council regards the successful identification, monitoring and control of risk to be the prime criteria by which the effectiveness of its treasury management activities will be measured. Accordingly, the analysis and reporting of treasury management activities will focus on their risk implications for the council, and any financial instruments entered into to manage these risks.</w:t>
      </w:r>
    </w:p>
    <w:p w14:paraId="7381D8AA" w14:textId="77777777" w:rsidR="000729CF" w:rsidRPr="000729CF" w:rsidRDefault="000729CF" w:rsidP="00CE70A3">
      <w:pPr>
        <w:numPr>
          <w:ilvl w:val="0"/>
          <w:numId w:val="74"/>
        </w:numPr>
        <w:autoSpaceDE w:val="0"/>
        <w:autoSpaceDN w:val="0"/>
        <w:adjustRightInd w:val="0"/>
        <w:spacing w:after="200" w:line="276" w:lineRule="auto"/>
        <w:ind w:left="1134" w:hanging="425"/>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This council acknowledges that effective treasury management will provide support towards the achievement of its business and service objectives. It is therefore committed to the principles of achieving value for money in treasury management, and to employing suitable comprehensive performance management techniques, within the context of effective risk management.</w:t>
      </w:r>
    </w:p>
    <w:p w14:paraId="5761F1E2" w14:textId="77777777" w:rsidR="000729CF" w:rsidRPr="000729CF" w:rsidRDefault="000729CF" w:rsidP="00CE70A3">
      <w:pPr>
        <w:keepNext/>
        <w:numPr>
          <w:ilvl w:val="1"/>
          <w:numId w:val="67"/>
        </w:numPr>
        <w:spacing w:before="120" w:after="120" w:line="276" w:lineRule="auto"/>
        <w:ind w:left="709" w:hanging="709"/>
        <w:outlineLvl w:val="1"/>
        <w:rPr>
          <w:rFonts w:ascii="Arial" w:hAnsi="Arial" w:cs="Arial"/>
          <w:b/>
          <w:bCs/>
          <w:i/>
          <w:iCs/>
          <w:sz w:val="24"/>
          <w:szCs w:val="24"/>
          <w:lang w:val="en-GB"/>
        </w:rPr>
      </w:pPr>
      <w:r w:rsidRPr="000729CF">
        <w:rPr>
          <w:rFonts w:ascii="Arial" w:hAnsi="Arial" w:cs="Arial"/>
          <w:b/>
          <w:bCs/>
          <w:i/>
          <w:iCs/>
          <w:sz w:val="24"/>
          <w:szCs w:val="24"/>
          <w:lang w:val="en-GB"/>
        </w:rPr>
        <w:tab/>
        <w:t>Current Treasury Portfolio Position</w:t>
      </w:r>
    </w:p>
    <w:p w14:paraId="63895C51" w14:textId="77777777" w:rsidR="000729CF" w:rsidRPr="000729CF" w:rsidRDefault="000729CF" w:rsidP="000729CF">
      <w:pPr>
        <w:spacing w:after="120"/>
        <w:ind w:left="709"/>
        <w:rPr>
          <w:rFonts w:ascii="Arial" w:eastAsia="Calibri" w:hAnsi="Arial" w:cs="Arial"/>
          <w:b/>
          <w:i/>
          <w:sz w:val="24"/>
          <w:szCs w:val="24"/>
          <w:lang w:val="en-GB"/>
        </w:rPr>
      </w:pPr>
      <w:r w:rsidRPr="000729CF">
        <w:rPr>
          <w:rFonts w:ascii="Arial" w:eastAsia="Calibri" w:hAnsi="Arial" w:cs="Arial"/>
          <w:sz w:val="24"/>
          <w:szCs w:val="24"/>
          <w:lang w:val="en-GB"/>
        </w:rPr>
        <w:t xml:space="preserve">A summary of the council’s borrowing &amp; investment portfolios as at 31 December 2023 and forecast at the end of the financial year is shown in </w:t>
      </w:r>
      <w:r w:rsidRPr="000729CF">
        <w:rPr>
          <w:rFonts w:ascii="Arial" w:eastAsia="Calibri" w:hAnsi="Arial" w:cs="Arial"/>
          <w:b/>
          <w:sz w:val="24"/>
          <w:szCs w:val="24"/>
          <w:lang w:val="en-GB"/>
        </w:rPr>
        <w:t>Table 1</w:t>
      </w:r>
      <w:r w:rsidRPr="000729CF">
        <w:rPr>
          <w:rFonts w:ascii="Arial" w:eastAsia="Calibri" w:hAnsi="Arial" w:cs="Arial"/>
          <w:sz w:val="24"/>
          <w:szCs w:val="24"/>
          <w:lang w:val="en-GB"/>
        </w:rPr>
        <w:t xml:space="preserve"> below:</w:t>
      </w:r>
    </w:p>
    <w:tbl>
      <w:tblPr>
        <w:tblW w:w="4757"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58"/>
        <w:gridCol w:w="1100"/>
        <w:gridCol w:w="1099"/>
        <w:gridCol w:w="1055"/>
        <w:gridCol w:w="1141"/>
        <w:gridCol w:w="1099"/>
        <w:gridCol w:w="1108"/>
      </w:tblGrid>
      <w:tr w:rsidR="000729CF" w:rsidRPr="000729CF" w14:paraId="60C90994" w14:textId="77777777" w:rsidTr="00BC26AB">
        <w:tc>
          <w:tcPr>
            <w:tcW w:w="1396" w:type="pct"/>
            <w:shd w:val="clear" w:color="auto" w:fill="17365D"/>
          </w:tcPr>
          <w:p w14:paraId="27A77AE0" w14:textId="77777777" w:rsidR="000729CF" w:rsidRPr="000729CF" w:rsidRDefault="000729CF" w:rsidP="000729CF">
            <w:pPr>
              <w:jc w:val="both"/>
              <w:rPr>
                <w:rFonts w:ascii="Arial" w:eastAsia="Calibri" w:hAnsi="Arial" w:cs="Arial"/>
                <w:b/>
                <w:sz w:val="24"/>
                <w:szCs w:val="24"/>
                <w:lang w:val="en-GB"/>
              </w:rPr>
            </w:pPr>
            <w:r w:rsidRPr="000729CF">
              <w:rPr>
                <w:rFonts w:ascii="Arial" w:eastAsia="Calibri" w:hAnsi="Arial" w:cs="Arial"/>
                <w:b/>
                <w:sz w:val="24"/>
                <w:szCs w:val="24"/>
                <w:lang w:val="en-GB"/>
              </w:rPr>
              <w:t>Table 1</w:t>
            </w:r>
          </w:p>
        </w:tc>
        <w:tc>
          <w:tcPr>
            <w:tcW w:w="1776" w:type="pct"/>
            <w:gridSpan w:val="3"/>
            <w:shd w:val="clear" w:color="auto" w:fill="17365D"/>
          </w:tcPr>
          <w:p w14:paraId="5F21A8FB" w14:textId="77777777" w:rsidR="000729CF" w:rsidRPr="000729CF" w:rsidRDefault="000729CF" w:rsidP="000729CF">
            <w:pPr>
              <w:jc w:val="both"/>
              <w:rPr>
                <w:rFonts w:ascii="Arial" w:eastAsia="Calibri" w:hAnsi="Arial" w:cs="Arial"/>
                <w:b/>
                <w:sz w:val="24"/>
                <w:szCs w:val="24"/>
                <w:lang w:val="en-GB"/>
              </w:rPr>
            </w:pPr>
            <w:r w:rsidRPr="000729CF">
              <w:rPr>
                <w:rFonts w:ascii="Arial" w:eastAsia="Calibri" w:hAnsi="Arial" w:cs="Arial"/>
                <w:b/>
                <w:sz w:val="24"/>
                <w:szCs w:val="24"/>
                <w:lang w:val="en-GB"/>
              </w:rPr>
              <w:t>Actual at 31 December 2023</w:t>
            </w:r>
          </w:p>
        </w:tc>
        <w:tc>
          <w:tcPr>
            <w:tcW w:w="1828" w:type="pct"/>
            <w:gridSpan w:val="3"/>
            <w:shd w:val="clear" w:color="auto" w:fill="17365D"/>
          </w:tcPr>
          <w:p w14:paraId="295C9B92" w14:textId="77777777" w:rsidR="000729CF" w:rsidRPr="000729CF" w:rsidRDefault="000729CF" w:rsidP="000729CF">
            <w:pPr>
              <w:jc w:val="center"/>
              <w:rPr>
                <w:rFonts w:ascii="Arial" w:eastAsia="Calibri" w:hAnsi="Arial" w:cs="Arial"/>
                <w:b/>
                <w:sz w:val="24"/>
                <w:szCs w:val="24"/>
                <w:lang w:val="en-GB"/>
              </w:rPr>
            </w:pPr>
            <w:r w:rsidRPr="000729CF">
              <w:rPr>
                <w:rFonts w:ascii="Arial" w:eastAsia="Calibri" w:hAnsi="Arial" w:cs="Arial"/>
                <w:b/>
                <w:sz w:val="24"/>
                <w:szCs w:val="24"/>
                <w:lang w:val="en-GB"/>
              </w:rPr>
              <w:t>Forecast to 31 March 2024</w:t>
            </w:r>
          </w:p>
        </w:tc>
      </w:tr>
      <w:tr w:rsidR="000729CF" w:rsidRPr="000729CF" w14:paraId="3CE18C04" w14:textId="77777777" w:rsidTr="00BC26AB">
        <w:tc>
          <w:tcPr>
            <w:tcW w:w="1396" w:type="pct"/>
            <w:shd w:val="clear" w:color="auto" w:fill="17365D"/>
          </w:tcPr>
          <w:p w14:paraId="1B814EEE" w14:textId="77777777" w:rsidR="000729CF" w:rsidRPr="000729CF" w:rsidRDefault="000729CF" w:rsidP="000729CF">
            <w:pPr>
              <w:jc w:val="both"/>
              <w:rPr>
                <w:rFonts w:ascii="Arial" w:eastAsia="Calibri" w:hAnsi="Arial" w:cs="Arial"/>
                <w:b/>
                <w:sz w:val="24"/>
                <w:szCs w:val="24"/>
                <w:lang w:val="en-GB"/>
              </w:rPr>
            </w:pPr>
          </w:p>
        </w:tc>
        <w:tc>
          <w:tcPr>
            <w:tcW w:w="600" w:type="pct"/>
            <w:shd w:val="clear" w:color="auto" w:fill="17365D"/>
            <w:vAlign w:val="center"/>
          </w:tcPr>
          <w:p w14:paraId="4ABDC3F9" w14:textId="77777777" w:rsidR="000729CF" w:rsidRPr="000729CF" w:rsidRDefault="000729CF" w:rsidP="000729CF">
            <w:pPr>
              <w:jc w:val="center"/>
              <w:rPr>
                <w:rFonts w:ascii="Arial" w:eastAsia="Calibri" w:hAnsi="Arial" w:cs="Arial"/>
                <w:b/>
                <w:sz w:val="24"/>
                <w:szCs w:val="24"/>
                <w:lang w:val="en-GB"/>
              </w:rPr>
            </w:pPr>
            <w:r w:rsidRPr="000729CF">
              <w:rPr>
                <w:rFonts w:ascii="Arial" w:eastAsia="Calibri" w:hAnsi="Arial" w:cs="Arial"/>
                <w:b/>
                <w:sz w:val="24"/>
                <w:szCs w:val="24"/>
                <w:lang w:val="en-GB"/>
              </w:rPr>
              <w:t>£’000</w:t>
            </w:r>
          </w:p>
        </w:tc>
        <w:tc>
          <w:tcPr>
            <w:tcW w:w="600" w:type="pct"/>
            <w:shd w:val="clear" w:color="auto" w:fill="17365D"/>
            <w:vAlign w:val="center"/>
          </w:tcPr>
          <w:p w14:paraId="6D13F42E" w14:textId="77777777" w:rsidR="000729CF" w:rsidRPr="000729CF" w:rsidRDefault="000729CF" w:rsidP="000729CF">
            <w:pPr>
              <w:jc w:val="center"/>
              <w:rPr>
                <w:rFonts w:ascii="Arial" w:eastAsia="Calibri" w:hAnsi="Arial" w:cs="Arial"/>
                <w:b/>
                <w:sz w:val="24"/>
                <w:szCs w:val="24"/>
                <w:lang w:val="en-GB"/>
              </w:rPr>
            </w:pPr>
            <w:r w:rsidRPr="000729CF">
              <w:rPr>
                <w:rFonts w:ascii="Arial" w:eastAsia="Calibri" w:hAnsi="Arial" w:cs="Arial"/>
                <w:b/>
                <w:sz w:val="24"/>
                <w:szCs w:val="24"/>
                <w:lang w:val="en-GB"/>
              </w:rPr>
              <w:t>% of portfolio</w:t>
            </w:r>
          </w:p>
        </w:tc>
        <w:tc>
          <w:tcPr>
            <w:tcW w:w="576" w:type="pct"/>
            <w:shd w:val="clear" w:color="auto" w:fill="17365D"/>
            <w:vAlign w:val="center"/>
          </w:tcPr>
          <w:p w14:paraId="318B88EA" w14:textId="77777777" w:rsidR="000729CF" w:rsidRPr="000729CF" w:rsidRDefault="000729CF" w:rsidP="000729CF">
            <w:pPr>
              <w:jc w:val="center"/>
              <w:rPr>
                <w:rFonts w:ascii="Arial" w:eastAsia="Calibri" w:hAnsi="Arial" w:cs="Arial"/>
                <w:b/>
                <w:sz w:val="24"/>
                <w:szCs w:val="24"/>
                <w:lang w:val="en-GB"/>
              </w:rPr>
            </w:pPr>
            <w:r w:rsidRPr="000729CF">
              <w:rPr>
                <w:rFonts w:ascii="Arial" w:eastAsia="Calibri" w:hAnsi="Arial" w:cs="Arial"/>
                <w:b/>
                <w:sz w:val="24"/>
                <w:szCs w:val="24"/>
                <w:lang w:val="en-GB"/>
              </w:rPr>
              <w:t>Average Rate*</w:t>
            </w:r>
          </w:p>
        </w:tc>
        <w:tc>
          <w:tcPr>
            <w:tcW w:w="623" w:type="pct"/>
            <w:shd w:val="clear" w:color="auto" w:fill="17365D"/>
            <w:vAlign w:val="center"/>
          </w:tcPr>
          <w:p w14:paraId="51104AC1" w14:textId="77777777" w:rsidR="000729CF" w:rsidRPr="000729CF" w:rsidRDefault="000729CF" w:rsidP="000729CF">
            <w:pPr>
              <w:jc w:val="center"/>
              <w:rPr>
                <w:rFonts w:ascii="Arial" w:eastAsia="Calibri" w:hAnsi="Arial" w:cs="Arial"/>
                <w:b/>
                <w:sz w:val="24"/>
                <w:szCs w:val="24"/>
                <w:lang w:val="en-GB"/>
              </w:rPr>
            </w:pPr>
            <w:r w:rsidRPr="000729CF">
              <w:rPr>
                <w:rFonts w:ascii="Arial" w:eastAsia="Calibri" w:hAnsi="Arial" w:cs="Arial"/>
                <w:b/>
                <w:sz w:val="24"/>
                <w:szCs w:val="24"/>
                <w:lang w:val="en-GB"/>
              </w:rPr>
              <w:t>£’000</w:t>
            </w:r>
          </w:p>
        </w:tc>
        <w:tc>
          <w:tcPr>
            <w:tcW w:w="600" w:type="pct"/>
            <w:shd w:val="clear" w:color="auto" w:fill="17365D"/>
            <w:vAlign w:val="center"/>
          </w:tcPr>
          <w:p w14:paraId="7910AE78" w14:textId="77777777" w:rsidR="000729CF" w:rsidRPr="000729CF" w:rsidRDefault="000729CF" w:rsidP="000729CF">
            <w:pPr>
              <w:jc w:val="center"/>
              <w:rPr>
                <w:rFonts w:ascii="Arial" w:eastAsia="Calibri" w:hAnsi="Arial" w:cs="Arial"/>
                <w:b/>
                <w:sz w:val="24"/>
                <w:szCs w:val="24"/>
                <w:lang w:val="en-GB"/>
              </w:rPr>
            </w:pPr>
            <w:r w:rsidRPr="000729CF">
              <w:rPr>
                <w:rFonts w:ascii="Arial" w:eastAsia="Calibri" w:hAnsi="Arial" w:cs="Arial"/>
                <w:b/>
                <w:sz w:val="24"/>
                <w:szCs w:val="24"/>
                <w:lang w:val="en-GB"/>
              </w:rPr>
              <w:t>% of portfolio</w:t>
            </w:r>
          </w:p>
        </w:tc>
        <w:tc>
          <w:tcPr>
            <w:tcW w:w="604" w:type="pct"/>
            <w:shd w:val="clear" w:color="auto" w:fill="17365D"/>
            <w:vAlign w:val="center"/>
          </w:tcPr>
          <w:p w14:paraId="10022210" w14:textId="77777777" w:rsidR="000729CF" w:rsidRPr="000729CF" w:rsidRDefault="000729CF" w:rsidP="000729CF">
            <w:pPr>
              <w:jc w:val="center"/>
              <w:rPr>
                <w:rFonts w:ascii="Arial" w:eastAsia="Calibri" w:hAnsi="Arial" w:cs="Arial"/>
                <w:b/>
                <w:sz w:val="24"/>
                <w:szCs w:val="24"/>
                <w:lang w:val="en-GB"/>
              </w:rPr>
            </w:pPr>
            <w:r w:rsidRPr="000729CF">
              <w:rPr>
                <w:rFonts w:ascii="Arial" w:eastAsia="Calibri" w:hAnsi="Arial" w:cs="Arial"/>
                <w:b/>
                <w:sz w:val="24"/>
                <w:szCs w:val="24"/>
                <w:lang w:val="en-GB"/>
              </w:rPr>
              <w:t>Average Rate</w:t>
            </w:r>
          </w:p>
        </w:tc>
      </w:tr>
      <w:tr w:rsidR="000729CF" w:rsidRPr="000729CF" w14:paraId="31F033E5" w14:textId="77777777" w:rsidTr="00BC26AB">
        <w:tc>
          <w:tcPr>
            <w:tcW w:w="5000" w:type="pct"/>
            <w:gridSpan w:val="7"/>
            <w:shd w:val="clear" w:color="auto" w:fill="C6D9F1"/>
          </w:tcPr>
          <w:p w14:paraId="33C544E1" w14:textId="77777777" w:rsidR="000729CF" w:rsidRPr="000729CF" w:rsidRDefault="000729CF" w:rsidP="000729CF">
            <w:pPr>
              <w:rPr>
                <w:rFonts w:ascii="Arial" w:eastAsia="Calibri" w:hAnsi="Arial" w:cs="Arial"/>
                <w:b/>
                <w:sz w:val="24"/>
                <w:szCs w:val="24"/>
                <w:lang w:val="en-GB"/>
              </w:rPr>
            </w:pPr>
            <w:r w:rsidRPr="000729CF">
              <w:rPr>
                <w:rFonts w:ascii="Arial" w:eastAsia="Calibri" w:hAnsi="Arial" w:cs="Arial"/>
                <w:b/>
                <w:sz w:val="24"/>
                <w:szCs w:val="24"/>
                <w:lang w:val="en-GB"/>
              </w:rPr>
              <w:t>Treasury Investments</w:t>
            </w:r>
          </w:p>
        </w:tc>
      </w:tr>
      <w:tr w:rsidR="000729CF" w:rsidRPr="000729CF" w14:paraId="37AB8E37" w14:textId="77777777" w:rsidTr="00BC26AB">
        <w:tc>
          <w:tcPr>
            <w:tcW w:w="1396" w:type="pct"/>
            <w:shd w:val="clear" w:color="auto" w:fill="auto"/>
          </w:tcPr>
          <w:p w14:paraId="6703AEF5" w14:textId="77777777" w:rsidR="000729CF" w:rsidRPr="000729CF" w:rsidRDefault="000729CF" w:rsidP="000729CF">
            <w:pPr>
              <w:rPr>
                <w:rFonts w:ascii="Arial" w:eastAsia="Calibri" w:hAnsi="Arial" w:cs="Arial"/>
                <w:sz w:val="24"/>
                <w:szCs w:val="24"/>
                <w:lang w:val="en-GB"/>
              </w:rPr>
            </w:pPr>
            <w:r w:rsidRPr="000729CF">
              <w:rPr>
                <w:rFonts w:ascii="Arial" w:eastAsia="Calibri" w:hAnsi="Arial" w:cs="Arial"/>
                <w:sz w:val="24"/>
                <w:szCs w:val="24"/>
                <w:lang w:val="en-GB"/>
              </w:rPr>
              <w:t>UK Banks</w:t>
            </w:r>
          </w:p>
        </w:tc>
        <w:tc>
          <w:tcPr>
            <w:tcW w:w="600" w:type="pct"/>
            <w:shd w:val="clear" w:color="auto" w:fill="auto"/>
          </w:tcPr>
          <w:p w14:paraId="135BD3E2"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55.324</w:t>
            </w:r>
          </w:p>
        </w:tc>
        <w:tc>
          <w:tcPr>
            <w:tcW w:w="600" w:type="pct"/>
            <w:shd w:val="clear" w:color="auto" w:fill="auto"/>
          </w:tcPr>
          <w:p w14:paraId="44DC47A3"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41.0%</w:t>
            </w:r>
          </w:p>
        </w:tc>
        <w:tc>
          <w:tcPr>
            <w:tcW w:w="576" w:type="pct"/>
            <w:shd w:val="clear" w:color="auto" w:fill="auto"/>
          </w:tcPr>
          <w:p w14:paraId="51B51D71"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5.55%</w:t>
            </w:r>
          </w:p>
        </w:tc>
        <w:tc>
          <w:tcPr>
            <w:tcW w:w="623" w:type="pct"/>
            <w:shd w:val="clear" w:color="auto" w:fill="auto"/>
          </w:tcPr>
          <w:p w14:paraId="2C37611A"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34.324</w:t>
            </w:r>
          </w:p>
        </w:tc>
        <w:tc>
          <w:tcPr>
            <w:tcW w:w="600" w:type="pct"/>
            <w:shd w:val="clear" w:color="auto" w:fill="auto"/>
          </w:tcPr>
          <w:p w14:paraId="6394EF3F"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34.6%</w:t>
            </w:r>
          </w:p>
        </w:tc>
        <w:tc>
          <w:tcPr>
            <w:tcW w:w="604" w:type="pct"/>
            <w:shd w:val="clear" w:color="auto" w:fill="auto"/>
          </w:tcPr>
          <w:p w14:paraId="63AB24B1"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5.65%</w:t>
            </w:r>
          </w:p>
        </w:tc>
      </w:tr>
      <w:tr w:rsidR="000729CF" w:rsidRPr="000729CF" w14:paraId="75A990B5" w14:textId="77777777" w:rsidTr="00BC26AB">
        <w:tc>
          <w:tcPr>
            <w:tcW w:w="1396" w:type="pct"/>
            <w:shd w:val="clear" w:color="auto" w:fill="auto"/>
          </w:tcPr>
          <w:p w14:paraId="4B7BADBF" w14:textId="77777777" w:rsidR="000729CF" w:rsidRPr="000729CF" w:rsidRDefault="000729CF" w:rsidP="000729CF">
            <w:pPr>
              <w:rPr>
                <w:rFonts w:ascii="Arial" w:eastAsia="Calibri" w:hAnsi="Arial" w:cs="Arial"/>
                <w:sz w:val="24"/>
                <w:szCs w:val="24"/>
                <w:lang w:val="en-GB"/>
              </w:rPr>
            </w:pPr>
            <w:r w:rsidRPr="000729CF">
              <w:rPr>
                <w:rFonts w:ascii="Arial" w:eastAsia="Calibri" w:hAnsi="Arial" w:cs="Arial"/>
                <w:sz w:val="24"/>
                <w:szCs w:val="24"/>
                <w:lang w:val="en-GB"/>
              </w:rPr>
              <w:t>Non-UK Banks</w:t>
            </w:r>
          </w:p>
        </w:tc>
        <w:tc>
          <w:tcPr>
            <w:tcW w:w="600" w:type="pct"/>
            <w:shd w:val="clear" w:color="auto" w:fill="auto"/>
          </w:tcPr>
          <w:p w14:paraId="62C54317"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30,000</w:t>
            </w:r>
          </w:p>
        </w:tc>
        <w:tc>
          <w:tcPr>
            <w:tcW w:w="600" w:type="pct"/>
            <w:shd w:val="clear" w:color="auto" w:fill="auto"/>
          </w:tcPr>
          <w:p w14:paraId="44ABA6DE"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22.2%</w:t>
            </w:r>
          </w:p>
        </w:tc>
        <w:tc>
          <w:tcPr>
            <w:tcW w:w="576" w:type="pct"/>
            <w:shd w:val="clear" w:color="auto" w:fill="auto"/>
          </w:tcPr>
          <w:p w14:paraId="082D6081"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5.36%</w:t>
            </w:r>
          </w:p>
        </w:tc>
        <w:tc>
          <w:tcPr>
            <w:tcW w:w="623" w:type="pct"/>
            <w:shd w:val="clear" w:color="auto" w:fill="auto"/>
          </w:tcPr>
          <w:p w14:paraId="4FDBDDC6"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30,000</w:t>
            </w:r>
          </w:p>
        </w:tc>
        <w:tc>
          <w:tcPr>
            <w:tcW w:w="600" w:type="pct"/>
            <w:shd w:val="clear" w:color="auto" w:fill="auto"/>
          </w:tcPr>
          <w:p w14:paraId="40D7D583"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30.2%</w:t>
            </w:r>
          </w:p>
        </w:tc>
        <w:tc>
          <w:tcPr>
            <w:tcW w:w="604" w:type="pct"/>
            <w:shd w:val="clear" w:color="auto" w:fill="auto"/>
          </w:tcPr>
          <w:p w14:paraId="3326E19A"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5.36%</w:t>
            </w:r>
          </w:p>
        </w:tc>
      </w:tr>
      <w:tr w:rsidR="000729CF" w:rsidRPr="000729CF" w14:paraId="31DC923D" w14:textId="77777777" w:rsidTr="00BC26AB">
        <w:tc>
          <w:tcPr>
            <w:tcW w:w="1396" w:type="pct"/>
            <w:shd w:val="clear" w:color="auto" w:fill="auto"/>
          </w:tcPr>
          <w:p w14:paraId="05215FB3" w14:textId="77777777" w:rsidR="000729CF" w:rsidRPr="000729CF" w:rsidRDefault="000729CF" w:rsidP="000729CF">
            <w:pPr>
              <w:rPr>
                <w:rFonts w:ascii="Arial" w:eastAsia="Calibri" w:hAnsi="Arial" w:cs="Arial"/>
                <w:sz w:val="24"/>
                <w:szCs w:val="24"/>
                <w:lang w:val="en-GB"/>
              </w:rPr>
            </w:pPr>
            <w:r w:rsidRPr="000729CF">
              <w:rPr>
                <w:rFonts w:ascii="Arial" w:eastAsia="Calibri" w:hAnsi="Arial" w:cs="Arial"/>
                <w:sz w:val="24"/>
                <w:szCs w:val="24"/>
                <w:lang w:val="en-GB"/>
              </w:rPr>
              <w:t>Building Societies</w:t>
            </w:r>
          </w:p>
        </w:tc>
        <w:tc>
          <w:tcPr>
            <w:tcW w:w="600" w:type="pct"/>
            <w:shd w:val="clear" w:color="auto" w:fill="auto"/>
          </w:tcPr>
          <w:p w14:paraId="6C6117E3"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0</w:t>
            </w:r>
          </w:p>
        </w:tc>
        <w:tc>
          <w:tcPr>
            <w:tcW w:w="600" w:type="pct"/>
            <w:shd w:val="clear" w:color="auto" w:fill="auto"/>
          </w:tcPr>
          <w:p w14:paraId="63DE52B4"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0</w:t>
            </w:r>
          </w:p>
        </w:tc>
        <w:tc>
          <w:tcPr>
            <w:tcW w:w="576" w:type="pct"/>
            <w:shd w:val="clear" w:color="auto" w:fill="auto"/>
          </w:tcPr>
          <w:p w14:paraId="6317AB50"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0</w:t>
            </w:r>
          </w:p>
        </w:tc>
        <w:tc>
          <w:tcPr>
            <w:tcW w:w="623" w:type="pct"/>
            <w:shd w:val="clear" w:color="auto" w:fill="auto"/>
          </w:tcPr>
          <w:p w14:paraId="1E1419CB"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0</w:t>
            </w:r>
          </w:p>
        </w:tc>
        <w:tc>
          <w:tcPr>
            <w:tcW w:w="600" w:type="pct"/>
            <w:shd w:val="clear" w:color="auto" w:fill="auto"/>
          </w:tcPr>
          <w:p w14:paraId="042E52A6"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0</w:t>
            </w:r>
          </w:p>
        </w:tc>
        <w:tc>
          <w:tcPr>
            <w:tcW w:w="604" w:type="pct"/>
            <w:shd w:val="clear" w:color="auto" w:fill="auto"/>
          </w:tcPr>
          <w:p w14:paraId="00254BE0"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0</w:t>
            </w:r>
          </w:p>
        </w:tc>
      </w:tr>
      <w:tr w:rsidR="000729CF" w:rsidRPr="000729CF" w14:paraId="73665A45" w14:textId="77777777" w:rsidTr="00BC26AB">
        <w:tc>
          <w:tcPr>
            <w:tcW w:w="1396" w:type="pct"/>
            <w:shd w:val="clear" w:color="auto" w:fill="auto"/>
          </w:tcPr>
          <w:p w14:paraId="75E2FB09" w14:textId="77777777" w:rsidR="000729CF" w:rsidRPr="000729CF" w:rsidRDefault="000729CF" w:rsidP="000729CF">
            <w:pPr>
              <w:rPr>
                <w:rFonts w:ascii="Arial" w:eastAsia="Calibri" w:hAnsi="Arial" w:cs="Arial"/>
                <w:sz w:val="24"/>
                <w:szCs w:val="24"/>
                <w:lang w:val="en-GB"/>
              </w:rPr>
            </w:pPr>
            <w:r w:rsidRPr="000729CF">
              <w:rPr>
                <w:rFonts w:ascii="Arial" w:eastAsia="Calibri" w:hAnsi="Arial" w:cs="Arial"/>
                <w:sz w:val="24"/>
                <w:szCs w:val="24"/>
                <w:lang w:val="en-GB"/>
              </w:rPr>
              <w:t>Local Authorities</w:t>
            </w:r>
          </w:p>
        </w:tc>
        <w:tc>
          <w:tcPr>
            <w:tcW w:w="600" w:type="pct"/>
            <w:shd w:val="clear" w:color="auto" w:fill="auto"/>
          </w:tcPr>
          <w:p w14:paraId="1FC57E6F"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15,000</w:t>
            </w:r>
          </w:p>
        </w:tc>
        <w:tc>
          <w:tcPr>
            <w:tcW w:w="600" w:type="pct"/>
            <w:shd w:val="clear" w:color="auto" w:fill="auto"/>
          </w:tcPr>
          <w:p w14:paraId="76902D08"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11.1%</w:t>
            </w:r>
          </w:p>
        </w:tc>
        <w:tc>
          <w:tcPr>
            <w:tcW w:w="576" w:type="pct"/>
            <w:shd w:val="clear" w:color="auto" w:fill="auto"/>
          </w:tcPr>
          <w:p w14:paraId="141C7B67"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2.55%</w:t>
            </w:r>
          </w:p>
        </w:tc>
        <w:tc>
          <w:tcPr>
            <w:tcW w:w="623" w:type="pct"/>
            <w:shd w:val="clear" w:color="auto" w:fill="auto"/>
          </w:tcPr>
          <w:p w14:paraId="23B6DCAF"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5,000</w:t>
            </w:r>
          </w:p>
        </w:tc>
        <w:tc>
          <w:tcPr>
            <w:tcW w:w="600" w:type="pct"/>
            <w:shd w:val="clear" w:color="auto" w:fill="auto"/>
          </w:tcPr>
          <w:p w14:paraId="393CFD3E"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5.0%</w:t>
            </w:r>
          </w:p>
        </w:tc>
        <w:tc>
          <w:tcPr>
            <w:tcW w:w="604" w:type="pct"/>
            <w:shd w:val="clear" w:color="auto" w:fill="auto"/>
          </w:tcPr>
          <w:p w14:paraId="73CBFAED"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2.05%</w:t>
            </w:r>
          </w:p>
        </w:tc>
      </w:tr>
      <w:tr w:rsidR="000729CF" w:rsidRPr="000729CF" w14:paraId="1FE159F8" w14:textId="77777777" w:rsidTr="00BC26AB">
        <w:tc>
          <w:tcPr>
            <w:tcW w:w="1396" w:type="pct"/>
            <w:shd w:val="clear" w:color="auto" w:fill="auto"/>
          </w:tcPr>
          <w:p w14:paraId="38A1F2CA" w14:textId="77777777" w:rsidR="000729CF" w:rsidRPr="000729CF" w:rsidRDefault="000729CF" w:rsidP="000729CF">
            <w:pPr>
              <w:rPr>
                <w:rFonts w:ascii="Arial" w:eastAsia="Calibri" w:hAnsi="Arial" w:cs="Arial"/>
                <w:sz w:val="24"/>
                <w:szCs w:val="24"/>
                <w:lang w:val="en-GB"/>
              </w:rPr>
            </w:pPr>
            <w:r w:rsidRPr="000729CF">
              <w:rPr>
                <w:rFonts w:ascii="Arial" w:eastAsia="Calibri" w:hAnsi="Arial" w:cs="Arial"/>
                <w:sz w:val="24"/>
                <w:szCs w:val="24"/>
                <w:lang w:val="en-GB"/>
              </w:rPr>
              <w:t>Money Market Funds (Including VNAV)</w:t>
            </w:r>
          </w:p>
        </w:tc>
        <w:tc>
          <w:tcPr>
            <w:tcW w:w="600" w:type="pct"/>
            <w:shd w:val="clear" w:color="auto" w:fill="auto"/>
          </w:tcPr>
          <w:p w14:paraId="37EC149D"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24,676</w:t>
            </w:r>
          </w:p>
        </w:tc>
        <w:tc>
          <w:tcPr>
            <w:tcW w:w="600" w:type="pct"/>
            <w:shd w:val="clear" w:color="auto" w:fill="auto"/>
          </w:tcPr>
          <w:p w14:paraId="76DF8DB8"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18.3%</w:t>
            </w:r>
          </w:p>
        </w:tc>
        <w:tc>
          <w:tcPr>
            <w:tcW w:w="576" w:type="pct"/>
            <w:shd w:val="clear" w:color="auto" w:fill="auto"/>
          </w:tcPr>
          <w:p w14:paraId="794CBF01"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5.34%</w:t>
            </w:r>
          </w:p>
        </w:tc>
        <w:tc>
          <w:tcPr>
            <w:tcW w:w="623" w:type="pct"/>
            <w:shd w:val="clear" w:color="auto" w:fill="auto"/>
          </w:tcPr>
          <w:p w14:paraId="1048909D"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20,000</w:t>
            </w:r>
          </w:p>
          <w:p w14:paraId="4AE08544" w14:textId="77777777" w:rsidR="000729CF" w:rsidRPr="000729CF" w:rsidRDefault="000729CF" w:rsidP="000729CF">
            <w:pPr>
              <w:jc w:val="right"/>
              <w:rPr>
                <w:rFonts w:ascii="Arial" w:eastAsia="Calibri" w:hAnsi="Arial" w:cs="Arial"/>
                <w:sz w:val="24"/>
                <w:szCs w:val="24"/>
                <w:lang w:val="en-GB"/>
              </w:rPr>
            </w:pPr>
          </w:p>
        </w:tc>
        <w:tc>
          <w:tcPr>
            <w:tcW w:w="600" w:type="pct"/>
            <w:shd w:val="clear" w:color="auto" w:fill="auto"/>
          </w:tcPr>
          <w:p w14:paraId="22655E51"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20.1%</w:t>
            </w:r>
          </w:p>
        </w:tc>
        <w:tc>
          <w:tcPr>
            <w:tcW w:w="604" w:type="pct"/>
            <w:shd w:val="clear" w:color="auto" w:fill="auto"/>
          </w:tcPr>
          <w:p w14:paraId="25E01063"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5.30%</w:t>
            </w:r>
          </w:p>
        </w:tc>
      </w:tr>
      <w:tr w:rsidR="000729CF" w:rsidRPr="000729CF" w14:paraId="7E550EF6" w14:textId="77777777" w:rsidTr="00BC26AB">
        <w:tc>
          <w:tcPr>
            <w:tcW w:w="1396" w:type="pct"/>
            <w:shd w:val="clear" w:color="auto" w:fill="auto"/>
          </w:tcPr>
          <w:p w14:paraId="234534D2" w14:textId="77777777" w:rsidR="000729CF" w:rsidRPr="000729CF" w:rsidRDefault="000729CF" w:rsidP="000729CF">
            <w:pPr>
              <w:rPr>
                <w:rFonts w:ascii="Arial" w:eastAsia="Calibri" w:hAnsi="Arial" w:cs="Arial"/>
                <w:bCs/>
                <w:sz w:val="24"/>
                <w:szCs w:val="24"/>
                <w:lang w:val="en-GB"/>
              </w:rPr>
            </w:pPr>
            <w:r w:rsidRPr="000729CF">
              <w:rPr>
                <w:rFonts w:ascii="Arial" w:eastAsia="Calibri" w:hAnsi="Arial" w:cs="Arial"/>
                <w:bCs/>
                <w:sz w:val="24"/>
                <w:szCs w:val="24"/>
                <w:lang w:val="en-GB"/>
              </w:rPr>
              <w:t>Royal London Funds**</w:t>
            </w:r>
          </w:p>
        </w:tc>
        <w:tc>
          <w:tcPr>
            <w:tcW w:w="600" w:type="pct"/>
            <w:shd w:val="clear" w:color="auto" w:fill="auto"/>
          </w:tcPr>
          <w:p w14:paraId="310818D5"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10,000</w:t>
            </w:r>
          </w:p>
        </w:tc>
        <w:tc>
          <w:tcPr>
            <w:tcW w:w="600" w:type="pct"/>
            <w:shd w:val="clear" w:color="auto" w:fill="auto"/>
          </w:tcPr>
          <w:p w14:paraId="1EAD743B"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7.4%</w:t>
            </w:r>
          </w:p>
        </w:tc>
        <w:tc>
          <w:tcPr>
            <w:tcW w:w="576" w:type="pct"/>
            <w:shd w:val="clear" w:color="auto" w:fill="auto"/>
          </w:tcPr>
          <w:p w14:paraId="7F50AE88"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-0.72%</w:t>
            </w:r>
          </w:p>
        </w:tc>
        <w:tc>
          <w:tcPr>
            <w:tcW w:w="623" w:type="pct"/>
            <w:shd w:val="clear" w:color="auto" w:fill="auto"/>
          </w:tcPr>
          <w:p w14:paraId="554492F6" w14:textId="77777777" w:rsidR="000729CF" w:rsidRPr="000729CF" w:rsidRDefault="000729CF" w:rsidP="000729CF">
            <w:pPr>
              <w:jc w:val="right"/>
              <w:rPr>
                <w:rFonts w:ascii="Arial" w:eastAsia="Calibri" w:hAnsi="Arial" w:cs="Arial"/>
                <w:bCs/>
                <w:sz w:val="24"/>
                <w:szCs w:val="24"/>
                <w:lang w:val="en-GB"/>
              </w:rPr>
            </w:pPr>
            <w:r w:rsidRPr="000729CF">
              <w:rPr>
                <w:rFonts w:ascii="Arial" w:eastAsia="Calibri" w:hAnsi="Arial" w:cs="Arial"/>
                <w:bCs/>
                <w:sz w:val="24"/>
                <w:szCs w:val="24"/>
                <w:lang w:val="en-GB"/>
              </w:rPr>
              <w:t>10,000</w:t>
            </w:r>
          </w:p>
        </w:tc>
        <w:tc>
          <w:tcPr>
            <w:tcW w:w="600" w:type="pct"/>
            <w:shd w:val="clear" w:color="auto" w:fill="auto"/>
          </w:tcPr>
          <w:p w14:paraId="42C6D570" w14:textId="77777777" w:rsidR="000729CF" w:rsidRPr="000729CF" w:rsidRDefault="000729CF" w:rsidP="000729CF">
            <w:pPr>
              <w:jc w:val="right"/>
              <w:rPr>
                <w:rFonts w:ascii="Arial" w:eastAsia="Calibri" w:hAnsi="Arial" w:cs="Arial"/>
                <w:bCs/>
                <w:sz w:val="24"/>
                <w:szCs w:val="24"/>
                <w:lang w:val="en-GB"/>
              </w:rPr>
            </w:pPr>
            <w:r w:rsidRPr="000729CF">
              <w:rPr>
                <w:rFonts w:ascii="Arial" w:eastAsia="Calibri" w:hAnsi="Arial" w:cs="Arial"/>
                <w:bCs/>
                <w:sz w:val="24"/>
                <w:szCs w:val="24"/>
                <w:lang w:val="en-GB"/>
              </w:rPr>
              <w:t>10.1%</w:t>
            </w:r>
          </w:p>
        </w:tc>
        <w:tc>
          <w:tcPr>
            <w:tcW w:w="604" w:type="pct"/>
            <w:shd w:val="clear" w:color="auto" w:fill="auto"/>
          </w:tcPr>
          <w:p w14:paraId="60F6FD02" w14:textId="77777777" w:rsidR="000729CF" w:rsidRPr="000729CF" w:rsidRDefault="000729CF" w:rsidP="000729CF">
            <w:pPr>
              <w:jc w:val="right"/>
              <w:rPr>
                <w:rFonts w:ascii="Arial" w:eastAsia="Calibri" w:hAnsi="Arial" w:cs="Arial"/>
                <w:bCs/>
                <w:sz w:val="24"/>
                <w:szCs w:val="24"/>
                <w:lang w:val="en-GB"/>
              </w:rPr>
            </w:pPr>
            <w:r w:rsidRPr="000729CF">
              <w:rPr>
                <w:rFonts w:ascii="Arial" w:eastAsia="Calibri" w:hAnsi="Arial" w:cs="Arial"/>
                <w:bCs/>
                <w:sz w:val="24"/>
                <w:szCs w:val="24"/>
                <w:lang w:val="en-GB"/>
              </w:rPr>
              <w:t>-0.72%</w:t>
            </w:r>
          </w:p>
        </w:tc>
      </w:tr>
      <w:tr w:rsidR="000729CF" w:rsidRPr="000729CF" w14:paraId="525A187D" w14:textId="77777777" w:rsidTr="00BC26AB">
        <w:tc>
          <w:tcPr>
            <w:tcW w:w="1396" w:type="pct"/>
            <w:shd w:val="clear" w:color="auto" w:fill="C6D9F1"/>
          </w:tcPr>
          <w:p w14:paraId="202C0062" w14:textId="77777777" w:rsidR="000729CF" w:rsidRPr="000729CF" w:rsidRDefault="000729CF" w:rsidP="000729CF">
            <w:pPr>
              <w:jc w:val="both"/>
              <w:rPr>
                <w:rFonts w:ascii="Arial" w:eastAsia="Calibri" w:hAnsi="Arial" w:cs="Arial"/>
                <w:b/>
                <w:sz w:val="24"/>
                <w:szCs w:val="24"/>
                <w:lang w:val="en-GB"/>
              </w:rPr>
            </w:pPr>
            <w:r w:rsidRPr="000729CF">
              <w:rPr>
                <w:rFonts w:ascii="Arial" w:eastAsia="Calibri" w:hAnsi="Arial" w:cs="Arial"/>
                <w:b/>
                <w:sz w:val="24"/>
                <w:szCs w:val="24"/>
                <w:lang w:val="en-GB"/>
              </w:rPr>
              <w:t>Total Investments</w:t>
            </w:r>
          </w:p>
        </w:tc>
        <w:tc>
          <w:tcPr>
            <w:tcW w:w="600" w:type="pct"/>
            <w:shd w:val="clear" w:color="auto" w:fill="C6D9F1"/>
          </w:tcPr>
          <w:p w14:paraId="531783BF" w14:textId="77777777" w:rsidR="000729CF" w:rsidRPr="000729CF" w:rsidRDefault="000729CF" w:rsidP="000729CF">
            <w:pPr>
              <w:jc w:val="right"/>
              <w:rPr>
                <w:rFonts w:ascii="Arial" w:eastAsia="Calibri" w:hAnsi="Arial" w:cs="Arial"/>
                <w:b/>
                <w:sz w:val="24"/>
                <w:szCs w:val="24"/>
                <w:lang w:val="en-GB"/>
              </w:rPr>
            </w:pPr>
            <w:r w:rsidRPr="000729CF">
              <w:rPr>
                <w:rFonts w:ascii="Arial" w:eastAsia="Calibri" w:hAnsi="Arial" w:cs="Arial"/>
                <w:b/>
                <w:sz w:val="24"/>
                <w:szCs w:val="24"/>
                <w:lang w:val="en-GB"/>
              </w:rPr>
              <w:t>135,000</w:t>
            </w:r>
          </w:p>
        </w:tc>
        <w:tc>
          <w:tcPr>
            <w:tcW w:w="600" w:type="pct"/>
            <w:shd w:val="clear" w:color="auto" w:fill="C6D9F1"/>
          </w:tcPr>
          <w:p w14:paraId="48260F8D" w14:textId="77777777" w:rsidR="000729CF" w:rsidRPr="000729CF" w:rsidRDefault="000729CF" w:rsidP="000729CF">
            <w:pPr>
              <w:jc w:val="right"/>
              <w:rPr>
                <w:rFonts w:ascii="Arial" w:eastAsia="Calibri" w:hAnsi="Arial" w:cs="Arial"/>
                <w:b/>
                <w:sz w:val="24"/>
                <w:szCs w:val="24"/>
                <w:lang w:val="en-GB"/>
              </w:rPr>
            </w:pPr>
            <w:r w:rsidRPr="000729CF">
              <w:rPr>
                <w:rFonts w:ascii="Arial" w:eastAsia="Calibri" w:hAnsi="Arial" w:cs="Arial"/>
                <w:b/>
                <w:sz w:val="24"/>
                <w:szCs w:val="24"/>
                <w:lang w:val="en-GB"/>
              </w:rPr>
              <w:t>100.0%</w:t>
            </w:r>
          </w:p>
        </w:tc>
        <w:tc>
          <w:tcPr>
            <w:tcW w:w="576" w:type="pct"/>
            <w:shd w:val="clear" w:color="auto" w:fill="C6D9F1"/>
          </w:tcPr>
          <w:p w14:paraId="772F73E7" w14:textId="77777777" w:rsidR="000729CF" w:rsidRPr="000729CF" w:rsidRDefault="000729CF" w:rsidP="000729CF">
            <w:pPr>
              <w:jc w:val="right"/>
              <w:rPr>
                <w:rFonts w:ascii="Arial" w:eastAsia="Calibri" w:hAnsi="Arial" w:cs="Arial"/>
                <w:b/>
                <w:sz w:val="24"/>
                <w:szCs w:val="24"/>
                <w:lang w:val="en-GB"/>
              </w:rPr>
            </w:pPr>
            <w:r w:rsidRPr="000729CF">
              <w:rPr>
                <w:rFonts w:ascii="Arial" w:eastAsia="Calibri" w:hAnsi="Arial" w:cs="Arial"/>
                <w:b/>
                <w:sz w:val="24"/>
                <w:szCs w:val="24"/>
                <w:lang w:val="en-GB"/>
              </w:rPr>
              <w:t>4.67%</w:t>
            </w:r>
          </w:p>
        </w:tc>
        <w:tc>
          <w:tcPr>
            <w:tcW w:w="623" w:type="pct"/>
            <w:shd w:val="clear" w:color="auto" w:fill="C6D9F1"/>
          </w:tcPr>
          <w:p w14:paraId="727E6365" w14:textId="77777777" w:rsidR="000729CF" w:rsidRPr="000729CF" w:rsidRDefault="000729CF" w:rsidP="000729CF">
            <w:pPr>
              <w:jc w:val="right"/>
              <w:rPr>
                <w:rFonts w:ascii="Arial" w:eastAsia="Calibri" w:hAnsi="Arial" w:cs="Arial"/>
                <w:b/>
                <w:sz w:val="24"/>
                <w:szCs w:val="24"/>
                <w:highlight w:val="yellow"/>
                <w:lang w:val="en-GB"/>
              </w:rPr>
            </w:pPr>
            <w:r w:rsidRPr="000729CF">
              <w:rPr>
                <w:rFonts w:ascii="Arial" w:eastAsia="Calibri" w:hAnsi="Arial" w:cs="Arial"/>
                <w:b/>
                <w:sz w:val="24"/>
                <w:szCs w:val="24"/>
                <w:lang w:val="en-GB"/>
              </w:rPr>
              <w:t>99.324</w:t>
            </w:r>
          </w:p>
        </w:tc>
        <w:tc>
          <w:tcPr>
            <w:tcW w:w="600" w:type="pct"/>
            <w:shd w:val="clear" w:color="auto" w:fill="C6D9F1"/>
          </w:tcPr>
          <w:p w14:paraId="75B80AE8" w14:textId="77777777" w:rsidR="000729CF" w:rsidRPr="000729CF" w:rsidRDefault="000729CF" w:rsidP="000729CF">
            <w:pPr>
              <w:jc w:val="right"/>
              <w:rPr>
                <w:rFonts w:ascii="Arial" w:eastAsia="Calibri" w:hAnsi="Arial" w:cs="Arial"/>
                <w:b/>
                <w:sz w:val="24"/>
                <w:szCs w:val="24"/>
                <w:highlight w:val="yellow"/>
                <w:lang w:val="en-GB"/>
              </w:rPr>
            </w:pPr>
            <w:r w:rsidRPr="000729CF">
              <w:rPr>
                <w:rFonts w:ascii="Arial" w:eastAsia="Calibri" w:hAnsi="Arial" w:cs="Arial"/>
                <w:b/>
                <w:sz w:val="24"/>
                <w:szCs w:val="24"/>
                <w:lang w:val="en-GB"/>
              </w:rPr>
              <w:t>100%</w:t>
            </w:r>
          </w:p>
        </w:tc>
        <w:tc>
          <w:tcPr>
            <w:tcW w:w="604" w:type="pct"/>
            <w:shd w:val="clear" w:color="auto" w:fill="B8CCE4"/>
          </w:tcPr>
          <w:p w14:paraId="308751CE" w14:textId="77777777" w:rsidR="000729CF" w:rsidRPr="000729CF" w:rsidRDefault="000729CF" w:rsidP="000729CF">
            <w:pPr>
              <w:jc w:val="right"/>
              <w:rPr>
                <w:rFonts w:ascii="Arial" w:eastAsia="Calibri" w:hAnsi="Arial" w:cs="Arial"/>
                <w:b/>
                <w:sz w:val="24"/>
                <w:szCs w:val="24"/>
                <w:lang w:val="en-GB"/>
              </w:rPr>
            </w:pPr>
            <w:r w:rsidRPr="000729CF">
              <w:rPr>
                <w:rFonts w:ascii="Arial" w:eastAsia="Calibri" w:hAnsi="Arial" w:cs="Arial"/>
                <w:b/>
                <w:sz w:val="24"/>
                <w:szCs w:val="24"/>
                <w:lang w:val="en-GB"/>
              </w:rPr>
              <w:t>4.67%</w:t>
            </w:r>
          </w:p>
        </w:tc>
      </w:tr>
      <w:tr w:rsidR="000729CF" w:rsidRPr="000729CF" w14:paraId="39170DF3" w14:textId="77777777" w:rsidTr="00BC26AB">
        <w:tc>
          <w:tcPr>
            <w:tcW w:w="5000" w:type="pct"/>
            <w:gridSpan w:val="7"/>
            <w:shd w:val="clear" w:color="auto" w:fill="C6D9F1"/>
          </w:tcPr>
          <w:p w14:paraId="656A4647" w14:textId="77777777" w:rsidR="000729CF" w:rsidRPr="000729CF" w:rsidRDefault="000729CF" w:rsidP="000729CF">
            <w:pPr>
              <w:rPr>
                <w:rFonts w:ascii="Arial" w:eastAsia="Calibri" w:hAnsi="Arial" w:cs="Arial"/>
                <w:b/>
                <w:sz w:val="24"/>
                <w:szCs w:val="24"/>
                <w:highlight w:val="yellow"/>
                <w:lang w:val="en-GB"/>
              </w:rPr>
            </w:pPr>
            <w:r w:rsidRPr="000729CF">
              <w:rPr>
                <w:rFonts w:ascii="Arial" w:eastAsia="Calibri" w:hAnsi="Arial" w:cs="Arial"/>
                <w:b/>
                <w:sz w:val="24"/>
                <w:szCs w:val="24"/>
                <w:lang w:val="en-GB"/>
              </w:rPr>
              <w:t>Borrowing</w:t>
            </w:r>
          </w:p>
        </w:tc>
      </w:tr>
      <w:tr w:rsidR="000729CF" w:rsidRPr="000729CF" w14:paraId="4BCAC4B6" w14:textId="77777777" w:rsidTr="00BC26AB">
        <w:tc>
          <w:tcPr>
            <w:tcW w:w="1396" w:type="pct"/>
            <w:shd w:val="clear" w:color="auto" w:fill="auto"/>
          </w:tcPr>
          <w:p w14:paraId="447EFC4B" w14:textId="77777777" w:rsidR="000729CF" w:rsidRPr="000729CF" w:rsidRDefault="000729CF" w:rsidP="000729CF">
            <w:pPr>
              <w:jc w:val="both"/>
              <w:rPr>
                <w:rFonts w:ascii="Arial" w:eastAsia="Calibri" w:hAnsi="Arial" w:cs="Arial"/>
                <w:sz w:val="24"/>
                <w:szCs w:val="24"/>
                <w:lang w:val="en-GB"/>
              </w:rPr>
            </w:pPr>
            <w:r w:rsidRPr="000729CF">
              <w:rPr>
                <w:rFonts w:ascii="Arial" w:eastAsia="Calibri" w:hAnsi="Arial" w:cs="Arial"/>
                <w:sz w:val="24"/>
                <w:szCs w:val="24"/>
                <w:lang w:val="en-GB"/>
              </w:rPr>
              <w:t>PWLB loans</w:t>
            </w:r>
          </w:p>
        </w:tc>
        <w:tc>
          <w:tcPr>
            <w:tcW w:w="600" w:type="pct"/>
            <w:shd w:val="clear" w:color="auto" w:fill="auto"/>
          </w:tcPr>
          <w:p w14:paraId="56A19AFE"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334,617</w:t>
            </w:r>
          </w:p>
        </w:tc>
        <w:tc>
          <w:tcPr>
            <w:tcW w:w="600" w:type="pct"/>
            <w:shd w:val="clear" w:color="auto" w:fill="auto"/>
          </w:tcPr>
          <w:p w14:paraId="10C3E2A2"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90.5%</w:t>
            </w:r>
          </w:p>
        </w:tc>
        <w:tc>
          <w:tcPr>
            <w:tcW w:w="576" w:type="pct"/>
            <w:shd w:val="clear" w:color="auto" w:fill="auto"/>
          </w:tcPr>
          <w:p w14:paraId="45DA2AF5"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2.78%</w:t>
            </w:r>
          </w:p>
        </w:tc>
        <w:tc>
          <w:tcPr>
            <w:tcW w:w="623" w:type="pct"/>
            <w:shd w:val="clear" w:color="auto" w:fill="auto"/>
          </w:tcPr>
          <w:p w14:paraId="5DAEC521"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334,617</w:t>
            </w:r>
          </w:p>
        </w:tc>
        <w:tc>
          <w:tcPr>
            <w:tcW w:w="600" w:type="pct"/>
            <w:shd w:val="clear" w:color="auto" w:fill="auto"/>
          </w:tcPr>
          <w:p w14:paraId="14CD71CF"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90.5%</w:t>
            </w:r>
          </w:p>
        </w:tc>
        <w:tc>
          <w:tcPr>
            <w:tcW w:w="604" w:type="pct"/>
            <w:shd w:val="clear" w:color="auto" w:fill="auto"/>
          </w:tcPr>
          <w:p w14:paraId="2893DE7A"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2.78%</w:t>
            </w:r>
          </w:p>
        </w:tc>
      </w:tr>
      <w:tr w:rsidR="000729CF" w:rsidRPr="000729CF" w14:paraId="5E04F382" w14:textId="77777777" w:rsidTr="00BC26AB">
        <w:tc>
          <w:tcPr>
            <w:tcW w:w="1396" w:type="pct"/>
            <w:shd w:val="clear" w:color="auto" w:fill="auto"/>
          </w:tcPr>
          <w:p w14:paraId="3CE96484" w14:textId="77777777" w:rsidR="000729CF" w:rsidRPr="000729CF" w:rsidRDefault="000729CF" w:rsidP="000729CF">
            <w:pPr>
              <w:jc w:val="both"/>
              <w:rPr>
                <w:rFonts w:ascii="Arial" w:eastAsia="Calibri" w:hAnsi="Arial" w:cs="Arial"/>
                <w:sz w:val="24"/>
                <w:szCs w:val="24"/>
                <w:lang w:val="en-GB"/>
              </w:rPr>
            </w:pPr>
            <w:r w:rsidRPr="000729CF">
              <w:rPr>
                <w:rFonts w:ascii="Arial" w:eastAsia="Calibri" w:hAnsi="Arial" w:cs="Arial"/>
                <w:sz w:val="24"/>
                <w:szCs w:val="24"/>
                <w:lang w:val="en-GB"/>
              </w:rPr>
              <w:t>Market loans</w:t>
            </w:r>
          </w:p>
        </w:tc>
        <w:tc>
          <w:tcPr>
            <w:tcW w:w="600" w:type="pct"/>
            <w:shd w:val="clear" w:color="auto" w:fill="auto"/>
          </w:tcPr>
          <w:p w14:paraId="60C1F318"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35,000</w:t>
            </w:r>
          </w:p>
        </w:tc>
        <w:tc>
          <w:tcPr>
            <w:tcW w:w="600" w:type="pct"/>
            <w:shd w:val="clear" w:color="auto" w:fill="auto"/>
          </w:tcPr>
          <w:p w14:paraId="0B97C314"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9.5%</w:t>
            </w:r>
          </w:p>
        </w:tc>
        <w:tc>
          <w:tcPr>
            <w:tcW w:w="576" w:type="pct"/>
            <w:shd w:val="clear" w:color="auto" w:fill="auto"/>
          </w:tcPr>
          <w:p w14:paraId="58238432"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4.33%</w:t>
            </w:r>
          </w:p>
        </w:tc>
        <w:tc>
          <w:tcPr>
            <w:tcW w:w="623" w:type="pct"/>
            <w:shd w:val="clear" w:color="auto" w:fill="auto"/>
          </w:tcPr>
          <w:p w14:paraId="65935943"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35,000</w:t>
            </w:r>
          </w:p>
        </w:tc>
        <w:tc>
          <w:tcPr>
            <w:tcW w:w="600" w:type="pct"/>
            <w:shd w:val="clear" w:color="auto" w:fill="auto"/>
          </w:tcPr>
          <w:p w14:paraId="60D45D25"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9.5%</w:t>
            </w:r>
          </w:p>
        </w:tc>
        <w:tc>
          <w:tcPr>
            <w:tcW w:w="604" w:type="pct"/>
            <w:shd w:val="clear" w:color="auto" w:fill="auto"/>
          </w:tcPr>
          <w:p w14:paraId="4E062D4E"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4.33%</w:t>
            </w:r>
          </w:p>
        </w:tc>
      </w:tr>
      <w:tr w:rsidR="000729CF" w:rsidRPr="000729CF" w14:paraId="23F28E8F" w14:textId="77777777" w:rsidTr="00BC26AB">
        <w:tc>
          <w:tcPr>
            <w:tcW w:w="1396" w:type="pct"/>
            <w:shd w:val="clear" w:color="auto" w:fill="auto"/>
          </w:tcPr>
          <w:p w14:paraId="7EFEAAD3" w14:textId="77777777" w:rsidR="000729CF" w:rsidRPr="000729CF" w:rsidRDefault="000729CF" w:rsidP="000729CF">
            <w:pPr>
              <w:jc w:val="both"/>
              <w:rPr>
                <w:rFonts w:ascii="Arial" w:eastAsia="Calibri" w:hAnsi="Arial" w:cs="Arial"/>
                <w:sz w:val="24"/>
                <w:szCs w:val="24"/>
                <w:lang w:val="en-GB"/>
              </w:rPr>
            </w:pPr>
            <w:r w:rsidRPr="000729CF">
              <w:rPr>
                <w:rFonts w:ascii="Arial" w:eastAsia="Calibri" w:hAnsi="Arial" w:cs="Arial"/>
                <w:sz w:val="24"/>
                <w:szCs w:val="24"/>
                <w:lang w:val="en-GB"/>
              </w:rPr>
              <w:t>Local Authorities</w:t>
            </w:r>
          </w:p>
        </w:tc>
        <w:tc>
          <w:tcPr>
            <w:tcW w:w="600" w:type="pct"/>
            <w:shd w:val="clear" w:color="auto" w:fill="auto"/>
          </w:tcPr>
          <w:p w14:paraId="0AEC5060"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0</w:t>
            </w:r>
          </w:p>
        </w:tc>
        <w:tc>
          <w:tcPr>
            <w:tcW w:w="600" w:type="pct"/>
            <w:shd w:val="clear" w:color="auto" w:fill="auto"/>
          </w:tcPr>
          <w:p w14:paraId="26D41FC2"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0</w:t>
            </w:r>
          </w:p>
        </w:tc>
        <w:tc>
          <w:tcPr>
            <w:tcW w:w="576" w:type="pct"/>
            <w:shd w:val="clear" w:color="auto" w:fill="auto"/>
          </w:tcPr>
          <w:p w14:paraId="32D327C0"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0</w:t>
            </w:r>
          </w:p>
        </w:tc>
        <w:tc>
          <w:tcPr>
            <w:tcW w:w="623" w:type="pct"/>
            <w:shd w:val="clear" w:color="auto" w:fill="auto"/>
          </w:tcPr>
          <w:p w14:paraId="69A8B528"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0</w:t>
            </w:r>
          </w:p>
        </w:tc>
        <w:tc>
          <w:tcPr>
            <w:tcW w:w="600" w:type="pct"/>
            <w:shd w:val="clear" w:color="auto" w:fill="auto"/>
          </w:tcPr>
          <w:p w14:paraId="083AB985"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0</w:t>
            </w:r>
          </w:p>
        </w:tc>
        <w:tc>
          <w:tcPr>
            <w:tcW w:w="604" w:type="pct"/>
            <w:shd w:val="clear" w:color="auto" w:fill="auto"/>
          </w:tcPr>
          <w:p w14:paraId="4FEBCBB4"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0</w:t>
            </w:r>
          </w:p>
        </w:tc>
      </w:tr>
      <w:tr w:rsidR="000729CF" w:rsidRPr="000729CF" w14:paraId="06B58771" w14:textId="77777777" w:rsidTr="00BC26AB">
        <w:tc>
          <w:tcPr>
            <w:tcW w:w="1396" w:type="pct"/>
            <w:shd w:val="clear" w:color="auto" w:fill="C6D9F1"/>
          </w:tcPr>
          <w:p w14:paraId="2B53D972" w14:textId="77777777" w:rsidR="000729CF" w:rsidRPr="000729CF" w:rsidRDefault="000729CF" w:rsidP="000729CF">
            <w:pPr>
              <w:rPr>
                <w:rFonts w:ascii="Arial" w:eastAsia="Calibri" w:hAnsi="Arial" w:cs="Arial"/>
                <w:b/>
                <w:sz w:val="24"/>
                <w:szCs w:val="24"/>
                <w:lang w:val="en-GB"/>
              </w:rPr>
            </w:pPr>
            <w:r w:rsidRPr="000729CF">
              <w:rPr>
                <w:rFonts w:ascii="Arial" w:eastAsia="Calibri" w:hAnsi="Arial" w:cs="Arial"/>
                <w:b/>
                <w:sz w:val="24"/>
                <w:szCs w:val="24"/>
                <w:lang w:val="en-GB"/>
              </w:rPr>
              <w:t>Total external Borrowing</w:t>
            </w:r>
          </w:p>
        </w:tc>
        <w:tc>
          <w:tcPr>
            <w:tcW w:w="600" w:type="pct"/>
            <w:shd w:val="clear" w:color="auto" w:fill="C6D9F1"/>
          </w:tcPr>
          <w:p w14:paraId="4AC9A78E" w14:textId="77777777" w:rsidR="000729CF" w:rsidRPr="000729CF" w:rsidRDefault="000729CF" w:rsidP="000729CF">
            <w:pPr>
              <w:jc w:val="right"/>
              <w:rPr>
                <w:rFonts w:ascii="Arial" w:eastAsia="Calibri" w:hAnsi="Arial" w:cs="Arial"/>
                <w:b/>
                <w:sz w:val="24"/>
                <w:szCs w:val="24"/>
                <w:lang w:val="en-GB"/>
              </w:rPr>
            </w:pPr>
            <w:r w:rsidRPr="000729CF">
              <w:rPr>
                <w:rFonts w:ascii="Arial" w:eastAsia="Calibri" w:hAnsi="Arial" w:cs="Arial"/>
                <w:b/>
                <w:sz w:val="24"/>
                <w:szCs w:val="24"/>
                <w:lang w:val="en-GB"/>
              </w:rPr>
              <w:t>369,617</w:t>
            </w:r>
          </w:p>
        </w:tc>
        <w:tc>
          <w:tcPr>
            <w:tcW w:w="600" w:type="pct"/>
            <w:shd w:val="clear" w:color="auto" w:fill="C6D9F1"/>
          </w:tcPr>
          <w:p w14:paraId="352DD4D1" w14:textId="77777777" w:rsidR="000729CF" w:rsidRPr="000729CF" w:rsidRDefault="000729CF" w:rsidP="000729CF">
            <w:pPr>
              <w:jc w:val="right"/>
              <w:rPr>
                <w:rFonts w:ascii="Arial" w:eastAsia="Calibri" w:hAnsi="Arial" w:cs="Arial"/>
                <w:b/>
                <w:sz w:val="24"/>
                <w:szCs w:val="24"/>
                <w:lang w:val="en-GB"/>
              </w:rPr>
            </w:pPr>
            <w:r w:rsidRPr="000729CF">
              <w:rPr>
                <w:rFonts w:ascii="Arial" w:eastAsia="Calibri" w:hAnsi="Arial" w:cs="Arial"/>
                <w:b/>
                <w:sz w:val="24"/>
                <w:szCs w:val="24"/>
                <w:lang w:val="en-GB"/>
              </w:rPr>
              <w:t>100.0%</w:t>
            </w:r>
          </w:p>
        </w:tc>
        <w:tc>
          <w:tcPr>
            <w:tcW w:w="576" w:type="pct"/>
            <w:shd w:val="clear" w:color="auto" w:fill="C6D9F1"/>
          </w:tcPr>
          <w:p w14:paraId="3A4A34C9" w14:textId="77777777" w:rsidR="000729CF" w:rsidRPr="000729CF" w:rsidRDefault="000729CF" w:rsidP="000729CF">
            <w:pPr>
              <w:jc w:val="right"/>
              <w:rPr>
                <w:rFonts w:ascii="Arial" w:eastAsia="Calibri" w:hAnsi="Arial" w:cs="Arial"/>
                <w:b/>
                <w:sz w:val="24"/>
                <w:szCs w:val="24"/>
                <w:lang w:val="en-GB"/>
              </w:rPr>
            </w:pPr>
            <w:r w:rsidRPr="000729CF">
              <w:rPr>
                <w:rFonts w:ascii="Arial" w:eastAsia="Calibri" w:hAnsi="Arial" w:cs="Arial"/>
                <w:b/>
                <w:sz w:val="24"/>
                <w:szCs w:val="24"/>
                <w:lang w:val="en-GB"/>
              </w:rPr>
              <w:t>2.92%</w:t>
            </w:r>
          </w:p>
        </w:tc>
        <w:tc>
          <w:tcPr>
            <w:tcW w:w="623" w:type="pct"/>
            <w:shd w:val="clear" w:color="auto" w:fill="C6D9F1"/>
          </w:tcPr>
          <w:p w14:paraId="4BD7DB36" w14:textId="77777777" w:rsidR="000729CF" w:rsidRPr="000729CF" w:rsidRDefault="000729CF" w:rsidP="000729CF">
            <w:pPr>
              <w:jc w:val="right"/>
              <w:rPr>
                <w:rFonts w:ascii="Arial" w:eastAsia="Calibri" w:hAnsi="Arial" w:cs="Arial"/>
                <w:b/>
                <w:sz w:val="24"/>
                <w:szCs w:val="24"/>
                <w:lang w:val="en-GB"/>
              </w:rPr>
            </w:pPr>
            <w:r w:rsidRPr="000729CF">
              <w:rPr>
                <w:rFonts w:ascii="Arial" w:eastAsia="Calibri" w:hAnsi="Arial" w:cs="Arial"/>
                <w:b/>
                <w:sz w:val="24"/>
                <w:szCs w:val="24"/>
                <w:lang w:val="en-GB"/>
              </w:rPr>
              <w:t>369,617</w:t>
            </w:r>
          </w:p>
        </w:tc>
        <w:tc>
          <w:tcPr>
            <w:tcW w:w="600" w:type="pct"/>
            <w:shd w:val="clear" w:color="auto" w:fill="C6D9F1"/>
          </w:tcPr>
          <w:p w14:paraId="33017871" w14:textId="77777777" w:rsidR="000729CF" w:rsidRPr="000729CF" w:rsidRDefault="000729CF" w:rsidP="000729CF">
            <w:pPr>
              <w:jc w:val="right"/>
              <w:rPr>
                <w:rFonts w:ascii="Arial" w:eastAsia="Calibri" w:hAnsi="Arial" w:cs="Arial"/>
                <w:b/>
                <w:sz w:val="24"/>
                <w:szCs w:val="24"/>
                <w:lang w:val="en-GB"/>
              </w:rPr>
            </w:pPr>
            <w:r w:rsidRPr="000729CF">
              <w:rPr>
                <w:rFonts w:ascii="Arial" w:eastAsia="Calibri" w:hAnsi="Arial" w:cs="Arial"/>
                <w:b/>
                <w:sz w:val="24"/>
                <w:szCs w:val="24"/>
                <w:lang w:val="en-GB"/>
              </w:rPr>
              <w:t>100.0%</w:t>
            </w:r>
          </w:p>
        </w:tc>
        <w:tc>
          <w:tcPr>
            <w:tcW w:w="604" w:type="pct"/>
            <w:shd w:val="clear" w:color="auto" w:fill="C6D9F1"/>
          </w:tcPr>
          <w:p w14:paraId="5A764803" w14:textId="77777777" w:rsidR="000729CF" w:rsidRPr="000729CF" w:rsidRDefault="000729CF" w:rsidP="000729CF">
            <w:pPr>
              <w:jc w:val="right"/>
              <w:rPr>
                <w:rFonts w:ascii="Arial" w:eastAsia="Calibri" w:hAnsi="Arial" w:cs="Arial"/>
                <w:b/>
                <w:sz w:val="24"/>
                <w:szCs w:val="24"/>
                <w:lang w:val="en-GB"/>
              </w:rPr>
            </w:pPr>
            <w:r w:rsidRPr="000729CF">
              <w:rPr>
                <w:rFonts w:ascii="Arial" w:eastAsia="Calibri" w:hAnsi="Arial" w:cs="Arial"/>
                <w:b/>
                <w:sz w:val="24"/>
                <w:szCs w:val="24"/>
                <w:lang w:val="en-GB"/>
              </w:rPr>
              <w:t>2.92%</w:t>
            </w:r>
          </w:p>
        </w:tc>
      </w:tr>
    </w:tbl>
    <w:p w14:paraId="7D19A030" w14:textId="77777777" w:rsidR="000729CF" w:rsidRPr="000729CF" w:rsidRDefault="000729CF" w:rsidP="000729CF">
      <w:pPr>
        <w:autoSpaceDE w:val="0"/>
        <w:autoSpaceDN w:val="0"/>
        <w:adjustRightInd w:val="0"/>
        <w:rPr>
          <w:rFonts w:ascii="Arial" w:eastAsia="Calibri" w:hAnsi="Arial" w:cs="Arial"/>
          <w:i/>
          <w:iCs/>
          <w:color w:val="000000"/>
          <w:sz w:val="22"/>
          <w:szCs w:val="22"/>
          <w:lang w:val="en-GB" w:eastAsia="en-GB"/>
        </w:rPr>
      </w:pPr>
    </w:p>
    <w:p w14:paraId="5B233CBC" w14:textId="77777777" w:rsidR="000729CF" w:rsidRPr="000729CF" w:rsidRDefault="000729CF" w:rsidP="000729CF">
      <w:pPr>
        <w:autoSpaceDE w:val="0"/>
        <w:autoSpaceDN w:val="0"/>
        <w:adjustRightInd w:val="0"/>
        <w:spacing w:after="60"/>
        <w:ind w:left="993" w:hanging="284"/>
        <w:rPr>
          <w:rFonts w:ascii="Arial" w:eastAsia="Calibri" w:hAnsi="Arial" w:cs="Arial"/>
          <w:i/>
          <w:iCs/>
          <w:color w:val="000000"/>
          <w:sz w:val="22"/>
          <w:szCs w:val="22"/>
          <w:lang w:val="en-GB" w:eastAsia="en-GB"/>
        </w:rPr>
      </w:pPr>
      <w:r w:rsidRPr="000729CF">
        <w:rPr>
          <w:rFonts w:ascii="Arial" w:eastAsia="Calibri" w:hAnsi="Arial" w:cs="Arial"/>
          <w:i/>
          <w:iCs/>
          <w:color w:val="000000"/>
          <w:sz w:val="22"/>
          <w:szCs w:val="22"/>
          <w:lang w:val="en-GB" w:eastAsia="en-GB"/>
        </w:rPr>
        <w:t>*</w:t>
      </w:r>
      <w:r w:rsidRPr="000729CF">
        <w:rPr>
          <w:rFonts w:ascii="Arial" w:eastAsia="Calibri" w:hAnsi="Arial" w:cs="Arial"/>
          <w:i/>
          <w:iCs/>
          <w:color w:val="000000"/>
          <w:sz w:val="22"/>
          <w:szCs w:val="22"/>
          <w:lang w:val="en-GB" w:eastAsia="en-GB"/>
        </w:rPr>
        <w:tab/>
        <w:t xml:space="preserve">Average rate is taken as a snapshot as at 31 December 2023 </w:t>
      </w:r>
    </w:p>
    <w:p w14:paraId="71DDD654" w14:textId="77777777" w:rsidR="000729CF" w:rsidRPr="000729CF" w:rsidRDefault="000729CF" w:rsidP="000729CF">
      <w:pPr>
        <w:autoSpaceDE w:val="0"/>
        <w:autoSpaceDN w:val="0"/>
        <w:adjustRightInd w:val="0"/>
        <w:ind w:left="993" w:hanging="284"/>
        <w:rPr>
          <w:rFonts w:ascii="Arial" w:eastAsia="Calibri" w:hAnsi="Arial" w:cs="Arial"/>
          <w:i/>
          <w:iCs/>
          <w:color w:val="000000"/>
          <w:sz w:val="22"/>
          <w:szCs w:val="22"/>
          <w:lang w:val="en-GB" w:eastAsia="en-GB"/>
        </w:rPr>
      </w:pPr>
      <w:r w:rsidRPr="000729CF">
        <w:rPr>
          <w:rFonts w:ascii="Arial" w:eastAsia="Calibri" w:hAnsi="Arial" w:cs="Arial"/>
          <w:i/>
          <w:iCs/>
          <w:color w:val="000000"/>
          <w:sz w:val="22"/>
          <w:szCs w:val="22"/>
          <w:lang w:val="en-GB" w:eastAsia="en-GB"/>
        </w:rPr>
        <w:t>**</w:t>
      </w:r>
      <w:r w:rsidRPr="000729CF">
        <w:rPr>
          <w:rFonts w:ascii="Arial" w:eastAsia="Calibri" w:hAnsi="Arial" w:cs="Arial"/>
          <w:i/>
          <w:iCs/>
          <w:color w:val="000000"/>
          <w:sz w:val="22"/>
          <w:szCs w:val="22"/>
          <w:lang w:val="en-GB" w:eastAsia="en-GB"/>
        </w:rPr>
        <w:tab/>
        <w:t>The Royal London Funds show a negative return as a result in a decline in capital value because fixed income funds such as these reduce in value in a rising interest rate market. The council is still receiving an appropriate level of revenue income from these funds, and the decline in capital value is expected to be short term and therefore not expected to result in an actual capital loss.</w:t>
      </w:r>
    </w:p>
    <w:p w14:paraId="66745324" w14:textId="77777777" w:rsidR="000729CF" w:rsidRPr="000729CF" w:rsidRDefault="000729CF" w:rsidP="00CE70A3">
      <w:pPr>
        <w:keepNext/>
        <w:numPr>
          <w:ilvl w:val="0"/>
          <w:numId w:val="67"/>
        </w:numPr>
        <w:spacing w:before="240" w:after="120" w:line="276" w:lineRule="auto"/>
        <w:ind w:left="709" w:hanging="709"/>
        <w:outlineLvl w:val="0"/>
        <w:rPr>
          <w:rFonts w:ascii="Arial" w:hAnsi="Arial" w:cs="Arial"/>
          <w:b/>
          <w:bCs/>
          <w:kern w:val="32"/>
          <w:sz w:val="24"/>
          <w:szCs w:val="24"/>
          <w:lang w:val="en-GB"/>
        </w:rPr>
      </w:pPr>
      <w:r w:rsidRPr="000729CF">
        <w:rPr>
          <w:rFonts w:ascii="Arial" w:hAnsi="Arial" w:cs="Arial"/>
          <w:b/>
          <w:bCs/>
          <w:kern w:val="32"/>
          <w:sz w:val="24"/>
          <w:szCs w:val="24"/>
          <w:lang w:val="en-GB"/>
        </w:rPr>
        <w:t>BORROWING STRATEGY</w:t>
      </w:r>
    </w:p>
    <w:p w14:paraId="17A68B62" w14:textId="77777777" w:rsidR="000729CF" w:rsidRPr="000729CF" w:rsidRDefault="000729CF" w:rsidP="000729CF">
      <w:pPr>
        <w:spacing w:after="120"/>
        <w:ind w:left="709"/>
        <w:rPr>
          <w:rFonts w:ascii="Arial" w:eastAsia="Calibri" w:hAnsi="Arial" w:cs="Arial"/>
          <w:sz w:val="24"/>
          <w:szCs w:val="24"/>
          <w:lang w:val="en-GB"/>
        </w:rPr>
      </w:pPr>
      <w:r w:rsidRPr="000729CF">
        <w:rPr>
          <w:rFonts w:ascii="Arial" w:eastAsia="Calibri" w:hAnsi="Arial" w:cs="Arial"/>
          <w:sz w:val="24"/>
          <w:szCs w:val="24"/>
          <w:lang w:val="en-GB"/>
        </w:rPr>
        <w:tab/>
        <w:t xml:space="preserve">The capital expenditure plans set out in the Capital Strategy provide details of the service activity of the Authority. The treasury management function ensures that the Authority’s cash is organised in accordance with the relevant professional codes, so that sufficient cash is available to meet this service activity and the Authority’s Capital Strategy. </w:t>
      </w:r>
      <w:bookmarkStart w:id="55" w:name="_Hlk121310517"/>
      <w:r w:rsidRPr="000729CF">
        <w:rPr>
          <w:rFonts w:ascii="Arial" w:eastAsia="Calibri" w:hAnsi="Arial" w:cs="Arial"/>
          <w:sz w:val="24"/>
          <w:szCs w:val="24"/>
          <w:lang w:val="en-GB"/>
        </w:rPr>
        <w:t>This will involve both the organisation of the cash flow and, where capital plans require, the organisation of appropriate borrowing facilities. The strategy covers the relevant treasury / prudential indicators, the current and projected debt positions, and the Annual Investment Strategy.</w:t>
      </w:r>
      <w:bookmarkEnd w:id="55"/>
    </w:p>
    <w:p w14:paraId="6B3DF961" w14:textId="77777777" w:rsidR="000729CF" w:rsidRPr="000729CF" w:rsidRDefault="000729CF" w:rsidP="000729CF">
      <w:pPr>
        <w:spacing w:after="120"/>
        <w:ind w:left="709"/>
        <w:rPr>
          <w:rFonts w:ascii="Arial" w:eastAsia="Calibri" w:hAnsi="Arial" w:cs="Arial"/>
          <w:sz w:val="24"/>
          <w:szCs w:val="24"/>
          <w:lang w:val="en-GB"/>
        </w:rPr>
      </w:pPr>
      <w:r w:rsidRPr="000729CF">
        <w:rPr>
          <w:rFonts w:ascii="Arial" w:eastAsia="Calibri" w:hAnsi="Arial" w:cs="Arial"/>
          <w:sz w:val="24"/>
          <w:szCs w:val="24"/>
          <w:lang w:val="en-GB"/>
        </w:rPr>
        <w:t xml:space="preserve">Any capital investment that is not funded from new and/or existing resources (e.g. capital grants, receipts from asset sales, revenue contributions or earmarked reserves) potentially increases the council’s need to borrow, represented by the council’s Capital Financing Requirement (CFR). However, external borrowing does not have to take place immediately to finance its related capital expenditure: the council can utilise cash being held for other purposes (such as earmarked reserves and working capital balances) to temporarily defer the need for external borrowing. This is known as ‘internal borrowing’ or ‘under-borrowing’. </w:t>
      </w:r>
    </w:p>
    <w:p w14:paraId="4394E2B8" w14:textId="77777777" w:rsidR="000729CF" w:rsidRPr="000729CF" w:rsidRDefault="000729CF" w:rsidP="000729CF">
      <w:pPr>
        <w:spacing w:after="120"/>
        <w:ind w:left="709"/>
        <w:rPr>
          <w:rFonts w:ascii="Arial" w:eastAsia="Calibri" w:hAnsi="Arial" w:cs="Arial"/>
          <w:sz w:val="24"/>
          <w:szCs w:val="24"/>
          <w:lang w:val="en-GB"/>
        </w:rPr>
      </w:pPr>
      <w:r w:rsidRPr="000729CF">
        <w:rPr>
          <w:rFonts w:ascii="Arial" w:eastAsia="Calibri" w:hAnsi="Arial" w:cs="Arial"/>
          <w:sz w:val="24"/>
          <w:szCs w:val="24"/>
          <w:lang w:val="en-GB"/>
        </w:rPr>
        <w:t>The council’s primary objective is to strike an appropriate balance between securing cost certainty and securing low interest rates.</w:t>
      </w:r>
    </w:p>
    <w:p w14:paraId="41CA76A6" w14:textId="77777777" w:rsidR="000729CF" w:rsidRPr="000729CF" w:rsidRDefault="000729CF" w:rsidP="000729CF">
      <w:pPr>
        <w:spacing w:after="240"/>
        <w:ind w:left="709"/>
        <w:rPr>
          <w:rFonts w:ascii="Arial" w:eastAsia="Calibri" w:hAnsi="Arial" w:cs="Arial"/>
          <w:sz w:val="24"/>
          <w:szCs w:val="24"/>
          <w:lang w:val="en-GB"/>
        </w:rPr>
      </w:pPr>
      <w:r w:rsidRPr="000729CF">
        <w:rPr>
          <w:rFonts w:ascii="Arial" w:eastAsia="Calibri" w:hAnsi="Arial" w:cs="Arial"/>
          <w:sz w:val="24"/>
          <w:szCs w:val="24"/>
          <w:lang w:val="en-GB"/>
        </w:rPr>
        <w:t xml:space="preserve">The council operates a two-pool approach for borrowing following the introduction of the HRA Self-Financing regime in March 2012. </w:t>
      </w:r>
    </w:p>
    <w:p w14:paraId="0F3694ED" w14:textId="77777777" w:rsidR="000729CF" w:rsidRPr="000729CF" w:rsidRDefault="000729CF" w:rsidP="00CE70A3">
      <w:pPr>
        <w:keepNext/>
        <w:numPr>
          <w:ilvl w:val="1"/>
          <w:numId w:val="67"/>
        </w:numPr>
        <w:spacing w:before="120" w:after="120" w:line="276" w:lineRule="auto"/>
        <w:ind w:left="709" w:hanging="709"/>
        <w:outlineLvl w:val="1"/>
        <w:rPr>
          <w:rFonts w:ascii="Arial" w:hAnsi="Arial" w:cs="Arial"/>
          <w:b/>
          <w:bCs/>
          <w:i/>
          <w:iCs/>
          <w:sz w:val="24"/>
          <w:szCs w:val="24"/>
          <w:lang w:val="en-GB"/>
        </w:rPr>
      </w:pPr>
      <w:r w:rsidRPr="000729CF">
        <w:rPr>
          <w:rFonts w:ascii="Arial" w:hAnsi="Arial" w:cs="Arial"/>
          <w:b/>
          <w:bCs/>
          <w:i/>
          <w:iCs/>
          <w:sz w:val="24"/>
          <w:szCs w:val="24"/>
          <w:lang w:val="en-GB"/>
        </w:rPr>
        <w:t>Capital Prudential Indicators</w:t>
      </w:r>
    </w:p>
    <w:p w14:paraId="3BFBFAAD" w14:textId="77777777" w:rsidR="000729CF" w:rsidRPr="000729CF" w:rsidRDefault="000729CF" w:rsidP="000729CF">
      <w:pPr>
        <w:spacing w:after="240"/>
        <w:ind w:left="709"/>
        <w:rPr>
          <w:rFonts w:ascii="Arial" w:eastAsia="Calibri" w:hAnsi="Arial" w:cs="Arial"/>
          <w:sz w:val="24"/>
          <w:szCs w:val="24"/>
          <w:lang w:val="en-GB"/>
        </w:rPr>
      </w:pPr>
      <w:bookmarkStart w:id="56" w:name="_Hlk121310799"/>
      <w:r w:rsidRPr="000729CF">
        <w:rPr>
          <w:rFonts w:ascii="Arial" w:eastAsia="Calibri" w:hAnsi="Arial" w:cs="Arial"/>
          <w:sz w:val="24"/>
          <w:szCs w:val="24"/>
          <w:lang w:val="en-GB"/>
        </w:rPr>
        <w:t>The Authority’s capital expenditure plans are a key driver for Treasury Management activity. The output of the capital expenditure plans is reflected in the prudential indicators, which are designed to assist members’ overview and confirm capital expenditure plans.</w:t>
      </w:r>
    </w:p>
    <w:p w14:paraId="4CCC89A0" w14:textId="77777777" w:rsidR="000729CF" w:rsidRPr="000729CF" w:rsidRDefault="000729CF" w:rsidP="000729CF">
      <w:pPr>
        <w:spacing w:after="240"/>
        <w:ind w:left="709"/>
        <w:rPr>
          <w:rFonts w:ascii="Arial" w:eastAsia="Calibri" w:hAnsi="Arial" w:cs="Arial"/>
          <w:sz w:val="24"/>
          <w:szCs w:val="24"/>
          <w:lang w:val="en-GB"/>
        </w:rPr>
      </w:pPr>
      <w:r w:rsidRPr="000729CF">
        <w:rPr>
          <w:rFonts w:ascii="Arial" w:eastAsia="Calibri" w:hAnsi="Arial" w:cs="Arial"/>
          <w:sz w:val="24"/>
          <w:szCs w:val="24"/>
          <w:lang w:val="en-GB"/>
        </w:rPr>
        <w:t>Tables 2, 3 and 4 show the capital expenditure plans of the Authority, and the implications of these on the Capital Financing Requirement over the 3-year period to 2026/27. These indicators have been included in the Treasury Management Strategy for a number of years to demonstrate the affordability and sustainability of the Authority’s capital activity.</w:t>
      </w:r>
    </w:p>
    <w:p w14:paraId="5DC8A39A" w14:textId="77777777" w:rsidR="000729CF" w:rsidRPr="000729CF" w:rsidRDefault="000729CF" w:rsidP="000729CF">
      <w:pPr>
        <w:spacing w:after="240"/>
        <w:ind w:left="709"/>
        <w:rPr>
          <w:rFonts w:ascii="Arial" w:eastAsia="Calibri" w:hAnsi="Arial" w:cs="Arial"/>
          <w:sz w:val="24"/>
          <w:szCs w:val="24"/>
          <w:lang w:val="en-GB"/>
        </w:rPr>
      </w:pPr>
      <w:r w:rsidRPr="000729CF">
        <w:rPr>
          <w:rFonts w:ascii="Arial" w:eastAsia="Calibri" w:hAnsi="Arial" w:cs="Arial"/>
          <w:sz w:val="24"/>
          <w:szCs w:val="24"/>
          <w:lang w:val="en-GB"/>
        </w:rPr>
        <w:t>A further prudential indicator now required is the Liability Benchmark. This benchmark measures the Authority’s external debt levels net of the external investments, with the inclusion of a liquidity buffer against the Authority’s CFR projection. This measure assumes that the authority will internally borrow almost all its available cash held in reserves and balances, with an allowance ensure it is able to meet is cash obligations.</w:t>
      </w:r>
    </w:p>
    <w:p w14:paraId="75393B09" w14:textId="77777777" w:rsidR="000729CF" w:rsidRPr="000729CF" w:rsidRDefault="000729CF" w:rsidP="000729CF">
      <w:pPr>
        <w:spacing w:after="240"/>
        <w:ind w:left="709"/>
        <w:rPr>
          <w:rFonts w:ascii="Arial" w:eastAsia="Calibri" w:hAnsi="Arial" w:cs="Arial"/>
          <w:sz w:val="24"/>
          <w:szCs w:val="24"/>
          <w:lang w:val="en-GB"/>
        </w:rPr>
      </w:pPr>
      <w:r w:rsidRPr="000729CF">
        <w:rPr>
          <w:rFonts w:ascii="Arial" w:eastAsia="Calibri" w:hAnsi="Arial" w:cs="Arial"/>
          <w:sz w:val="24"/>
          <w:szCs w:val="24"/>
          <w:lang w:val="en-GB"/>
        </w:rPr>
        <w:t>There are four components to the Liability Benchmark:</w:t>
      </w:r>
    </w:p>
    <w:p w14:paraId="2F9ABE48" w14:textId="77777777" w:rsidR="000729CF" w:rsidRPr="000729CF" w:rsidRDefault="000729CF" w:rsidP="00CE70A3">
      <w:pPr>
        <w:numPr>
          <w:ilvl w:val="0"/>
          <w:numId w:val="85"/>
        </w:numPr>
        <w:spacing w:after="240" w:line="276" w:lineRule="auto"/>
        <w:ind w:left="1134" w:hanging="425"/>
        <w:rPr>
          <w:rFonts w:ascii="Arial" w:eastAsia="Calibri" w:hAnsi="Arial" w:cs="Arial"/>
          <w:sz w:val="24"/>
          <w:szCs w:val="24"/>
          <w:lang w:val="en-GB"/>
        </w:rPr>
      </w:pPr>
      <w:r w:rsidRPr="000729CF">
        <w:rPr>
          <w:rFonts w:ascii="Arial" w:eastAsia="Calibri" w:hAnsi="Arial" w:cs="Arial"/>
          <w:b/>
          <w:bCs/>
          <w:sz w:val="24"/>
          <w:szCs w:val="24"/>
          <w:lang w:val="en-GB"/>
        </w:rPr>
        <w:t>Existing loan debt outstanding:</w:t>
      </w:r>
      <w:r w:rsidRPr="000729CF">
        <w:rPr>
          <w:rFonts w:ascii="Arial" w:eastAsia="Calibri" w:hAnsi="Arial" w:cs="Arial"/>
          <w:sz w:val="24"/>
          <w:szCs w:val="24"/>
          <w:lang w:val="en-GB"/>
        </w:rPr>
        <w:t xml:space="preserve"> the Authority’s existing loans that are still outstanding in future years. </w:t>
      </w:r>
    </w:p>
    <w:p w14:paraId="5E82AD4A" w14:textId="77777777" w:rsidR="000729CF" w:rsidRPr="000729CF" w:rsidRDefault="000729CF" w:rsidP="00CE70A3">
      <w:pPr>
        <w:numPr>
          <w:ilvl w:val="0"/>
          <w:numId w:val="85"/>
        </w:numPr>
        <w:spacing w:after="240" w:line="276" w:lineRule="auto"/>
        <w:ind w:left="1134" w:hanging="425"/>
        <w:rPr>
          <w:rFonts w:ascii="Arial" w:eastAsia="Calibri" w:hAnsi="Arial" w:cs="Arial"/>
          <w:sz w:val="24"/>
          <w:szCs w:val="24"/>
          <w:lang w:val="en-GB"/>
        </w:rPr>
      </w:pPr>
      <w:r w:rsidRPr="000729CF">
        <w:rPr>
          <w:rFonts w:ascii="Arial" w:eastAsia="Calibri" w:hAnsi="Arial" w:cs="Arial"/>
          <w:b/>
          <w:bCs/>
          <w:sz w:val="24"/>
          <w:szCs w:val="24"/>
          <w:lang w:val="en-GB"/>
        </w:rPr>
        <w:t>Loans CFR:</w:t>
      </w:r>
      <w:r w:rsidRPr="000729CF">
        <w:rPr>
          <w:rFonts w:ascii="Arial" w:eastAsia="Calibri" w:hAnsi="Arial" w:cs="Arial"/>
          <w:sz w:val="24"/>
          <w:szCs w:val="24"/>
          <w:lang w:val="en-GB"/>
        </w:rPr>
        <w:t xml:space="preserve"> this is calculated in accordance with the loans CFR definition in the Prudential Code and projected into the future based on approved prudential borrowing and planned MRP. </w:t>
      </w:r>
    </w:p>
    <w:p w14:paraId="563EE79E" w14:textId="77777777" w:rsidR="000729CF" w:rsidRPr="000729CF" w:rsidRDefault="000729CF" w:rsidP="00CE70A3">
      <w:pPr>
        <w:numPr>
          <w:ilvl w:val="0"/>
          <w:numId w:val="85"/>
        </w:numPr>
        <w:spacing w:after="240" w:line="276" w:lineRule="auto"/>
        <w:ind w:left="1134" w:hanging="425"/>
        <w:rPr>
          <w:rFonts w:ascii="Arial" w:eastAsia="Calibri" w:hAnsi="Arial" w:cs="Arial"/>
          <w:sz w:val="24"/>
          <w:szCs w:val="24"/>
          <w:lang w:val="en-GB"/>
        </w:rPr>
      </w:pPr>
      <w:r w:rsidRPr="000729CF">
        <w:rPr>
          <w:rFonts w:ascii="Arial" w:eastAsia="Calibri" w:hAnsi="Arial" w:cs="Arial"/>
          <w:b/>
          <w:bCs/>
          <w:sz w:val="24"/>
          <w:szCs w:val="24"/>
          <w:lang w:val="en-GB"/>
        </w:rPr>
        <w:t xml:space="preserve">Net loans requirement: </w:t>
      </w:r>
      <w:r w:rsidRPr="000729CF">
        <w:rPr>
          <w:rFonts w:ascii="Arial" w:eastAsia="Calibri" w:hAnsi="Arial" w:cs="Arial"/>
          <w:sz w:val="24"/>
          <w:szCs w:val="24"/>
          <w:lang w:val="en-GB"/>
        </w:rPr>
        <w:t>this will show the Authority’s gross loan debt less treasury management investments at the last financial year-end, projected into the future and based on its approved prudential borrowing, planned MRP and any other major cash flows forecast.</w:t>
      </w:r>
    </w:p>
    <w:p w14:paraId="46487C47" w14:textId="77777777" w:rsidR="000729CF" w:rsidRPr="000729CF" w:rsidRDefault="000729CF" w:rsidP="00CE70A3">
      <w:pPr>
        <w:numPr>
          <w:ilvl w:val="0"/>
          <w:numId w:val="85"/>
        </w:numPr>
        <w:spacing w:after="240" w:line="276" w:lineRule="auto"/>
        <w:ind w:left="1134" w:hanging="425"/>
        <w:rPr>
          <w:rFonts w:ascii="Arial" w:eastAsia="Calibri" w:hAnsi="Arial" w:cs="Arial"/>
          <w:sz w:val="24"/>
          <w:szCs w:val="24"/>
          <w:lang w:val="en-GB"/>
        </w:rPr>
      </w:pPr>
      <w:r w:rsidRPr="000729CF">
        <w:rPr>
          <w:rFonts w:ascii="Arial" w:eastAsia="Calibri" w:hAnsi="Arial" w:cs="Arial"/>
          <w:b/>
          <w:bCs/>
          <w:sz w:val="24"/>
          <w:szCs w:val="24"/>
          <w:lang w:val="en-GB"/>
        </w:rPr>
        <w:t>Liability benchmark (or gross loans requirement):</w:t>
      </w:r>
      <w:r w:rsidRPr="000729CF">
        <w:rPr>
          <w:rFonts w:ascii="Arial" w:eastAsia="Calibri" w:hAnsi="Arial" w:cs="Arial"/>
          <w:sz w:val="24"/>
          <w:szCs w:val="24"/>
          <w:lang w:val="en-GB"/>
        </w:rPr>
        <w:t xml:space="preserve"> this equals net loans requirement plus short-term liquidity allowance.</w:t>
      </w:r>
    </w:p>
    <w:p w14:paraId="65D48E80" w14:textId="77777777" w:rsidR="000729CF" w:rsidRPr="000729CF" w:rsidRDefault="000729CF" w:rsidP="000729CF">
      <w:pPr>
        <w:spacing w:after="240"/>
        <w:ind w:left="709"/>
        <w:rPr>
          <w:rFonts w:ascii="Arial" w:eastAsia="Calibri" w:hAnsi="Arial" w:cs="Arial"/>
          <w:sz w:val="24"/>
          <w:szCs w:val="24"/>
          <w:lang w:val="en-GB"/>
        </w:rPr>
      </w:pPr>
      <w:r w:rsidRPr="000729CF">
        <w:rPr>
          <w:rFonts w:ascii="Arial" w:eastAsia="Calibri" w:hAnsi="Arial" w:cs="Arial"/>
          <w:sz w:val="24"/>
          <w:szCs w:val="24"/>
          <w:lang w:val="en-GB"/>
        </w:rPr>
        <w:t xml:space="preserve">The Liability Benchmark has been produced for both the General Fund and HRA </w:t>
      </w:r>
      <w:proofErr w:type="gramStart"/>
      <w:r w:rsidRPr="000729CF">
        <w:rPr>
          <w:rFonts w:ascii="Arial" w:eastAsia="Calibri" w:hAnsi="Arial" w:cs="Arial"/>
          <w:sz w:val="24"/>
          <w:szCs w:val="24"/>
          <w:lang w:val="en-GB"/>
        </w:rPr>
        <w:t>separately, and</w:t>
      </w:r>
      <w:proofErr w:type="gramEnd"/>
      <w:r w:rsidRPr="000729CF">
        <w:rPr>
          <w:rFonts w:ascii="Arial" w:eastAsia="Calibri" w:hAnsi="Arial" w:cs="Arial"/>
          <w:sz w:val="24"/>
          <w:szCs w:val="24"/>
          <w:lang w:val="en-GB"/>
        </w:rPr>
        <w:t xml:space="preserve"> are shown below in sections 2.2.2 and 2.3.2 with notes to explain each element and the Authority’s assumption and forward view.</w:t>
      </w:r>
    </w:p>
    <w:bookmarkEnd w:id="56"/>
    <w:p w14:paraId="266BB51E" w14:textId="77777777" w:rsidR="000729CF" w:rsidRPr="000729CF" w:rsidRDefault="000729CF" w:rsidP="00CE70A3">
      <w:pPr>
        <w:keepNext/>
        <w:numPr>
          <w:ilvl w:val="1"/>
          <w:numId w:val="67"/>
        </w:numPr>
        <w:spacing w:before="120" w:after="120" w:line="276" w:lineRule="auto"/>
        <w:ind w:left="709" w:hanging="709"/>
        <w:outlineLvl w:val="1"/>
        <w:rPr>
          <w:rFonts w:ascii="Arial" w:hAnsi="Arial" w:cs="Arial"/>
          <w:b/>
          <w:bCs/>
          <w:i/>
          <w:iCs/>
          <w:sz w:val="24"/>
          <w:szCs w:val="24"/>
          <w:lang w:val="en-GB"/>
        </w:rPr>
      </w:pPr>
      <w:r w:rsidRPr="000729CF">
        <w:rPr>
          <w:rFonts w:ascii="Arial" w:hAnsi="Arial" w:cs="Arial"/>
          <w:b/>
          <w:bCs/>
          <w:i/>
          <w:iCs/>
          <w:sz w:val="24"/>
          <w:szCs w:val="24"/>
          <w:lang w:val="en-GB"/>
        </w:rPr>
        <w:t xml:space="preserve">General Fund Borrowing Position and Strategy </w:t>
      </w:r>
    </w:p>
    <w:p w14:paraId="0D1019F7" w14:textId="77777777" w:rsidR="000729CF" w:rsidRPr="000729CF" w:rsidRDefault="000729CF" w:rsidP="000729CF">
      <w:pPr>
        <w:spacing w:after="120"/>
        <w:ind w:left="709"/>
        <w:rPr>
          <w:rFonts w:ascii="Arial" w:eastAsia="Calibri" w:hAnsi="Arial" w:cs="Arial"/>
          <w:sz w:val="24"/>
          <w:szCs w:val="24"/>
          <w:lang w:val="en-GB"/>
        </w:rPr>
      </w:pPr>
      <w:r w:rsidRPr="000729CF">
        <w:rPr>
          <w:rFonts w:ascii="Arial" w:eastAsia="Calibri" w:hAnsi="Arial" w:cs="Arial"/>
          <w:sz w:val="24"/>
          <w:szCs w:val="24"/>
          <w:lang w:val="en-GB"/>
        </w:rPr>
        <w:t xml:space="preserve">The General Fund has been carrying an internal borrowing position (i.e. where the General Fund borrows cash from its own reserves) for a number of years. The General Fund entered into planned borrowing from the PWLB to reduce the internal borrowing position during 2021/22 and 2022/23 in preparation for it increasing again during the current period of high interest rates, to reduce the need to enter into borrowing at higher rates. </w:t>
      </w:r>
    </w:p>
    <w:p w14:paraId="3DC0D8F2" w14:textId="77777777" w:rsidR="000729CF" w:rsidRPr="000729CF" w:rsidRDefault="000729CF" w:rsidP="000729CF">
      <w:pPr>
        <w:spacing w:after="120"/>
        <w:ind w:left="709"/>
        <w:rPr>
          <w:rFonts w:ascii="Arial" w:eastAsia="Calibri" w:hAnsi="Arial" w:cs="Arial"/>
          <w:sz w:val="24"/>
          <w:szCs w:val="24"/>
          <w:lang w:val="en-GB"/>
        </w:rPr>
      </w:pPr>
      <w:r w:rsidRPr="000729CF">
        <w:rPr>
          <w:rFonts w:ascii="Arial" w:eastAsia="Calibri" w:hAnsi="Arial" w:cs="Arial"/>
          <w:sz w:val="24"/>
          <w:szCs w:val="24"/>
          <w:lang w:val="en-GB"/>
        </w:rPr>
        <w:t xml:space="preserve">Table 2 below demonstrates that the General Fund has a borrowing need of £34m to support the 2023/24 capital programme. No new external borrowing has been undertaken for the General Fund during the year, and no new external borrowing is expected to be undertaken during the remainder of 2023/24. </w:t>
      </w:r>
    </w:p>
    <w:p w14:paraId="2A4F88F1" w14:textId="77777777" w:rsidR="000729CF" w:rsidRPr="000729CF" w:rsidRDefault="000729CF" w:rsidP="00CE70A3">
      <w:pPr>
        <w:numPr>
          <w:ilvl w:val="2"/>
          <w:numId w:val="67"/>
        </w:numPr>
        <w:spacing w:before="120" w:after="120" w:line="276" w:lineRule="auto"/>
        <w:outlineLvl w:val="2"/>
        <w:rPr>
          <w:rFonts w:ascii="Arial" w:hAnsi="Arial" w:cs="Arial"/>
          <w:b/>
          <w:bCs/>
          <w:i/>
          <w:iCs/>
          <w:sz w:val="24"/>
          <w:szCs w:val="24"/>
          <w:lang w:val="en-GB"/>
        </w:rPr>
      </w:pPr>
      <w:r w:rsidRPr="000729CF">
        <w:rPr>
          <w:rFonts w:ascii="Arial" w:hAnsi="Arial" w:cs="Arial"/>
          <w:b/>
          <w:bCs/>
          <w:i/>
          <w:iCs/>
          <w:sz w:val="24"/>
          <w:szCs w:val="24"/>
          <w:lang w:val="en-GB"/>
        </w:rPr>
        <w:t>General Fund Borrowing Strategy for 2024/25</w:t>
      </w:r>
    </w:p>
    <w:p w14:paraId="484554E6" w14:textId="77777777" w:rsidR="000729CF" w:rsidRPr="000729CF" w:rsidRDefault="000729CF" w:rsidP="000729CF">
      <w:pPr>
        <w:spacing w:before="120" w:after="120"/>
        <w:ind w:left="720"/>
        <w:rPr>
          <w:rFonts w:ascii="Arial" w:eastAsia="Calibri" w:hAnsi="Arial" w:cs="Arial"/>
          <w:sz w:val="24"/>
          <w:szCs w:val="24"/>
          <w:lang w:val="en-GB"/>
        </w:rPr>
      </w:pPr>
      <w:r w:rsidRPr="000729CF">
        <w:rPr>
          <w:rFonts w:ascii="Arial" w:eastAsia="Calibri" w:hAnsi="Arial" w:cs="Arial"/>
          <w:sz w:val="24"/>
          <w:szCs w:val="24"/>
          <w:lang w:val="en-GB"/>
        </w:rPr>
        <w:t xml:space="preserve">The General Fund (GF) capital programme 2024/25 to 2026/27 forecasts a total of £242m capital investment, £128m of which will be met from existing or new resources. The GF borrowing need over this period is therefore £114m as shown in </w:t>
      </w:r>
      <w:r w:rsidRPr="000729CF">
        <w:rPr>
          <w:rFonts w:ascii="Arial" w:eastAsia="Calibri" w:hAnsi="Arial" w:cs="Arial"/>
          <w:b/>
          <w:sz w:val="24"/>
          <w:szCs w:val="24"/>
          <w:lang w:val="en-GB"/>
        </w:rPr>
        <w:t>Table 2</w:t>
      </w:r>
      <w:r w:rsidRPr="000729CF">
        <w:rPr>
          <w:rFonts w:ascii="Arial" w:eastAsia="Calibri" w:hAnsi="Arial" w:cs="Arial"/>
          <w:sz w:val="24"/>
          <w:szCs w:val="24"/>
          <w:lang w:val="en-GB"/>
        </w:rPr>
        <w:t xml:space="preserve"> below.</w:t>
      </w:r>
    </w:p>
    <w:p w14:paraId="26D6E31C" w14:textId="77777777" w:rsidR="000729CF" w:rsidRPr="000729CF" w:rsidRDefault="000729CF" w:rsidP="000729CF">
      <w:pPr>
        <w:spacing w:before="120" w:after="120"/>
        <w:ind w:left="720"/>
        <w:rPr>
          <w:rFonts w:ascii="Arial" w:eastAsia="Calibri" w:hAnsi="Arial" w:cs="Arial"/>
          <w:sz w:val="24"/>
          <w:szCs w:val="24"/>
          <w:lang w:val="en-GB"/>
        </w:rPr>
      </w:pPr>
    </w:p>
    <w:tbl>
      <w:tblPr>
        <w:tblW w:w="4785"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3036"/>
        <w:gridCol w:w="1217"/>
        <w:gridCol w:w="1217"/>
        <w:gridCol w:w="1217"/>
        <w:gridCol w:w="1217"/>
      </w:tblGrid>
      <w:tr w:rsidR="000729CF" w:rsidRPr="000729CF" w14:paraId="6CBA27AC" w14:textId="77777777" w:rsidTr="00BC26AB">
        <w:tc>
          <w:tcPr>
            <w:tcW w:w="711" w:type="pct"/>
            <w:shd w:val="clear" w:color="auto" w:fill="17365D"/>
          </w:tcPr>
          <w:p w14:paraId="1CD35DB3" w14:textId="77777777" w:rsidR="000729CF" w:rsidRPr="000729CF" w:rsidRDefault="000729CF" w:rsidP="000729CF">
            <w:pPr>
              <w:jc w:val="center"/>
              <w:rPr>
                <w:rFonts w:ascii="Arial" w:eastAsia="Calibri" w:hAnsi="Arial" w:cs="Arial"/>
                <w:b/>
                <w:sz w:val="24"/>
                <w:szCs w:val="24"/>
                <w:lang w:val="en-GB"/>
              </w:rPr>
            </w:pPr>
            <w:r w:rsidRPr="000729CF">
              <w:rPr>
                <w:rFonts w:ascii="Arial" w:eastAsia="Calibri" w:hAnsi="Arial" w:cs="Arial"/>
                <w:b/>
                <w:sz w:val="24"/>
                <w:szCs w:val="24"/>
                <w:lang w:val="en-GB"/>
              </w:rPr>
              <w:t>2023/24</w:t>
            </w:r>
          </w:p>
          <w:p w14:paraId="73BE5C2A" w14:textId="77777777" w:rsidR="000729CF" w:rsidRPr="000729CF" w:rsidRDefault="000729CF" w:rsidP="000729CF">
            <w:pPr>
              <w:jc w:val="center"/>
              <w:rPr>
                <w:rFonts w:ascii="Arial" w:eastAsia="Calibri" w:hAnsi="Arial" w:cs="Arial"/>
                <w:b/>
                <w:sz w:val="24"/>
                <w:szCs w:val="24"/>
                <w:lang w:val="en-GB"/>
              </w:rPr>
            </w:pPr>
            <w:r w:rsidRPr="000729CF">
              <w:rPr>
                <w:rFonts w:ascii="Arial" w:eastAsia="Calibri" w:hAnsi="Arial" w:cs="Arial"/>
                <w:b/>
                <w:sz w:val="24"/>
                <w:szCs w:val="24"/>
                <w:lang w:val="en-GB"/>
              </w:rPr>
              <w:t>Projected</w:t>
            </w:r>
          </w:p>
        </w:tc>
        <w:tc>
          <w:tcPr>
            <w:tcW w:w="1673" w:type="pct"/>
            <w:vMerge w:val="restart"/>
            <w:shd w:val="clear" w:color="auto" w:fill="17365D"/>
          </w:tcPr>
          <w:p w14:paraId="68E2A3AD" w14:textId="77777777" w:rsidR="000729CF" w:rsidRPr="000729CF" w:rsidRDefault="000729CF" w:rsidP="000729CF">
            <w:pPr>
              <w:rPr>
                <w:rFonts w:ascii="Arial" w:eastAsia="Calibri" w:hAnsi="Arial" w:cs="Arial"/>
                <w:b/>
                <w:sz w:val="24"/>
                <w:szCs w:val="24"/>
                <w:lang w:val="en-GB"/>
              </w:rPr>
            </w:pPr>
            <w:r w:rsidRPr="000729CF">
              <w:rPr>
                <w:rFonts w:ascii="Arial" w:eastAsia="Calibri" w:hAnsi="Arial" w:cs="Arial"/>
                <w:b/>
                <w:sz w:val="24"/>
                <w:szCs w:val="24"/>
                <w:lang w:val="en-GB"/>
              </w:rPr>
              <w:t>Table 2 – Borrowing Requirement</w:t>
            </w:r>
          </w:p>
        </w:tc>
        <w:tc>
          <w:tcPr>
            <w:tcW w:w="558" w:type="pct"/>
            <w:shd w:val="clear" w:color="auto" w:fill="17365D"/>
          </w:tcPr>
          <w:p w14:paraId="59AE1DC1" w14:textId="77777777" w:rsidR="000729CF" w:rsidRPr="000729CF" w:rsidRDefault="000729CF" w:rsidP="000729CF">
            <w:pPr>
              <w:jc w:val="center"/>
              <w:rPr>
                <w:rFonts w:ascii="Arial" w:eastAsia="Calibri" w:hAnsi="Arial" w:cs="Arial"/>
                <w:b/>
                <w:sz w:val="24"/>
                <w:szCs w:val="24"/>
                <w:lang w:val="en-GB"/>
              </w:rPr>
            </w:pPr>
            <w:r w:rsidRPr="000729CF">
              <w:rPr>
                <w:rFonts w:ascii="Arial" w:eastAsia="Calibri" w:hAnsi="Arial" w:cs="Arial"/>
                <w:b/>
                <w:sz w:val="24"/>
                <w:szCs w:val="24"/>
                <w:lang w:val="en-GB"/>
              </w:rPr>
              <w:t>2024/25</w:t>
            </w:r>
          </w:p>
          <w:p w14:paraId="07B86343" w14:textId="77777777" w:rsidR="000729CF" w:rsidRPr="000729CF" w:rsidRDefault="000729CF" w:rsidP="000729CF">
            <w:pPr>
              <w:jc w:val="center"/>
              <w:rPr>
                <w:rFonts w:ascii="Arial" w:eastAsia="Calibri" w:hAnsi="Arial" w:cs="Arial"/>
                <w:b/>
                <w:sz w:val="24"/>
                <w:szCs w:val="24"/>
                <w:lang w:val="en-GB"/>
              </w:rPr>
            </w:pPr>
            <w:r w:rsidRPr="000729CF">
              <w:rPr>
                <w:rFonts w:ascii="Arial" w:eastAsia="Calibri" w:hAnsi="Arial" w:cs="Arial"/>
                <w:b/>
                <w:sz w:val="24"/>
                <w:szCs w:val="24"/>
                <w:lang w:val="en-GB"/>
              </w:rPr>
              <w:t>Estimate</w:t>
            </w:r>
          </w:p>
        </w:tc>
        <w:tc>
          <w:tcPr>
            <w:tcW w:w="665" w:type="pct"/>
            <w:shd w:val="clear" w:color="auto" w:fill="17365D"/>
          </w:tcPr>
          <w:p w14:paraId="47C4B544" w14:textId="77777777" w:rsidR="000729CF" w:rsidRPr="000729CF" w:rsidRDefault="000729CF" w:rsidP="000729CF">
            <w:pPr>
              <w:jc w:val="center"/>
              <w:rPr>
                <w:rFonts w:ascii="Arial" w:eastAsia="Calibri" w:hAnsi="Arial" w:cs="Arial"/>
                <w:b/>
                <w:sz w:val="24"/>
                <w:szCs w:val="24"/>
                <w:lang w:val="en-GB"/>
              </w:rPr>
            </w:pPr>
            <w:r w:rsidRPr="000729CF">
              <w:rPr>
                <w:rFonts w:ascii="Arial" w:eastAsia="Calibri" w:hAnsi="Arial" w:cs="Arial"/>
                <w:b/>
                <w:sz w:val="24"/>
                <w:szCs w:val="24"/>
                <w:lang w:val="en-GB"/>
              </w:rPr>
              <w:t>2025/26</w:t>
            </w:r>
          </w:p>
          <w:p w14:paraId="606AC6D2" w14:textId="77777777" w:rsidR="000729CF" w:rsidRPr="000729CF" w:rsidRDefault="000729CF" w:rsidP="000729CF">
            <w:pPr>
              <w:jc w:val="center"/>
              <w:rPr>
                <w:rFonts w:ascii="Arial" w:eastAsia="Calibri" w:hAnsi="Arial" w:cs="Arial"/>
                <w:b/>
                <w:sz w:val="24"/>
                <w:szCs w:val="24"/>
                <w:lang w:val="en-GB"/>
              </w:rPr>
            </w:pPr>
            <w:r w:rsidRPr="000729CF">
              <w:rPr>
                <w:rFonts w:ascii="Arial" w:eastAsia="Calibri" w:hAnsi="Arial" w:cs="Arial"/>
                <w:b/>
                <w:sz w:val="24"/>
                <w:szCs w:val="24"/>
                <w:lang w:val="en-GB"/>
              </w:rPr>
              <w:t>Estimate</w:t>
            </w:r>
          </w:p>
        </w:tc>
        <w:tc>
          <w:tcPr>
            <w:tcW w:w="665" w:type="pct"/>
            <w:shd w:val="clear" w:color="auto" w:fill="17365D"/>
          </w:tcPr>
          <w:p w14:paraId="7B5A4D50" w14:textId="77777777" w:rsidR="000729CF" w:rsidRPr="000729CF" w:rsidRDefault="000729CF" w:rsidP="000729CF">
            <w:pPr>
              <w:jc w:val="center"/>
              <w:rPr>
                <w:rFonts w:ascii="Arial" w:eastAsia="Calibri" w:hAnsi="Arial" w:cs="Arial"/>
                <w:b/>
                <w:sz w:val="24"/>
                <w:szCs w:val="24"/>
                <w:lang w:val="en-GB"/>
              </w:rPr>
            </w:pPr>
            <w:r w:rsidRPr="000729CF">
              <w:rPr>
                <w:rFonts w:ascii="Arial" w:eastAsia="Calibri" w:hAnsi="Arial" w:cs="Arial"/>
                <w:b/>
                <w:sz w:val="24"/>
                <w:szCs w:val="24"/>
                <w:lang w:val="en-GB"/>
              </w:rPr>
              <w:t>2026/27</w:t>
            </w:r>
          </w:p>
          <w:p w14:paraId="5254ECE6" w14:textId="77777777" w:rsidR="000729CF" w:rsidRPr="000729CF" w:rsidRDefault="000729CF" w:rsidP="000729CF">
            <w:pPr>
              <w:jc w:val="center"/>
              <w:rPr>
                <w:rFonts w:ascii="Arial" w:eastAsia="Calibri" w:hAnsi="Arial" w:cs="Arial"/>
                <w:b/>
                <w:sz w:val="24"/>
                <w:szCs w:val="24"/>
                <w:lang w:val="en-GB"/>
              </w:rPr>
            </w:pPr>
            <w:r w:rsidRPr="000729CF">
              <w:rPr>
                <w:rFonts w:ascii="Arial" w:eastAsia="Calibri" w:hAnsi="Arial" w:cs="Arial"/>
                <w:b/>
                <w:sz w:val="24"/>
                <w:szCs w:val="24"/>
                <w:lang w:val="en-GB"/>
              </w:rPr>
              <w:t>Estimate</w:t>
            </w:r>
          </w:p>
        </w:tc>
        <w:tc>
          <w:tcPr>
            <w:tcW w:w="728" w:type="pct"/>
            <w:shd w:val="clear" w:color="auto" w:fill="17365D"/>
          </w:tcPr>
          <w:p w14:paraId="1F1110B1" w14:textId="77777777" w:rsidR="000729CF" w:rsidRPr="000729CF" w:rsidRDefault="000729CF" w:rsidP="000729CF">
            <w:pPr>
              <w:jc w:val="center"/>
              <w:rPr>
                <w:rFonts w:ascii="Arial" w:eastAsia="Calibri" w:hAnsi="Arial" w:cs="Arial"/>
                <w:b/>
                <w:sz w:val="24"/>
                <w:szCs w:val="24"/>
                <w:lang w:val="en-GB"/>
              </w:rPr>
            </w:pPr>
            <w:r w:rsidRPr="000729CF">
              <w:rPr>
                <w:rFonts w:ascii="Arial" w:eastAsia="Calibri" w:hAnsi="Arial" w:cs="Arial"/>
                <w:b/>
                <w:sz w:val="24"/>
                <w:szCs w:val="24"/>
                <w:lang w:val="en-GB"/>
              </w:rPr>
              <w:t>Total</w:t>
            </w:r>
          </w:p>
        </w:tc>
      </w:tr>
      <w:tr w:rsidR="000729CF" w:rsidRPr="000729CF" w14:paraId="368C2AF5" w14:textId="77777777" w:rsidTr="00BC26AB">
        <w:tc>
          <w:tcPr>
            <w:tcW w:w="711" w:type="pct"/>
            <w:tcBorders>
              <w:bottom w:val="single" w:sz="4" w:space="0" w:color="auto"/>
            </w:tcBorders>
            <w:shd w:val="clear" w:color="auto" w:fill="17365D"/>
            <w:vAlign w:val="center"/>
          </w:tcPr>
          <w:p w14:paraId="3C90D55D" w14:textId="77777777" w:rsidR="000729CF" w:rsidRPr="000729CF" w:rsidRDefault="000729CF" w:rsidP="000729CF">
            <w:pPr>
              <w:jc w:val="center"/>
              <w:rPr>
                <w:rFonts w:ascii="Arial" w:eastAsia="Calibri" w:hAnsi="Arial" w:cs="Arial"/>
                <w:b/>
                <w:sz w:val="24"/>
                <w:szCs w:val="24"/>
                <w:lang w:val="en-GB"/>
              </w:rPr>
            </w:pPr>
            <w:r w:rsidRPr="000729CF">
              <w:rPr>
                <w:rFonts w:ascii="Arial" w:eastAsia="Calibri" w:hAnsi="Arial" w:cs="Arial"/>
                <w:b/>
                <w:sz w:val="24"/>
                <w:szCs w:val="24"/>
                <w:lang w:val="en-GB"/>
              </w:rPr>
              <w:t>£m</w:t>
            </w:r>
          </w:p>
        </w:tc>
        <w:tc>
          <w:tcPr>
            <w:tcW w:w="1673" w:type="pct"/>
            <w:vMerge/>
            <w:tcBorders>
              <w:bottom w:val="single" w:sz="4" w:space="0" w:color="auto"/>
            </w:tcBorders>
            <w:shd w:val="clear" w:color="auto" w:fill="17365D"/>
            <w:vAlign w:val="center"/>
          </w:tcPr>
          <w:p w14:paraId="1B562F92" w14:textId="77777777" w:rsidR="000729CF" w:rsidRPr="000729CF" w:rsidRDefault="000729CF" w:rsidP="000729CF">
            <w:pPr>
              <w:jc w:val="center"/>
              <w:rPr>
                <w:rFonts w:ascii="Arial" w:eastAsia="Calibri" w:hAnsi="Arial" w:cs="Arial"/>
                <w:sz w:val="24"/>
                <w:szCs w:val="24"/>
                <w:lang w:val="en-GB"/>
              </w:rPr>
            </w:pPr>
          </w:p>
        </w:tc>
        <w:tc>
          <w:tcPr>
            <w:tcW w:w="558" w:type="pct"/>
            <w:tcBorders>
              <w:bottom w:val="single" w:sz="4" w:space="0" w:color="auto"/>
            </w:tcBorders>
            <w:shd w:val="clear" w:color="auto" w:fill="17365D"/>
            <w:vAlign w:val="center"/>
          </w:tcPr>
          <w:p w14:paraId="546BC543" w14:textId="77777777" w:rsidR="000729CF" w:rsidRPr="000729CF" w:rsidRDefault="000729CF" w:rsidP="000729CF">
            <w:pPr>
              <w:spacing w:line="276" w:lineRule="auto"/>
              <w:jc w:val="center"/>
              <w:rPr>
                <w:rFonts w:ascii="Arial" w:eastAsia="Calibri" w:hAnsi="Arial" w:cs="Arial"/>
                <w:sz w:val="24"/>
                <w:szCs w:val="24"/>
                <w:lang w:val="en-GB"/>
              </w:rPr>
            </w:pPr>
            <w:r w:rsidRPr="000729CF">
              <w:rPr>
                <w:rFonts w:ascii="Arial" w:eastAsia="Calibri" w:hAnsi="Arial" w:cs="Arial"/>
                <w:b/>
                <w:sz w:val="24"/>
                <w:szCs w:val="24"/>
                <w:lang w:val="en-GB"/>
              </w:rPr>
              <w:t>£m</w:t>
            </w:r>
          </w:p>
        </w:tc>
        <w:tc>
          <w:tcPr>
            <w:tcW w:w="665" w:type="pct"/>
            <w:tcBorders>
              <w:bottom w:val="single" w:sz="4" w:space="0" w:color="auto"/>
            </w:tcBorders>
            <w:shd w:val="clear" w:color="auto" w:fill="17365D"/>
            <w:vAlign w:val="center"/>
          </w:tcPr>
          <w:p w14:paraId="457B7148" w14:textId="77777777" w:rsidR="000729CF" w:rsidRPr="000729CF" w:rsidRDefault="000729CF" w:rsidP="000729CF">
            <w:pPr>
              <w:spacing w:line="276" w:lineRule="auto"/>
              <w:jc w:val="center"/>
              <w:rPr>
                <w:rFonts w:ascii="Arial" w:eastAsia="Calibri" w:hAnsi="Arial" w:cs="Arial"/>
                <w:sz w:val="24"/>
                <w:szCs w:val="24"/>
                <w:lang w:val="en-GB"/>
              </w:rPr>
            </w:pPr>
            <w:r w:rsidRPr="000729CF">
              <w:rPr>
                <w:rFonts w:ascii="Arial" w:eastAsia="Calibri" w:hAnsi="Arial" w:cs="Arial"/>
                <w:b/>
                <w:sz w:val="24"/>
                <w:szCs w:val="24"/>
                <w:lang w:val="en-GB"/>
              </w:rPr>
              <w:t>£m</w:t>
            </w:r>
          </w:p>
        </w:tc>
        <w:tc>
          <w:tcPr>
            <w:tcW w:w="665" w:type="pct"/>
            <w:tcBorders>
              <w:bottom w:val="single" w:sz="4" w:space="0" w:color="auto"/>
            </w:tcBorders>
            <w:shd w:val="clear" w:color="auto" w:fill="17365D"/>
            <w:vAlign w:val="center"/>
          </w:tcPr>
          <w:p w14:paraId="2BB5BE1C" w14:textId="77777777" w:rsidR="000729CF" w:rsidRPr="000729CF" w:rsidRDefault="000729CF" w:rsidP="000729CF">
            <w:pPr>
              <w:spacing w:line="276" w:lineRule="auto"/>
              <w:jc w:val="center"/>
              <w:rPr>
                <w:rFonts w:ascii="Arial" w:eastAsia="Calibri" w:hAnsi="Arial" w:cs="Arial"/>
                <w:sz w:val="24"/>
                <w:szCs w:val="24"/>
                <w:lang w:val="en-GB"/>
              </w:rPr>
            </w:pPr>
            <w:r w:rsidRPr="000729CF">
              <w:rPr>
                <w:rFonts w:ascii="Arial" w:eastAsia="Calibri" w:hAnsi="Arial" w:cs="Arial"/>
                <w:b/>
                <w:sz w:val="24"/>
                <w:szCs w:val="24"/>
                <w:lang w:val="en-GB"/>
              </w:rPr>
              <w:t>£m</w:t>
            </w:r>
          </w:p>
        </w:tc>
        <w:tc>
          <w:tcPr>
            <w:tcW w:w="728" w:type="pct"/>
            <w:tcBorders>
              <w:bottom w:val="single" w:sz="4" w:space="0" w:color="auto"/>
            </w:tcBorders>
            <w:shd w:val="clear" w:color="auto" w:fill="17365D"/>
            <w:vAlign w:val="center"/>
          </w:tcPr>
          <w:p w14:paraId="764B01AC" w14:textId="77777777" w:rsidR="000729CF" w:rsidRPr="000729CF" w:rsidRDefault="000729CF" w:rsidP="000729CF">
            <w:pPr>
              <w:spacing w:line="276" w:lineRule="auto"/>
              <w:jc w:val="center"/>
              <w:rPr>
                <w:rFonts w:ascii="Arial" w:eastAsia="Calibri" w:hAnsi="Arial" w:cs="Arial"/>
                <w:sz w:val="24"/>
                <w:szCs w:val="24"/>
                <w:lang w:val="en-GB"/>
              </w:rPr>
            </w:pPr>
            <w:r w:rsidRPr="000729CF">
              <w:rPr>
                <w:rFonts w:ascii="Arial" w:eastAsia="Calibri" w:hAnsi="Arial" w:cs="Arial"/>
                <w:b/>
                <w:sz w:val="24"/>
                <w:szCs w:val="24"/>
                <w:lang w:val="en-GB"/>
              </w:rPr>
              <w:t>£m</w:t>
            </w:r>
          </w:p>
        </w:tc>
      </w:tr>
      <w:tr w:rsidR="000729CF" w:rsidRPr="000729CF" w14:paraId="0EAF4097" w14:textId="77777777" w:rsidTr="00BC26AB">
        <w:tc>
          <w:tcPr>
            <w:tcW w:w="711" w:type="pct"/>
            <w:tcBorders>
              <w:bottom w:val="nil"/>
            </w:tcBorders>
            <w:shd w:val="clear" w:color="auto" w:fill="auto"/>
          </w:tcPr>
          <w:p w14:paraId="3A58BC11"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89</w:t>
            </w:r>
          </w:p>
        </w:tc>
        <w:tc>
          <w:tcPr>
            <w:tcW w:w="1673" w:type="pct"/>
            <w:tcBorders>
              <w:bottom w:val="nil"/>
            </w:tcBorders>
            <w:shd w:val="clear" w:color="auto" w:fill="auto"/>
          </w:tcPr>
          <w:p w14:paraId="7933A174" w14:textId="77777777" w:rsidR="000729CF" w:rsidRPr="000729CF" w:rsidRDefault="000729CF" w:rsidP="000729CF">
            <w:pPr>
              <w:spacing w:line="276" w:lineRule="auto"/>
              <w:rPr>
                <w:rFonts w:ascii="Arial" w:eastAsia="Calibri" w:hAnsi="Arial" w:cs="Arial"/>
                <w:sz w:val="24"/>
                <w:szCs w:val="24"/>
                <w:lang w:val="en-GB"/>
              </w:rPr>
            </w:pPr>
            <w:r w:rsidRPr="000729CF">
              <w:rPr>
                <w:rFonts w:ascii="Arial" w:eastAsia="Calibri" w:hAnsi="Arial" w:cs="Arial"/>
                <w:sz w:val="24"/>
                <w:szCs w:val="24"/>
                <w:lang w:val="en-GB"/>
              </w:rPr>
              <w:t>GF Capital Expenditure</w:t>
            </w:r>
          </w:p>
        </w:tc>
        <w:tc>
          <w:tcPr>
            <w:tcW w:w="558" w:type="pct"/>
            <w:tcBorders>
              <w:bottom w:val="nil"/>
            </w:tcBorders>
            <w:shd w:val="clear" w:color="auto" w:fill="auto"/>
          </w:tcPr>
          <w:p w14:paraId="4CC5D1B5" w14:textId="77777777" w:rsidR="000729CF" w:rsidRPr="000729CF" w:rsidRDefault="000729CF" w:rsidP="000729CF">
            <w:pPr>
              <w:spacing w:line="276" w:lineRule="auto"/>
              <w:jc w:val="right"/>
              <w:rPr>
                <w:rFonts w:ascii="Arial" w:eastAsia="Calibri" w:hAnsi="Arial" w:cs="Arial"/>
                <w:sz w:val="24"/>
                <w:szCs w:val="24"/>
                <w:lang w:val="en-GB"/>
              </w:rPr>
            </w:pPr>
            <w:r w:rsidRPr="000729CF">
              <w:rPr>
                <w:rFonts w:ascii="Arial" w:eastAsia="Calibri" w:hAnsi="Arial" w:cs="Arial"/>
                <w:sz w:val="24"/>
                <w:szCs w:val="24"/>
                <w:lang w:val="en-GB"/>
              </w:rPr>
              <w:t>122</w:t>
            </w:r>
          </w:p>
        </w:tc>
        <w:tc>
          <w:tcPr>
            <w:tcW w:w="665" w:type="pct"/>
            <w:tcBorders>
              <w:bottom w:val="nil"/>
            </w:tcBorders>
            <w:shd w:val="clear" w:color="auto" w:fill="auto"/>
          </w:tcPr>
          <w:p w14:paraId="5C0ADC40" w14:textId="77777777" w:rsidR="000729CF" w:rsidRPr="000729CF" w:rsidRDefault="000729CF" w:rsidP="000729CF">
            <w:pPr>
              <w:spacing w:line="276" w:lineRule="auto"/>
              <w:jc w:val="right"/>
              <w:rPr>
                <w:rFonts w:ascii="Arial" w:eastAsia="Calibri" w:hAnsi="Arial" w:cs="Arial"/>
                <w:sz w:val="24"/>
                <w:szCs w:val="24"/>
                <w:lang w:val="en-GB"/>
              </w:rPr>
            </w:pPr>
            <w:r w:rsidRPr="000729CF">
              <w:rPr>
                <w:rFonts w:ascii="Arial" w:eastAsia="Calibri" w:hAnsi="Arial" w:cs="Arial"/>
                <w:sz w:val="24"/>
                <w:szCs w:val="24"/>
                <w:lang w:val="en-GB"/>
              </w:rPr>
              <w:t>90</w:t>
            </w:r>
          </w:p>
        </w:tc>
        <w:tc>
          <w:tcPr>
            <w:tcW w:w="665" w:type="pct"/>
            <w:tcBorders>
              <w:bottom w:val="nil"/>
            </w:tcBorders>
            <w:shd w:val="clear" w:color="auto" w:fill="auto"/>
          </w:tcPr>
          <w:p w14:paraId="27B078BD" w14:textId="77777777" w:rsidR="000729CF" w:rsidRPr="000729CF" w:rsidRDefault="000729CF" w:rsidP="000729CF">
            <w:pPr>
              <w:spacing w:line="276" w:lineRule="auto"/>
              <w:jc w:val="right"/>
              <w:rPr>
                <w:rFonts w:ascii="Arial" w:eastAsia="Calibri" w:hAnsi="Arial" w:cs="Arial"/>
                <w:sz w:val="24"/>
                <w:szCs w:val="24"/>
                <w:lang w:val="en-GB"/>
              </w:rPr>
            </w:pPr>
            <w:r w:rsidRPr="000729CF">
              <w:rPr>
                <w:rFonts w:ascii="Arial" w:eastAsia="Calibri" w:hAnsi="Arial" w:cs="Arial"/>
                <w:sz w:val="24"/>
                <w:szCs w:val="24"/>
                <w:lang w:val="en-GB"/>
              </w:rPr>
              <w:t>30</w:t>
            </w:r>
          </w:p>
        </w:tc>
        <w:tc>
          <w:tcPr>
            <w:tcW w:w="728" w:type="pct"/>
            <w:tcBorders>
              <w:bottom w:val="nil"/>
            </w:tcBorders>
            <w:shd w:val="clear" w:color="auto" w:fill="auto"/>
          </w:tcPr>
          <w:p w14:paraId="3814BD4F" w14:textId="77777777" w:rsidR="000729CF" w:rsidRPr="000729CF" w:rsidRDefault="000729CF" w:rsidP="000729CF">
            <w:pPr>
              <w:spacing w:line="276" w:lineRule="auto"/>
              <w:jc w:val="right"/>
              <w:rPr>
                <w:rFonts w:ascii="Arial" w:eastAsia="Calibri" w:hAnsi="Arial" w:cs="Arial"/>
                <w:sz w:val="24"/>
                <w:szCs w:val="24"/>
                <w:lang w:val="en-GB"/>
              </w:rPr>
            </w:pPr>
            <w:r w:rsidRPr="000729CF">
              <w:rPr>
                <w:rFonts w:ascii="Arial" w:eastAsia="Calibri" w:hAnsi="Arial" w:cs="Arial"/>
                <w:sz w:val="24"/>
                <w:szCs w:val="24"/>
                <w:lang w:val="en-GB"/>
              </w:rPr>
              <w:t>242</w:t>
            </w:r>
          </w:p>
        </w:tc>
      </w:tr>
      <w:tr w:rsidR="000729CF" w:rsidRPr="000729CF" w14:paraId="324AE360" w14:textId="77777777" w:rsidTr="00BC26AB">
        <w:tc>
          <w:tcPr>
            <w:tcW w:w="711" w:type="pct"/>
            <w:tcBorders>
              <w:top w:val="nil"/>
              <w:bottom w:val="nil"/>
            </w:tcBorders>
            <w:shd w:val="clear" w:color="auto" w:fill="auto"/>
            <w:vAlign w:val="bottom"/>
          </w:tcPr>
          <w:p w14:paraId="744D9FDE"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(55)</w:t>
            </w:r>
          </w:p>
        </w:tc>
        <w:tc>
          <w:tcPr>
            <w:tcW w:w="1673" w:type="pct"/>
            <w:tcBorders>
              <w:top w:val="nil"/>
              <w:bottom w:val="nil"/>
            </w:tcBorders>
            <w:shd w:val="clear" w:color="auto" w:fill="auto"/>
            <w:vAlign w:val="bottom"/>
          </w:tcPr>
          <w:p w14:paraId="60FAFEA2" w14:textId="77777777" w:rsidR="000729CF" w:rsidRPr="000729CF" w:rsidRDefault="000729CF" w:rsidP="000729CF">
            <w:pPr>
              <w:rPr>
                <w:rFonts w:ascii="Arial" w:eastAsia="Calibri" w:hAnsi="Arial" w:cs="Arial"/>
                <w:b/>
                <w:sz w:val="24"/>
                <w:szCs w:val="24"/>
                <w:lang w:val="en-GB"/>
              </w:rPr>
            </w:pPr>
            <w:r w:rsidRPr="000729CF">
              <w:rPr>
                <w:rFonts w:ascii="Arial" w:eastAsia="Calibri" w:hAnsi="Arial" w:cs="Arial"/>
                <w:b/>
                <w:sz w:val="24"/>
                <w:szCs w:val="24"/>
                <w:lang w:val="en-GB"/>
              </w:rPr>
              <w:t>Financed by:</w:t>
            </w:r>
          </w:p>
          <w:p w14:paraId="180777C7" w14:textId="77777777" w:rsidR="000729CF" w:rsidRPr="000729CF" w:rsidRDefault="000729CF" w:rsidP="000729CF">
            <w:pPr>
              <w:rPr>
                <w:rFonts w:ascii="Arial" w:eastAsia="Calibri" w:hAnsi="Arial" w:cs="Arial"/>
                <w:sz w:val="24"/>
                <w:szCs w:val="24"/>
                <w:lang w:val="en-GB"/>
              </w:rPr>
            </w:pPr>
            <w:r w:rsidRPr="000729CF">
              <w:rPr>
                <w:rFonts w:ascii="Arial" w:eastAsia="Calibri" w:hAnsi="Arial" w:cs="Arial"/>
                <w:sz w:val="24"/>
                <w:szCs w:val="24"/>
                <w:lang w:val="en-GB"/>
              </w:rPr>
              <w:t>New &amp; existing resources</w:t>
            </w:r>
          </w:p>
        </w:tc>
        <w:tc>
          <w:tcPr>
            <w:tcW w:w="558" w:type="pct"/>
            <w:tcBorders>
              <w:top w:val="nil"/>
              <w:bottom w:val="nil"/>
            </w:tcBorders>
            <w:shd w:val="clear" w:color="auto" w:fill="auto"/>
            <w:vAlign w:val="bottom"/>
          </w:tcPr>
          <w:p w14:paraId="718AC87C" w14:textId="77777777" w:rsidR="000729CF" w:rsidRPr="000729CF" w:rsidRDefault="000729CF" w:rsidP="000729CF">
            <w:pPr>
              <w:spacing w:line="276" w:lineRule="auto"/>
              <w:jc w:val="right"/>
              <w:rPr>
                <w:rFonts w:ascii="Arial" w:eastAsia="Calibri" w:hAnsi="Arial" w:cs="Arial"/>
                <w:sz w:val="24"/>
                <w:szCs w:val="24"/>
                <w:lang w:val="en-GB"/>
              </w:rPr>
            </w:pPr>
            <w:r w:rsidRPr="000729CF">
              <w:rPr>
                <w:rFonts w:ascii="Arial" w:eastAsia="Calibri" w:hAnsi="Arial" w:cs="Arial"/>
                <w:sz w:val="24"/>
                <w:szCs w:val="24"/>
                <w:lang w:val="en-GB"/>
              </w:rPr>
              <w:t>(72)</w:t>
            </w:r>
          </w:p>
        </w:tc>
        <w:tc>
          <w:tcPr>
            <w:tcW w:w="665" w:type="pct"/>
            <w:tcBorders>
              <w:top w:val="nil"/>
              <w:bottom w:val="nil"/>
            </w:tcBorders>
            <w:shd w:val="clear" w:color="auto" w:fill="auto"/>
            <w:vAlign w:val="bottom"/>
          </w:tcPr>
          <w:p w14:paraId="743A29EA" w14:textId="77777777" w:rsidR="000729CF" w:rsidRPr="000729CF" w:rsidRDefault="000729CF" w:rsidP="000729CF">
            <w:pPr>
              <w:spacing w:line="276" w:lineRule="auto"/>
              <w:jc w:val="right"/>
              <w:rPr>
                <w:rFonts w:ascii="Arial" w:eastAsia="Calibri" w:hAnsi="Arial" w:cs="Arial"/>
                <w:sz w:val="24"/>
                <w:szCs w:val="24"/>
                <w:lang w:val="en-GB"/>
              </w:rPr>
            </w:pPr>
            <w:r w:rsidRPr="000729CF">
              <w:rPr>
                <w:rFonts w:ascii="Arial" w:eastAsia="Calibri" w:hAnsi="Arial" w:cs="Arial"/>
                <w:sz w:val="24"/>
                <w:szCs w:val="24"/>
                <w:lang w:val="en-GB"/>
              </w:rPr>
              <w:t>(36)</w:t>
            </w:r>
          </w:p>
        </w:tc>
        <w:tc>
          <w:tcPr>
            <w:tcW w:w="665" w:type="pct"/>
            <w:tcBorders>
              <w:top w:val="nil"/>
              <w:bottom w:val="nil"/>
            </w:tcBorders>
            <w:shd w:val="clear" w:color="auto" w:fill="auto"/>
            <w:vAlign w:val="bottom"/>
          </w:tcPr>
          <w:p w14:paraId="7666F35C" w14:textId="77777777" w:rsidR="000729CF" w:rsidRPr="000729CF" w:rsidRDefault="000729CF" w:rsidP="000729CF">
            <w:pPr>
              <w:spacing w:line="276" w:lineRule="auto"/>
              <w:jc w:val="right"/>
              <w:rPr>
                <w:rFonts w:ascii="Arial" w:eastAsia="Calibri" w:hAnsi="Arial" w:cs="Arial"/>
                <w:sz w:val="24"/>
                <w:szCs w:val="24"/>
                <w:lang w:val="en-GB"/>
              </w:rPr>
            </w:pPr>
            <w:r w:rsidRPr="000729CF">
              <w:rPr>
                <w:rFonts w:ascii="Arial" w:eastAsia="Calibri" w:hAnsi="Arial" w:cs="Arial"/>
                <w:sz w:val="24"/>
                <w:szCs w:val="24"/>
                <w:lang w:val="en-GB"/>
              </w:rPr>
              <w:t>(20)</w:t>
            </w:r>
          </w:p>
        </w:tc>
        <w:tc>
          <w:tcPr>
            <w:tcW w:w="728" w:type="pct"/>
            <w:tcBorders>
              <w:top w:val="nil"/>
              <w:bottom w:val="nil"/>
            </w:tcBorders>
            <w:shd w:val="clear" w:color="auto" w:fill="auto"/>
            <w:vAlign w:val="bottom"/>
          </w:tcPr>
          <w:p w14:paraId="66930C47" w14:textId="77777777" w:rsidR="000729CF" w:rsidRPr="000729CF" w:rsidRDefault="000729CF" w:rsidP="000729CF">
            <w:pPr>
              <w:spacing w:line="276" w:lineRule="auto"/>
              <w:jc w:val="right"/>
              <w:rPr>
                <w:rFonts w:ascii="Arial" w:eastAsia="Calibri" w:hAnsi="Arial" w:cs="Arial"/>
                <w:sz w:val="24"/>
                <w:szCs w:val="24"/>
                <w:lang w:val="en-GB"/>
              </w:rPr>
            </w:pPr>
            <w:r w:rsidRPr="000729CF">
              <w:rPr>
                <w:rFonts w:ascii="Arial" w:eastAsia="Calibri" w:hAnsi="Arial" w:cs="Arial"/>
                <w:sz w:val="24"/>
                <w:szCs w:val="24"/>
                <w:lang w:val="en-GB"/>
              </w:rPr>
              <w:t>(128)</w:t>
            </w:r>
          </w:p>
        </w:tc>
      </w:tr>
      <w:tr w:rsidR="000729CF" w:rsidRPr="000729CF" w14:paraId="114D0D7A" w14:textId="77777777" w:rsidTr="00BC26AB">
        <w:tc>
          <w:tcPr>
            <w:tcW w:w="711" w:type="pct"/>
            <w:tcBorders>
              <w:top w:val="nil"/>
            </w:tcBorders>
            <w:shd w:val="clear" w:color="auto" w:fill="auto"/>
            <w:vAlign w:val="bottom"/>
          </w:tcPr>
          <w:p w14:paraId="7E019CB5"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w:t>
            </w:r>
          </w:p>
        </w:tc>
        <w:tc>
          <w:tcPr>
            <w:tcW w:w="1673" w:type="pct"/>
            <w:tcBorders>
              <w:top w:val="nil"/>
            </w:tcBorders>
            <w:shd w:val="clear" w:color="auto" w:fill="auto"/>
            <w:vAlign w:val="bottom"/>
          </w:tcPr>
          <w:p w14:paraId="1EE5CCDC" w14:textId="77777777" w:rsidR="000729CF" w:rsidRPr="000729CF" w:rsidRDefault="000729CF" w:rsidP="000729CF">
            <w:pPr>
              <w:rPr>
                <w:rFonts w:ascii="Arial" w:eastAsia="Calibri" w:hAnsi="Arial" w:cs="Arial"/>
                <w:bCs/>
                <w:sz w:val="24"/>
                <w:szCs w:val="24"/>
                <w:lang w:val="en-GB"/>
              </w:rPr>
            </w:pPr>
            <w:r w:rsidRPr="000729CF">
              <w:rPr>
                <w:rFonts w:ascii="Arial" w:eastAsia="Calibri" w:hAnsi="Arial" w:cs="Arial"/>
                <w:bCs/>
                <w:sz w:val="24"/>
                <w:szCs w:val="24"/>
                <w:lang w:val="en-GB"/>
              </w:rPr>
              <w:t>Financing not yet identified</w:t>
            </w:r>
          </w:p>
        </w:tc>
        <w:tc>
          <w:tcPr>
            <w:tcW w:w="558" w:type="pct"/>
            <w:tcBorders>
              <w:top w:val="nil"/>
            </w:tcBorders>
            <w:shd w:val="clear" w:color="auto" w:fill="auto"/>
            <w:vAlign w:val="bottom"/>
          </w:tcPr>
          <w:p w14:paraId="70F0C632" w14:textId="77777777" w:rsidR="000729CF" w:rsidRPr="000729CF" w:rsidRDefault="000729CF" w:rsidP="000729CF">
            <w:pPr>
              <w:spacing w:line="276" w:lineRule="auto"/>
              <w:jc w:val="right"/>
              <w:rPr>
                <w:rFonts w:ascii="Arial" w:eastAsia="Calibri" w:hAnsi="Arial" w:cs="Arial"/>
                <w:sz w:val="24"/>
                <w:szCs w:val="24"/>
                <w:lang w:val="en-GB"/>
              </w:rPr>
            </w:pPr>
            <w:r w:rsidRPr="000729CF">
              <w:rPr>
                <w:rFonts w:ascii="Arial" w:eastAsia="Calibri" w:hAnsi="Arial" w:cs="Arial"/>
                <w:sz w:val="24"/>
                <w:szCs w:val="24"/>
                <w:lang w:val="en-GB"/>
              </w:rPr>
              <w:t>-</w:t>
            </w:r>
          </w:p>
        </w:tc>
        <w:tc>
          <w:tcPr>
            <w:tcW w:w="665" w:type="pct"/>
            <w:tcBorders>
              <w:top w:val="nil"/>
            </w:tcBorders>
            <w:shd w:val="clear" w:color="auto" w:fill="auto"/>
          </w:tcPr>
          <w:p w14:paraId="5FF067CB" w14:textId="77777777" w:rsidR="000729CF" w:rsidRPr="000729CF" w:rsidRDefault="000729CF" w:rsidP="000729CF">
            <w:pPr>
              <w:spacing w:line="276" w:lineRule="auto"/>
              <w:jc w:val="right"/>
              <w:rPr>
                <w:rFonts w:ascii="Arial" w:eastAsia="Calibri" w:hAnsi="Arial" w:cs="Arial"/>
                <w:sz w:val="24"/>
                <w:szCs w:val="24"/>
                <w:lang w:val="en-GB"/>
              </w:rPr>
            </w:pPr>
          </w:p>
          <w:p w14:paraId="24CACBDC" w14:textId="77777777" w:rsidR="000729CF" w:rsidRPr="000729CF" w:rsidRDefault="000729CF" w:rsidP="000729CF">
            <w:pPr>
              <w:spacing w:line="276" w:lineRule="auto"/>
              <w:jc w:val="right"/>
              <w:rPr>
                <w:rFonts w:ascii="Arial" w:eastAsia="Calibri" w:hAnsi="Arial" w:cs="Arial"/>
                <w:sz w:val="24"/>
                <w:szCs w:val="24"/>
                <w:lang w:val="en-GB"/>
              </w:rPr>
            </w:pPr>
            <w:r w:rsidRPr="000729CF">
              <w:rPr>
                <w:rFonts w:ascii="Arial" w:eastAsia="Calibri" w:hAnsi="Arial" w:cs="Arial"/>
                <w:sz w:val="24"/>
                <w:szCs w:val="24"/>
                <w:lang w:val="en-GB"/>
              </w:rPr>
              <w:t>-</w:t>
            </w:r>
          </w:p>
        </w:tc>
        <w:tc>
          <w:tcPr>
            <w:tcW w:w="665" w:type="pct"/>
            <w:tcBorders>
              <w:top w:val="nil"/>
            </w:tcBorders>
            <w:shd w:val="clear" w:color="auto" w:fill="auto"/>
          </w:tcPr>
          <w:p w14:paraId="12FB8D18" w14:textId="77777777" w:rsidR="000729CF" w:rsidRPr="000729CF" w:rsidRDefault="000729CF" w:rsidP="000729CF">
            <w:pPr>
              <w:spacing w:line="276" w:lineRule="auto"/>
              <w:jc w:val="right"/>
              <w:rPr>
                <w:rFonts w:ascii="Arial" w:eastAsia="Calibri" w:hAnsi="Arial" w:cs="Arial"/>
                <w:sz w:val="24"/>
                <w:szCs w:val="24"/>
                <w:lang w:val="en-GB"/>
              </w:rPr>
            </w:pPr>
          </w:p>
          <w:p w14:paraId="576080D9" w14:textId="77777777" w:rsidR="000729CF" w:rsidRPr="000729CF" w:rsidRDefault="000729CF" w:rsidP="000729CF">
            <w:pPr>
              <w:spacing w:line="276" w:lineRule="auto"/>
              <w:jc w:val="right"/>
              <w:rPr>
                <w:rFonts w:ascii="Arial" w:eastAsia="Calibri" w:hAnsi="Arial" w:cs="Arial"/>
                <w:sz w:val="24"/>
                <w:szCs w:val="24"/>
                <w:lang w:val="en-GB"/>
              </w:rPr>
            </w:pPr>
            <w:r w:rsidRPr="000729CF">
              <w:rPr>
                <w:rFonts w:ascii="Arial" w:eastAsia="Calibri" w:hAnsi="Arial" w:cs="Arial"/>
                <w:sz w:val="24"/>
                <w:szCs w:val="24"/>
                <w:lang w:val="en-GB"/>
              </w:rPr>
              <w:t>-</w:t>
            </w:r>
          </w:p>
        </w:tc>
        <w:tc>
          <w:tcPr>
            <w:tcW w:w="728" w:type="pct"/>
            <w:tcBorders>
              <w:top w:val="nil"/>
            </w:tcBorders>
            <w:shd w:val="clear" w:color="auto" w:fill="auto"/>
            <w:vAlign w:val="bottom"/>
          </w:tcPr>
          <w:p w14:paraId="2C3BE857" w14:textId="77777777" w:rsidR="000729CF" w:rsidRPr="000729CF" w:rsidRDefault="000729CF" w:rsidP="000729CF">
            <w:pPr>
              <w:spacing w:line="276" w:lineRule="auto"/>
              <w:jc w:val="right"/>
              <w:rPr>
                <w:rFonts w:ascii="Arial" w:eastAsia="Calibri" w:hAnsi="Arial" w:cs="Arial"/>
                <w:sz w:val="24"/>
                <w:szCs w:val="24"/>
                <w:lang w:val="en-GB"/>
              </w:rPr>
            </w:pPr>
            <w:r w:rsidRPr="000729CF">
              <w:rPr>
                <w:rFonts w:ascii="Arial" w:eastAsia="Calibri" w:hAnsi="Arial" w:cs="Arial"/>
                <w:sz w:val="24"/>
                <w:szCs w:val="24"/>
                <w:lang w:val="en-GB"/>
              </w:rPr>
              <w:t>-</w:t>
            </w:r>
          </w:p>
        </w:tc>
      </w:tr>
      <w:tr w:rsidR="000729CF" w:rsidRPr="000729CF" w14:paraId="36752468" w14:textId="77777777" w:rsidTr="000729CF">
        <w:tc>
          <w:tcPr>
            <w:tcW w:w="711" w:type="pct"/>
            <w:shd w:val="clear" w:color="auto" w:fill="B4C6E7"/>
          </w:tcPr>
          <w:p w14:paraId="540AB9D1" w14:textId="77777777" w:rsidR="000729CF" w:rsidRPr="000729CF" w:rsidRDefault="000729CF" w:rsidP="000729CF">
            <w:pPr>
              <w:jc w:val="right"/>
              <w:rPr>
                <w:rFonts w:ascii="Arial" w:eastAsia="Calibri" w:hAnsi="Arial" w:cs="Arial"/>
                <w:b/>
                <w:sz w:val="24"/>
                <w:szCs w:val="24"/>
                <w:lang w:val="en-GB"/>
              </w:rPr>
            </w:pPr>
            <w:r w:rsidRPr="000729CF">
              <w:rPr>
                <w:rFonts w:ascii="Arial" w:eastAsia="Calibri" w:hAnsi="Arial" w:cs="Arial"/>
                <w:b/>
                <w:sz w:val="24"/>
                <w:szCs w:val="24"/>
                <w:lang w:val="en-GB"/>
              </w:rPr>
              <w:t>34</w:t>
            </w:r>
          </w:p>
        </w:tc>
        <w:tc>
          <w:tcPr>
            <w:tcW w:w="1673" w:type="pct"/>
            <w:shd w:val="clear" w:color="auto" w:fill="B4C6E7"/>
          </w:tcPr>
          <w:p w14:paraId="3A875F1E" w14:textId="77777777" w:rsidR="000729CF" w:rsidRPr="000729CF" w:rsidRDefault="000729CF" w:rsidP="000729CF">
            <w:pPr>
              <w:spacing w:line="276" w:lineRule="auto"/>
              <w:rPr>
                <w:rFonts w:ascii="Arial" w:eastAsia="Calibri" w:hAnsi="Arial" w:cs="Arial"/>
                <w:b/>
                <w:sz w:val="24"/>
                <w:szCs w:val="24"/>
                <w:lang w:val="en-GB"/>
              </w:rPr>
            </w:pPr>
            <w:r w:rsidRPr="000729CF">
              <w:rPr>
                <w:rFonts w:ascii="Arial" w:eastAsia="Calibri" w:hAnsi="Arial" w:cs="Arial"/>
                <w:b/>
                <w:sz w:val="24"/>
                <w:szCs w:val="24"/>
                <w:lang w:val="en-GB"/>
              </w:rPr>
              <w:t>GF Borrowing Need</w:t>
            </w:r>
          </w:p>
        </w:tc>
        <w:tc>
          <w:tcPr>
            <w:tcW w:w="558" w:type="pct"/>
            <w:shd w:val="clear" w:color="auto" w:fill="B4C6E7"/>
          </w:tcPr>
          <w:p w14:paraId="7658D3B8" w14:textId="77777777" w:rsidR="000729CF" w:rsidRPr="000729CF" w:rsidRDefault="000729CF" w:rsidP="000729CF">
            <w:pPr>
              <w:spacing w:line="276" w:lineRule="auto"/>
              <w:jc w:val="right"/>
              <w:rPr>
                <w:rFonts w:ascii="Arial" w:eastAsia="Calibri" w:hAnsi="Arial" w:cs="Arial"/>
                <w:b/>
                <w:sz w:val="24"/>
                <w:szCs w:val="24"/>
                <w:lang w:val="en-GB"/>
              </w:rPr>
            </w:pPr>
            <w:r w:rsidRPr="000729CF">
              <w:rPr>
                <w:rFonts w:ascii="Arial" w:eastAsia="Calibri" w:hAnsi="Arial" w:cs="Arial"/>
                <w:b/>
                <w:sz w:val="24"/>
                <w:szCs w:val="24"/>
                <w:lang w:val="en-GB"/>
              </w:rPr>
              <w:t>50</w:t>
            </w:r>
          </w:p>
        </w:tc>
        <w:tc>
          <w:tcPr>
            <w:tcW w:w="665" w:type="pct"/>
            <w:shd w:val="clear" w:color="auto" w:fill="B4C6E7"/>
          </w:tcPr>
          <w:p w14:paraId="48BF212B" w14:textId="77777777" w:rsidR="000729CF" w:rsidRPr="000729CF" w:rsidRDefault="000729CF" w:rsidP="000729CF">
            <w:pPr>
              <w:spacing w:line="276" w:lineRule="auto"/>
              <w:jc w:val="right"/>
              <w:rPr>
                <w:rFonts w:ascii="Arial" w:eastAsia="Calibri" w:hAnsi="Arial" w:cs="Arial"/>
                <w:b/>
                <w:sz w:val="24"/>
                <w:szCs w:val="24"/>
                <w:lang w:val="en-GB"/>
              </w:rPr>
            </w:pPr>
            <w:r w:rsidRPr="000729CF">
              <w:rPr>
                <w:rFonts w:ascii="Arial" w:eastAsia="Calibri" w:hAnsi="Arial" w:cs="Arial"/>
                <w:b/>
                <w:sz w:val="24"/>
                <w:szCs w:val="24"/>
                <w:lang w:val="en-GB"/>
              </w:rPr>
              <w:t>54</w:t>
            </w:r>
          </w:p>
        </w:tc>
        <w:tc>
          <w:tcPr>
            <w:tcW w:w="665" w:type="pct"/>
            <w:shd w:val="clear" w:color="auto" w:fill="B4C6E7"/>
          </w:tcPr>
          <w:p w14:paraId="67685B0A" w14:textId="77777777" w:rsidR="000729CF" w:rsidRPr="000729CF" w:rsidRDefault="000729CF" w:rsidP="000729CF">
            <w:pPr>
              <w:spacing w:line="276" w:lineRule="auto"/>
              <w:jc w:val="right"/>
              <w:rPr>
                <w:rFonts w:ascii="Arial" w:eastAsia="Calibri" w:hAnsi="Arial" w:cs="Arial"/>
                <w:b/>
                <w:sz w:val="24"/>
                <w:szCs w:val="24"/>
                <w:lang w:val="en-GB"/>
              </w:rPr>
            </w:pPr>
            <w:r w:rsidRPr="000729CF">
              <w:rPr>
                <w:rFonts w:ascii="Arial" w:eastAsia="Calibri" w:hAnsi="Arial" w:cs="Arial"/>
                <w:b/>
                <w:sz w:val="24"/>
                <w:szCs w:val="24"/>
                <w:lang w:val="en-GB"/>
              </w:rPr>
              <w:t>10</w:t>
            </w:r>
          </w:p>
        </w:tc>
        <w:tc>
          <w:tcPr>
            <w:tcW w:w="728" w:type="pct"/>
            <w:shd w:val="clear" w:color="auto" w:fill="B4C6E7"/>
          </w:tcPr>
          <w:p w14:paraId="29798878" w14:textId="77777777" w:rsidR="000729CF" w:rsidRPr="000729CF" w:rsidRDefault="000729CF" w:rsidP="000729CF">
            <w:pPr>
              <w:spacing w:line="276" w:lineRule="auto"/>
              <w:jc w:val="right"/>
              <w:rPr>
                <w:rFonts w:ascii="Arial" w:eastAsia="Calibri" w:hAnsi="Arial" w:cs="Arial"/>
                <w:b/>
                <w:sz w:val="24"/>
                <w:szCs w:val="24"/>
                <w:lang w:val="en-GB"/>
              </w:rPr>
            </w:pPr>
            <w:r w:rsidRPr="000729CF">
              <w:rPr>
                <w:rFonts w:ascii="Arial" w:eastAsia="Calibri" w:hAnsi="Arial" w:cs="Arial"/>
                <w:b/>
                <w:sz w:val="24"/>
                <w:szCs w:val="24"/>
                <w:lang w:val="en-GB"/>
              </w:rPr>
              <w:t>114</w:t>
            </w:r>
          </w:p>
        </w:tc>
      </w:tr>
    </w:tbl>
    <w:p w14:paraId="47028831" w14:textId="77777777" w:rsidR="000729CF" w:rsidRPr="000729CF" w:rsidRDefault="000729CF" w:rsidP="000729CF">
      <w:pPr>
        <w:spacing w:after="120"/>
        <w:rPr>
          <w:rFonts w:ascii="Arial" w:eastAsia="Calibri" w:hAnsi="Arial" w:cs="Arial"/>
          <w:sz w:val="24"/>
          <w:szCs w:val="24"/>
          <w:lang w:val="en-GB"/>
        </w:rPr>
      </w:pPr>
    </w:p>
    <w:p w14:paraId="472F948B" w14:textId="77777777" w:rsidR="000729CF" w:rsidRPr="000729CF" w:rsidRDefault="000729CF" w:rsidP="000729CF">
      <w:pPr>
        <w:spacing w:before="120" w:after="120"/>
        <w:ind w:left="720"/>
        <w:rPr>
          <w:rFonts w:ascii="Arial" w:eastAsia="Calibri" w:hAnsi="Arial" w:cs="Arial"/>
          <w:sz w:val="24"/>
          <w:szCs w:val="24"/>
          <w:lang w:val="en-GB"/>
        </w:rPr>
      </w:pPr>
      <w:r w:rsidRPr="000729CF">
        <w:rPr>
          <w:rFonts w:ascii="Arial" w:eastAsia="Calibri" w:hAnsi="Arial" w:cs="Arial"/>
          <w:sz w:val="24"/>
          <w:szCs w:val="24"/>
          <w:lang w:val="en-GB"/>
        </w:rPr>
        <w:t>Of the £114m borrowing need shown, £35m is for projects that are awaiting approval or detailed analysis. Therefore, the timing of borrowing is uncertain, and borrowing decisions for these projects will form part of the viability and due diligence process.</w:t>
      </w:r>
    </w:p>
    <w:p w14:paraId="0762830C" w14:textId="77777777" w:rsidR="000729CF" w:rsidRPr="000729CF" w:rsidRDefault="000729CF" w:rsidP="000729CF">
      <w:pPr>
        <w:spacing w:before="120" w:after="120"/>
        <w:ind w:left="720"/>
        <w:rPr>
          <w:rFonts w:ascii="Arial" w:eastAsia="Calibri" w:hAnsi="Arial" w:cs="Arial"/>
          <w:sz w:val="24"/>
          <w:szCs w:val="24"/>
          <w:lang w:val="en-GB"/>
        </w:rPr>
      </w:pPr>
      <w:r w:rsidRPr="000729CF">
        <w:rPr>
          <w:rFonts w:ascii="Arial" w:eastAsia="Calibri" w:hAnsi="Arial" w:cs="Arial"/>
          <w:sz w:val="24"/>
          <w:szCs w:val="24"/>
          <w:lang w:val="en-GB"/>
        </w:rPr>
        <w:t xml:space="preserve">For the remaining borrowing need, the strategy will initially focus on meeting this borrowing need from internal borrowing. i.e. avoiding external borrowing by utilising the council’s own cash balances, or by short-term borrowing where required. </w:t>
      </w:r>
    </w:p>
    <w:p w14:paraId="694A2212" w14:textId="77777777" w:rsidR="000729CF" w:rsidRPr="000729CF" w:rsidRDefault="000729CF" w:rsidP="000729CF">
      <w:pPr>
        <w:spacing w:before="120" w:after="120"/>
        <w:ind w:left="720"/>
        <w:rPr>
          <w:rFonts w:ascii="Arial" w:eastAsia="Calibri" w:hAnsi="Arial" w:cs="Arial"/>
          <w:sz w:val="24"/>
          <w:szCs w:val="24"/>
          <w:lang w:val="en-GB"/>
        </w:rPr>
      </w:pPr>
      <w:r w:rsidRPr="000729CF">
        <w:rPr>
          <w:rFonts w:ascii="Arial" w:eastAsia="Calibri" w:hAnsi="Arial" w:cs="Arial"/>
          <w:sz w:val="24"/>
          <w:szCs w:val="24"/>
          <w:lang w:val="en-GB"/>
        </w:rPr>
        <w:t xml:space="preserve">Officers continually review the level of internal borrowing that the General Fund is able to support in the context of prevailing and forecast interest rates, economic outlook and the expected movement in reserves. Modelling of the movement of reserves and the council’s capital expenditure plans demonstrates that the General Fund’s long-term reserves and balances can support a level of approximately £75m of internal borrowing in the medium term. This will mitigate the increase in the cost of borrowing and reduce counterparty risk within the council’s investment portfolio by reducing the portfolio size. </w:t>
      </w:r>
    </w:p>
    <w:p w14:paraId="5C0A0E04" w14:textId="77777777" w:rsidR="000729CF" w:rsidRPr="000729CF" w:rsidRDefault="000729CF" w:rsidP="000729CF">
      <w:pPr>
        <w:spacing w:before="120" w:after="120"/>
        <w:ind w:left="720"/>
        <w:rPr>
          <w:rFonts w:ascii="Arial" w:eastAsia="Calibri" w:hAnsi="Arial" w:cs="Arial"/>
          <w:sz w:val="24"/>
          <w:szCs w:val="24"/>
          <w:lang w:val="en-GB"/>
        </w:rPr>
      </w:pPr>
      <w:r w:rsidRPr="000729CF">
        <w:rPr>
          <w:rFonts w:ascii="Arial" w:eastAsia="Calibri" w:hAnsi="Arial" w:cs="Arial"/>
          <w:sz w:val="24"/>
          <w:szCs w:val="24"/>
          <w:lang w:val="en-GB"/>
        </w:rPr>
        <w:t>The internal borrowing position needs to be carefully and continually reviewed to avoid incurring higher borrowing costs in the future at a time when the authority may not be able to avoid new borrowing to finance capital expenditure or refinance maturing debt.</w:t>
      </w:r>
    </w:p>
    <w:p w14:paraId="08C88480" w14:textId="77777777" w:rsidR="000729CF" w:rsidRPr="000729CF" w:rsidRDefault="000729CF" w:rsidP="00CE70A3">
      <w:pPr>
        <w:numPr>
          <w:ilvl w:val="2"/>
          <w:numId w:val="67"/>
        </w:numPr>
        <w:spacing w:before="120" w:after="120" w:line="276" w:lineRule="auto"/>
        <w:outlineLvl w:val="2"/>
        <w:rPr>
          <w:rFonts w:ascii="Arial" w:hAnsi="Arial" w:cs="Arial"/>
          <w:b/>
          <w:bCs/>
          <w:i/>
          <w:iCs/>
          <w:sz w:val="24"/>
          <w:szCs w:val="24"/>
          <w:lang w:val="en-GB"/>
        </w:rPr>
      </w:pPr>
      <w:r w:rsidRPr="000729CF">
        <w:rPr>
          <w:rFonts w:ascii="Arial" w:hAnsi="Arial" w:cs="Arial"/>
          <w:b/>
          <w:bCs/>
          <w:i/>
          <w:iCs/>
          <w:sz w:val="24"/>
          <w:szCs w:val="24"/>
          <w:lang w:val="en-GB"/>
        </w:rPr>
        <w:t>General Fund Liability benchmark</w:t>
      </w:r>
    </w:p>
    <w:p w14:paraId="0F8FDC33" w14:textId="77777777" w:rsidR="000729CF" w:rsidRPr="000729CF" w:rsidRDefault="000729CF" w:rsidP="000729CF">
      <w:pPr>
        <w:spacing w:after="200" w:line="276" w:lineRule="auto"/>
        <w:ind w:left="709"/>
        <w:rPr>
          <w:rFonts w:ascii="Arial" w:eastAsia="Calibri" w:hAnsi="Arial" w:cs="Arial"/>
          <w:sz w:val="24"/>
          <w:szCs w:val="24"/>
          <w:lang w:val="en-GB"/>
        </w:rPr>
      </w:pPr>
      <w:r w:rsidRPr="000729CF">
        <w:rPr>
          <w:rFonts w:ascii="Arial" w:eastAsia="Calibri" w:hAnsi="Arial" w:cs="Arial"/>
          <w:sz w:val="24"/>
          <w:szCs w:val="24"/>
          <w:lang w:val="en-GB"/>
        </w:rPr>
        <w:t>The Liability Benchmark graph for the General Fund is shown below:</w:t>
      </w:r>
    </w:p>
    <w:p w14:paraId="1CFF3EC3" w14:textId="77777777" w:rsidR="000729CF" w:rsidRPr="000729CF" w:rsidRDefault="000729CF" w:rsidP="000729CF">
      <w:pPr>
        <w:spacing w:after="200" w:line="276" w:lineRule="auto"/>
        <w:ind w:left="142"/>
        <w:rPr>
          <w:rFonts w:ascii="Arial" w:eastAsia="Calibri" w:hAnsi="Arial" w:cs="Arial"/>
          <w:sz w:val="24"/>
          <w:szCs w:val="24"/>
          <w:lang w:val="en-GB"/>
        </w:rPr>
      </w:pPr>
      <w:r w:rsidRPr="000729CF">
        <w:rPr>
          <w:rFonts w:ascii="Arial" w:eastAsia="Calibri" w:hAnsi="Arial" w:cs="Arial"/>
          <w:noProof/>
          <w:sz w:val="24"/>
          <w:szCs w:val="24"/>
          <w:lang w:val="en-GB"/>
        </w:rPr>
        <w:drawing>
          <wp:inline distT="0" distB="0" distL="0" distR="0" wp14:anchorId="46171BAB" wp14:editId="7F8D5099">
            <wp:extent cx="6120130" cy="4180205"/>
            <wp:effectExtent l="0" t="0" r="0" b="0"/>
            <wp:docPr id="942390360" name="Picture 2" descr="A graph of a financial lo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063586" name="Picture 2" descr="A graph of a financial loss&#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6120130" cy="4180205"/>
                    </a:xfrm>
                    <a:prstGeom prst="rect">
                      <a:avLst/>
                    </a:prstGeom>
                  </pic:spPr>
                </pic:pic>
              </a:graphicData>
            </a:graphic>
          </wp:inline>
        </w:drawing>
      </w:r>
    </w:p>
    <w:p w14:paraId="07177517" w14:textId="77777777" w:rsidR="000729CF" w:rsidRPr="000729CF" w:rsidRDefault="000729CF" w:rsidP="00CE70A3">
      <w:pPr>
        <w:numPr>
          <w:ilvl w:val="0"/>
          <w:numId w:val="88"/>
        </w:numPr>
        <w:spacing w:after="120" w:line="276" w:lineRule="auto"/>
        <w:rPr>
          <w:rFonts w:ascii="Arial" w:eastAsia="Calibri" w:hAnsi="Arial" w:cs="Arial"/>
          <w:b/>
          <w:iCs/>
          <w:sz w:val="22"/>
          <w:szCs w:val="22"/>
          <w:lang w:val="en-GB"/>
        </w:rPr>
      </w:pPr>
      <w:r w:rsidRPr="000729CF">
        <w:rPr>
          <w:rFonts w:ascii="Arial" w:eastAsia="Calibri" w:hAnsi="Arial" w:cs="Arial"/>
          <w:b/>
          <w:iCs/>
          <w:sz w:val="22"/>
          <w:szCs w:val="22"/>
          <w:lang w:val="en-GB"/>
        </w:rPr>
        <w:t xml:space="preserve">External Debt – </w:t>
      </w:r>
      <w:r w:rsidRPr="000729CF">
        <w:rPr>
          <w:rFonts w:ascii="Arial" w:eastAsia="Calibri" w:hAnsi="Arial" w:cs="Arial"/>
          <w:bCs/>
          <w:iCs/>
          <w:sz w:val="22"/>
          <w:szCs w:val="22"/>
          <w:lang w:val="en-GB"/>
        </w:rPr>
        <w:t>The maturity profile of the current portfolio of general fund external debt is shown by the bars which show how this is currently made up of PWLB, LOBO and Market Loans. The debt has a fairly gradual maturity profile which means that there are no requirements to pay back exceptionally large amounts of debt in any one year.</w:t>
      </w:r>
    </w:p>
    <w:p w14:paraId="29F3BA50" w14:textId="77777777" w:rsidR="000729CF" w:rsidRPr="000729CF" w:rsidRDefault="000729CF" w:rsidP="00CE70A3">
      <w:pPr>
        <w:numPr>
          <w:ilvl w:val="0"/>
          <w:numId w:val="88"/>
        </w:numPr>
        <w:spacing w:after="120" w:line="276" w:lineRule="auto"/>
        <w:rPr>
          <w:rFonts w:ascii="Arial" w:eastAsia="Calibri" w:hAnsi="Arial" w:cs="Arial"/>
          <w:b/>
          <w:iCs/>
          <w:sz w:val="22"/>
          <w:szCs w:val="22"/>
          <w:lang w:val="en-GB"/>
        </w:rPr>
      </w:pPr>
      <w:r w:rsidRPr="000729CF">
        <w:rPr>
          <w:rFonts w:ascii="Arial" w:eastAsia="Calibri" w:hAnsi="Arial" w:cs="Arial"/>
          <w:b/>
          <w:iCs/>
          <w:sz w:val="22"/>
          <w:szCs w:val="22"/>
          <w:lang w:val="en-GB"/>
        </w:rPr>
        <w:t xml:space="preserve">Loans CFR – </w:t>
      </w:r>
      <w:r w:rsidRPr="000729CF">
        <w:rPr>
          <w:rFonts w:ascii="Arial" w:eastAsia="Calibri" w:hAnsi="Arial" w:cs="Arial"/>
          <w:bCs/>
          <w:iCs/>
          <w:sz w:val="22"/>
          <w:szCs w:val="22"/>
          <w:lang w:val="en-GB"/>
        </w:rPr>
        <w:t xml:space="preserve">This is the projections of the General Fund’s underlying borrowing requirement (or CFR) based on the current capital </w:t>
      </w:r>
      <w:proofErr w:type="gramStart"/>
      <w:r w:rsidRPr="000729CF">
        <w:rPr>
          <w:rFonts w:ascii="Arial" w:eastAsia="Calibri" w:hAnsi="Arial" w:cs="Arial"/>
          <w:bCs/>
          <w:iCs/>
          <w:sz w:val="22"/>
          <w:szCs w:val="22"/>
          <w:lang w:val="en-GB"/>
        </w:rPr>
        <w:t>plans, and</w:t>
      </w:r>
      <w:proofErr w:type="gramEnd"/>
      <w:r w:rsidRPr="000729CF">
        <w:rPr>
          <w:rFonts w:ascii="Arial" w:eastAsia="Calibri" w:hAnsi="Arial" w:cs="Arial"/>
          <w:bCs/>
          <w:iCs/>
          <w:sz w:val="22"/>
          <w:szCs w:val="22"/>
          <w:lang w:val="en-GB"/>
        </w:rPr>
        <w:t xml:space="preserve"> is shown by the dotted line. The 2023/24 opening Loans CFR was £211m, and it is expected to peak at £316m in 2025/26. This only shows the Loans CFR projection based on the current 5-year capital programme of the council, therefore if ongoing borrowing is required beyond 2028/29 then the CFR would rise further and for longer.</w:t>
      </w:r>
    </w:p>
    <w:p w14:paraId="063F696E" w14:textId="77777777" w:rsidR="000729CF" w:rsidRPr="000729CF" w:rsidRDefault="000729CF" w:rsidP="00CE70A3">
      <w:pPr>
        <w:numPr>
          <w:ilvl w:val="0"/>
          <w:numId w:val="88"/>
        </w:numPr>
        <w:spacing w:after="120" w:line="276" w:lineRule="auto"/>
        <w:rPr>
          <w:rFonts w:ascii="Arial" w:eastAsia="Calibri" w:hAnsi="Arial" w:cs="Arial"/>
          <w:b/>
          <w:iCs/>
          <w:sz w:val="22"/>
          <w:szCs w:val="22"/>
          <w:lang w:val="en-GB"/>
        </w:rPr>
      </w:pPr>
      <w:r w:rsidRPr="000729CF">
        <w:rPr>
          <w:rFonts w:ascii="Arial" w:eastAsia="Calibri" w:hAnsi="Arial" w:cs="Arial"/>
          <w:b/>
          <w:iCs/>
          <w:sz w:val="22"/>
          <w:szCs w:val="22"/>
          <w:lang w:val="en-GB"/>
        </w:rPr>
        <w:t xml:space="preserve">Net Loans Requirement – </w:t>
      </w:r>
      <w:r w:rsidRPr="000729CF">
        <w:rPr>
          <w:rFonts w:ascii="Arial" w:eastAsia="Calibri" w:hAnsi="Arial" w:cs="Arial"/>
          <w:bCs/>
          <w:iCs/>
          <w:sz w:val="22"/>
          <w:szCs w:val="22"/>
          <w:lang w:val="en-GB"/>
        </w:rPr>
        <w:t xml:space="preserve">This is the expected net treasury position as shown by the bottom blue line. This shows a projection of the loans requirements measured by opening external debt for 2023/24 less the opening external investments for 2023/24. The projections are then based on the expected borrowing within the capital programme and the expected movement in reserves and balances and shows the borrowing requirement if the council were to utilise all of its reserves and balances for internal borrowing. This shows that the General Fund had more external debt than external investments as at 31/03/23. Based on the current forecast, the net loans requirement peaks at £198m in 2028/29. This suggests that if reserves and balances are fully utilised for internal borrowing, the general fund requires an additional maximum of £46m of external borrowing to sustain the current capital plans. </w:t>
      </w:r>
    </w:p>
    <w:p w14:paraId="49BC56AF" w14:textId="77777777" w:rsidR="000729CF" w:rsidRPr="000729CF" w:rsidRDefault="000729CF" w:rsidP="00CE70A3">
      <w:pPr>
        <w:numPr>
          <w:ilvl w:val="0"/>
          <w:numId w:val="88"/>
        </w:numPr>
        <w:spacing w:after="120" w:line="276" w:lineRule="auto"/>
        <w:rPr>
          <w:rFonts w:ascii="Arial" w:eastAsia="Calibri" w:hAnsi="Arial" w:cs="Arial"/>
          <w:b/>
          <w:iCs/>
          <w:sz w:val="22"/>
          <w:szCs w:val="22"/>
          <w:lang w:val="en-GB"/>
        </w:rPr>
      </w:pPr>
      <w:r w:rsidRPr="000729CF">
        <w:rPr>
          <w:rFonts w:ascii="Arial" w:eastAsia="Calibri" w:hAnsi="Arial" w:cs="Arial"/>
          <w:b/>
          <w:iCs/>
          <w:sz w:val="22"/>
          <w:szCs w:val="22"/>
          <w:lang w:val="en-GB"/>
        </w:rPr>
        <w:t xml:space="preserve">Liability Benchmark – </w:t>
      </w:r>
      <w:r w:rsidRPr="000729CF">
        <w:rPr>
          <w:rFonts w:ascii="Arial" w:eastAsia="Calibri" w:hAnsi="Arial" w:cs="Arial"/>
          <w:bCs/>
          <w:iCs/>
          <w:sz w:val="22"/>
          <w:szCs w:val="22"/>
          <w:lang w:val="en-GB"/>
        </w:rPr>
        <w:t>The liability benchmark shows the Net Loan Requirement, but with a buffer of £50m incorporated to ensure the General Fund has sufficient cash to meet its cash obligations. This measure shows the level to which the council can internally borrow based on the projection of the capital programme, movement of reserves and allowing for a liquidity buffer. Where the liability benchmark rises above the current debt portfolio, this shows a need for external borrowing, and where the benchmark reduces back below the current portfolio, it shows that the council will be over-borrowed based on current plans.</w:t>
      </w:r>
    </w:p>
    <w:p w14:paraId="59565A7A" w14:textId="77777777" w:rsidR="000729CF" w:rsidRPr="000729CF" w:rsidRDefault="000729CF" w:rsidP="000729CF">
      <w:pPr>
        <w:spacing w:after="120"/>
        <w:ind w:left="720"/>
        <w:rPr>
          <w:rFonts w:ascii="Arial" w:eastAsia="Calibri" w:hAnsi="Arial" w:cs="Arial"/>
          <w:bCs/>
          <w:iCs/>
          <w:sz w:val="22"/>
          <w:szCs w:val="22"/>
          <w:lang w:val="en-GB"/>
        </w:rPr>
      </w:pPr>
      <w:r w:rsidRPr="000729CF">
        <w:rPr>
          <w:rFonts w:ascii="Arial" w:eastAsia="Calibri" w:hAnsi="Arial" w:cs="Arial"/>
          <w:bCs/>
          <w:iCs/>
          <w:sz w:val="22"/>
          <w:szCs w:val="22"/>
          <w:lang w:val="en-GB"/>
        </w:rPr>
        <w:t>This graph demonstrates that the General Fund may not need to externally borrow until 2024/25, and that the external borrowing requirement will peak at £248m in 2028/29, before falling. The graph also shows that based on current plans, new borrowing will be required until 2039/40, a shorter period than the council historically borrows over.</w:t>
      </w:r>
    </w:p>
    <w:p w14:paraId="60D9F188" w14:textId="77777777" w:rsidR="000729CF" w:rsidRPr="000729CF" w:rsidRDefault="000729CF" w:rsidP="000729CF">
      <w:pPr>
        <w:spacing w:after="120"/>
        <w:ind w:left="709"/>
        <w:rPr>
          <w:rFonts w:ascii="Arial" w:eastAsia="Calibri" w:hAnsi="Arial" w:cs="Arial"/>
          <w:b/>
          <w:bCs/>
          <w:iCs/>
          <w:sz w:val="24"/>
          <w:szCs w:val="24"/>
          <w:lang w:val="en-GB"/>
        </w:rPr>
      </w:pPr>
      <w:r w:rsidRPr="000729CF">
        <w:rPr>
          <w:rFonts w:ascii="Arial" w:eastAsia="Calibri" w:hAnsi="Arial" w:cs="Arial"/>
          <w:bCs/>
          <w:iCs/>
          <w:sz w:val="22"/>
          <w:szCs w:val="22"/>
          <w:lang w:val="en-GB"/>
        </w:rPr>
        <w:t xml:space="preserve">Whilst the Liability Benchmark is a good indicator of the General Fund’s direction of travel in terms of borrowing need, it assumes that capital borrowing stops after the current capital planning period and ignores future borrowing beyond the planning period. Therefore, it should not be used in isolation when making long term decisions, but as part of a range of factors. </w:t>
      </w:r>
    </w:p>
    <w:p w14:paraId="2413C7DF" w14:textId="77777777" w:rsidR="000729CF" w:rsidRPr="000729CF" w:rsidRDefault="000729CF" w:rsidP="00CE70A3">
      <w:pPr>
        <w:keepNext/>
        <w:numPr>
          <w:ilvl w:val="1"/>
          <w:numId w:val="67"/>
        </w:numPr>
        <w:spacing w:before="120" w:after="120" w:line="276" w:lineRule="auto"/>
        <w:ind w:left="709" w:hanging="709"/>
        <w:outlineLvl w:val="1"/>
        <w:rPr>
          <w:rFonts w:ascii="Arial" w:hAnsi="Arial" w:cs="Arial"/>
          <w:b/>
          <w:bCs/>
          <w:i/>
          <w:iCs/>
          <w:sz w:val="24"/>
          <w:szCs w:val="24"/>
          <w:lang w:val="en-GB"/>
        </w:rPr>
      </w:pPr>
      <w:r w:rsidRPr="000729CF">
        <w:rPr>
          <w:rFonts w:ascii="Arial" w:hAnsi="Arial" w:cs="Arial"/>
          <w:b/>
          <w:bCs/>
          <w:i/>
          <w:iCs/>
          <w:sz w:val="24"/>
          <w:szCs w:val="24"/>
          <w:lang w:val="en-GB"/>
        </w:rPr>
        <w:t xml:space="preserve">Housing Revenue Account (HRA) Borrowing Position and Strategy </w:t>
      </w:r>
    </w:p>
    <w:p w14:paraId="25E78B35" w14:textId="77777777" w:rsidR="000729CF" w:rsidRPr="000729CF" w:rsidRDefault="000729CF" w:rsidP="000729CF">
      <w:pPr>
        <w:spacing w:before="120" w:after="120"/>
        <w:ind w:left="709"/>
        <w:rPr>
          <w:rFonts w:ascii="Arial" w:eastAsia="Calibri" w:hAnsi="Arial" w:cs="Arial"/>
          <w:sz w:val="24"/>
          <w:szCs w:val="24"/>
          <w:lang w:val="en-GB"/>
        </w:rPr>
      </w:pPr>
      <w:bookmarkStart w:id="57" w:name="_Hlk63081055"/>
      <w:r w:rsidRPr="000729CF">
        <w:rPr>
          <w:rFonts w:ascii="Arial" w:eastAsia="Calibri" w:hAnsi="Arial" w:cs="Arial"/>
          <w:sz w:val="24"/>
          <w:szCs w:val="24"/>
          <w:lang w:val="en-GB"/>
        </w:rPr>
        <w:t>The Housing Revenue Account (HRA) carries a fully funded borrowing position (i.e. the HRA does not borrow from its own reserves, but instead undertakes borrowing for its entire borrowing requirement).</w:t>
      </w:r>
      <w:bookmarkEnd w:id="57"/>
      <w:r w:rsidRPr="000729CF">
        <w:rPr>
          <w:rFonts w:ascii="Arial" w:eastAsia="Calibri" w:hAnsi="Arial" w:cs="Arial"/>
          <w:sz w:val="24"/>
          <w:szCs w:val="24"/>
          <w:lang w:val="en-GB"/>
        </w:rPr>
        <w:t xml:space="preserve"> Table 3 demonstrates that the HRA has a borrowing need of £35m to support the capital programme in 2023/24. At the end of 2022/23, the HRA was temporarily over-borrowed by £10m as a result of borrowing in advance of need during 2022/23 in order to take advantage of attractive interest rates in a rising interest rate environment. No further external borrowing has been undertaken for the HRA during the year. Therefore, up to £25m of new borrowing is expected to be required for the remainder of 2023/24, either borrowed externally, or temporarily from the General Fund.</w:t>
      </w:r>
    </w:p>
    <w:p w14:paraId="3ED437E3" w14:textId="77777777" w:rsidR="000729CF" w:rsidRPr="000729CF" w:rsidRDefault="000729CF" w:rsidP="00CE70A3">
      <w:pPr>
        <w:numPr>
          <w:ilvl w:val="2"/>
          <w:numId w:val="67"/>
        </w:numPr>
        <w:spacing w:before="120" w:after="120" w:line="276" w:lineRule="auto"/>
        <w:outlineLvl w:val="2"/>
        <w:rPr>
          <w:rFonts w:ascii="Arial" w:hAnsi="Arial" w:cs="Arial"/>
          <w:b/>
          <w:bCs/>
          <w:i/>
          <w:iCs/>
          <w:sz w:val="24"/>
          <w:szCs w:val="24"/>
          <w:lang w:val="en-GB"/>
        </w:rPr>
      </w:pPr>
      <w:r w:rsidRPr="000729CF">
        <w:rPr>
          <w:rFonts w:ascii="Arial" w:hAnsi="Arial" w:cs="Arial"/>
          <w:b/>
          <w:bCs/>
          <w:i/>
          <w:iCs/>
          <w:sz w:val="24"/>
          <w:szCs w:val="24"/>
          <w:lang w:val="en-GB"/>
        </w:rPr>
        <w:t>HRA Borrowing Strategy for 2024/25</w:t>
      </w:r>
    </w:p>
    <w:p w14:paraId="6E70CBD0" w14:textId="77777777" w:rsidR="000729CF" w:rsidRPr="000729CF" w:rsidRDefault="000729CF" w:rsidP="000729CF">
      <w:pPr>
        <w:spacing w:before="120" w:after="120"/>
        <w:ind w:left="709"/>
        <w:rPr>
          <w:rFonts w:ascii="Arial" w:eastAsia="Calibri" w:hAnsi="Arial" w:cs="Arial"/>
          <w:sz w:val="24"/>
          <w:szCs w:val="24"/>
          <w:lang w:val="en-GB"/>
        </w:rPr>
      </w:pPr>
      <w:r w:rsidRPr="000729CF">
        <w:rPr>
          <w:rFonts w:ascii="Arial" w:eastAsia="Calibri" w:hAnsi="Arial" w:cs="Arial"/>
          <w:sz w:val="24"/>
          <w:szCs w:val="24"/>
          <w:lang w:val="en-GB"/>
        </w:rPr>
        <w:t xml:space="preserve">The HRA Capital Programme 2024/25 to 2026/27 forecasts a total £220m of capital investment over the next three years with £68m met from existing or new resources. The increase in the HRA’s borrowing need over this period is therefore £152m as shown in </w:t>
      </w:r>
      <w:r w:rsidRPr="000729CF">
        <w:rPr>
          <w:rFonts w:ascii="Arial" w:eastAsia="Calibri" w:hAnsi="Arial" w:cs="Arial"/>
          <w:b/>
          <w:sz w:val="24"/>
          <w:szCs w:val="24"/>
          <w:lang w:val="en-GB"/>
        </w:rPr>
        <w:t>Table 3</w:t>
      </w:r>
      <w:r w:rsidRPr="000729CF">
        <w:rPr>
          <w:rFonts w:ascii="Arial" w:eastAsia="Calibri" w:hAnsi="Arial" w:cs="Arial"/>
          <w:sz w:val="24"/>
          <w:szCs w:val="24"/>
          <w:lang w:val="en-GB"/>
        </w:rPr>
        <w:t xml:space="preserve"> below. It is expected that this borrowing need will be met from a combination of borrowing externally and from the General Fund. The extent to which the HRA can borrow from the General Fund is dependent on the level of liquid resources the General Fund has available to lend to the HRA and additionally will depend on the view of interest rate prospects:</w:t>
      </w:r>
    </w:p>
    <w:p w14:paraId="7847EE49" w14:textId="77777777" w:rsidR="000729CF" w:rsidRPr="000729CF" w:rsidRDefault="000729CF" w:rsidP="00CE70A3">
      <w:pPr>
        <w:numPr>
          <w:ilvl w:val="0"/>
          <w:numId w:val="81"/>
        </w:numPr>
        <w:spacing w:before="120" w:after="120" w:line="276" w:lineRule="auto"/>
        <w:ind w:left="1134" w:hanging="425"/>
        <w:rPr>
          <w:rFonts w:ascii="Arial" w:eastAsia="Calibri" w:hAnsi="Arial" w:cs="Arial"/>
          <w:sz w:val="24"/>
          <w:szCs w:val="24"/>
          <w:lang w:val="en-GB"/>
        </w:rPr>
      </w:pPr>
      <w:r w:rsidRPr="000729CF">
        <w:rPr>
          <w:rFonts w:ascii="Arial" w:eastAsia="Calibri" w:hAnsi="Arial" w:cs="Arial"/>
          <w:sz w:val="24"/>
          <w:szCs w:val="24"/>
          <w:lang w:val="en-GB"/>
        </w:rPr>
        <w:t>If it is considered that there is a significant likelihood of reducing long term interest rates, long term borrowing should be postponed;</w:t>
      </w:r>
    </w:p>
    <w:p w14:paraId="7A8D4CF1" w14:textId="77777777" w:rsidR="000729CF" w:rsidRPr="000729CF" w:rsidRDefault="000729CF" w:rsidP="00CE70A3">
      <w:pPr>
        <w:numPr>
          <w:ilvl w:val="0"/>
          <w:numId w:val="81"/>
        </w:numPr>
        <w:spacing w:before="120" w:after="120" w:line="276" w:lineRule="auto"/>
        <w:ind w:left="1134" w:hanging="425"/>
        <w:rPr>
          <w:rFonts w:ascii="Arial" w:eastAsia="Calibri" w:hAnsi="Arial" w:cs="Arial"/>
          <w:sz w:val="24"/>
          <w:szCs w:val="24"/>
          <w:lang w:val="en-GB"/>
        </w:rPr>
      </w:pPr>
      <w:r w:rsidRPr="000729CF">
        <w:rPr>
          <w:rFonts w:ascii="Arial" w:eastAsia="Calibri" w:hAnsi="Arial" w:cs="Arial"/>
          <w:sz w:val="24"/>
          <w:szCs w:val="24"/>
          <w:lang w:val="en-GB"/>
        </w:rPr>
        <w:t>If it is considered that there is a significant risk of sharply increasing long term interest rates, long term borrowing should be considered.</w:t>
      </w:r>
    </w:p>
    <w:tbl>
      <w:tblPr>
        <w:tblW w:w="4785"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3096"/>
        <w:gridCol w:w="1217"/>
        <w:gridCol w:w="1217"/>
        <w:gridCol w:w="1217"/>
        <w:gridCol w:w="1157"/>
      </w:tblGrid>
      <w:tr w:rsidR="000729CF" w:rsidRPr="000729CF" w14:paraId="705E0130" w14:textId="77777777" w:rsidTr="00BC26AB">
        <w:tc>
          <w:tcPr>
            <w:tcW w:w="711" w:type="pct"/>
            <w:shd w:val="clear" w:color="auto" w:fill="17365D"/>
          </w:tcPr>
          <w:p w14:paraId="19CDC572" w14:textId="77777777" w:rsidR="000729CF" w:rsidRPr="000729CF" w:rsidRDefault="000729CF" w:rsidP="000729CF">
            <w:pPr>
              <w:jc w:val="center"/>
              <w:rPr>
                <w:rFonts w:ascii="Arial" w:eastAsia="Calibri" w:hAnsi="Arial" w:cs="Arial"/>
                <w:b/>
                <w:sz w:val="24"/>
                <w:szCs w:val="24"/>
                <w:lang w:val="en-GB"/>
              </w:rPr>
            </w:pPr>
            <w:r w:rsidRPr="000729CF">
              <w:rPr>
                <w:rFonts w:ascii="Arial" w:eastAsia="Calibri" w:hAnsi="Arial" w:cs="Arial"/>
                <w:b/>
                <w:sz w:val="24"/>
                <w:szCs w:val="24"/>
                <w:lang w:val="en-GB"/>
              </w:rPr>
              <w:t>2023/24</w:t>
            </w:r>
          </w:p>
          <w:p w14:paraId="061C5EB0" w14:textId="77777777" w:rsidR="000729CF" w:rsidRPr="000729CF" w:rsidRDefault="000729CF" w:rsidP="000729CF">
            <w:pPr>
              <w:jc w:val="center"/>
              <w:rPr>
                <w:rFonts w:ascii="Arial" w:eastAsia="Calibri" w:hAnsi="Arial" w:cs="Arial"/>
                <w:b/>
                <w:sz w:val="24"/>
                <w:szCs w:val="24"/>
                <w:lang w:val="en-GB"/>
              </w:rPr>
            </w:pPr>
            <w:r w:rsidRPr="000729CF">
              <w:rPr>
                <w:rFonts w:ascii="Arial" w:eastAsia="Calibri" w:hAnsi="Arial" w:cs="Arial"/>
                <w:b/>
                <w:sz w:val="24"/>
                <w:szCs w:val="24"/>
                <w:lang w:val="en-GB"/>
              </w:rPr>
              <w:t>Projected</w:t>
            </w:r>
          </w:p>
        </w:tc>
        <w:tc>
          <w:tcPr>
            <w:tcW w:w="1680" w:type="pct"/>
            <w:vMerge w:val="restart"/>
            <w:shd w:val="clear" w:color="auto" w:fill="17365D"/>
          </w:tcPr>
          <w:p w14:paraId="0969493A" w14:textId="77777777" w:rsidR="000729CF" w:rsidRPr="000729CF" w:rsidRDefault="000729CF" w:rsidP="000729CF">
            <w:pPr>
              <w:rPr>
                <w:rFonts w:ascii="Arial" w:eastAsia="Calibri" w:hAnsi="Arial" w:cs="Arial"/>
                <w:b/>
                <w:sz w:val="24"/>
                <w:szCs w:val="24"/>
                <w:lang w:val="en-GB"/>
              </w:rPr>
            </w:pPr>
            <w:r w:rsidRPr="000729CF">
              <w:rPr>
                <w:rFonts w:ascii="Arial" w:eastAsia="Calibri" w:hAnsi="Arial" w:cs="Arial"/>
                <w:b/>
                <w:sz w:val="24"/>
                <w:szCs w:val="24"/>
                <w:lang w:val="en-GB"/>
              </w:rPr>
              <w:t>Table 3 – HRA Borrowing Requirement</w:t>
            </w:r>
          </w:p>
        </w:tc>
        <w:tc>
          <w:tcPr>
            <w:tcW w:w="660" w:type="pct"/>
            <w:shd w:val="clear" w:color="auto" w:fill="17365D"/>
          </w:tcPr>
          <w:p w14:paraId="272AEDE5" w14:textId="77777777" w:rsidR="000729CF" w:rsidRPr="000729CF" w:rsidRDefault="000729CF" w:rsidP="000729CF">
            <w:pPr>
              <w:jc w:val="center"/>
              <w:rPr>
                <w:rFonts w:ascii="Arial" w:eastAsia="Calibri" w:hAnsi="Arial" w:cs="Arial"/>
                <w:b/>
                <w:sz w:val="24"/>
                <w:szCs w:val="24"/>
                <w:lang w:val="en-GB"/>
              </w:rPr>
            </w:pPr>
            <w:r w:rsidRPr="000729CF">
              <w:rPr>
                <w:rFonts w:ascii="Arial" w:eastAsia="Calibri" w:hAnsi="Arial" w:cs="Arial"/>
                <w:b/>
                <w:sz w:val="24"/>
                <w:szCs w:val="24"/>
                <w:lang w:val="en-GB"/>
              </w:rPr>
              <w:t>2024/25</w:t>
            </w:r>
          </w:p>
          <w:p w14:paraId="34F52A08" w14:textId="77777777" w:rsidR="000729CF" w:rsidRPr="000729CF" w:rsidRDefault="000729CF" w:rsidP="000729CF">
            <w:pPr>
              <w:jc w:val="center"/>
              <w:rPr>
                <w:rFonts w:ascii="Arial" w:eastAsia="Calibri" w:hAnsi="Arial" w:cs="Arial"/>
                <w:b/>
                <w:sz w:val="24"/>
                <w:szCs w:val="24"/>
                <w:lang w:val="en-GB"/>
              </w:rPr>
            </w:pPr>
            <w:r w:rsidRPr="000729CF">
              <w:rPr>
                <w:rFonts w:ascii="Arial" w:eastAsia="Calibri" w:hAnsi="Arial" w:cs="Arial"/>
                <w:b/>
                <w:sz w:val="24"/>
                <w:szCs w:val="24"/>
                <w:lang w:val="en-GB"/>
              </w:rPr>
              <w:t>Estimate</w:t>
            </w:r>
          </w:p>
        </w:tc>
        <w:tc>
          <w:tcPr>
            <w:tcW w:w="660" w:type="pct"/>
            <w:shd w:val="clear" w:color="auto" w:fill="17365D"/>
          </w:tcPr>
          <w:p w14:paraId="3C5A4574" w14:textId="77777777" w:rsidR="000729CF" w:rsidRPr="000729CF" w:rsidRDefault="000729CF" w:rsidP="000729CF">
            <w:pPr>
              <w:jc w:val="center"/>
              <w:rPr>
                <w:rFonts w:ascii="Arial" w:eastAsia="Calibri" w:hAnsi="Arial" w:cs="Arial"/>
                <w:b/>
                <w:sz w:val="24"/>
                <w:szCs w:val="24"/>
                <w:lang w:val="en-GB"/>
              </w:rPr>
            </w:pPr>
            <w:r w:rsidRPr="000729CF">
              <w:rPr>
                <w:rFonts w:ascii="Arial" w:eastAsia="Calibri" w:hAnsi="Arial" w:cs="Arial"/>
                <w:b/>
                <w:sz w:val="24"/>
                <w:szCs w:val="24"/>
                <w:lang w:val="en-GB"/>
              </w:rPr>
              <w:t>2025/26</w:t>
            </w:r>
          </w:p>
          <w:p w14:paraId="6E275718" w14:textId="77777777" w:rsidR="000729CF" w:rsidRPr="000729CF" w:rsidRDefault="000729CF" w:rsidP="000729CF">
            <w:pPr>
              <w:jc w:val="center"/>
              <w:rPr>
                <w:rFonts w:ascii="Arial" w:eastAsia="Calibri" w:hAnsi="Arial" w:cs="Arial"/>
                <w:b/>
                <w:sz w:val="24"/>
                <w:szCs w:val="24"/>
                <w:lang w:val="en-GB"/>
              </w:rPr>
            </w:pPr>
            <w:r w:rsidRPr="000729CF">
              <w:rPr>
                <w:rFonts w:ascii="Arial" w:eastAsia="Calibri" w:hAnsi="Arial" w:cs="Arial"/>
                <w:b/>
                <w:sz w:val="24"/>
                <w:szCs w:val="24"/>
                <w:lang w:val="en-GB"/>
              </w:rPr>
              <w:t>Estimate</w:t>
            </w:r>
          </w:p>
        </w:tc>
        <w:tc>
          <w:tcPr>
            <w:tcW w:w="660" w:type="pct"/>
            <w:shd w:val="clear" w:color="auto" w:fill="17365D"/>
          </w:tcPr>
          <w:p w14:paraId="76451965" w14:textId="77777777" w:rsidR="000729CF" w:rsidRPr="000729CF" w:rsidRDefault="000729CF" w:rsidP="000729CF">
            <w:pPr>
              <w:jc w:val="center"/>
              <w:rPr>
                <w:rFonts w:ascii="Arial" w:eastAsia="Calibri" w:hAnsi="Arial" w:cs="Arial"/>
                <w:b/>
                <w:sz w:val="24"/>
                <w:szCs w:val="24"/>
                <w:lang w:val="en-GB"/>
              </w:rPr>
            </w:pPr>
            <w:r w:rsidRPr="000729CF">
              <w:rPr>
                <w:rFonts w:ascii="Arial" w:eastAsia="Calibri" w:hAnsi="Arial" w:cs="Arial"/>
                <w:b/>
                <w:sz w:val="24"/>
                <w:szCs w:val="24"/>
                <w:lang w:val="en-GB"/>
              </w:rPr>
              <w:t>2026/27</w:t>
            </w:r>
          </w:p>
          <w:p w14:paraId="53EC2443" w14:textId="77777777" w:rsidR="000729CF" w:rsidRPr="000729CF" w:rsidRDefault="000729CF" w:rsidP="000729CF">
            <w:pPr>
              <w:jc w:val="center"/>
              <w:rPr>
                <w:rFonts w:ascii="Arial" w:eastAsia="Calibri" w:hAnsi="Arial" w:cs="Arial"/>
                <w:b/>
                <w:sz w:val="24"/>
                <w:szCs w:val="24"/>
                <w:lang w:val="en-GB"/>
              </w:rPr>
            </w:pPr>
            <w:r w:rsidRPr="000729CF">
              <w:rPr>
                <w:rFonts w:ascii="Arial" w:eastAsia="Calibri" w:hAnsi="Arial" w:cs="Arial"/>
                <w:b/>
                <w:sz w:val="24"/>
                <w:szCs w:val="24"/>
                <w:lang w:val="en-GB"/>
              </w:rPr>
              <w:t>Estimate</w:t>
            </w:r>
          </w:p>
        </w:tc>
        <w:tc>
          <w:tcPr>
            <w:tcW w:w="628" w:type="pct"/>
            <w:shd w:val="clear" w:color="auto" w:fill="17365D"/>
          </w:tcPr>
          <w:p w14:paraId="2537FFD3" w14:textId="77777777" w:rsidR="000729CF" w:rsidRPr="000729CF" w:rsidRDefault="000729CF" w:rsidP="000729CF">
            <w:pPr>
              <w:jc w:val="center"/>
              <w:rPr>
                <w:rFonts w:ascii="Arial" w:eastAsia="Calibri" w:hAnsi="Arial" w:cs="Arial"/>
                <w:b/>
                <w:sz w:val="24"/>
                <w:szCs w:val="24"/>
                <w:lang w:val="en-GB"/>
              </w:rPr>
            </w:pPr>
            <w:r w:rsidRPr="000729CF">
              <w:rPr>
                <w:rFonts w:ascii="Arial" w:eastAsia="Calibri" w:hAnsi="Arial" w:cs="Arial"/>
                <w:b/>
                <w:sz w:val="24"/>
                <w:szCs w:val="24"/>
                <w:lang w:val="en-GB"/>
              </w:rPr>
              <w:t>Total</w:t>
            </w:r>
          </w:p>
        </w:tc>
      </w:tr>
      <w:tr w:rsidR="000729CF" w:rsidRPr="000729CF" w14:paraId="670C7BB6" w14:textId="77777777" w:rsidTr="00BC26AB">
        <w:tc>
          <w:tcPr>
            <w:tcW w:w="711" w:type="pct"/>
            <w:tcBorders>
              <w:bottom w:val="single" w:sz="4" w:space="0" w:color="auto"/>
            </w:tcBorders>
            <w:shd w:val="clear" w:color="auto" w:fill="17365D"/>
            <w:vAlign w:val="center"/>
          </w:tcPr>
          <w:p w14:paraId="61608FD6" w14:textId="77777777" w:rsidR="000729CF" w:rsidRPr="000729CF" w:rsidRDefault="000729CF" w:rsidP="000729CF">
            <w:pPr>
              <w:jc w:val="center"/>
              <w:rPr>
                <w:rFonts w:ascii="Arial" w:eastAsia="Calibri" w:hAnsi="Arial" w:cs="Arial"/>
                <w:b/>
                <w:sz w:val="24"/>
                <w:szCs w:val="24"/>
                <w:lang w:val="en-GB"/>
              </w:rPr>
            </w:pPr>
            <w:r w:rsidRPr="000729CF">
              <w:rPr>
                <w:rFonts w:ascii="Arial" w:eastAsia="Calibri" w:hAnsi="Arial" w:cs="Arial"/>
                <w:b/>
                <w:sz w:val="24"/>
                <w:szCs w:val="24"/>
                <w:lang w:val="en-GB"/>
              </w:rPr>
              <w:t>£m</w:t>
            </w:r>
          </w:p>
        </w:tc>
        <w:tc>
          <w:tcPr>
            <w:tcW w:w="1680" w:type="pct"/>
            <w:vMerge/>
            <w:tcBorders>
              <w:bottom w:val="single" w:sz="4" w:space="0" w:color="auto"/>
            </w:tcBorders>
            <w:shd w:val="clear" w:color="auto" w:fill="17365D"/>
            <w:vAlign w:val="center"/>
          </w:tcPr>
          <w:p w14:paraId="507AF941" w14:textId="77777777" w:rsidR="000729CF" w:rsidRPr="000729CF" w:rsidRDefault="000729CF" w:rsidP="000729CF">
            <w:pPr>
              <w:jc w:val="center"/>
              <w:rPr>
                <w:rFonts w:ascii="Arial" w:eastAsia="Calibri" w:hAnsi="Arial" w:cs="Arial"/>
                <w:sz w:val="24"/>
                <w:szCs w:val="24"/>
                <w:lang w:val="en-GB"/>
              </w:rPr>
            </w:pPr>
          </w:p>
        </w:tc>
        <w:tc>
          <w:tcPr>
            <w:tcW w:w="660" w:type="pct"/>
            <w:tcBorders>
              <w:bottom w:val="single" w:sz="4" w:space="0" w:color="auto"/>
            </w:tcBorders>
            <w:shd w:val="clear" w:color="auto" w:fill="17365D"/>
            <w:vAlign w:val="center"/>
          </w:tcPr>
          <w:p w14:paraId="18B91DC3" w14:textId="77777777" w:rsidR="000729CF" w:rsidRPr="000729CF" w:rsidRDefault="000729CF" w:rsidP="000729CF">
            <w:pPr>
              <w:spacing w:line="276" w:lineRule="auto"/>
              <w:jc w:val="center"/>
              <w:rPr>
                <w:rFonts w:ascii="Arial" w:eastAsia="Calibri" w:hAnsi="Arial" w:cs="Arial"/>
                <w:sz w:val="24"/>
                <w:szCs w:val="24"/>
                <w:lang w:val="en-GB"/>
              </w:rPr>
            </w:pPr>
            <w:r w:rsidRPr="000729CF">
              <w:rPr>
                <w:rFonts w:ascii="Arial" w:eastAsia="Calibri" w:hAnsi="Arial" w:cs="Arial"/>
                <w:b/>
                <w:sz w:val="24"/>
                <w:szCs w:val="24"/>
                <w:lang w:val="en-GB"/>
              </w:rPr>
              <w:t>£m</w:t>
            </w:r>
          </w:p>
        </w:tc>
        <w:tc>
          <w:tcPr>
            <w:tcW w:w="660" w:type="pct"/>
            <w:tcBorders>
              <w:bottom w:val="single" w:sz="4" w:space="0" w:color="auto"/>
            </w:tcBorders>
            <w:shd w:val="clear" w:color="auto" w:fill="17365D"/>
            <w:vAlign w:val="center"/>
          </w:tcPr>
          <w:p w14:paraId="10B791F1" w14:textId="77777777" w:rsidR="000729CF" w:rsidRPr="000729CF" w:rsidRDefault="000729CF" w:rsidP="000729CF">
            <w:pPr>
              <w:spacing w:line="276" w:lineRule="auto"/>
              <w:jc w:val="center"/>
              <w:rPr>
                <w:rFonts w:ascii="Arial" w:eastAsia="Calibri" w:hAnsi="Arial" w:cs="Arial"/>
                <w:sz w:val="24"/>
                <w:szCs w:val="24"/>
                <w:lang w:val="en-GB"/>
              </w:rPr>
            </w:pPr>
            <w:r w:rsidRPr="000729CF">
              <w:rPr>
                <w:rFonts w:ascii="Arial" w:eastAsia="Calibri" w:hAnsi="Arial" w:cs="Arial"/>
                <w:b/>
                <w:sz w:val="24"/>
                <w:szCs w:val="24"/>
                <w:lang w:val="en-GB"/>
              </w:rPr>
              <w:t>£m</w:t>
            </w:r>
          </w:p>
        </w:tc>
        <w:tc>
          <w:tcPr>
            <w:tcW w:w="660" w:type="pct"/>
            <w:tcBorders>
              <w:bottom w:val="single" w:sz="4" w:space="0" w:color="auto"/>
            </w:tcBorders>
            <w:shd w:val="clear" w:color="auto" w:fill="17365D"/>
            <w:vAlign w:val="center"/>
          </w:tcPr>
          <w:p w14:paraId="6D6684B1" w14:textId="77777777" w:rsidR="000729CF" w:rsidRPr="000729CF" w:rsidRDefault="000729CF" w:rsidP="000729CF">
            <w:pPr>
              <w:spacing w:line="276" w:lineRule="auto"/>
              <w:jc w:val="center"/>
              <w:rPr>
                <w:rFonts w:ascii="Arial" w:eastAsia="Calibri" w:hAnsi="Arial" w:cs="Arial"/>
                <w:sz w:val="24"/>
                <w:szCs w:val="24"/>
                <w:lang w:val="en-GB"/>
              </w:rPr>
            </w:pPr>
            <w:r w:rsidRPr="000729CF">
              <w:rPr>
                <w:rFonts w:ascii="Arial" w:eastAsia="Calibri" w:hAnsi="Arial" w:cs="Arial"/>
                <w:b/>
                <w:sz w:val="24"/>
                <w:szCs w:val="24"/>
                <w:lang w:val="en-GB"/>
              </w:rPr>
              <w:t>£m</w:t>
            </w:r>
          </w:p>
        </w:tc>
        <w:tc>
          <w:tcPr>
            <w:tcW w:w="628" w:type="pct"/>
            <w:tcBorders>
              <w:bottom w:val="single" w:sz="4" w:space="0" w:color="auto"/>
            </w:tcBorders>
            <w:shd w:val="clear" w:color="auto" w:fill="17365D"/>
            <w:vAlign w:val="center"/>
          </w:tcPr>
          <w:p w14:paraId="10FD78B5" w14:textId="77777777" w:rsidR="000729CF" w:rsidRPr="000729CF" w:rsidRDefault="000729CF" w:rsidP="000729CF">
            <w:pPr>
              <w:spacing w:line="276" w:lineRule="auto"/>
              <w:jc w:val="center"/>
              <w:rPr>
                <w:rFonts w:ascii="Arial" w:eastAsia="Calibri" w:hAnsi="Arial" w:cs="Arial"/>
                <w:sz w:val="24"/>
                <w:szCs w:val="24"/>
                <w:lang w:val="en-GB"/>
              </w:rPr>
            </w:pPr>
            <w:r w:rsidRPr="000729CF">
              <w:rPr>
                <w:rFonts w:ascii="Arial" w:eastAsia="Calibri" w:hAnsi="Arial" w:cs="Arial"/>
                <w:b/>
                <w:sz w:val="24"/>
                <w:szCs w:val="24"/>
                <w:lang w:val="en-GB"/>
              </w:rPr>
              <w:t>£m</w:t>
            </w:r>
          </w:p>
        </w:tc>
      </w:tr>
      <w:tr w:rsidR="000729CF" w:rsidRPr="000729CF" w14:paraId="350A8925" w14:textId="77777777" w:rsidTr="00BC26AB">
        <w:tc>
          <w:tcPr>
            <w:tcW w:w="711" w:type="pct"/>
            <w:tcBorders>
              <w:bottom w:val="nil"/>
            </w:tcBorders>
            <w:shd w:val="clear" w:color="auto" w:fill="auto"/>
          </w:tcPr>
          <w:p w14:paraId="64F2EBA7"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69</w:t>
            </w:r>
          </w:p>
        </w:tc>
        <w:tc>
          <w:tcPr>
            <w:tcW w:w="1680" w:type="pct"/>
            <w:tcBorders>
              <w:bottom w:val="nil"/>
            </w:tcBorders>
            <w:shd w:val="clear" w:color="auto" w:fill="auto"/>
          </w:tcPr>
          <w:p w14:paraId="56474D25" w14:textId="77777777" w:rsidR="000729CF" w:rsidRPr="000729CF" w:rsidRDefault="000729CF" w:rsidP="000729CF">
            <w:pPr>
              <w:spacing w:line="276" w:lineRule="auto"/>
              <w:rPr>
                <w:rFonts w:ascii="Arial" w:eastAsia="Calibri" w:hAnsi="Arial" w:cs="Arial"/>
                <w:sz w:val="24"/>
                <w:szCs w:val="24"/>
                <w:lang w:val="en-GB"/>
              </w:rPr>
            </w:pPr>
            <w:r w:rsidRPr="000729CF">
              <w:rPr>
                <w:rFonts w:ascii="Arial" w:eastAsia="Calibri" w:hAnsi="Arial" w:cs="Arial"/>
                <w:sz w:val="24"/>
                <w:szCs w:val="24"/>
                <w:lang w:val="en-GB"/>
              </w:rPr>
              <w:t>HRA Capital Expenditure</w:t>
            </w:r>
          </w:p>
        </w:tc>
        <w:tc>
          <w:tcPr>
            <w:tcW w:w="660" w:type="pct"/>
            <w:tcBorders>
              <w:bottom w:val="nil"/>
            </w:tcBorders>
            <w:shd w:val="clear" w:color="auto" w:fill="auto"/>
          </w:tcPr>
          <w:p w14:paraId="0867585D" w14:textId="77777777" w:rsidR="000729CF" w:rsidRPr="000729CF" w:rsidRDefault="000729CF" w:rsidP="000729CF">
            <w:pPr>
              <w:spacing w:line="276" w:lineRule="auto"/>
              <w:jc w:val="right"/>
              <w:rPr>
                <w:rFonts w:ascii="Arial" w:eastAsia="Calibri" w:hAnsi="Arial" w:cs="Arial"/>
                <w:sz w:val="24"/>
                <w:szCs w:val="24"/>
                <w:lang w:val="en-GB"/>
              </w:rPr>
            </w:pPr>
            <w:r w:rsidRPr="000729CF">
              <w:rPr>
                <w:rFonts w:ascii="Arial" w:eastAsia="Calibri" w:hAnsi="Arial" w:cs="Arial"/>
                <w:sz w:val="24"/>
                <w:szCs w:val="24"/>
                <w:lang w:val="en-GB"/>
              </w:rPr>
              <w:t>89</w:t>
            </w:r>
          </w:p>
        </w:tc>
        <w:tc>
          <w:tcPr>
            <w:tcW w:w="660" w:type="pct"/>
            <w:tcBorders>
              <w:bottom w:val="nil"/>
            </w:tcBorders>
            <w:shd w:val="clear" w:color="auto" w:fill="auto"/>
          </w:tcPr>
          <w:p w14:paraId="7FB5AC0B" w14:textId="77777777" w:rsidR="000729CF" w:rsidRPr="000729CF" w:rsidRDefault="000729CF" w:rsidP="000729CF">
            <w:pPr>
              <w:spacing w:line="276" w:lineRule="auto"/>
              <w:jc w:val="right"/>
              <w:rPr>
                <w:rFonts w:ascii="Arial" w:eastAsia="Calibri" w:hAnsi="Arial" w:cs="Arial"/>
                <w:sz w:val="24"/>
                <w:szCs w:val="24"/>
                <w:lang w:val="en-GB"/>
              </w:rPr>
            </w:pPr>
            <w:r w:rsidRPr="000729CF">
              <w:rPr>
                <w:rFonts w:ascii="Arial" w:eastAsia="Calibri" w:hAnsi="Arial" w:cs="Arial"/>
                <w:sz w:val="24"/>
                <w:szCs w:val="24"/>
                <w:lang w:val="en-GB"/>
              </w:rPr>
              <w:t>71</w:t>
            </w:r>
          </w:p>
        </w:tc>
        <w:tc>
          <w:tcPr>
            <w:tcW w:w="660" w:type="pct"/>
            <w:tcBorders>
              <w:bottom w:val="nil"/>
            </w:tcBorders>
            <w:shd w:val="clear" w:color="auto" w:fill="auto"/>
          </w:tcPr>
          <w:p w14:paraId="77960E0A" w14:textId="77777777" w:rsidR="000729CF" w:rsidRPr="000729CF" w:rsidRDefault="000729CF" w:rsidP="000729CF">
            <w:pPr>
              <w:spacing w:line="276" w:lineRule="auto"/>
              <w:jc w:val="right"/>
              <w:rPr>
                <w:rFonts w:ascii="Arial" w:eastAsia="Calibri" w:hAnsi="Arial" w:cs="Arial"/>
                <w:sz w:val="24"/>
                <w:szCs w:val="24"/>
                <w:lang w:val="en-GB"/>
              </w:rPr>
            </w:pPr>
            <w:r w:rsidRPr="000729CF">
              <w:rPr>
                <w:rFonts w:ascii="Arial" w:eastAsia="Calibri" w:hAnsi="Arial" w:cs="Arial"/>
                <w:sz w:val="24"/>
                <w:szCs w:val="24"/>
                <w:lang w:val="en-GB"/>
              </w:rPr>
              <w:t>60</w:t>
            </w:r>
          </w:p>
        </w:tc>
        <w:tc>
          <w:tcPr>
            <w:tcW w:w="628" w:type="pct"/>
            <w:tcBorders>
              <w:bottom w:val="nil"/>
            </w:tcBorders>
            <w:shd w:val="clear" w:color="auto" w:fill="auto"/>
          </w:tcPr>
          <w:p w14:paraId="52A59323" w14:textId="77777777" w:rsidR="000729CF" w:rsidRPr="000729CF" w:rsidRDefault="000729CF" w:rsidP="000729CF">
            <w:pPr>
              <w:spacing w:line="276" w:lineRule="auto"/>
              <w:jc w:val="right"/>
              <w:rPr>
                <w:rFonts w:ascii="Arial" w:eastAsia="Calibri" w:hAnsi="Arial" w:cs="Arial"/>
                <w:sz w:val="24"/>
                <w:szCs w:val="24"/>
                <w:lang w:val="en-GB"/>
              </w:rPr>
            </w:pPr>
            <w:r w:rsidRPr="000729CF">
              <w:rPr>
                <w:rFonts w:ascii="Arial" w:eastAsia="Calibri" w:hAnsi="Arial" w:cs="Arial"/>
                <w:sz w:val="24"/>
                <w:szCs w:val="24"/>
                <w:lang w:val="en-GB"/>
              </w:rPr>
              <w:t>220</w:t>
            </w:r>
          </w:p>
        </w:tc>
      </w:tr>
      <w:tr w:rsidR="000729CF" w:rsidRPr="000729CF" w14:paraId="5CBD7078" w14:textId="77777777" w:rsidTr="00BC26AB">
        <w:tc>
          <w:tcPr>
            <w:tcW w:w="711" w:type="pct"/>
            <w:tcBorders>
              <w:top w:val="nil"/>
            </w:tcBorders>
            <w:shd w:val="clear" w:color="auto" w:fill="auto"/>
            <w:vAlign w:val="bottom"/>
          </w:tcPr>
          <w:p w14:paraId="703C2BB4"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(34)</w:t>
            </w:r>
          </w:p>
        </w:tc>
        <w:tc>
          <w:tcPr>
            <w:tcW w:w="1680" w:type="pct"/>
            <w:tcBorders>
              <w:top w:val="nil"/>
            </w:tcBorders>
            <w:shd w:val="clear" w:color="auto" w:fill="auto"/>
            <w:vAlign w:val="bottom"/>
          </w:tcPr>
          <w:p w14:paraId="4F657B5F" w14:textId="77777777" w:rsidR="000729CF" w:rsidRPr="000729CF" w:rsidRDefault="000729CF" w:rsidP="000729CF">
            <w:pPr>
              <w:rPr>
                <w:rFonts w:ascii="Arial" w:eastAsia="Calibri" w:hAnsi="Arial" w:cs="Arial"/>
                <w:b/>
                <w:sz w:val="24"/>
                <w:szCs w:val="24"/>
                <w:lang w:val="en-GB"/>
              </w:rPr>
            </w:pPr>
            <w:r w:rsidRPr="000729CF">
              <w:rPr>
                <w:rFonts w:ascii="Arial" w:eastAsia="Calibri" w:hAnsi="Arial" w:cs="Arial"/>
                <w:b/>
                <w:sz w:val="24"/>
                <w:szCs w:val="24"/>
                <w:lang w:val="en-GB"/>
              </w:rPr>
              <w:t>Financed by:</w:t>
            </w:r>
          </w:p>
          <w:p w14:paraId="033AC368" w14:textId="77777777" w:rsidR="000729CF" w:rsidRPr="000729CF" w:rsidRDefault="000729CF" w:rsidP="000729CF">
            <w:pPr>
              <w:rPr>
                <w:rFonts w:ascii="Arial" w:eastAsia="Calibri" w:hAnsi="Arial" w:cs="Arial"/>
                <w:sz w:val="24"/>
                <w:szCs w:val="24"/>
                <w:lang w:val="en-GB"/>
              </w:rPr>
            </w:pPr>
            <w:r w:rsidRPr="000729CF">
              <w:rPr>
                <w:rFonts w:ascii="Arial" w:eastAsia="Calibri" w:hAnsi="Arial" w:cs="Arial"/>
                <w:sz w:val="24"/>
                <w:szCs w:val="24"/>
                <w:lang w:val="en-GB"/>
              </w:rPr>
              <w:t>New &amp; existing resources</w:t>
            </w:r>
          </w:p>
        </w:tc>
        <w:tc>
          <w:tcPr>
            <w:tcW w:w="660" w:type="pct"/>
            <w:tcBorders>
              <w:top w:val="nil"/>
            </w:tcBorders>
            <w:shd w:val="clear" w:color="auto" w:fill="auto"/>
            <w:vAlign w:val="bottom"/>
          </w:tcPr>
          <w:p w14:paraId="006722BC" w14:textId="77777777" w:rsidR="000729CF" w:rsidRPr="000729CF" w:rsidRDefault="000729CF" w:rsidP="000729CF">
            <w:pPr>
              <w:spacing w:line="276" w:lineRule="auto"/>
              <w:jc w:val="right"/>
              <w:rPr>
                <w:rFonts w:ascii="Arial" w:eastAsia="Calibri" w:hAnsi="Arial" w:cs="Arial"/>
                <w:sz w:val="24"/>
                <w:szCs w:val="24"/>
                <w:lang w:val="en-GB"/>
              </w:rPr>
            </w:pPr>
            <w:r w:rsidRPr="000729CF">
              <w:rPr>
                <w:rFonts w:ascii="Arial" w:eastAsia="Calibri" w:hAnsi="Arial" w:cs="Arial"/>
                <w:sz w:val="24"/>
                <w:szCs w:val="24"/>
                <w:lang w:val="en-GB"/>
              </w:rPr>
              <w:t>(27)</w:t>
            </w:r>
          </w:p>
        </w:tc>
        <w:tc>
          <w:tcPr>
            <w:tcW w:w="660" w:type="pct"/>
            <w:tcBorders>
              <w:top w:val="nil"/>
            </w:tcBorders>
            <w:shd w:val="clear" w:color="auto" w:fill="auto"/>
            <w:vAlign w:val="bottom"/>
          </w:tcPr>
          <w:p w14:paraId="0FAC3163" w14:textId="77777777" w:rsidR="000729CF" w:rsidRPr="000729CF" w:rsidRDefault="000729CF" w:rsidP="000729CF">
            <w:pPr>
              <w:spacing w:line="276" w:lineRule="auto"/>
              <w:jc w:val="right"/>
              <w:rPr>
                <w:rFonts w:ascii="Arial" w:eastAsia="Calibri" w:hAnsi="Arial" w:cs="Arial"/>
                <w:sz w:val="24"/>
                <w:szCs w:val="24"/>
                <w:lang w:val="en-GB"/>
              </w:rPr>
            </w:pPr>
            <w:r w:rsidRPr="000729CF">
              <w:rPr>
                <w:rFonts w:ascii="Arial" w:eastAsia="Calibri" w:hAnsi="Arial" w:cs="Arial"/>
                <w:sz w:val="24"/>
                <w:szCs w:val="24"/>
                <w:lang w:val="en-GB"/>
              </w:rPr>
              <w:t>(21)</w:t>
            </w:r>
          </w:p>
        </w:tc>
        <w:tc>
          <w:tcPr>
            <w:tcW w:w="660" w:type="pct"/>
            <w:tcBorders>
              <w:top w:val="nil"/>
            </w:tcBorders>
            <w:shd w:val="clear" w:color="auto" w:fill="auto"/>
            <w:vAlign w:val="bottom"/>
          </w:tcPr>
          <w:p w14:paraId="5BEF5815" w14:textId="77777777" w:rsidR="000729CF" w:rsidRPr="000729CF" w:rsidRDefault="000729CF" w:rsidP="000729CF">
            <w:pPr>
              <w:spacing w:line="276" w:lineRule="auto"/>
              <w:jc w:val="right"/>
              <w:rPr>
                <w:rFonts w:ascii="Arial" w:eastAsia="Calibri" w:hAnsi="Arial" w:cs="Arial"/>
                <w:sz w:val="24"/>
                <w:szCs w:val="24"/>
                <w:lang w:val="en-GB"/>
              </w:rPr>
            </w:pPr>
            <w:r w:rsidRPr="000729CF">
              <w:rPr>
                <w:rFonts w:ascii="Arial" w:eastAsia="Calibri" w:hAnsi="Arial" w:cs="Arial"/>
                <w:sz w:val="24"/>
                <w:szCs w:val="24"/>
                <w:lang w:val="en-GB"/>
              </w:rPr>
              <w:t>(20)</w:t>
            </w:r>
          </w:p>
        </w:tc>
        <w:tc>
          <w:tcPr>
            <w:tcW w:w="628" w:type="pct"/>
            <w:tcBorders>
              <w:top w:val="nil"/>
            </w:tcBorders>
            <w:shd w:val="clear" w:color="auto" w:fill="auto"/>
            <w:vAlign w:val="bottom"/>
          </w:tcPr>
          <w:p w14:paraId="08130542" w14:textId="77777777" w:rsidR="000729CF" w:rsidRPr="000729CF" w:rsidRDefault="000729CF" w:rsidP="000729CF">
            <w:pPr>
              <w:spacing w:line="276" w:lineRule="auto"/>
              <w:jc w:val="right"/>
              <w:rPr>
                <w:rFonts w:ascii="Arial" w:eastAsia="Calibri" w:hAnsi="Arial" w:cs="Arial"/>
                <w:sz w:val="24"/>
                <w:szCs w:val="24"/>
                <w:lang w:val="en-GB"/>
              </w:rPr>
            </w:pPr>
            <w:r w:rsidRPr="000729CF">
              <w:rPr>
                <w:rFonts w:ascii="Arial" w:eastAsia="Calibri" w:hAnsi="Arial" w:cs="Arial"/>
                <w:sz w:val="24"/>
                <w:szCs w:val="24"/>
                <w:lang w:val="en-GB"/>
              </w:rPr>
              <w:t>(68)</w:t>
            </w:r>
          </w:p>
        </w:tc>
      </w:tr>
      <w:tr w:rsidR="000729CF" w:rsidRPr="000729CF" w14:paraId="1645B191" w14:textId="77777777" w:rsidTr="00BC26AB">
        <w:tc>
          <w:tcPr>
            <w:tcW w:w="711" w:type="pct"/>
            <w:shd w:val="clear" w:color="auto" w:fill="C6D9F1"/>
          </w:tcPr>
          <w:p w14:paraId="6A908DF9" w14:textId="77777777" w:rsidR="000729CF" w:rsidRPr="000729CF" w:rsidRDefault="000729CF" w:rsidP="000729CF">
            <w:pPr>
              <w:jc w:val="right"/>
              <w:rPr>
                <w:rFonts w:ascii="Arial" w:eastAsia="Calibri" w:hAnsi="Arial" w:cs="Arial"/>
                <w:b/>
                <w:sz w:val="24"/>
                <w:szCs w:val="24"/>
                <w:lang w:val="en-GB"/>
              </w:rPr>
            </w:pPr>
            <w:r w:rsidRPr="000729CF">
              <w:rPr>
                <w:rFonts w:ascii="Arial" w:eastAsia="Calibri" w:hAnsi="Arial" w:cs="Arial"/>
                <w:b/>
                <w:sz w:val="24"/>
                <w:szCs w:val="24"/>
                <w:lang w:val="en-GB"/>
              </w:rPr>
              <w:t>35</w:t>
            </w:r>
          </w:p>
        </w:tc>
        <w:tc>
          <w:tcPr>
            <w:tcW w:w="1680" w:type="pct"/>
            <w:shd w:val="clear" w:color="auto" w:fill="C6D9F1"/>
          </w:tcPr>
          <w:p w14:paraId="46A37641" w14:textId="77777777" w:rsidR="000729CF" w:rsidRPr="000729CF" w:rsidRDefault="000729CF" w:rsidP="000729CF">
            <w:pPr>
              <w:spacing w:line="276" w:lineRule="auto"/>
              <w:rPr>
                <w:rFonts w:ascii="Arial" w:eastAsia="Calibri" w:hAnsi="Arial" w:cs="Arial"/>
                <w:b/>
                <w:sz w:val="24"/>
                <w:szCs w:val="24"/>
                <w:lang w:val="en-GB"/>
              </w:rPr>
            </w:pPr>
            <w:r w:rsidRPr="000729CF">
              <w:rPr>
                <w:rFonts w:ascii="Arial" w:eastAsia="Calibri" w:hAnsi="Arial" w:cs="Arial"/>
                <w:b/>
                <w:sz w:val="24"/>
                <w:szCs w:val="24"/>
                <w:lang w:val="en-GB"/>
              </w:rPr>
              <w:t>HRA Borrowing Need</w:t>
            </w:r>
          </w:p>
        </w:tc>
        <w:tc>
          <w:tcPr>
            <w:tcW w:w="660" w:type="pct"/>
            <w:shd w:val="clear" w:color="auto" w:fill="C6D9F1"/>
          </w:tcPr>
          <w:p w14:paraId="07FC6B91" w14:textId="77777777" w:rsidR="000729CF" w:rsidRPr="000729CF" w:rsidRDefault="000729CF" w:rsidP="000729CF">
            <w:pPr>
              <w:spacing w:line="276" w:lineRule="auto"/>
              <w:jc w:val="right"/>
              <w:rPr>
                <w:rFonts w:ascii="Arial" w:eastAsia="Calibri" w:hAnsi="Arial" w:cs="Arial"/>
                <w:b/>
                <w:sz w:val="24"/>
                <w:szCs w:val="24"/>
                <w:lang w:val="en-GB"/>
              </w:rPr>
            </w:pPr>
            <w:r w:rsidRPr="000729CF">
              <w:rPr>
                <w:rFonts w:ascii="Arial" w:eastAsia="Calibri" w:hAnsi="Arial" w:cs="Arial"/>
                <w:b/>
                <w:sz w:val="24"/>
                <w:szCs w:val="24"/>
                <w:lang w:val="en-GB"/>
              </w:rPr>
              <w:t>62</w:t>
            </w:r>
          </w:p>
        </w:tc>
        <w:tc>
          <w:tcPr>
            <w:tcW w:w="660" w:type="pct"/>
            <w:shd w:val="clear" w:color="auto" w:fill="C6D9F1"/>
          </w:tcPr>
          <w:p w14:paraId="79B745E1" w14:textId="77777777" w:rsidR="000729CF" w:rsidRPr="000729CF" w:rsidRDefault="000729CF" w:rsidP="000729CF">
            <w:pPr>
              <w:spacing w:line="276" w:lineRule="auto"/>
              <w:jc w:val="right"/>
              <w:rPr>
                <w:rFonts w:ascii="Arial" w:eastAsia="Calibri" w:hAnsi="Arial" w:cs="Arial"/>
                <w:b/>
                <w:sz w:val="24"/>
                <w:szCs w:val="24"/>
                <w:lang w:val="en-GB"/>
              </w:rPr>
            </w:pPr>
            <w:r w:rsidRPr="000729CF">
              <w:rPr>
                <w:rFonts w:ascii="Arial" w:eastAsia="Calibri" w:hAnsi="Arial" w:cs="Arial"/>
                <w:b/>
                <w:sz w:val="24"/>
                <w:szCs w:val="24"/>
                <w:lang w:val="en-GB"/>
              </w:rPr>
              <w:t>50</w:t>
            </w:r>
          </w:p>
        </w:tc>
        <w:tc>
          <w:tcPr>
            <w:tcW w:w="660" w:type="pct"/>
            <w:shd w:val="clear" w:color="auto" w:fill="C6D9F1"/>
          </w:tcPr>
          <w:p w14:paraId="0700CF63" w14:textId="77777777" w:rsidR="000729CF" w:rsidRPr="000729CF" w:rsidRDefault="000729CF" w:rsidP="000729CF">
            <w:pPr>
              <w:spacing w:line="276" w:lineRule="auto"/>
              <w:jc w:val="right"/>
              <w:rPr>
                <w:rFonts w:ascii="Arial" w:eastAsia="Calibri" w:hAnsi="Arial" w:cs="Arial"/>
                <w:b/>
                <w:sz w:val="24"/>
                <w:szCs w:val="24"/>
                <w:lang w:val="en-GB"/>
              </w:rPr>
            </w:pPr>
            <w:r w:rsidRPr="000729CF">
              <w:rPr>
                <w:rFonts w:ascii="Arial" w:eastAsia="Calibri" w:hAnsi="Arial" w:cs="Arial"/>
                <w:b/>
                <w:sz w:val="24"/>
                <w:szCs w:val="24"/>
                <w:lang w:val="en-GB"/>
              </w:rPr>
              <w:t>40</w:t>
            </w:r>
          </w:p>
        </w:tc>
        <w:tc>
          <w:tcPr>
            <w:tcW w:w="628" w:type="pct"/>
            <w:shd w:val="clear" w:color="auto" w:fill="C6D9F1"/>
          </w:tcPr>
          <w:p w14:paraId="4520CC2D" w14:textId="77777777" w:rsidR="000729CF" w:rsidRPr="000729CF" w:rsidRDefault="000729CF" w:rsidP="000729CF">
            <w:pPr>
              <w:spacing w:line="276" w:lineRule="auto"/>
              <w:jc w:val="right"/>
              <w:rPr>
                <w:rFonts w:ascii="Arial" w:eastAsia="Calibri" w:hAnsi="Arial" w:cs="Arial"/>
                <w:b/>
                <w:sz w:val="24"/>
                <w:szCs w:val="24"/>
                <w:lang w:val="en-GB"/>
              </w:rPr>
            </w:pPr>
            <w:r w:rsidRPr="000729CF">
              <w:rPr>
                <w:rFonts w:ascii="Arial" w:eastAsia="Calibri" w:hAnsi="Arial" w:cs="Arial"/>
                <w:b/>
                <w:sz w:val="24"/>
                <w:szCs w:val="24"/>
                <w:lang w:val="en-GB"/>
              </w:rPr>
              <w:t>152</w:t>
            </w:r>
          </w:p>
        </w:tc>
      </w:tr>
    </w:tbl>
    <w:p w14:paraId="0AB9CBA4" w14:textId="77777777" w:rsidR="000729CF" w:rsidRPr="000729CF" w:rsidRDefault="000729CF" w:rsidP="00CE70A3">
      <w:pPr>
        <w:numPr>
          <w:ilvl w:val="2"/>
          <w:numId w:val="67"/>
        </w:numPr>
        <w:spacing w:before="120" w:after="120" w:line="276" w:lineRule="auto"/>
        <w:outlineLvl w:val="2"/>
        <w:rPr>
          <w:rFonts w:ascii="Arial" w:hAnsi="Arial" w:cs="Arial"/>
          <w:b/>
          <w:bCs/>
          <w:i/>
          <w:iCs/>
          <w:sz w:val="24"/>
          <w:szCs w:val="24"/>
          <w:lang w:val="en-GB"/>
        </w:rPr>
      </w:pPr>
      <w:r w:rsidRPr="000729CF">
        <w:rPr>
          <w:rFonts w:ascii="Arial" w:hAnsi="Arial" w:cs="Arial"/>
          <w:b/>
          <w:bCs/>
          <w:i/>
          <w:iCs/>
          <w:sz w:val="24"/>
          <w:szCs w:val="24"/>
          <w:lang w:val="en-GB"/>
        </w:rPr>
        <w:t>HRA Liability Benchmark</w:t>
      </w:r>
    </w:p>
    <w:p w14:paraId="14C5FC64" w14:textId="77777777" w:rsidR="000729CF" w:rsidRPr="000729CF" w:rsidRDefault="000729CF" w:rsidP="000729CF">
      <w:pPr>
        <w:spacing w:after="200" w:line="276" w:lineRule="auto"/>
        <w:ind w:left="709"/>
        <w:rPr>
          <w:rFonts w:ascii="Arial" w:eastAsia="Calibri" w:hAnsi="Arial" w:cs="Arial"/>
          <w:sz w:val="24"/>
          <w:szCs w:val="24"/>
          <w:lang w:val="en-GB"/>
        </w:rPr>
      </w:pPr>
      <w:r w:rsidRPr="000729CF">
        <w:rPr>
          <w:rFonts w:ascii="Arial" w:eastAsia="Calibri" w:hAnsi="Arial" w:cs="Arial"/>
          <w:sz w:val="24"/>
          <w:szCs w:val="24"/>
          <w:lang w:val="en-GB"/>
        </w:rPr>
        <w:t>The Liability Benchmark graph for the HRA is shown below:</w:t>
      </w:r>
    </w:p>
    <w:p w14:paraId="0A704972" w14:textId="77777777" w:rsidR="000729CF" w:rsidRPr="000729CF" w:rsidRDefault="000729CF" w:rsidP="000729CF">
      <w:pPr>
        <w:spacing w:after="200" w:line="276" w:lineRule="auto"/>
        <w:ind w:left="-284"/>
        <w:rPr>
          <w:rFonts w:ascii="Arial" w:eastAsia="Calibri" w:hAnsi="Arial" w:cs="Arial"/>
          <w:b/>
          <w:bCs/>
          <w:sz w:val="24"/>
          <w:szCs w:val="24"/>
          <w:highlight w:val="yellow"/>
          <w:lang w:val="en-GB"/>
        </w:rPr>
      </w:pPr>
      <w:r w:rsidRPr="000729CF">
        <w:rPr>
          <w:rFonts w:ascii="Arial" w:eastAsia="Calibri" w:hAnsi="Arial" w:cs="Arial"/>
          <w:b/>
          <w:bCs/>
          <w:noProof/>
          <w:sz w:val="24"/>
          <w:szCs w:val="24"/>
          <w:lang w:val="en-GB"/>
        </w:rPr>
        <w:drawing>
          <wp:inline distT="0" distB="0" distL="0" distR="0" wp14:anchorId="6B5A09D8" wp14:editId="7838A4DE">
            <wp:extent cx="6120130" cy="4156075"/>
            <wp:effectExtent l="0" t="0" r="0" b="0"/>
            <wp:docPr id="992075462" name="Picture 4" descr="A graph of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987841" name="Picture 4" descr="A graph of a line graph&#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120130" cy="4156075"/>
                    </a:xfrm>
                    <a:prstGeom prst="rect">
                      <a:avLst/>
                    </a:prstGeom>
                  </pic:spPr>
                </pic:pic>
              </a:graphicData>
            </a:graphic>
          </wp:inline>
        </w:drawing>
      </w:r>
    </w:p>
    <w:p w14:paraId="10BE47F9" w14:textId="77777777" w:rsidR="000729CF" w:rsidRPr="000729CF" w:rsidRDefault="000729CF" w:rsidP="00CE70A3">
      <w:pPr>
        <w:numPr>
          <w:ilvl w:val="0"/>
          <w:numId w:val="88"/>
        </w:numPr>
        <w:spacing w:after="120" w:line="276" w:lineRule="auto"/>
        <w:rPr>
          <w:rFonts w:ascii="Arial" w:eastAsia="Calibri" w:hAnsi="Arial" w:cs="Arial"/>
          <w:b/>
          <w:iCs/>
          <w:sz w:val="22"/>
          <w:szCs w:val="22"/>
          <w:lang w:val="en-GB"/>
        </w:rPr>
      </w:pPr>
      <w:r w:rsidRPr="000729CF">
        <w:rPr>
          <w:rFonts w:ascii="Arial" w:eastAsia="Calibri" w:hAnsi="Arial" w:cs="Arial"/>
          <w:b/>
          <w:iCs/>
          <w:sz w:val="22"/>
          <w:szCs w:val="22"/>
          <w:lang w:val="en-GB"/>
        </w:rPr>
        <w:t xml:space="preserve">External Debt – </w:t>
      </w:r>
      <w:r w:rsidRPr="000729CF">
        <w:rPr>
          <w:rFonts w:ascii="Arial" w:eastAsia="Calibri" w:hAnsi="Arial" w:cs="Arial"/>
          <w:bCs/>
          <w:iCs/>
          <w:sz w:val="22"/>
          <w:szCs w:val="22"/>
          <w:lang w:val="en-GB"/>
        </w:rPr>
        <w:t>The maturity profile of the current portfolio of HRA external debt is shown by the bars which show how this is currently made up of PWLB, LOBO and Market Loans. The debt has a fairly gradual maturity profile which means that there are no requirements to pay back large amounts of debt in any one year.</w:t>
      </w:r>
    </w:p>
    <w:p w14:paraId="6EDBDFB7" w14:textId="77777777" w:rsidR="000729CF" w:rsidRPr="000729CF" w:rsidRDefault="000729CF" w:rsidP="00CE70A3">
      <w:pPr>
        <w:numPr>
          <w:ilvl w:val="0"/>
          <w:numId w:val="88"/>
        </w:numPr>
        <w:spacing w:after="120" w:line="276" w:lineRule="auto"/>
        <w:rPr>
          <w:rFonts w:ascii="Arial" w:eastAsia="Calibri" w:hAnsi="Arial" w:cs="Arial"/>
          <w:b/>
          <w:iCs/>
          <w:sz w:val="22"/>
          <w:szCs w:val="22"/>
          <w:lang w:val="en-GB"/>
        </w:rPr>
      </w:pPr>
      <w:r w:rsidRPr="000729CF">
        <w:rPr>
          <w:rFonts w:ascii="Arial" w:eastAsia="Calibri" w:hAnsi="Arial" w:cs="Arial"/>
          <w:b/>
          <w:iCs/>
          <w:sz w:val="22"/>
          <w:szCs w:val="22"/>
          <w:lang w:val="en-GB"/>
        </w:rPr>
        <w:t xml:space="preserve">Loans CFR – </w:t>
      </w:r>
      <w:r w:rsidRPr="000729CF">
        <w:rPr>
          <w:rFonts w:ascii="Arial" w:eastAsia="Calibri" w:hAnsi="Arial" w:cs="Arial"/>
          <w:bCs/>
          <w:iCs/>
          <w:sz w:val="22"/>
          <w:szCs w:val="22"/>
          <w:lang w:val="en-GB"/>
        </w:rPr>
        <w:t xml:space="preserve">This is the projection of the HRA’s underlying borrowing requirement (or CFR) based on the current capital </w:t>
      </w:r>
      <w:proofErr w:type="gramStart"/>
      <w:r w:rsidRPr="000729CF">
        <w:rPr>
          <w:rFonts w:ascii="Arial" w:eastAsia="Calibri" w:hAnsi="Arial" w:cs="Arial"/>
          <w:bCs/>
          <w:iCs/>
          <w:sz w:val="22"/>
          <w:szCs w:val="22"/>
          <w:lang w:val="en-GB"/>
        </w:rPr>
        <w:t>plans, and</w:t>
      </w:r>
      <w:proofErr w:type="gramEnd"/>
      <w:r w:rsidRPr="000729CF">
        <w:rPr>
          <w:rFonts w:ascii="Arial" w:eastAsia="Calibri" w:hAnsi="Arial" w:cs="Arial"/>
          <w:bCs/>
          <w:iCs/>
          <w:sz w:val="22"/>
          <w:szCs w:val="22"/>
          <w:lang w:val="en-GB"/>
        </w:rPr>
        <w:t xml:space="preserve"> is shown by the dotted line. The 2023/24 opening Loans CFR was £204m, and it is expected to peak at £473m in 2028/29. This only shows the Loans CFR projection based on the current capital programme of the council, therefore if ongoing borrowing is required beyond 2028/29 then the CFR would rise further. The CFR is maintained at £473m as the HRA is not required to set aside MRP, and the current assumption is that the HRA will re-finance maturing debt. This strategy is subject to review, depending on the expectation of the long-term borrowing need in the HRA capital programme.</w:t>
      </w:r>
    </w:p>
    <w:p w14:paraId="04225B88" w14:textId="77777777" w:rsidR="000729CF" w:rsidRPr="000729CF" w:rsidRDefault="000729CF" w:rsidP="00CE70A3">
      <w:pPr>
        <w:numPr>
          <w:ilvl w:val="0"/>
          <w:numId w:val="88"/>
        </w:numPr>
        <w:spacing w:after="120" w:line="276" w:lineRule="auto"/>
        <w:rPr>
          <w:rFonts w:ascii="Arial" w:eastAsia="Calibri" w:hAnsi="Arial" w:cs="Arial"/>
          <w:b/>
          <w:iCs/>
          <w:sz w:val="22"/>
          <w:szCs w:val="22"/>
          <w:lang w:val="en-GB"/>
        </w:rPr>
      </w:pPr>
      <w:r w:rsidRPr="000729CF">
        <w:rPr>
          <w:rFonts w:ascii="Arial" w:eastAsia="Calibri" w:hAnsi="Arial" w:cs="Arial"/>
          <w:b/>
          <w:iCs/>
          <w:sz w:val="22"/>
          <w:szCs w:val="22"/>
          <w:lang w:val="en-GB"/>
        </w:rPr>
        <w:t xml:space="preserve">Net Loans Requirement – </w:t>
      </w:r>
      <w:r w:rsidRPr="000729CF">
        <w:rPr>
          <w:rFonts w:ascii="Arial" w:eastAsia="Calibri" w:hAnsi="Arial" w:cs="Arial"/>
          <w:bCs/>
          <w:iCs/>
          <w:sz w:val="22"/>
          <w:szCs w:val="22"/>
          <w:lang w:val="en-GB"/>
        </w:rPr>
        <w:t xml:space="preserve">The expected net treasury position is shown by the bottom blue line. This shows a projection of the loans requirements measured by opening external debt for 2023/24 less the opening HRA reserves for 2023/24. The projections are then based on the expected borrowing within the capital programme and the expected movement in reserves and balances and shows the borrowing requirement if the HRA were to utilise all of its reserves for internal borrowing. This line tracks very closely to the Loans CFR due to the borrowing requirement being proportionality high compared to the HRA reserves. </w:t>
      </w:r>
    </w:p>
    <w:p w14:paraId="351E2130" w14:textId="77777777" w:rsidR="000729CF" w:rsidRPr="000729CF" w:rsidRDefault="000729CF" w:rsidP="00CE70A3">
      <w:pPr>
        <w:numPr>
          <w:ilvl w:val="0"/>
          <w:numId w:val="88"/>
        </w:numPr>
        <w:spacing w:after="120" w:line="276" w:lineRule="auto"/>
        <w:rPr>
          <w:rFonts w:ascii="Arial" w:eastAsia="Calibri" w:hAnsi="Arial" w:cs="Arial"/>
          <w:b/>
          <w:iCs/>
          <w:sz w:val="22"/>
          <w:szCs w:val="22"/>
          <w:lang w:val="en-GB"/>
        </w:rPr>
      </w:pPr>
      <w:r w:rsidRPr="000729CF">
        <w:rPr>
          <w:rFonts w:ascii="Arial" w:eastAsia="Calibri" w:hAnsi="Arial" w:cs="Arial"/>
          <w:b/>
          <w:iCs/>
          <w:sz w:val="22"/>
          <w:szCs w:val="22"/>
          <w:lang w:val="en-GB"/>
        </w:rPr>
        <w:t xml:space="preserve">Liability Benchmark – </w:t>
      </w:r>
      <w:r w:rsidRPr="000729CF">
        <w:rPr>
          <w:rFonts w:ascii="Arial" w:eastAsia="Calibri" w:hAnsi="Arial" w:cs="Arial"/>
          <w:bCs/>
          <w:iCs/>
          <w:sz w:val="22"/>
          <w:szCs w:val="22"/>
          <w:lang w:val="en-GB"/>
        </w:rPr>
        <w:t xml:space="preserve">The liability benchmark shows the Net Loan Requirement, but with a buffer of £5m incorporated to ensure the HRA has sufficient cash to meet its cash obligations. This measure shows the level to which the HRA can internally borrow based on the projection of the capital programme, movement of reserves and allowing for a liquidity buffer. The HRA liability benchmark demonstrates that the HRA needs to externally borrow for nearly all of its borrowing requirement, which is the current strategy. </w:t>
      </w:r>
    </w:p>
    <w:p w14:paraId="5FEBEB6D" w14:textId="77777777" w:rsidR="000729CF" w:rsidRPr="000729CF" w:rsidRDefault="000729CF" w:rsidP="000729CF">
      <w:pPr>
        <w:spacing w:after="120"/>
        <w:ind w:left="709"/>
        <w:rPr>
          <w:rFonts w:ascii="Arial" w:eastAsia="Calibri" w:hAnsi="Arial" w:cs="Arial"/>
          <w:bCs/>
          <w:iCs/>
          <w:sz w:val="22"/>
          <w:szCs w:val="22"/>
          <w:lang w:val="en-GB"/>
        </w:rPr>
      </w:pPr>
      <w:r w:rsidRPr="000729CF">
        <w:rPr>
          <w:rFonts w:ascii="Arial" w:eastAsia="Calibri" w:hAnsi="Arial" w:cs="Arial"/>
          <w:bCs/>
          <w:iCs/>
          <w:sz w:val="22"/>
          <w:szCs w:val="22"/>
          <w:lang w:val="en-GB"/>
        </w:rPr>
        <w:t>The graph demonstrates that the HRA has an ongoing external borrowing requirement to the extent of its CFR.</w:t>
      </w:r>
    </w:p>
    <w:p w14:paraId="78B3AF41" w14:textId="77777777" w:rsidR="000729CF" w:rsidRPr="000729CF" w:rsidRDefault="000729CF" w:rsidP="00CE70A3">
      <w:pPr>
        <w:keepNext/>
        <w:numPr>
          <w:ilvl w:val="1"/>
          <w:numId w:val="67"/>
        </w:numPr>
        <w:spacing w:before="120" w:after="120" w:line="276" w:lineRule="auto"/>
        <w:ind w:left="709" w:hanging="709"/>
        <w:outlineLvl w:val="1"/>
        <w:rPr>
          <w:rFonts w:ascii="Arial" w:hAnsi="Arial" w:cs="Arial"/>
          <w:b/>
          <w:bCs/>
          <w:i/>
          <w:iCs/>
          <w:sz w:val="24"/>
          <w:szCs w:val="24"/>
          <w:lang w:val="en-GB"/>
        </w:rPr>
      </w:pPr>
      <w:r w:rsidRPr="000729CF">
        <w:rPr>
          <w:rFonts w:ascii="Arial" w:hAnsi="Arial" w:cs="Arial"/>
          <w:b/>
          <w:bCs/>
          <w:i/>
          <w:iCs/>
          <w:sz w:val="24"/>
          <w:szCs w:val="24"/>
          <w:lang w:val="en-GB"/>
        </w:rPr>
        <w:t>Capital Financing Requirement</w:t>
      </w:r>
    </w:p>
    <w:p w14:paraId="205737B8" w14:textId="77777777" w:rsidR="000729CF" w:rsidRPr="000729CF" w:rsidRDefault="000729CF" w:rsidP="000729CF">
      <w:pPr>
        <w:spacing w:before="200" w:after="200"/>
        <w:ind w:left="720"/>
        <w:rPr>
          <w:rFonts w:ascii="Arial" w:hAnsi="Arial" w:cs="Arial"/>
          <w:sz w:val="24"/>
          <w:szCs w:val="24"/>
          <w:lang w:val="en-GB" w:eastAsia="en-GB"/>
        </w:rPr>
      </w:pPr>
      <w:r w:rsidRPr="000729CF">
        <w:rPr>
          <w:rFonts w:ascii="Arial" w:hAnsi="Arial" w:cs="Arial"/>
          <w:b/>
          <w:sz w:val="24"/>
          <w:szCs w:val="24"/>
          <w:lang w:val="en-GB" w:eastAsia="en-GB"/>
        </w:rPr>
        <w:t>Table 4</w:t>
      </w:r>
      <w:r w:rsidRPr="000729CF">
        <w:rPr>
          <w:rFonts w:ascii="Arial" w:hAnsi="Arial" w:cs="Arial"/>
          <w:sz w:val="24"/>
          <w:szCs w:val="24"/>
          <w:lang w:val="en-GB" w:eastAsia="en-GB"/>
        </w:rPr>
        <w:t xml:space="preserve"> below shows the actual expected external debt compared to the capital financing requirement over the next 3 years for both the General Fund and the HRA. This demonstrates that the HRA CFR is expected to be fully funded to 2026/27, and the General Fund is expected to maintain an under-borrowed position:</w:t>
      </w:r>
    </w:p>
    <w:tbl>
      <w:tblPr>
        <w:tblW w:w="4785"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3460"/>
        <w:gridCol w:w="1511"/>
        <w:gridCol w:w="1511"/>
        <w:gridCol w:w="1515"/>
      </w:tblGrid>
      <w:tr w:rsidR="000729CF" w:rsidRPr="000729CF" w14:paraId="19105A94" w14:textId="77777777" w:rsidTr="00BC26AB">
        <w:tc>
          <w:tcPr>
            <w:tcW w:w="660" w:type="pct"/>
            <w:tcBorders>
              <w:bottom w:val="nil"/>
            </w:tcBorders>
            <w:shd w:val="clear" w:color="auto" w:fill="17365D"/>
            <w:vAlign w:val="center"/>
          </w:tcPr>
          <w:p w14:paraId="4D013EEC" w14:textId="77777777" w:rsidR="000729CF" w:rsidRPr="000729CF" w:rsidRDefault="000729CF" w:rsidP="000729CF">
            <w:pPr>
              <w:jc w:val="center"/>
              <w:rPr>
                <w:rFonts w:ascii="Arial" w:eastAsia="Calibri" w:hAnsi="Arial" w:cs="Arial"/>
                <w:b/>
                <w:sz w:val="24"/>
                <w:szCs w:val="24"/>
                <w:lang w:val="en-GB"/>
              </w:rPr>
            </w:pPr>
            <w:r w:rsidRPr="000729CF">
              <w:rPr>
                <w:rFonts w:ascii="Arial" w:eastAsia="Calibri" w:hAnsi="Arial" w:cs="Arial"/>
                <w:b/>
                <w:sz w:val="24"/>
                <w:szCs w:val="24"/>
                <w:lang w:val="en-GB"/>
              </w:rPr>
              <w:t>2023/24</w:t>
            </w:r>
          </w:p>
        </w:tc>
        <w:tc>
          <w:tcPr>
            <w:tcW w:w="1878" w:type="pct"/>
            <w:vMerge w:val="restart"/>
            <w:shd w:val="clear" w:color="auto" w:fill="17365D"/>
          </w:tcPr>
          <w:p w14:paraId="43D7BC99" w14:textId="77777777" w:rsidR="000729CF" w:rsidRPr="000729CF" w:rsidRDefault="000729CF" w:rsidP="000729CF">
            <w:pPr>
              <w:rPr>
                <w:rFonts w:ascii="Arial" w:eastAsia="Calibri" w:hAnsi="Arial" w:cs="Arial"/>
                <w:b/>
                <w:sz w:val="24"/>
                <w:szCs w:val="24"/>
                <w:lang w:val="en-GB"/>
              </w:rPr>
            </w:pPr>
            <w:r w:rsidRPr="000729CF">
              <w:rPr>
                <w:rFonts w:ascii="Arial" w:eastAsia="Calibri" w:hAnsi="Arial" w:cs="Arial"/>
                <w:b/>
                <w:sz w:val="24"/>
                <w:szCs w:val="24"/>
                <w:lang w:val="en-GB"/>
              </w:rPr>
              <w:t>Table 4</w:t>
            </w:r>
          </w:p>
          <w:p w14:paraId="466B23C1" w14:textId="77777777" w:rsidR="000729CF" w:rsidRPr="000729CF" w:rsidRDefault="000729CF" w:rsidP="000729CF">
            <w:pPr>
              <w:rPr>
                <w:rFonts w:ascii="Arial" w:eastAsia="Calibri" w:hAnsi="Arial" w:cs="Arial"/>
                <w:b/>
                <w:sz w:val="24"/>
                <w:szCs w:val="24"/>
                <w:lang w:val="en-GB"/>
              </w:rPr>
            </w:pPr>
          </w:p>
        </w:tc>
        <w:tc>
          <w:tcPr>
            <w:tcW w:w="820" w:type="pct"/>
            <w:vMerge w:val="restart"/>
            <w:shd w:val="clear" w:color="auto" w:fill="17365D"/>
          </w:tcPr>
          <w:p w14:paraId="17478BB7" w14:textId="77777777" w:rsidR="000729CF" w:rsidRPr="000729CF" w:rsidRDefault="000729CF" w:rsidP="000729CF">
            <w:pPr>
              <w:jc w:val="center"/>
              <w:rPr>
                <w:rFonts w:ascii="Arial" w:eastAsia="Calibri" w:hAnsi="Arial" w:cs="Arial"/>
                <w:b/>
                <w:sz w:val="24"/>
                <w:szCs w:val="24"/>
                <w:lang w:val="en-GB"/>
              </w:rPr>
            </w:pPr>
            <w:r w:rsidRPr="000729CF">
              <w:rPr>
                <w:rFonts w:ascii="Arial" w:eastAsia="Calibri" w:hAnsi="Arial" w:cs="Arial"/>
                <w:b/>
                <w:sz w:val="24"/>
                <w:szCs w:val="24"/>
                <w:lang w:val="en-GB"/>
              </w:rPr>
              <w:t>2024/25</w:t>
            </w:r>
          </w:p>
          <w:p w14:paraId="2EC7B4D6" w14:textId="77777777" w:rsidR="000729CF" w:rsidRPr="000729CF" w:rsidRDefault="000729CF" w:rsidP="000729CF">
            <w:pPr>
              <w:jc w:val="center"/>
              <w:rPr>
                <w:rFonts w:ascii="Arial" w:eastAsia="Calibri" w:hAnsi="Arial" w:cs="Arial"/>
                <w:b/>
                <w:sz w:val="24"/>
                <w:szCs w:val="24"/>
                <w:lang w:val="en-GB"/>
              </w:rPr>
            </w:pPr>
            <w:r w:rsidRPr="000729CF">
              <w:rPr>
                <w:rFonts w:ascii="Arial" w:eastAsia="Calibri" w:hAnsi="Arial" w:cs="Arial"/>
                <w:b/>
                <w:sz w:val="24"/>
                <w:szCs w:val="24"/>
                <w:lang w:val="en-GB"/>
              </w:rPr>
              <w:t>Estimate</w:t>
            </w:r>
          </w:p>
        </w:tc>
        <w:tc>
          <w:tcPr>
            <w:tcW w:w="820" w:type="pct"/>
            <w:vMerge w:val="restart"/>
            <w:shd w:val="clear" w:color="auto" w:fill="17365D"/>
          </w:tcPr>
          <w:p w14:paraId="3E7148EA" w14:textId="77777777" w:rsidR="000729CF" w:rsidRPr="000729CF" w:rsidRDefault="000729CF" w:rsidP="000729CF">
            <w:pPr>
              <w:jc w:val="center"/>
              <w:rPr>
                <w:rFonts w:ascii="Arial" w:eastAsia="Calibri" w:hAnsi="Arial" w:cs="Arial"/>
                <w:b/>
                <w:sz w:val="24"/>
                <w:szCs w:val="24"/>
                <w:lang w:val="en-GB"/>
              </w:rPr>
            </w:pPr>
            <w:r w:rsidRPr="000729CF">
              <w:rPr>
                <w:rFonts w:ascii="Arial" w:eastAsia="Calibri" w:hAnsi="Arial" w:cs="Arial"/>
                <w:b/>
                <w:sz w:val="24"/>
                <w:szCs w:val="24"/>
                <w:lang w:val="en-GB"/>
              </w:rPr>
              <w:t>2025/26</w:t>
            </w:r>
          </w:p>
          <w:p w14:paraId="1B070450" w14:textId="77777777" w:rsidR="000729CF" w:rsidRPr="000729CF" w:rsidRDefault="000729CF" w:rsidP="000729CF">
            <w:pPr>
              <w:jc w:val="center"/>
              <w:rPr>
                <w:rFonts w:ascii="Arial" w:eastAsia="Calibri" w:hAnsi="Arial" w:cs="Arial"/>
                <w:b/>
                <w:sz w:val="24"/>
                <w:szCs w:val="24"/>
                <w:lang w:val="en-GB"/>
              </w:rPr>
            </w:pPr>
            <w:r w:rsidRPr="000729CF">
              <w:rPr>
                <w:rFonts w:ascii="Arial" w:eastAsia="Calibri" w:hAnsi="Arial" w:cs="Arial"/>
                <w:b/>
                <w:sz w:val="24"/>
                <w:szCs w:val="24"/>
                <w:lang w:val="en-GB"/>
              </w:rPr>
              <w:t>Estimate</w:t>
            </w:r>
          </w:p>
        </w:tc>
        <w:tc>
          <w:tcPr>
            <w:tcW w:w="822" w:type="pct"/>
            <w:vMerge w:val="restart"/>
            <w:shd w:val="clear" w:color="auto" w:fill="17365D"/>
          </w:tcPr>
          <w:p w14:paraId="773D3997" w14:textId="77777777" w:rsidR="000729CF" w:rsidRPr="000729CF" w:rsidRDefault="000729CF" w:rsidP="000729CF">
            <w:pPr>
              <w:jc w:val="center"/>
              <w:rPr>
                <w:rFonts w:ascii="Arial" w:eastAsia="Calibri" w:hAnsi="Arial" w:cs="Arial"/>
                <w:b/>
                <w:sz w:val="24"/>
                <w:szCs w:val="24"/>
                <w:lang w:val="en-GB"/>
              </w:rPr>
            </w:pPr>
            <w:r w:rsidRPr="000729CF">
              <w:rPr>
                <w:rFonts w:ascii="Arial" w:eastAsia="Calibri" w:hAnsi="Arial" w:cs="Arial"/>
                <w:b/>
                <w:sz w:val="24"/>
                <w:szCs w:val="24"/>
                <w:lang w:val="en-GB"/>
              </w:rPr>
              <w:t>2026/27</w:t>
            </w:r>
          </w:p>
          <w:p w14:paraId="02D74F78" w14:textId="77777777" w:rsidR="000729CF" w:rsidRPr="000729CF" w:rsidRDefault="000729CF" w:rsidP="000729CF">
            <w:pPr>
              <w:jc w:val="center"/>
              <w:rPr>
                <w:rFonts w:ascii="Arial" w:eastAsia="Calibri" w:hAnsi="Arial" w:cs="Arial"/>
                <w:b/>
                <w:sz w:val="24"/>
                <w:szCs w:val="24"/>
                <w:lang w:val="en-GB"/>
              </w:rPr>
            </w:pPr>
            <w:r w:rsidRPr="000729CF">
              <w:rPr>
                <w:rFonts w:ascii="Arial" w:eastAsia="Calibri" w:hAnsi="Arial" w:cs="Arial"/>
                <w:b/>
                <w:sz w:val="24"/>
                <w:szCs w:val="24"/>
                <w:lang w:val="en-GB"/>
              </w:rPr>
              <w:t>Estimate</w:t>
            </w:r>
          </w:p>
        </w:tc>
      </w:tr>
      <w:tr w:rsidR="000729CF" w:rsidRPr="000729CF" w14:paraId="183C72D8" w14:textId="77777777" w:rsidTr="00BC26AB">
        <w:tc>
          <w:tcPr>
            <w:tcW w:w="660" w:type="pct"/>
            <w:tcBorders>
              <w:top w:val="nil"/>
            </w:tcBorders>
            <w:shd w:val="clear" w:color="auto" w:fill="17365D"/>
            <w:vAlign w:val="center"/>
          </w:tcPr>
          <w:p w14:paraId="236FAB26" w14:textId="77777777" w:rsidR="000729CF" w:rsidRPr="000729CF" w:rsidRDefault="000729CF" w:rsidP="000729CF">
            <w:pPr>
              <w:jc w:val="center"/>
              <w:rPr>
                <w:rFonts w:ascii="Arial" w:eastAsia="Calibri" w:hAnsi="Arial" w:cs="Arial"/>
                <w:b/>
                <w:sz w:val="24"/>
                <w:szCs w:val="24"/>
                <w:lang w:val="en-GB"/>
              </w:rPr>
            </w:pPr>
            <w:r w:rsidRPr="000729CF">
              <w:rPr>
                <w:rFonts w:ascii="Arial" w:eastAsia="Calibri" w:hAnsi="Arial" w:cs="Arial"/>
                <w:b/>
                <w:sz w:val="24"/>
                <w:szCs w:val="24"/>
                <w:lang w:val="en-GB"/>
              </w:rPr>
              <w:t>Estimate</w:t>
            </w:r>
          </w:p>
        </w:tc>
        <w:tc>
          <w:tcPr>
            <w:tcW w:w="1878" w:type="pct"/>
            <w:vMerge/>
            <w:shd w:val="clear" w:color="auto" w:fill="17365D"/>
          </w:tcPr>
          <w:p w14:paraId="0E0590F2" w14:textId="77777777" w:rsidR="000729CF" w:rsidRPr="000729CF" w:rsidRDefault="000729CF" w:rsidP="000729CF">
            <w:pPr>
              <w:jc w:val="both"/>
              <w:rPr>
                <w:rFonts w:ascii="Arial" w:eastAsia="Calibri" w:hAnsi="Arial" w:cs="Arial"/>
                <w:b/>
                <w:sz w:val="24"/>
                <w:szCs w:val="24"/>
                <w:lang w:val="en-GB"/>
              </w:rPr>
            </w:pPr>
          </w:p>
        </w:tc>
        <w:tc>
          <w:tcPr>
            <w:tcW w:w="820" w:type="pct"/>
            <w:vMerge/>
            <w:shd w:val="clear" w:color="auto" w:fill="17365D"/>
            <w:vAlign w:val="center"/>
          </w:tcPr>
          <w:p w14:paraId="069659FA" w14:textId="77777777" w:rsidR="000729CF" w:rsidRPr="000729CF" w:rsidRDefault="000729CF" w:rsidP="000729CF">
            <w:pPr>
              <w:jc w:val="center"/>
              <w:rPr>
                <w:rFonts w:ascii="Arial" w:eastAsia="Calibri" w:hAnsi="Arial" w:cs="Arial"/>
                <w:b/>
                <w:sz w:val="24"/>
                <w:szCs w:val="24"/>
                <w:lang w:val="en-GB"/>
              </w:rPr>
            </w:pPr>
          </w:p>
        </w:tc>
        <w:tc>
          <w:tcPr>
            <w:tcW w:w="820" w:type="pct"/>
            <w:vMerge/>
            <w:shd w:val="clear" w:color="auto" w:fill="17365D"/>
            <w:vAlign w:val="center"/>
          </w:tcPr>
          <w:p w14:paraId="510678ED" w14:textId="77777777" w:rsidR="000729CF" w:rsidRPr="000729CF" w:rsidRDefault="000729CF" w:rsidP="000729CF">
            <w:pPr>
              <w:jc w:val="center"/>
              <w:rPr>
                <w:rFonts w:ascii="Arial" w:eastAsia="Calibri" w:hAnsi="Arial" w:cs="Arial"/>
                <w:b/>
                <w:sz w:val="24"/>
                <w:szCs w:val="24"/>
                <w:lang w:val="en-GB"/>
              </w:rPr>
            </w:pPr>
          </w:p>
        </w:tc>
        <w:tc>
          <w:tcPr>
            <w:tcW w:w="822" w:type="pct"/>
            <w:vMerge/>
            <w:shd w:val="clear" w:color="auto" w:fill="17365D"/>
            <w:vAlign w:val="center"/>
          </w:tcPr>
          <w:p w14:paraId="005A0347" w14:textId="77777777" w:rsidR="000729CF" w:rsidRPr="000729CF" w:rsidRDefault="000729CF" w:rsidP="000729CF">
            <w:pPr>
              <w:jc w:val="center"/>
              <w:rPr>
                <w:rFonts w:ascii="Arial" w:eastAsia="Calibri" w:hAnsi="Arial" w:cs="Arial"/>
                <w:b/>
                <w:sz w:val="24"/>
                <w:szCs w:val="24"/>
                <w:lang w:val="en-GB"/>
              </w:rPr>
            </w:pPr>
          </w:p>
        </w:tc>
      </w:tr>
      <w:tr w:rsidR="000729CF" w:rsidRPr="000729CF" w14:paraId="14EBEB56" w14:textId="77777777" w:rsidTr="00BC26AB">
        <w:tc>
          <w:tcPr>
            <w:tcW w:w="660" w:type="pct"/>
            <w:tcBorders>
              <w:bottom w:val="single" w:sz="4" w:space="0" w:color="auto"/>
            </w:tcBorders>
            <w:shd w:val="clear" w:color="auto" w:fill="17365D"/>
            <w:vAlign w:val="center"/>
          </w:tcPr>
          <w:p w14:paraId="620E76D9" w14:textId="77777777" w:rsidR="000729CF" w:rsidRPr="000729CF" w:rsidRDefault="000729CF" w:rsidP="000729CF">
            <w:pPr>
              <w:jc w:val="center"/>
              <w:rPr>
                <w:rFonts w:ascii="Arial" w:eastAsia="Calibri" w:hAnsi="Arial" w:cs="Arial"/>
                <w:b/>
                <w:sz w:val="24"/>
                <w:szCs w:val="24"/>
                <w:lang w:val="en-GB"/>
              </w:rPr>
            </w:pPr>
            <w:r w:rsidRPr="000729CF">
              <w:rPr>
                <w:rFonts w:ascii="Arial" w:eastAsia="Calibri" w:hAnsi="Arial" w:cs="Arial"/>
                <w:b/>
                <w:sz w:val="24"/>
                <w:szCs w:val="24"/>
                <w:lang w:val="en-GB"/>
              </w:rPr>
              <w:t>£m</w:t>
            </w:r>
          </w:p>
        </w:tc>
        <w:tc>
          <w:tcPr>
            <w:tcW w:w="1878" w:type="pct"/>
            <w:vMerge/>
            <w:tcBorders>
              <w:bottom w:val="single" w:sz="4" w:space="0" w:color="auto"/>
            </w:tcBorders>
            <w:shd w:val="clear" w:color="auto" w:fill="17365D"/>
          </w:tcPr>
          <w:p w14:paraId="5FF25BBF" w14:textId="77777777" w:rsidR="000729CF" w:rsidRPr="000729CF" w:rsidRDefault="000729CF" w:rsidP="000729CF">
            <w:pPr>
              <w:jc w:val="both"/>
              <w:rPr>
                <w:rFonts w:ascii="Arial" w:eastAsia="Calibri" w:hAnsi="Arial" w:cs="Arial"/>
                <w:b/>
                <w:sz w:val="24"/>
                <w:szCs w:val="24"/>
                <w:lang w:val="en-GB"/>
              </w:rPr>
            </w:pPr>
          </w:p>
        </w:tc>
        <w:tc>
          <w:tcPr>
            <w:tcW w:w="820" w:type="pct"/>
            <w:tcBorders>
              <w:bottom w:val="single" w:sz="4" w:space="0" w:color="auto"/>
            </w:tcBorders>
            <w:shd w:val="clear" w:color="auto" w:fill="17365D"/>
            <w:vAlign w:val="center"/>
          </w:tcPr>
          <w:p w14:paraId="6FB69689" w14:textId="77777777" w:rsidR="000729CF" w:rsidRPr="000729CF" w:rsidRDefault="000729CF" w:rsidP="000729CF">
            <w:pPr>
              <w:jc w:val="center"/>
              <w:rPr>
                <w:rFonts w:ascii="Arial" w:eastAsia="Calibri" w:hAnsi="Arial" w:cs="Arial"/>
                <w:b/>
                <w:sz w:val="24"/>
                <w:szCs w:val="24"/>
                <w:lang w:val="en-GB"/>
              </w:rPr>
            </w:pPr>
            <w:r w:rsidRPr="000729CF">
              <w:rPr>
                <w:rFonts w:ascii="Arial" w:eastAsia="Calibri" w:hAnsi="Arial" w:cs="Arial"/>
                <w:b/>
                <w:sz w:val="24"/>
                <w:szCs w:val="24"/>
                <w:lang w:val="en-GB"/>
              </w:rPr>
              <w:t>£m</w:t>
            </w:r>
          </w:p>
        </w:tc>
        <w:tc>
          <w:tcPr>
            <w:tcW w:w="820" w:type="pct"/>
            <w:tcBorders>
              <w:bottom w:val="single" w:sz="4" w:space="0" w:color="auto"/>
            </w:tcBorders>
            <w:shd w:val="clear" w:color="auto" w:fill="17365D"/>
            <w:vAlign w:val="center"/>
          </w:tcPr>
          <w:p w14:paraId="4AB9F20A" w14:textId="77777777" w:rsidR="000729CF" w:rsidRPr="000729CF" w:rsidRDefault="000729CF" w:rsidP="000729CF">
            <w:pPr>
              <w:jc w:val="center"/>
              <w:rPr>
                <w:rFonts w:ascii="Arial" w:eastAsia="Calibri" w:hAnsi="Arial" w:cs="Arial"/>
                <w:b/>
                <w:sz w:val="24"/>
                <w:szCs w:val="24"/>
                <w:lang w:val="en-GB"/>
              </w:rPr>
            </w:pPr>
            <w:r w:rsidRPr="000729CF">
              <w:rPr>
                <w:rFonts w:ascii="Arial" w:eastAsia="Calibri" w:hAnsi="Arial" w:cs="Arial"/>
                <w:b/>
                <w:sz w:val="24"/>
                <w:szCs w:val="24"/>
                <w:lang w:val="en-GB"/>
              </w:rPr>
              <w:t>£m</w:t>
            </w:r>
          </w:p>
        </w:tc>
        <w:tc>
          <w:tcPr>
            <w:tcW w:w="822" w:type="pct"/>
            <w:tcBorders>
              <w:bottom w:val="single" w:sz="4" w:space="0" w:color="auto"/>
            </w:tcBorders>
            <w:shd w:val="clear" w:color="auto" w:fill="17365D"/>
            <w:vAlign w:val="center"/>
          </w:tcPr>
          <w:p w14:paraId="5A87559A" w14:textId="77777777" w:rsidR="000729CF" w:rsidRPr="000729CF" w:rsidRDefault="000729CF" w:rsidP="000729CF">
            <w:pPr>
              <w:jc w:val="center"/>
              <w:rPr>
                <w:rFonts w:ascii="Arial" w:eastAsia="Calibri" w:hAnsi="Arial" w:cs="Arial"/>
                <w:b/>
                <w:sz w:val="24"/>
                <w:szCs w:val="24"/>
                <w:lang w:val="en-GB"/>
              </w:rPr>
            </w:pPr>
            <w:r w:rsidRPr="000729CF">
              <w:rPr>
                <w:rFonts w:ascii="Arial" w:eastAsia="Calibri" w:hAnsi="Arial" w:cs="Arial"/>
                <w:b/>
                <w:sz w:val="24"/>
                <w:szCs w:val="24"/>
                <w:lang w:val="en-GB"/>
              </w:rPr>
              <w:t>£m</w:t>
            </w:r>
          </w:p>
        </w:tc>
      </w:tr>
      <w:tr w:rsidR="000729CF" w:rsidRPr="000729CF" w14:paraId="2E66E609" w14:textId="77777777" w:rsidTr="00BC26AB">
        <w:trPr>
          <w:trHeight w:val="283"/>
        </w:trPr>
        <w:tc>
          <w:tcPr>
            <w:tcW w:w="5000" w:type="pct"/>
            <w:gridSpan w:val="5"/>
            <w:tcBorders>
              <w:top w:val="single" w:sz="4" w:space="0" w:color="auto"/>
              <w:left w:val="single" w:sz="4" w:space="0" w:color="auto"/>
              <w:bottom w:val="nil"/>
              <w:right w:val="single" w:sz="4" w:space="0" w:color="auto"/>
            </w:tcBorders>
            <w:shd w:val="clear" w:color="auto" w:fill="548DD4"/>
            <w:vAlign w:val="center"/>
          </w:tcPr>
          <w:p w14:paraId="39AFF56B" w14:textId="77777777" w:rsidR="000729CF" w:rsidRPr="000729CF" w:rsidRDefault="000729CF" w:rsidP="000729CF">
            <w:pPr>
              <w:rPr>
                <w:rFonts w:ascii="Arial" w:eastAsia="Calibri" w:hAnsi="Arial" w:cs="Arial"/>
                <w:b/>
                <w:sz w:val="24"/>
                <w:szCs w:val="24"/>
                <w:highlight w:val="yellow"/>
                <w:lang w:val="en-GB"/>
              </w:rPr>
            </w:pPr>
            <w:r w:rsidRPr="000729CF">
              <w:rPr>
                <w:rFonts w:ascii="Arial" w:eastAsia="Calibri" w:hAnsi="Arial" w:cs="Arial"/>
                <w:b/>
                <w:sz w:val="24"/>
                <w:szCs w:val="24"/>
                <w:lang w:val="en-GB"/>
              </w:rPr>
              <w:t>General Fund</w:t>
            </w:r>
          </w:p>
        </w:tc>
      </w:tr>
      <w:tr w:rsidR="000729CF" w:rsidRPr="000729CF" w14:paraId="09F469D0" w14:textId="77777777" w:rsidTr="00BC26AB">
        <w:trPr>
          <w:trHeight w:val="283"/>
        </w:trPr>
        <w:tc>
          <w:tcPr>
            <w:tcW w:w="660" w:type="pct"/>
            <w:tcBorders>
              <w:top w:val="single" w:sz="4" w:space="0" w:color="auto"/>
              <w:left w:val="single" w:sz="4" w:space="0" w:color="auto"/>
              <w:bottom w:val="nil"/>
              <w:right w:val="single" w:sz="4" w:space="0" w:color="auto"/>
            </w:tcBorders>
            <w:vAlign w:val="center"/>
          </w:tcPr>
          <w:p w14:paraId="3C93AAC8"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180</w:t>
            </w:r>
          </w:p>
        </w:tc>
        <w:tc>
          <w:tcPr>
            <w:tcW w:w="1878" w:type="pct"/>
            <w:tcBorders>
              <w:top w:val="single" w:sz="4" w:space="0" w:color="auto"/>
              <w:left w:val="single" w:sz="4" w:space="0" w:color="auto"/>
              <w:bottom w:val="nil"/>
              <w:right w:val="single" w:sz="4" w:space="0" w:color="auto"/>
            </w:tcBorders>
            <w:shd w:val="clear" w:color="auto" w:fill="auto"/>
          </w:tcPr>
          <w:p w14:paraId="080B8763" w14:textId="77777777" w:rsidR="000729CF" w:rsidRPr="000729CF" w:rsidRDefault="000729CF" w:rsidP="000729CF">
            <w:pPr>
              <w:jc w:val="both"/>
              <w:rPr>
                <w:rFonts w:ascii="Arial" w:eastAsia="Calibri" w:hAnsi="Arial" w:cs="Arial"/>
                <w:sz w:val="24"/>
                <w:szCs w:val="24"/>
                <w:lang w:val="en-GB"/>
              </w:rPr>
            </w:pPr>
            <w:r w:rsidRPr="000729CF">
              <w:rPr>
                <w:rFonts w:ascii="Arial" w:eastAsia="Calibri" w:hAnsi="Arial" w:cs="Arial"/>
                <w:sz w:val="24"/>
                <w:szCs w:val="24"/>
                <w:lang w:val="en-GB"/>
              </w:rPr>
              <w:t>GF Debt at 1 April</w:t>
            </w:r>
          </w:p>
        </w:tc>
        <w:tc>
          <w:tcPr>
            <w:tcW w:w="820" w:type="pct"/>
            <w:tcBorders>
              <w:top w:val="single" w:sz="4" w:space="0" w:color="auto"/>
              <w:left w:val="single" w:sz="4" w:space="0" w:color="auto"/>
              <w:bottom w:val="nil"/>
              <w:right w:val="single" w:sz="4" w:space="0" w:color="auto"/>
            </w:tcBorders>
            <w:shd w:val="clear" w:color="auto" w:fill="auto"/>
            <w:vAlign w:val="center"/>
          </w:tcPr>
          <w:p w14:paraId="3D559471"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168</w:t>
            </w:r>
          </w:p>
        </w:tc>
        <w:tc>
          <w:tcPr>
            <w:tcW w:w="820" w:type="pct"/>
            <w:tcBorders>
              <w:top w:val="single" w:sz="4" w:space="0" w:color="auto"/>
              <w:left w:val="single" w:sz="4" w:space="0" w:color="auto"/>
              <w:bottom w:val="nil"/>
              <w:right w:val="single" w:sz="4" w:space="0" w:color="auto"/>
            </w:tcBorders>
            <w:shd w:val="clear" w:color="auto" w:fill="auto"/>
            <w:vAlign w:val="center"/>
          </w:tcPr>
          <w:p w14:paraId="172C84BA"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200</w:t>
            </w:r>
          </w:p>
        </w:tc>
        <w:tc>
          <w:tcPr>
            <w:tcW w:w="822" w:type="pct"/>
            <w:tcBorders>
              <w:top w:val="single" w:sz="4" w:space="0" w:color="auto"/>
              <w:left w:val="single" w:sz="4" w:space="0" w:color="auto"/>
              <w:bottom w:val="nil"/>
              <w:right w:val="single" w:sz="4" w:space="0" w:color="auto"/>
            </w:tcBorders>
            <w:shd w:val="clear" w:color="auto" w:fill="auto"/>
            <w:vAlign w:val="center"/>
          </w:tcPr>
          <w:p w14:paraId="21EC8699"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241</w:t>
            </w:r>
          </w:p>
        </w:tc>
      </w:tr>
      <w:tr w:rsidR="000729CF" w:rsidRPr="000729CF" w14:paraId="6EDCF621" w14:textId="77777777" w:rsidTr="00BC26AB">
        <w:trPr>
          <w:trHeight w:val="283"/>
        </w:trPr>
        <w:tc>
          <w:tcPr>
            <w:tcW w:w="660" w:type="pct"/>
            <w:tcBorders>
              <w:top w:val="nil"/>
              <w:left w:val="single" w:sz="4" w:space="0" w:color="auto"/>
              <w:bottom w:val="single" w:sz="4" w:space="0" w:color="auto"/>
              <w:right w:val="single" w:sz="4" w:space="0" w:color="auto"/>
            </w:tcBorders>
            <w:shd w:val="clear" w:color="auto" w:fill="auto"/>
            <w:vAlign w:val="center"/>
          </w:tcPr>
          <w:p w14:paraId="008BF5F5"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(12)</w:t>
            </w:r>
          </w:p>
        </w:tc>
        <w:tc>
          <w:tcPr>
            <w:tcW w:w="1878" w:type="pct"/>
            <w:tcBorders>
              <w:top w:val="nil"/>
              <w:left w:val="single" w:sz="4" w:space="0" w:color="auto"/>
              <w:bottom w:val="single" w:sz="4" w:space="0" w:color="auto"/>
              <w:right w:val="single" w:sz="4" w:space="0" w:color="auto"/>
            </w:tcBorders>
            <w:shd w:val="clear" w:color="auto" w:fill="auto"/>
          </w:tcPr>
          <w:p w14:paraId="14675D9F" w14:textId="77777777" w:rsidR="000729CF" w:rsidRPr="000729CF" w:rsidRDefault="000729CF" w:rsidP="000729CF">
            <w:pPr>
              <w:rPr>
                <w:rFonts w:ascii="Arial" w:eastAsia="Calibri" w:hAnsi="Arial" w:cs="Arial"/>
                <w:sz w:val="24"/>
                <w:szCs w:val="24"/>
                <w:lang w:val="en-GB"/>
              </w:rPr>
            </w:pPr>
            <w:r w:rsidRPr="000729CF">
              <w:rPr>
                <w:rFonts w:ascii="Arial" w:eastAsia="Calibri" w:hAnsi="Arial" w:cs="Arial"/>
                <w:sz w:val="24"/>
                <w:szCs w:val="24"/>
                <w:lang w:val="en-GB"/>
              </w:rPr>
              <w:t>Expected change in Debt</w:t>
            </w:r>
          </w:p>
        </w:tc>
        <w:tc>
          <w:tcPr>
            <w:tcW w:w="820" w:type="pct"/>
            <w:tcBorders>
              <w:top w:val="nil"/>
              <w:left w:val="single" w:sz="4" w:space="0" w:color="auto"/>
              <w:bottom w:val="single" w:sz="4" w:space="0" w:color="auto"/>
              <w:right w:val="single" w:sz="4" w:space="0" w:color="auto"/>
            </w:tcBorders>
            <w:shd w:val="clear" w:color="auto" w:fill="auto"/>
            <w:vAlign w:val="center"/>
          </w:tcPr>
          <w:p w14:paraId="5C7F5748"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32</w:t>
            </w:r>
          </w:p>
        </w:tc>
        <w:tc>
          <w:tcPr>
            <w:tcW w:w="820" w:type="pct"/>
            <w:tcBorders>
              <w:top w:val="nil"/>
              <w:left w:val="single" w:sz="4" w:space="0" w:color="auto"/>
              <w:bottom w:val="single" w:sz="4" w:space="0" w:color="auto"/>
              <w:right w:val="single" w:sz="4" w:space="0" w:color="auto"/>
            </w:tcBorders>
            <w:shd w:val="clear" w:color="auto" w:fill="auto"/>
            <w:vAlign w:val="center"/>
          </w:tcPr>
          <w:p w14:paraId="1C44452E"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41</w:t>
            </w:r>
          </w:p>
        </w:tc>
        <w:tc>
          <w:tcPr>
            <w:tcW w:w="822" w:type="pct"/>
            <w:tcBorders>
              <w:top w:val="nil"/>
              <w:left w:val="single" w:sz="4" w:space="0" w:color="auto"/>
              <w:bottom w:val="single" w:sz="4" w:space="0" w:color="auto"/>
              <w:right w:val="single" w:sz="4" w:space="0" w:color="auto"/>
            </w:tcBorders>
            <w:shd w:val="clear" w:color="auto" w:fill="auto"/>
            <w:vAlign w:val="center"/>
          </w:tcPr>
          <w:p w14:paraId="021EB39B"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(4)</w:t>
            </w:r>
          </w:p>
        </w:tc>
      </w:tr>
      <w:tr w:rsidR="000729CF" w:rsidRPr="000729CF" w14:paraId="7FAFE04E" w14:textId="77777777" w:rsidTr="00BC26AB">
        <w:trPr>
          <w:trHeight w:val="283"/>
        </w:trPr>
        <w:tc>
          <w:tcPr>
            <w:tcW w:w="660" w:type="pct"/>
            <w:tcBorders>
              <w:top w:val="single" w:sz="4" w:space="0" w:color="auto"/>
              <w:bottom w:val="single" w:sz="4" w:space="0" w:color="auto"/>
              <w:right w:val="single" w:sz="4" w:space="0" w:color="auto"/>
            </w:tcBorders>
            <w:vAlign w:val="center"/>
          </w:tcPr>
          <w:p w14:paraId="2DDB525E" w14:textId="77777777" w:rsidR="000729CF" w:rsidRPr="000729CF" w:rsidRDefault="000729CF" w:rsidP="000729CF">
            <w:pPr>
              <w:jc w:val="right"/>
              <w:rPr>
                <w:rFonts w:ascii="Arial" w:eastAsia="Calibri" w:hAnsi="Arial" w:cs="Arial"/>
                <w:b/>
                <w:sz w:val="24"/>
                <w:szCs w:val="24"/>
                <w:lang w:val="en-GB"/>
              </w:rPr>
            </w:pPr>
            <w:r w:rsidRPr="000729CF">
              <w:rPr>
                <w:rFonts w:ascii="Arial" w:eastAsia="Calibri" w:hAnsi="Arial" w:cs="Arial"/>
                <w:b/>
                <w:sz w:val="24"/>
                <w:szCs w:val="24"/>
                <w:lang w:val="en-GB"/>
              </w:rPr>
              <w:t>168</w:t>
            </w:r>
          </w:p>
        </w:tc>
        <w:tc>
          <w:tcPr>
            <w:tcW w:w="1878" w:type="pct"/>
            <w:tcBorders>
              <w:top w:val="single" w:sz="4" w:space="0" w:color="auto"/>
              <w:bottom w:val="single" w:sz="4" w:space="0" w:color="auto"/>
              <w:right w:val="single" w:sz="4" w:space="0" w:color="auto"/>
            </w:tcBorders>
            <w:shd w:val="clear" w:color="auto" w:fill="auto"/>
          </w:tcPr>
          <w:p w14:paraId="51F3ACCD" w14:textId="77777777" w:rsidR="000729CF" w:rsidRPr="000729CF" w:rsidRDefault="000729CF" w:rsidP="000729CF">
            <w:pPr>
              <w:rPr>
                <w:rFonts w:ascii="Arial" w:eastAsia="Calibri" w:hAnsi="Arial" w:cs="Arial"/>
                <w:b/>
                <w:sz w:val="24"/>
                <w:szCs w:val="24"/>
                <w:lang w:val="en-GB"/>
              </w:rPr>
            </w:pPr>
            <w:r w:rsidRPr="000729CF">
              <w:rPr>
                <w:rFonts w:ascii="Arial" w:eastAsia="Calibri" w:hAnsi="Arial" w:cs="Arial"/>
                <w:b/>
                <w:sz w:val="24"/>
                <w:szCs w:val="24"/>
                <w:lang w:val="en-GB"/>
              </w:rPr>
              <w:t>GF Debt at 31 March</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14:paraId="0C390759" w14:textId="77777777" w:rsidR="000729CF" w:rsidRPr="000729CF" w:rsidRDefault="000729CF" w:rsidP="000729CF">
            <w:pPr>
              <w:jc w:val="right"/>
              <w:rPr>
                <w:rFonts w:ascii="Arial" w:eastAsia="Calibri" w:hAnsi="Arial" w:cs="Arial"/>
                <w:b/>
                <w:sz w:val="24"/>
                <w:szCs w:val="24"/>
                <w:lang w:val="en-GB"/>
              </w:rPr>
            </w:pPr>
            <w:r w:rsidRPr="000729CF">
              <w:rPr>
                <w:rFonts w:ascii="Arial" w:eastAsia="Calibri" w:hAnsi="Arial" w:cs="Arial"/>
                <w:b/>
                <w:sz w:val="24"/>
                <w:szCs w:val="24"/>
                <w:lang w:val="en-GB"/>
              </w:rPr>
              <w:t>200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14:paraId="02DB90C4" w14:textId="77777777" w:rsidR="000729CF" w:rsidRPr="000729CF" w:rsidRDefault="000729CF" w:rsidP="000729CF">
            <w:pPr>
              <w:jc w:val="right"/>
              <w:rPr>
                <w:rFonts w:ascii="Arial" w:eastAsia="Calibri" w:hAnsi="Arial" w:cs="Arial"/>
                <w:b/>
                <w:sz w:val="24"/>
                <w:szCs w:val="24"/>
                <w:lang w:val="en-GB"/>
              </w:rPr>
            </w:pPr>
            <w:r w:rsidRPr="000729CF">
              <w:rPr>
                <w:rFonts w:ascii="Arial" w:eastAsia="Calibri" w:hAnsi="Arial" w:cs="Arial"/>
                <w:b/>
                <w:sz w:val="24"/>
                <w:szCs w:val="24"/>
                <w:lang w:val="en-GB"/>
              </w:rPr>
              <w:t>241</w:t>
            </w:r>
          </w:p>
        </w:tc>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14:paraId="3C4D61DB" w14:textId="77777777" w:rsidR="000729CF" w:rsidRPr="000729CF" w:rsidRDefault="000729CF" w:rsidP="000729CF">
            <w:pPr>
              <w:jc w:val="right"/>
              <w:rPr>
                <w:rFonts w:ascii="Arial" w:eastAsia="Calibri" w:hAnsi="Arial" w:cs="Arial"/>
                <w:b/>
                <w:sz w:val="24"/>
                <w:szCs w:val="24"/>
                <w:lang w:val="en-GB"/>
              </w:rPr>
            </w:pPr>
            <w:r w:rsidRPr="000729CF">
              <w:rPr>
                <w:rFonts w:ascii="Arial" w:eastAsia="Calibri" w:hAnsi="Arial" w:cs="Arial"/>
                <w:b/>
                <w:sz w:val="24"/>
                <w:szCs w:val="24"/>
                <w:lang w:val="en-GB"/>
              </w:rPr>
              <w:t>237</w:t>
            </w:r>
          </w:p>
        </w:tc>
      </w:tr>
      <w:tr w:rsidR="000729CF" w:rsidRPr="000729CF" w14:paraId="02567D0C" w14:textId="77777777" w:rsidTr="00BC26AB">
        <w:trPr>
          <w:trHeight w:val="283"/>
        </w:trPr>
        <w:tc>
          <w:tcPr>
            <w:tcW w:w="660" w:type="pct"/>
            <w:tcBorders>
              <w:top w:val="single" w:sz="4" w:space="0" w:color="auto"/>
              <w:bottom w:val="nil"/>
              <w:right w:val="single" w:sz="4" w:space="0" w:color="auto"/>
            </w:tcBorders>
            <w:vAlign w:val="center"/>
          </w:tcPr>
          <w:p w14:paraId="193D07B3"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212</w:t>
            </w:r>
          </w:p>
        </w:tc>
        <w:tc>
          <w:tcPr>
            <w:tcW w:w="1878" w:type="pct"/>
            <w:tcBorders>
              <w:top w:val="single" w:sz="4" w:space="0" w:color="auto"/>
              <w:bottom w:val="nil"/>
              <w:right w:val="single" w:sz="4" w:space="0" w:color="auto"/>
            </w:tcBorders>
            <w:shd w:val="clear" w:color="auto" w:fill="auto"/>
          </w:tcPr>
          <w:p w14:paraId="555D1F24" w14:textId="77777777" w:rsidR="000729CF" w:rsidRPr="000729CF" w:rsidRDefault="000729CF" w:rsidP="000729CF">
            <w:pPr>
              <w:jc w:val="both"/>
              <w:rPr>
                <w:rFonts w:ascii="Arial" w:eastAsia="Calibri" w:hAnsi="Arial" w:cs="Arial"/>
                <w:sz w:val="24"/>
                <w:szCs w:val="24"/>
                <w:lang w:val="en-GB"/>
              </w:rPr>
            </w:pPr>
            <w:r w:rsidRPr="000729CF">
              <w:rPr>
                <w:rFonts w:ascii="Arial" w:eastAsia="Calibri" w:hAnsi="Arial" w:cs="Arial"/>
                <w:sz w:val="24"/>
                <w:szCs w:val="24"/>
                <w:lang w:val="en-GB"/>
              </w:rPr>
              <w:t>GF CFR* at 1 April</w:t>
            </w:r>
          </w:p>
        </w:tc>
        <w:tc>
          <w:tcPr>
            <w:tcW w:w="820" w:type="pct"/>
            <w:tcBorders>
              <w:top w:val="single" w:sz="4" w:space="0" w:color="auto"/>
              <w:left w:val="single" w:sz="4" w:space="0" w:color="auto"/>
              <w:bottom w:val="nil"/>
              <w:right w:val="single" w:sz="4" w:space="0" w:color="auto"/>
            </w:tcBorders>
            <w:shd w:val="clear" w:color="auto" w:fill="auto"/>
            <w:vAlign w:val="center"/>
          </w:tcPr>
          <w:p w14:paraId="70807BFF"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237</w:t>
            </w:r>
          </w:p>
        </w:tc>
        <w:tc>
          <w:tcPr>
            <w:tcW w:w="820" w:type="pct"/>
            <w:tcBorders>
              <w:top w:val="single" w:sz="4" w:space="0" w:color="auto"/>
              <w:left w:val="single" w:sz="4" w:space="0" w:color="auto"/>
              <w:bottom w:val="nil"/>
              <w:right w:val="single" w:sz="4" w:space="0" w:color="auto"/>
            </w:tcBorders>
            <w:shd w:val="clear" w:color="auto" w:fill="auto"/>
            <w:vAlign w:val="center"/>
          </w:tcPr>
          <w:p w14:paraId="0C21D043"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276</w:t>
            </w:r>
          </w:p>
        </w:tc>
        <w:tc>
          <w:tcPr>
            <w:tcW w:w="822" w:type="pct"/>
            <w:tcBorders>
              <w:top w:val="single" w:sz="4" w:space="0" w:color="auto"/>
              <w:left w:val="single" w:sz="4" w:space="0" w:color="auto"/>
              <w:bottom w:val="nil"/>
              <w:right w:val="single" w:sz="4" w:space="0" w:color="auto"/>
            </w:tcBorders>
            <w:shd w:val="clear" w:color="auto" w:fill="auto"/>
            <w:vAlign w:val="center"/>
          </w:tcPr>
          <w:p w14:paraId="083F601A"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317</w:t>
            </w:r>
          </w:p>
        </w:tc>
      </w:tr>
      <w:tr w:rsidR="000729CF" w:rsidRPr="000729CF" w14:paraId="711A0E09" w14:textId="77777777" w:rsidTr="00BC26AB">
        <w:trPr>
          <w:trHeight w:val="283"/>
        </w:trPr>
        <w:tc>
          <w:tcPr>
            <w:tcW w:w="660" w:type="pct"/>
            <w:tcBorders>
              <w:top w:val="nil"/>
              <w:bottom w:val="nil"/>
              <w:right w:val="single" w:sz="4" w:space="0" w:color="auto"/>
            </w:tcBorders>
            <w:vAlign w:val="center"/>
          </w:tcPr>
          <w:p w14:paraId="4B07E04B"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34</w:t>
            </w:r>
          </w:p>
        </w:tc>
        <w:tc>
          <w:tcPr>
            <w:tcW w:w="1878" w:type="pct"/>
            <w:tcBorders>
              <w:top w:val="nil"/>
              <w:bottom w:val="nil"/>
              <w:right w:val="single" w:sz="4" w:space="0" w:color="auto"/>
            </w:tcBorders>
            <w:shd w:val="clear" w:color="auto" w:fill="auto"/>
          </w:tcPr>
          <w:p w14:paraId="08347A2A" w14:textId="77777777" w:rsidR="000729CF" w:rsidRPr="000729CF" w:rsidRDefault="000729CF" w:rsidP="000729CF">
            <w:pPr>
              <w:rPr>
                <w:rFonts w:ascii="Arial" w:eastAsia="Calibri" w:hAnsi="Arial" w:cs="Arial"/>
                <w:sz w:val="24"/>
                <w:szCs w:val="24"/>
                <w:lang w:val="en-GB"/>
              </w:rPr>
            </w:pPr>
            <w:r w:rsidRPr="000729CF">
              <w:rPr>
                <w:rFonts w:ascii="Arial" w:eastAsia="Calibri" w:hAnsi="Arial" w:cs="Arial"/>
                <w:sz w:val="24"/>
                <w:szCs w:val="24"/>
                <w:lang w:val="en-GB"/>
              </w:rPr>
              <w:t>Borrowing need (Table 2)</w:t>
            </w:r>
          </w:p>
        </w:tc>
        <w:tc>
          <w:tcPr>
            <w:tcW w:w="820" w:type="pct"/>
            <w:tcBorders>
              <w:top w:val="nil"/>
              <w:left w:val="single" w:sz="4" w:space="0" w:color="auto"/>
              <w:bottom w:val="nil"/>
              <w:right w:val="single" w:sz="4" w:space="0" w:color="auto"/>
            </w:tcBorders>
            <w:shd w:val="clear" w:color="auto" w:fill="auto"/>
            <w:vAlign w:val="center"/>
          </w:tcPr>
          <w:p w14:paraId="603F4A5D"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50</w:t>
            </w:r>
          </w:p>
        </w:tc>
        <w:tc>
          <w:tcPr>
            <w:tcW w:w="820" w:type="pct"/>
            <w:tcBorders>
              <w:top w:val="nil"/>
              <w:left w:val="single" w:sz="4" w:space="0" w:color="auto"/>
              <w:bottom w:val="nil"/>
              <w:right w:val="single" w:sz="4" w:space="0" w:color="auto"/>
            </w:tcBorders>
            <w:shd w:val="clear" w:color="auto" w:fill="auto"/>
            <w:vAlign w:val="center"/>
          </w:tcPr>
          <w:p w14:paraId="7714B8F5"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54</w:t>
            </w:r>
          </w:p>
        </w:tc>
        <w:tc>
          <w:tcPr>
            <w:tcW w:w="822" w:type="pct"/>
            <w:tcBorders>
              <w:top w:val="nil"/>
              <w:left w:val="single" w:sz="4" w:space="0" w:color="auto"/>
              <w:bottom w:val="nil"/>
              <w:right w:val="single" w:sz="4" w:space="0" w:color="auto"/>
            </w:tcBorders>
            <w:shd w:val="clear" w:color="auto" w:fill="auto"/>
            <w:vAlign w:val="center"/>
          </w:tcPr>
          <w:p w14:paraId="710893C6"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10</w:t>
            </w:r>
          </w:p>
        </w:tc>
      </w:tr>
      <w:tr w:rsidR="000729CF" w:rsidRPr="000729CF" w14:paraId="0D189657" w14:textId="77777777" w:rsidTr="00BC26AB">
        <w:trPr>
          <w:trHeight w:val="321"/>
        </w:trPr>
        <w:tc>
          <w:tcPr>
            <w:tcW w:w="660" w:type="pct"/>
            <w:tcBorders>
              <w:top w:val="nil"/>
              <w:right w:val="single" w:sz="4" w:space="0" w:color="auto"/>
            </w:tcBorders>
            <w:vAlign w:val="center"/>
          </w:tcPr>
          <w:p w14:paraId="0F9959E5"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(9)</w:t>
            </w:r>
          </w:p>
        </w:tc>
        <w:tc>
          <w:tcPr>
            <w:tcW w:w="1878" w:type="pct"/>
            <w:tcBorders>
              <w:top w:val="nil"/>
              <w:right w:val="single" w:sz="4" w:space="0" w:color="auto"/>
            </w:tcBorders>
            <w:shd w:val="clear" w:color="auto" w:fill="auto"/>
          </w:tcPr>
          <w:p w14:paraId="091A6BF4" w14:textId="77777777" w:rsidR="000729CF" w:rsidRPr="000729CF" w:rsidRDefault="000729CF" w:rsidP="000729CF">
            <w:pPr>
              <w:jc w:val="both"/>
              <w:rPr>
                <w:rFonts w:ascii="Arial" w:eastAsia="Calibri" w:hAnsi="Arial" w:cs="Arial"/>
                <w:sz w:val="24"/>
                <w:szCs w:val="24"/>
                <w:lang w:val="en-GB"/>
              </w:rPr>
            </w:pPr>
            <w:r w:rsidRPr="000729CF">
              <w:rPr>
                <w:rFonts w:ascii="Arial" w:eastAsia="Calibri" w:hAnsi="Arial" w:cs="Arial"/>
                <w:sz w:val="24"/>
                <w:szCs w:val="24"/>
                <w:lang w:val="en-GB"/>
              </w:rPr>
              <w:t>MRP</w:t>
            </w:r>
          </w:p>
        </w:tc>
        <w:tc>
          <w:tcPr>
            <w:tcW w:w="820" w:type="pct"/>
            <w:tcBorders>
              <w:top w:val="nil"/>
              <w:left w:val="single" w:sz="4" w:space="0" w:color="auto"/>
              <w:bottom w:val="single" w:sz="4" w:space="0" w:color="auto"/>
              <w:right w:val="single" w:sz="4" w:space="0" w:color="auto"/>
            </w:tcBorders>
            <w:shd w:val="clear" w:color="auto" w:fill="auto"/>
            <w:vAlign w:val="center"/>
          </w:tcPr>
          <w:p w14:paraId="55AC273D"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(11)</w:t>
            </w:r>
          </w:p>
        </w:tc>
        <w:tc>
          <w:tcPr>
            <w:tcW w:w="820" w:type="pct"/>
            <w:tcBorders>
              <w:top w:val="nil"/>
              <w:left w:val="single" w:sz="4" w:space="0" w:color="auto"/>
              <w:bottom w:val="single" w:sz="4" w:space="0" w:color="auto"/>
              <w:right w:val="single" w:sz="4" w:space="0" w:color="auto"/>
            </w:tcBorders>
            <w:shd w:val="clear" w:color="auto" w:fill="auto"/>
            <w:vAlign w:val="center"/>
          </w:tcPr>
          <w:p w14:paraId="486A2075"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(13)</w:t>
            </w:r>
          </w:p>
        </w:tc>
        <w:tc>
          <w:tcPr>
            <w:tcW w:w="822" w:type="pct"/>
            <w:tcBorders>
              <w:top w:val="nil"/>
              <w:left w:val="single" w:sz="4" w:space="0" w:color="auto"/>
              <w:bottom w:val="single" w:sz="4" w:space="0" w:color="auto"/>
              <w:right w:val="single" w:sz="4" w:space="0" w:color="auto"/>
            </w:tcBorders>
            <w:shd w:val="clear" w:color="auto" w:fill="auto"/>
            <w:vAlign w:val="center"/>
          </w:tcPr>
          <w:p w14:paraId="2A6C056B"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(14)</w:t>
            </w:r>
          </w:p>
        </w:tc>
      </w:tr>
      <w:tr w:rsidR="000729CF" w:rsidRPr="000729CF" w14:paraId="317EF4B9" w14:textId="77777777" w:rsidTr="00BC26AB">
        <w:trPr>
          <w:trHeight w:val="283"/>
        </w:trPr>
        <w:tc>
          <w:tcPr>
            <w:tcW w:w="660" w:type="pct"/>
            <w:tcBorders>
              <w:right w:val="single" w:sz="4" w:space="0" w:color="auto"/>
            </w:tcBorders>
            <w:vAlign w:val="center"/>
          </w:tcPr>
          <w:p w14:paraId="034C517D" w14:textId="77777777" w:rsidR="000729CF" w:rsidRPr="000729CF" w:rsidRDefault="000729CF" w:rsidP="000729CF">
            <w:pPr>
              <w:jc w:val="right"/>
              <w:rPr>
                <w:rFonts w:ascii="Arial" w:eastAsia="Calibri" w:hAnsi="Arial" w:cs="Arial"/>
                <w:b/>
                <w:sz w:val="24"/>
                <w:szCs w:val="24"/>
                <w:lang w:val="en-GB"/>
              </w:rPr>
            </w:pPr>
            <w:r w:rsidRPr="000729CF">
              <w:rPr>
                <w:rFonts w:ascii="Arial" w:eastAsia="Calibri" w:hAnsi="Arial" w:cs="Arial"/>
                <w:b/>
                <w:sz w:val="24"/>
                <w:szCs w:val="24"/>
                <w:lang w:val="en-GB"/>
              </w:rPr>
              <w:t>237</w:t>
            </w:r>
          </w:p>
        </w:tc>
        <w:tc>
          <w:tcPr>
            <w:tcW w:w="1878" w:type="pct"/>
            <w:tcBorders>
              <w:right w:val="single" w:sz="4" w:space="0" w:color="auto"/>
            </w:tcBorders>
            <w:shd w:val="clear" w:color="auto" w:fill="auto"/>
          </w:tcPr>
          <w:p w14:paraId="21DEDFA2" w14:textId="77777777" w:rsidR="000729CF" w:rsidRPr="000729CF" w:rsidRDefault="000729CF" w:rsidP="000729CF">
            <w:pPr>
              <w:jc w:val="both"/>
              <w:rPr>
                <w:rFonts w:ascii="Arial" w:eastAsia="Calibri" w:hAnsi="Arial" w:cs="Arial"/>
                <w:b/>
                <w:sz w:val="24"/>
                <w:szCs w:val="24"/>
                <w:lang w:val="en-GB"/>
              </w:rPr>
            </w:pPr>
            <w:r w:rsidRPr="000729CF">
              <w:rPr>
                <w:rFonts w:ascii="Arial" w:eastAsia="Calibri" w:hAnsi="Arial" w:cs="Arial"/>
                <w:b/>
                <w:sz w:val="24"/>
                <w:szCs w:val="24"/>
                <w:lang w:val="en-GB"/>
              </w:rPr>
              <w:t>GF CFR* at 31 March</w:t>
            </w:r>
          </w:p>
        </w:tc>
        <w:tc>
          <w:tcPr>
            <w:tcW w:w="820" w:type="pct"/>
            <w:tcBorders>
              <w:top w:val="nil"/>
              <w:left w:val="single" w:sz="4" w:space="0" w:color="auto"/>
              <w:bottom w:val="single" w:sz="4" w:space="0" w:color="auto"/>
              <w:right w:val="single" w:sz="4" w:space="0" w:color="auto"/>
            </w:tcBorders>
            <w:shd w:val="clear" w:color="auto" w:fill="auto"/>
            <w:vAlign w:val="center"/>
          </w:tcPr>
          <w:p w14:paraId="7E361EAB" w14:textId="77777777" w:rsidR="000729CF" w:rsidRPr="000729CF" w:rsidRDefault="000729CF" w:rsidP="000729CF">
            <w:pPr>
              <w:jc w:val="right"/>
              <w:rPr>
                <w:rFonts w:ascii="Arial" w:eastAsia="Calibri" w:hAnsi="Arial" w:cs="Arial"/>
                <w:b/>
                <w:sz w:val="24"/>
                <w:szCs w:val="24"/>
                <w:lang w:val="en-GB"/>
              </w:rPr>
            </w:pPr>
            <w:r w:rsidRPr="000729CF">
              <w:rPr>
                <w:rFonts w:ascii="Arial" w:eastAsia="Calibri" w:hAnsi="Arial" w:cs="Arial"/>
                <w:b/>
                <w:sz w:val="24"/>
                <w:szCs w:val="24"/>
                <w:lang w:val="en-GB"/>
              </w:rPr>
              <w:t>276</w:t>
            </w:r>
          </w:p>
        </w:tc>
        <w:tc>
          <w:tcPr>
            <w:tcW w:w="820" w:type="pct"/>
            <w:tcBorders>
              <w:top w:val="nil"/>
              <w:left w:val="single" w:sz="4" w:space="0" w:color="auto"/>
              <w:bottom w:val="single" w:sz="4" w:space="0" w:color="auto"/>
              <w:right w:val="single" w:sz="4" w:space="0" w:color="auto"/>
            </w:tcBorders>
            <w:shd w:val="clear" w:color="auto" w:fill="auto"/>
            <w:vAlign w:val="center"/>
          </w:tcPr>
          <w:p w14:paraId="7D438EA3" w14:textId="77777777" w:rsidR="000729CF" w:rsidRPr="000729CF" w:rsidRDefault="000729CF" w:rsidP="000729CF">
            <w:pPr>
              <w:jc w:val="right"/>
              <w:rPr>
                <w:rFonts w:ascii="Arial" w:eastAsia="Calibri" w:hAnsi="Arial" w:cs="Arial"/>
                <w:b/>
                <w:sz w:val="24"/>
                <w:szCs w:val="24"/>
                <w:lang w:val="en-GB"/>
              </w:rPr>
            </w:pPr>
            <w:r w:rsidRPr="000729CF">
              <w:rPr>
                <w:rFonts w:ascii="Arial" w:eastAsia="Calibri" w:hAnsi="Arial" w:cs="Arial"/>
                <w:b/>
                <w:sz w:val="24"/>
                <w:szCs w:val="24"/>
                <w:lang w:val="en-GB"/>
              </w:rPr>
              <w:t>317</w:t>
            </w:r>
          </w:p>
        </w:tc>
        <w:tc>
          <w:tcPr>
            <w:tcW w:w="822" w:type="pct"/>
            <w:tcBorders>
              <w:top w:val="nil"/>
              <w:left w:val="single" w:sz="4" w:space="0" w:color="auto"/>
              <w:bottom w:val="single" w:sz="4" w:space="0" w:color="auto"/>
              <w:right w:val="single" w:sz="4" w:space="0" w:color="auto"/>
            </w:tcBorders>
            <w:shd w:val="clear" w:color="auto" w:fill="auto"/>
            <w:vAlign w:val="center"/>
          </w:tcPr>
          <w:p w14:paraId="23C4019F" w14:textId="77777777" w:rsidR="000729CF" w:rsidRPr="000729CF" w:rsidRDefault="000729CF" w:rsidP="000729CF">
            <w:pPr>
              <w:jc w:val="right"/>
              <w:rPr>
                <w:rFonts w:ascii="Arial" w:eastAsia="Calibri" w:hAnsi="Arial" w:cs="Arial"/>
                <w:b/>
                <w:sz w:val="24"/>
                <w:szCs w:val="24"/>
                <w:lang w:val="en-GB"/>
              </w:rPr>
            </w:pPr>
            <w:r w:rsidRPr="000729CF">
              <w:rPr>
                <w:rFonts w:ascii="Arial" w:eastAsia="Calibri" w:hAnsi="Arial" w:cs="Arial"/>
                <w:b/>
                <w:sz w:val="24"/>
                <w:szCs w:val="24"/>
                <w:lang w:val="en-GB"/>
              </w:rPr>
              <w:t>313</w:t>
            </w:r>
          </w:p>
        </w:tc>
      </w:tr>
      <w:tr w:rsidR="000729CF" w:rsidRPr="000729CF" w14:paraId="137B5464" w14:textId="77777777" w:rsidTr="00BC26AB">
        <w:trPr>
          <w:trHeight w:val="283"/>
        </w:trPr>
        <w:tc>
          <w:tcPr>
            <w:tcW w:w="660" w:type="pct"/>
            <w:shd w:val="clear" w:color="auto" w:fill="C6D9F1"/>
            <w:vAlign w:val="center"/>
          </w:tcPr>
          <w:p w14:paraId="6E7F2D61" w14:textId="77777777" w:rsidR="000729CF" w:rsidRPr="000729CF" w:rsidRDefault="000729CF" w:rsidP="000729CF">
            <w:pPr>
              <w:jc w:val="right"/>
              <w:rPr>
                <w:rFonts w:ascii="Arial" w:eastAsia="Calibri" w:hAnsi="Arial" w:cs="Arial"/>
                <w:b/>
                <w:sz w:val="24"/>
                <w:szCs w:val="24"/>
                <w:lang w:val="en-GB"/>
              </w:rPr>
            </w:pPr>
            <w:r w:rsidRPr="000729CF">
              <w:rPr>
                <w:rFonts w:ascii="Arial" w:eastAsia="Calibri" w:hAnsi="Arial" w:cs="Arial"/>
                <w:b/>
                <w:sz w:val="24"/>
                <w:szCs w:val="24"/>
                <w:lang w:val="en-GB"/>
              </w:rPr>
              <w:t>69</w:t>
            </w:r>
          </w:p>
        </w:tc>
        <w:tc>
          <w:tcPr>
            <w:tcW w:w="1878" w:type="pct"/>
            <w:shd w:val="clear" w:color="auto" w:fill="C6D9F1"/>
            <w:vAlign w:val="center"/>
          </w:tcPr>
          <w:p w14:paraId="1FFCC9B7" w14:textId="77777777" w:rsidR="000729CF" w:rsidRPr="000729CF" w:rsidRDefault="000729CF" w:rsidP="000729CF">
            <w:pPr>
              <w:rPr>
                <w:rFonts w:ascii="Arial" w:eastAsia="Calibri" w:hAnsi="Arial" w:cs="Arial"/>
                <w:b/>
                <w:sz w:val="24"/>
                <w:szCs w:val="24"/>
                <w:lang w:val="en-GB"/>
              </w:rPr>
            </w:pPr>
            <w:r w:rsidRPr="000729CF">
              <w:rPr>
                <w:rFonts w:ascii="Arial" w:eastAsia="Calibri" w:hAnsi="Arial" w:cs="Arial"/>
                <w:b/>
                <w:sz w:val="24"/>
                <w:szCs w:val="24"/>
                <w:lang w:val="en-GB"/>
              </w:rPr>
              <w:t>Under / (Over) borrowing</w:t>
            </w:r>
          </w:p>
        </w:tc>
        <w:tc>
          <w:tcPr>
            <w:tcW w:w="820" w:type="pct"/>
            <w:tcBorders>
              <w:top w:val="single" w:sz="4" w:space="0" w:color="auto"/>
              <w:bottom w:val="single" w:sz="4" w:space="0" w:color="auto"/>
            </w:tcBorders>
            <w:shd w:val="clear" w:color="auto" w:fill="C6D9F1"/>
            <w:vAlign w:val="center"/>
          </w:tcPr>
          <w:p w14:paraId="3FD3457A" w14:textId="77777777" w:rsidR="000729CF" w:rsidRPr="000729CF" w:rsidRDefault="000729CF" w:rsidP="000729CF">
            <w:pPr>
              <w:jc w:val="right"/>
              <w:rPr>
                <w:rFonts w:ascii="Arial" w:eastAsia="Calibri" w:hAnsi="Arial" w:cs="Arial"/>
                <w:b/>
                <w:sz w:val="24"/>
                <w:szCs w:val="24"/>
                <w:lang w:val="en-GB"/>
              </w:rPr>
            </w:pPr>
            <w:r w:rsidRPr="000729CF">
              <w:rPr>
                <w:rFonts w:ascii="Arial" w:eastAsia="Calibri" w:hAnsi="Arial" w:cs="Arial"/>
                <w:b/>
                <w:sz w:val="24"/>
                <w:szCs w:val="24"/>
                <w:lang w:val="en-GB"/>
              </w:rPr>
              <w:t>76</w:t>
            </w:r>
          </w:p>
        </w:tc>
        <w:tc>
          <w:tcPr>
            <w:tcW w:w="820" w:type="pct"/>
            <w:tcBorders>
              <w:top w:val="single" w:sz="4" w:space="0" w:color="auto"/>
              <w:bottom w:val="single" w:sz="4" w:space="0" w:color="auto"/>
            </w:tcBorders>
            <w:shd w:val="clear" w:color="auto" w:fill="C6D9F1"/>
            <w:vAlign w:val="center"/>
          </w:tcPr>
          <w:p w14:paraId="271D248D" w14:textId="77777777" w:rsidR="000729CF" w:rsidRPr="000729CF" w:rsidRDefault="000729CF" w:rsidP="000729CF">
            <w:pPr>
              <w:jc w:val="right"/>
              <w:rPr>
                <w:rFonts w:ascii="Arial" w:eastAsia="Calibri" w:hAnsi="Arial" w:cs="Arial"/>
                <w:b/>
                <w:sz w:val="24"/>
                <w:szCs w:val="24"/>
                <w:lang w:val="en-GB"/>
              </w:rPr>
            </w:pPr>
            <w:r w:rsidRPr="000729CF">
              <w:rPr>
                <w:rFonts w:ascii="Arial" w:eastAsia="Calibri" w:hAnsi="Arial" w:cs="Arial"/>
                <w:b/>
                <w:sz w:val="24"/>
                <w:szCs w:val="24"/>
                <w:lang w:val="en-GB"/>
              </w:rPr>
              <w:t>76</w:t>
            </w:r>
          </w:p>
        </w:tc>
        <w:tc>
          <w:tcPr>
            <w:tcW w:w="822" w:type="pct"/>
            <w:tcBorders>
              <w:top w:val="single" w:sz="4" w:space="0" w:color="auto"/>
              <w:bottom w:val="single" w:sz="4" w:space="0" w:color="auto"/>
            </w:tcBorders>
            <w:shd w:val="clear" w:color="auto" w:fill="C6D9F1"/>
            <w:vAlign w:val="center"/>
          </w:tcPr>
          <w:p w14:paraId="240FF6C9" w14:textId="77777777" w:rsidR="000729CF" w:rsidRPr="000729CF" w:rsidRDefault="000729CF" w:rsidP="000729CF">
            <w:pPr>
              <w:jc w:val="right"/>
              <w:rPr>
                <w:rFonts w:ascii="Arial" w:eastAsia="Calibri" w:hAnsi="Arial" w:cs="Arial"/>
                <w:b/>
                <w:sz w:val="24"/>
                <w:szCs w:val="24"/>
                <w:lang w:val="en-GB"/>
              </w:rPr>
            </w:pPr>
            <w:r w:rsidRPr="000729CF">
              <w:rPr>
                <w:rFonts w:ascii="Arial" w:eastAsia="Calibri" w:hAnsi="Arial" w:cs="Arial"/>
                <w:b/>
                <w:sz w:val="24"/>
                <w:szCs w:val="24"/>
                <w:lang w:val="en-GB"/>
              </w:rPr>
              <w:t>76</w:t>
            </w:r>
          </w:p>
        </w:tc>
      </w:tr>
      <w:tr w:rsidR="000729CF" w:rsidRPr="000729CF" w14:paraId="5C107EA2" w14:textId="77777777" w:rsidTr="00BC26AB">
        <w:trPr>
          <w:trHeight w:val="283"/>
        </w:trPr>
        <w:tc>
          <w:tcPr>
            <w:tcW w:w="660" w:type="pct"/>
            <w:shd w:val="clear" w:color="auto" w:fill="C6D9F1"/>
            <w:vAlign w:val="center"/>
          </w:tcPr>
          <w:p w14:paraId="7D612BDC" w14:textId="77777777" w:rsidR="000729CF" w:rsidRPr="000729CF" w:rsidRDefault="000729CF" w:rsidP="000729CF">
            <w:pPr>
              <w:jc w:val="right"/>
              <w:rPr>
                <w:rFonts w:ascii="Arial" w:eastAsia="Calibri" w:hAnsi="Arial" w:cs="Arial"/>
                <w:b/>
                <w:sz w:val="24"/>
                <w:szCs w:val="24"/>
                <w:lang w:val="en-GB"/>
              </w:rPr>
            </w:pPr>
            <w:r w:rsidRPr="000729CF">
              <w:rPr>
                <w:rFonts w:ascii="Arial" w:eastAsia="Calibri" w:hAnsi="Arial" w:cs="Arial"/>
                <w:b/>
                <w:sz w:val="24"/>
                <w:szCs w:val="24"/>
                <w:lang w:val="en-GB"/>
              </w:rPr>
              <w:t>29.1%</w:t>
            </w:r>
          </w:p>
        </w:tc>
        <w:tc>
          <w:tcPr>
            <w:tcW w:w="1878" w:type="pct"/>
            <w:shd w:val="clear" w:color="auto" w:fill="C6D9F1"/>
            <w:vAlign w:val="center"/>
          </w:tcPr>
          <w:p w14:paraId="13DC8538" w14:textId="77777777" w:rsidR="000729CF" w:rsidRPr="000729CF" w:rsidRDefault="000729CF" w:rsidP="000729CF">
            <w:pPr>
              <w:rPr>
                <w:rFonts w:ascii="Arial" w:eastAsia="Calibri" w:hAnsi="Arial" w:cs="Arial"/>
                <w:b/>
                <w:sz w:val="24"/>
                <w:szCs w:val="24"/>
                <w:lang w:val="en-GB"/>
              </w:rPr>
            </w:pPr>
            <w:r w:rsidRPr="000729CF">
              <w:rPr>
                <w:rFonts w:ascii="Arial" w:eastAsia="Calibri" w:hAnsi="Arial" w:cs="Arial"/>
                <w:b/>
                <w:sz w:val="24"/>
                <w:szCs w:val="24"/>
                <w:lang w:val="en-GB"/>
              </w:rPr>
              <w:t>%  Under-borrowed</w:t>
            </w:r>
          </w:p>
        </w:tc>
        <w:tc>
          <w:tcPr>
            <w:tcW w:w="820" w:type="pct"/>
            <w:tcBorders>
              <w:top w:val="single" w:sz="4" w:space="0" w:color="auto"/>
              <w:bottom w:val="single" w:sz="4" w:space="0" w:color="auto"/>
            </w:tcBorders>
            <w:shd w:val="clear" w:color="auto" w:fill="C6D9F1"/>
            <w:vAlign w:val="center"/>
          </w:tcPr>
          <w:p w14:paraId="0DEF7736" w14:textId="77777777" w:rsidR="000729CF" w:rsidRPr="000729CF" w:rsidRDefault="000729CF" w:rsidP="000729CF">
            <w:pPr>
              <w:jc w:val="right"/>
              <w:rPr>
                <w:rFonts w:ascii="Arial" w:eastAsia="Calibri" w:hAnsi="Arial" w:cs="Arial"/>
                <w:b/>
                <w:sz w:val="24"/>
                <w:szCs w:val="24"/>
                <w:lang w:val="en-GB"/>
              </w:rPr>
            </w:pPr>
            <w:r w:rsidRPr="000729CF">
              <w:rPr>
                <w:rFonts w:ascii="Arial" w:eastAsia="Calibri" w:hAnsi="Arial" w:cs="Arial"/>
                <w:b/>
                <w:sz w:val="24"/>
                <w:szCs w:val="24"/>
                <w:lang w:val="en-GB"/>
              </w:rPr>
              <w:t>27.5%</w:t>
            </w:r>
          </w:p>
        </w:tc>
        <w:tc>
          <w:tcPr>
            <w:tcW w:w="820" w:type="pct"/>
            <w:tcBorders>
              <w:top w:val="single" w:sz="4" w:space="0" w:color="auto"/>
              <w:bottom w:val="single" w:sz="4" w:space="0" w:color="auto"/>
            </w:tcBorders>
            <w:shd w:val="clear" w:color="auto" w:fill="C6D9F1"/>
            <w:vAlign w:val="center"/>
          </w:tcPr>
          <w:p w14:paraId="36BCF922" w14:textId="77777777" w:rsidR="000729CF" w:rsidRPr="000729CF" w:rsidRDefault="000729CF" w:rsidP="000729CF">
            <w:pPr>
              <w:jc w:val="right"/>
              <w:rPr>
                <w:rFonts w:ascii="Arial" w:eastAsia="Calibri" w:hAnsi="Arial" w:cs="Arial"/>
                <w:b/>
                <w:sz w:val="24"/>
                <w:szCs w:val="24"/>
                <w:lang w:val="en-GB"/>
              </w:rPr>
            </w:pPr>
            <w:r w:rsidRPr="000729CF">
              <w:rPr>
                <w:rFonts w:ascii="Arial" w:eastAsia="Calibri" w:hAnsi="Arial" w:cs="Arial"/>
                <w:b/>
                <w:sz w:val="24"/>
                <w:szCs w:val="24"/>
                <w:lang w:val="en-GB"/>
              </w:rPr>
              <w:t>24.0%</w:t>
            </w:r>
          </w:p>
        </w:tc>
        <w:tc>
          <w:tcPr>
            <w:tcW w:w="822" w:type="pct"/>
            <w:tcBorders>
              <w:top w:val="single" w:sz="4" w:space="0" w:color="auto"/>
              <w:bottom w:val="single" w:sz="4" w:space="0" w:color="auto"/>
            </w:tcBorders>
            <w:shd w:val="clear" w:color="auto" w:fill="C6D9F1"/>
            <w:vAlign w:val="center"/>
          </w:tcPr>
          <w:p w14:paraId="0AAE4EC4" w14:textId="77777777" w:rsidR="000729CF" w:rsidRPr="000729CF" w:rsidRDefault="000729CF" w:rsidP="000729CF">
            <w:pPr>
              <w:jc w:val="right"/>
              <w:rPr>
                <w:rFonts w:ascii="Arial" w:eastAsia="Calibri" w:hAnsi="Arial" w:cs="Arial"/>
                <w:b/>
                <w:sz w:val="24"/>
                <w:szCs w:val="24"/>
                <w:lang w:val="en-GB"/>
              </w:rPr>
            </w:pPr>
            <w:r w:rsidRPr="000729CF">
              <w:rPr>
                <w:rFonts w:ascii="Arial" w:eastAsia="Calibri" w:hAnsi="Arial" w:cs="Arial"/>
                <w:b/>
                <w:sz w:val="24"/>
                <w:szCs w:val="24"/>
                <w:lang w:val="en-GB"/>
              </w:rPr>
              <w:t>24.3%</w:t>
            </w:r>
          </w:p>
        </w:tc>
      </w:tr>
      <w:tr w:rsidR="000729CF" w:rsidRPr="000729CF" w14:paraId="72686574" w14:textId="77777777" w:rsidTr="00BC26AB">
        <w:trPr>
          <w:trHeight w:val="283"/>
        </w:trPr>
        <w:tc>
          <w:tcPr>
            <w:tcW w:w="5000" w:type="pct"/>
            <w:gridSpan w:val="5"/>
            <w:tcBorders>
              <w:bottom w:val="single" w:sz="4" w:space="0" w:color="auto"/>
            </w:tcBorders>
            <w:shd w:val="clear" w:color="auto" w:fill="548DD4"/>
            <w:vAlign w:val="center"/>
          </w:tcPr>
          <w:p w14:paraId="7FD6E6FD" w14:textId="77777777" w:rsidR="000729CF" w:rsidRPr="000729CF" w:rsidRDefault="000729CF" w:rsidP="000729CF">
            <w:pPr>
              <w:rPr>
                <w:rFonts w:ascii="Arial" w:eastAsia="Calibri" w:hAnsi="Arial" w:cs="Arial"/>
                <w:b/>
                <w:sz w:val="24"/>
                <w:szCs w:val="24"/>
                <w:lang w:val="en-GB"/>
              </w:rPr>
            </w:pPr>
            <w:r w:rsidRPr="000729CF">
              <w:rPr>
                <w:rFonts w:ascii="Arial" w:eastAsia="Calibri" w:hAnsi="Arial" w:cs="Arial"/>
                <w:b/>
                <w:sz w:val="24"/>
                <w:szCs w:val="24"/>
                <w:lang w:val="en-GB"/>
              </w:rPr>
              <w:t>Housing Revenue Account</w:t>
            </w:r>
          </w:p>
        </w:tc>
      </w:tr>
      <w:tr w:rsidR="000729CF" w:rsidRPr="000729CF" w14:paraId="1CEDC9CD" w14:textId="77777777" w:rsidTr="00BC26AB">
        <w:trPr>
          <w:trHeight w:val="283"/>
        </w:trPr>
        <w:tc>
          <w:tcPr>
            <w:tcW w:w="660" w:type="pct"/>
            <w:tcBorders>
              <w:bottom w:val="nil"/>
            </w:tcBorders>
            <w:shd w:val="clear" w:color="auto" w:fill="FFFFFF"/>
            <w:vAlign w:val="center"/>
          </w:tcPr>
          <w:p w14:paraId="2A090290"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214</w:t>
            </w:r>
          </w:p>
        </w:tc>
        <w:tc>
          <w:tcPr>
            <w:tcW w:w="1878" w:type="pct"/>
            <w:tcBorders>
              <w:bottom w:val="nil"/>
            </w:tcBorders>
            <w:shd w:val="clear" w:color="auto" w:fill="FFFFFF"/>
          </w:tcPr>
          <w:p w14:paraId="36B405AF" w14:textId="77777777" w:rsidR="000729CF" w:rsidRPr="000729CF" w:rsidRDefault="000729CF" w:rsidP="000729CF">
            <w:pPr>
              <w:jc w:val="both"/>
              <w:rPr>
                <w:rFonts w:ascii="Arial" w:eastAsia="Calibri" w:hAnsi="Arial" w:cs="Arial"/>
                <w:sz w:val="24"/>
                <w:szCs w:val="24"/>
                <w:lang w:val="en-GB"/>
              </w:rPr>
            </w:pPr>
            <w:r w:rsidRPr="000729CF">
              <w:rPr>
                <w:rFonts w:ascii="Arial" w:eastAsia="Calibri" w:hAnsi="Arial" w:cs="Arial"/>
                <w:sz w:val="24"/>
                <w:szCs w:val="24"/>
                <w:lang w:val="en-GB"/>
              </w:rPr>
              <w:t>HRA Debt at 1 April**</w:t>
            </w:r>
          </w:p>
        </w:tc>
        <w:tc>
          <w:tcPr>
            <w:tcW w:w="820" w:type="pct"/>
            <w:tcBorders>
              <w:top w:val="single" w:sz="4" w:space="0" w:color="auto"/>
              <w:bottom w:val="nil"/>
            </w:tcBorders>
            <w:shd w:val="clear" w:color="auto" w:fill="FFFFFF"/>
            <w:vAlign w:val="center"/>
          </w:tcPr>
          <w:p w14:paraId="334AED55"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239</w:t>
            </w:r>
          </w:p>
        </w:tc>
        <w:tc>
          <w:tcPr>
            <w:tcW w:w="820" w:type="pct"/>
            <w:tcBorders>
              <w:top w:val="single" w:sz="4" w:space="0" w:color="auto"/>
              <w:bottom w:val="nil"/>
            </w:tcBorders>
            <w:shd w:val="clear" w:color="auto" w:fill="FFFFFF"/>
            <w:vAlign w:val="center"/>
          </w:tcPr>
          <w:p w14:paraId="5C7F98CA"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301</w:t>
            </w:r>
          </w:p>
        </w:tc>
        <w:tc>
          <w:tcPr>
            <w:tcW w:w="821" w:type="pct"/>
            <w:tcBorders>
              <w:top w:val="single" w:sz="4" w:space="0" w:color="auto"/>
              <w:bottom w:val="nil"/>
            </w:tcBorders>
            <w:shd w:val="clear" w:color="auto" w:fill="FFFFFF"/>
            <w:vAlign w:val="center"/>
          </w:tcPr>
          <w:p w14:paraId="26155F17"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351</w:t>
            </w:r>
          </w:p>
        </w:tc>
      </w:tr>
      <w:tr w:rsidR="000729CF" w:rsidRPr="000729CF" w14:paraId="1688D903" w14:textId="77777777" w:rsidTr="00BC26AB">
        <w:trPr>
          <w:trHeight w:val="283"/>
        </w:trPr>
        <w:tc>
          <w:tcPr>
            <w:tcW w:w="660" w:type="pct"/>
            <w:tcBorders>
              <w:top w:val="nil"/>
            </w:tcBorders>
            <w:shd w:val="clear" w:color="auto" w:fill="FFFFFF"/>
            <w:vAlign w:val="center"/>
          </w:tcPr>
          <w:p w14:paraId="69638C25"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25</w:t>
            </w:r>
          </w:p>
        </w:tc>
        <w:tc>
          <w:tcPr>
            <w:tcW w:w="1878" w:type="pct"/>
            <w:tcBorders>
              <w:top w:val="nil"/>
            </w:tcBorders>
            <w:shd w:val="clear" w:color="auto" w:fill="FFFFFF"/>
          </w:tcPr>
          <w:p w14:paraId="2B045D01" w14:textId="77777777" w:rsidR="000729CF" w:rsidRPr="000729CF" w:rsidRDefault="000729CF" w:rsidP="000729CF">
            <w:pPr>
              <w:rPr>
                <w:rFonts w:ascii="Arial" w:eastAsia="Calibri" w:hAnsi="Arial" w:cs="Arial"/>
                <w:sz w:val="24"/>
                <w:szCs w:val="24"/>
                <w:lang w:val="en-GB"/>
              </w:rPr>
            </w:pPr>
            <w:r w:rsidRPr="000729CF">
              <w:rPr>
                <w:rFonts w:ascii="Arial" w:eastAsia="Calibri" w:hAnsi="Arial" w:cs="Arial"/>
                <w:sz w:val="24"/>
                <w:szCs w:val="24"/>
                <w:lang w:val="en-GB"/>
              </w:rPr>
              <w:t>Expected change in Debt</w:t>
            </w:r>
          </w:p>
        </w:tc>
        <w:tc>
          <w:tcPr>
            <w:tcW w:w="820" w:type="pct"/>
            <w:tcBorders>
              <w:top w:val="nil"/>
              <w:bottom w:val="single" w:sz="4" w:space="0" w:color="auto"/>
            </w:tcBorders>
            <w:shd w:val="clear" w:color="auto" w:fill="FFFFFF"/>
            <w:vAlign w:val="center"/>
          </w:tcPr>
          <w:p w14:paraId="6170C8FA"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62</w:t>
            </w:r>
          </w:p>
        </w:tc>
        <w:tc>
          <w:tcPr>
            <w:tcW w:w="820" w:type="pct"/>
            <w:tcBorders>
              <w:top w:val="nil"/>
              <w:bottom w:val="single" w:sz="4" w:space="0" w:color="auto"/>
            </w:tcBorders>
            <w:shd w:val="clear" w:color="auto" w:fill="FFFFFF"/>
            <w:vAlign w:val="center"/>
          </w:tcPr>
          <w:p w14:paraId="3EDB01F3"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50</w:t>
            </w:r>
          </w:p>
        </w:tc>
        <w:tc>
          <w:tcPr>
            <w:tcW w:w="821" w:type="pct"/>
            <w:tcBorders>
              <w:top w:val="nil"/>
              <w:bottom w:val="single" w:sz="4" w:space="0" w:color="auto"/>
            </w:tcBorders>
            <w:shd w:val="clear" w:color="auto" w:fill="FFFFFF"/>
            <w:vAlign w:val="center"/>
          </w:tcPr>
          <w:p w14:paraId="72E6AD07"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40</w:t>
            </w:r>
          </w:p>
        </w:tc>
      </w:tr>
      <w:tr w:rsidR="000729CF" w:rsidRPr="000729CF" w14:paraId="3A28C8D8" w14:textId="77777777" w:rsidTr="00BC26AB">
        <w:trPr>
          <w:trHeight w:val="283"/>
        </w:trPr>
        <w:tc>
          <w:tcPr>
            <w:tcW w:w="660" w:type="pct"/>
            <w:tcBorders>
              <w:bottom w:val="single" w:sz="4" w:space="0" w:color="auto"/>
            </w:tcBorders>
            <w:shd w:val="clear" w:color="auto" w:fill="FFFFFF"/>
            <w:vAlign w:val="center"/>
          </w:tcPr>
          <w:p w14:paraId="1AF9F81F" w14:textId="77777777" w:rsidR="000729CF" w:rsidRPr="000729CF" w:rsidRDefault="000729CF" w:rsidP="000729CF">
            <w:pPr>
              <w:jc w:val="right"/>
              <w:rPr>
                <w:rFonts w:ascii="Arial" w:eastAsia="Calibri" w:hAnsi="Arial" w:cs="Arial"/>
                <w:b/>
                <w:sz w:val="24"/>
                <w:szCs w:val="24"/>
                <w:lang w:val="en-GB"/>
              </w:rPr>
            </w:pPr>
            <w:r w:rsidRPr="000729CF">
              <w:rPr>
                <w:rFonts w:ascii="Arial" w:eastAsia="Calibri" w:hAnsi="Arial" w:cs="Arial"/>
                <w:b/>
                <w:sz w:val="24"/>
                <w:szCs w:val="24"/>
                <w:lang w:val="en-GB"/>
              </w:rPr>
              <w:t>239</w:t>
            </w:r>
          </w:p>
        </w:tc>
        <w:tc>
          <w:tcPr>
            <w:tcW w:w="1878" w:type="pct"/>
            <w:tcBorders>
              <w:bottom w:val="single" w:sz="4" w:space="0" w:color="auto"/>
            </w:tcBorders>
            <w:shd w:val="clear" w:color="auto" w:fill="FFFFFF"/>
          </w:tcPr>
          <w:p w14:paraId="02B0814D" w14:textId="77777777" w:rsidR="000729CF" w:rsidRPr="000729CF" w:rsidRDefault="000729CF" w:rsidP="000729CF">
            <w:pPr>
              <w:rPr>
                <w:rFonts w:ascii="Arial" w:eastAsia="Calibri" w:hAnsi="Arial" w:cs="Arial"/>
                <w:b/>
                <w:sz w:val="24"/>
                <w:szCs w:val="24"/>
                <w:lang w:val="en-GB"/>
              </w:rPr>
            </w:pPr>
            <w:r w:rsidRPr="000729CF">
              <w:rPr>
                <w:rFonts w:ascii="Arial" w:eastAsia="Calibri" w:hAnsi="Arial" w:cs="Arial"/>
                <w:b/>
                <w:sz w:val="24"/>
                <w:szCs w:val="24"/>
                <w:lang w:val="en-GB"/>
              </w:rPr>
              <w:t>HRA Debt at 31 March</w:t>
            </w:r>
          </w:p>
        </w:tc>
        <w:tc>
          <w:tcPr>
            <w:tcW w:w="820" w:type="pct"/>
            <w:tcBorders>
              <w:top w:val="single" w:sz="4" w:space="0" w:color="auto"/>
              <w:bottom w:val="single" w:sz="4" w:space="0" w:color="auto"/>
            </w:tcBorders>
            <w:shd w:val="clear" w:color="auto" w:fill="FFFFFF"/>
            <w:vAlign w:val="center"/>
          </w:tcPr>
          <w:p w14:paraId="485D17C0" w14:textId="77777777" w:rsidR="000729CF" w:rsidRPr="000729CF" w:rsidRDefault="000729CF" w:rsidP="000729CF">
            <w:pPr>
              <w:jc w:val="right"/>
              <w:rPr>
                <w:rFonts w:ascii="Arial" w:eastAsia="Calibri" w:hAnsi="Arial" w:cs="Arial"/>
                <w:b/>
                <w:sz w:val="24"/>
                <w:szCs w:val="24"/>
                <w:lang w:val="en-GB"/>
              </w:rPr>
            </w:pPr>
            <w:r w:rsidRPr="000729CF">
              <w:rPr>
                <w:rFonts w:ascii="Arial" w:eastAsia="Calibri" w:hAnsi="Arial" w:cs="Arial"/>
                <w:b/>
                <w:sz w:val="24"/>
                <w:szCs w:val="24"/>
                <w:lang w:val="en-GB"/>
              </w:rPr>
              <w:t>301</w:t>
            </w:r>
          </w:p>
        </w:tc>
        <w:tc>
          <w:tcPr>
            <w:tcW w:w="820" w:type="pct"/>
            <w:tcBorders>
              <w:top w:val="single" w:sz="4" w:space="0" w:color="auto"/>
              <w:bottom w:val="single" w:sz="4" w:space="0" w:color="auto"/>
            </w:tcBorders>
            <w:shd w:val="clear" w:color="auto" w:fill="FFFFFF"/>
            <w:vAlign w:val="center"/>
          </w:tcPr>
          <w:p w14:paraId="3665041C" w14:textId="77777777" w:rsidR="000729CF" w:rsidRPr="000729CF" w:rsidRDefault="000729CF" w:rsidP="000729CF">
            <w:pPr>
              <w:jc w:val="right"/>
              <w:rPr>
                <w:rFonts w:ascii="Arial" w:eastAsia="Calibri" w:hAnsi="Arial" w:cs="Arial"/>
                <w:b/>
                <w:sz w:val="24"/>
                <w:szCs w:val="24"/>
                <w:lang w:val="en-GB"/>
              </w:rPr>
            </w:pPr>
            <w:r w:rsidRPr="000729CF">
              <w:rPr>
                <w:rFonts w:ascii="Arial" w:eastAsia="Calibri" w:hAnsi="Arial" w:cs="Arial"/>
                <w:b/>
                <w:sz w:val="24"/>
                <w:szCs w:val="24"/>
                <w:lang w:val="en-GB"/>
              </w:rPr>
              <w:t>351</w:t>
            </w:r>
          </w:p>
        </w:tc>
        <w:tc>
          <w:tcPr>
            <w:tcW w:w="821" w:type="pct"/>
            <w:tcBorders>
              <w:top w:val="single" w:sz="4" w:space="0" w:color="auto"/>
              <w:bottom w:val="single" w:sz="4" w:space="0" w:color="auto"/>
            </w:tcBorders>
            <w:shd w:val="clear" w:color="auto" w:fill="FFFFFF"/>
            <w:vAlign w:val="center"/>
          </w:tcPr>
          <w:p w14:paraId="5C5B6B1B" w14:textId="77777777" w:rsidR="000729CF" w:rsidRPr="000729CF" w:rsidRDefault="000729CF" w:rsidP="000729CF">
            <w:pPr>
              <w:jc w:val="right"/>
              <w:rPr>
                <w:rFonts w:ascii="Arial" w:eastAsia="Calibri" w:hAnsi="Arial" w:cs="Arial"/>
                <w:b/>
                <w:sz w:val="24"/>
                <w:szCs w:val="24"/>
                <w:lang w:val="en-GB"/>
              </w:rPr>
            </w:pPr>
            <w:r w:rsidRPr="000729CF">
              <w:rPr>
                <w:rFonts w:ascii="Arial" w:eastAsia="Calibri" w:hAnsi="Arial" w:cs="Arial"/>
                <w:b/>
                <w:sz w:val="24"/>
                <w:szCs w:val="24"/>
                <w:lang w:val="en-GB"/>
              </w:rPr>
              <w:t>391</w:t>
            </w:r>
          </w:p>
        </w:tc>
      </w:tr>
      <w:tr w:rsidR="000729CF" w:rsidRPr="000729CF" w14:paraId="585D2541" w14:textId="77777777" w:rsidTr="00BC26AB">
        <w:trPr>
          <w:trHeight w:val="283"/>
        </w:trPr>
        <w:tc>
          <w:tcPr>
            <w:tcW w:w="660" w:type="pct"/>
            <w:tcBorders>
              <w:bottom w:val="nil"/>
            </w:tcBorders>
            <w:shd w:val="clear" w:color="auto" w:fill="FFFFFF"/>
            <w:vAlign w:val="center"/>
          </w:tcPr>
          <w:p w14:paraId="49ADDEBC"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204</w:t>
            </w:r>
          </w:p>
        </w:tc>
        <w:tc>
          <w:tcPr>
            <w:tcW w:w="1878" w:type="pct"/>
            <w:tcBorders>
              <w:bottom w:val="nil"/>
            </w:tcBorders>
            <w:shd w:val="clear" w:color="auto" w:fill="FFFFFF"/>
          </w:tcPr>
          <w:p w14:paraId="2E46AB17" w14:textId="77777777" w:rsidR="000729CF" w:rsidRPr="000729CF" w:rsidRDefault="000729CF" w:rsidP="000729CF">
            <w:pPr>
              <w:jc w:val="both"/>
              <w:rPr>
                <w:rFonts w:ascii="Arial" w:eastAsia="Calibri" w:hAnsi="Arial" w:cs="Arial"/>
                <w:sz w:val="24"/>
                <w:szCs w:val="24"/>
                <w:lang w:val="en-GB"/>
              </w:rPr>
            </w:pPr>
            <w:r w:rsidRPr="000729CF">
              <w:rPr>
                <w:rFonts w:ascii="Arial" w:eastAsia="Calibri" w:hAnsi="Arial" w:cs="Arial"/>
                <w:sz w:val="24"/>
                <w:szCs w:val="24"/>
                <w:lang w:val="en-GB"/>
              </w:rPr>
              <w:t>HRA CFR at 1 April</w:t>
            </w:r>
          </w:p>
        </w:tc>
        <w:tc>
          <w:tcPr>
            <w:tcW w:w="820" w:type="pct"/>
            <w:tcBorders>
              <w:top w:val="single" w:sz="4" w:space="0" w:color="auto"/>
              <w:bottom w:val="nil"/>
            </w:tcBorders>
            <w:shd w:val="clear" w:color="auto" w:fill="FFFFFF"/>
            <w:vAlign w:val="center"/>
          </w:tcPr>
          <w:p w14:paraId="681E4E32"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239</w:t>
            </w:r>
          </w:p>
        </w:tc>
        <w:tc>
          <w:tcPr>
            <w:tcW w:w="820" w:type="pct"/>
            <w:tcBorders>
              <w:top w:val="single" w:sz="4" w:space="0" w:color="auto"/>
              <w:bottom w:val="nil"/>
            </w:tcBorders>
            <w:shd w:val="clear" w:color="auto" w:fill="FFFFFF"/>
            <w:vAlign w:val="center"/>
          </w:tcPr>
          <w:p w14:paraId="6DAAC0E2"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301</w:t>
            </w:r>
          </w:p>
        </w:tc>
        <w:tc>
          <w:tcPr>
            <w:tcW w:w="821" w:type="pct"/>
            <w:tcBorders>
              <w:top w:val="single" w:sz="4" w:space="0" w:color="auto"/>
              <w:bottom w:val="nil"/>
            </w:tcBorders>
            <w:shd w:val="clear" w:color="auto" w:fill="FFFFFF"/>
            <w:vAlign w:val="center"/>
          </w:tcPr>
          <w:p w14:paraId="4AB68D72"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351</w:t>
            </w:r>
          </w:p>
        </w:tc>
      </w:tr>
      <w:tr w:rsidR="000729CF" w:rsidRPr="000729CF" w14:paraId="7827C090" w14:textId="77777777" w:rsidTr="00BC26AB">
        <w:trPr>
          <w:trHeight w:val="283"/>
        </w:trPr>
        <w:tc>
          <w:tcPr>
            <w:tcW w:w="660" w:type="pct"/>
            <w:tcBorders>
              <w:top w:val="nil"/>
              <w:bottom w:val="nil"/>
            </w:tcBorders>
            <w:shd w:val="clear" w:color="auto" w:fill="FFFFFF"/>
            <w:vAlign w:val="center"/>
          </w:tcPr>
          <w:p w14:paraId="086B1C76"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35</w:t>
            </w:r>
          </w:p>
        </w:tc>
        <w:tc>
          <w:tcPr>
            <w:tcW w:w="1878" w:type="pct"/>
            <w:tcBorders>
              <w:top w:val="nil"/>
              <w:bottom w:val="nil"/>
            </w:tcBorders>
            <w:shd w:val="clear" w:color="auto" w:fill="FFFFFF"/>
          </w:tcPr>
          <w:p w14:paraId="102F9949" w14:textId="77777777" w:rsidR="000729CF" w:rsidRPr="000729CF" w:rsidRDefault="000729CF" w:rsidP="000729CF">
            <w:pPr>
              <w:rPr>
                <w:rFonts w:ascii="Arial" w:eastAsia="Calibri" w:hAnsi="Arial" w:cs="Arial"/>
                <w:sz w:val="24"/>
                <w:szCs w:val="24"/>
                <w:lang w:val="en-GB"/>
              </w:rPr>
            </w:pPr>
            <w:r w:rsidRPr="000729CF">
              <w:rPr>
                <w:rFonts w:ascii="Arial" w:eastAsia="Calibri" w:hAnsi="Arial" w:cs="Arial"/>
                <w:sz w:val="24"/>
                <w:szCs w:val="24"/>
                <w:lang w:val="en-GB"/>
              </w:rPr>
              <w:t>Borrowing need (Table 3)</w:t>
            </w:r>
          </w:p>
        </w:tc>
        <w:tc>
          <w:tcPr>
            <w:tcW w:w="820" w:type="pct"/>
            <w:tcBorders>
              <w:top w:val="nil"/>
              <w:bottom w:val="nil"/>
            </w:tcBorders>
            <w:shd w:val="clear" w:color="auto" w:fill="FFFFFF"/>
            <w:vAlign w:val="center"/>
          </w:tcPr>
          <w:p w14:paraId="0D1844C3"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62</w:t>
            </w:r>
          </w:p>
        </w:tc>
        <w:tc>
          <w:tcPr>
            <w:tcW w:w="820" w:type="pct"/>
            <w:tcBorders>
              <w:top w:val="nil"/>
              <w:bottom w:val="nil"/>
            </w:tcBorders>
            <w:shd w:val="clear" w:color="auto" w:fill="FFFFFF"/>
            <w:vAlign w:val="center"/>
          </w:tcPr>
          <w:p w14:paraId="7712AC00"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50</w:t>
            </w:r>
          </w:p>
        </w:tc>
        <w:tc>
          <w:tcPr>
            <w:tcW w:w="821" w:type="pct"/>
            <w:tcBorders>
              <w:top w:val="nil"/>
              <w:bottom w:val="nil"/>
            </w:tcBorders>
            <w:shd w:val="clear" w:color="auto" w:fill="FFFFFF"/>
            <w:vAlign w:val="center"/>
          </w:tcPr>
          <w:p w14:paraId="225D80ED"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40</w:t>
            </w:r>
          </w:p>
        </w:tc>
      </w:tr>
      <w:tr w:rsidR="000729CF" w:rsidRPr="000729CF" w14:paraId="6F3906BE" w14:textId="77777777" w:rsidTr="00BC26AB">
        <w:trPr>
          <w:trHeight w:val="283"/>
        </w:trPr>
        <w:tc>
          <w:tcPr>
            <w:tcW w:w="660" w:type="pct"/>
            <w:tcBorders>
              <w:top w:val="nil"/>
            </w:tcBorders>
            <w:shd w:val="clear" w:color="auto" w:fill="FFFFFF"/>
            <w:vAlign w:val="center"/>
          </w:tcPr>
          <w:p w14:paraId="2813448F"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0</w:t>
            </w:r>
          </w:p>
        </w:tc>
        <w:tc>
          <w:tcPr>
            <w:tcW w:w="1878" w:type="pct"/>
            <w:tcBorders>
              <w:top w:val="nil"/>
            </w:tcBorders>
            <w:shd w:val="clear" w:color="auto" w:fill="FFFFFF"/>
          </w:tcPr>
          <w:p w14:paraId="0639D953" w14:textId="77777777" w:rsidR="000729CF" w:rsidRPr="000729CF" w:rsidRDefault="000729CF" w:rsidP="000729CF">
            <w:pPr>
              <w:jc w:val="both"/>
              <w:rPr>
                <w:rFonts w:ascii="Arial" w:eastAsia="Calibri" w:hAnsi="Arial" w:cs="Arial"/>
                <w:sz w:val="24"/>
                <w:szCs w:val="24"/>
                <w:lang w:val="en-GB"/>
              </w:rPr>
            </w:pPr>
            <w:r w:rsidRPr="000729CF">
              <w:rPr>
                <w:rFonts w:ascii="Arial" w:eastAsia="Calibri" w:hAnsi="Arial" w:cs="Arial"/>
                <w:sz w:val="24"/>
                <w:szCs w:val="24"/>
                <w:lang w:val="en-GB"/>
              </w:rPr>
              <w:t>MRP</w:t>
            </w:r>
          </w:p>
        </w:tc>
        <w:tc>
          <w:tcPr>
            <w:tcW w:w="820" w:type="pct"/>
            <w:tcBorders>
              <w:top w:val="nil"/>
              <w:bottom w:val="single" w:sz="4" w:space="0" w:color="auto"/>
            </w:tcBorders>
            <w:shd w:val="clear" w:color="auto" w:fill="FFFFFF"/>
            <w:vAlign w:val="center"/>
          </w:tcPr>
          <w:p w14:paraId="7453018B"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0</w:t>
            </w:r>
          </w:p>
        </w:tc>
        <w:tc>
          <w:tcPr>
            <w:tcW w:w="820" w:type="pct"/>
            <w:tcBorders>
              <w:top w:val="nil"/>
              <w:bottom w:val="single" w:sz="4" w:space="0" w:color="auto"/>
            </w:tcBorders>
            <w:shd w:val="clear" w:color="auto" w:fill="FFFFFF"/>
            <w:vAlign w:val="center"/>
          </w:tcPr>
          <w:p w14:paraId="2F6F1AC6"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0</w:t>
            </w:r>
          </w:p>
        </w:tc>
        <w:tc>
          <w:tcPr>
            <w:tcW w:w="821" w:type="pct"/>
            <w:tcBorders>
              <w:top w:val="nil"/>
              <w:bottom w:val="single" w:sz="4" w:space="0" w:color="auto"/>
            </w:tcBorders>
            <w:shd w:val="clear" w:color="auto" w:fill="FFFFFF"/>
            <w:vAlign w:val="center"/>
          </w:tcPr>
          <w:p w14:paraId="5462D959" w14:textId="77777777" w:rsidR="000729CF" w:rsidRPr="000729CF" w:rsidRDefault="000729CF" w:rsidP="000729CF">
            <w:pPr>
              <w:jc w:val="right"/>
              <w:rPr>
                <w:rFonts w:ascii="Arial" w:eastAsia="Calibri" w:hAnsi="Arial" w:cs="Arial"/>
                <w:sz w:val="24"/>
                <w:szCs w:val="24"/>
                <w:lang w:val="en-GB"/>
              </w:rPr>
            </w:pPr>
            <w:r w:rsidRPr="000729CF">
              <w:rPr>
                <w:rFonts w:ascii="Arial" w:eastAsia="Calibri" w:hAnsi="Arial" w:cs="Arial"/>
                <w:sz w:val="24"/>
                <w:szCs w:val="24"/>
                <w:lang w:val="en-GB"/>
              </w:rPr>
              <w:t>0</w:t>
            </w:r>
          </w:p>
        </w:tc>
      </w:tr>
      <w:tr w:rsidR="000729CF" w:rsidRPr="000729CF" w14:paraId="3F15345C" w14:textId="77777777" w:rsidTr="00BC26AB">
        <w:trPr>
          <w:trHeight w:val="283"/>
        </w:trPr>
        <w:tc>
          <w:tcPr>
            <w:tcW w:w="660" w:type="pct"/>
            <w:shd w:val="clear" w:color="auto" w:fill="FFFFFF"/>
            <w:vAlign w:val="center"/>
          </w:tcPr>
          <w:p w14:paraId="79C497F0" w14:textId="77777777" w:rsidR="000729CF" w:rsidRPr="000729CF" w:rsidRDefault="000729CF" w:rsidP="000729CF">
            <w:pPr>
              <w:jc w:val="right"/>
              <w:rPr>
                <w:rFonts w:ascii="Arial" w:eastAsia="Calibri" w:hAnsi="Arial" w:cs="Arial"/>
                <w:b/>
                <w:sz w:val="24"/>
                <w:szCs w:val="24"/>
                <w:lang w:val="en-GB"/>
              </w:rPr>
            </w:pPr>
            <w:r w:rsidRPr="000729CF">
              <w:rPr>
                <w:rFonts w:ascii="Arial" w:eastAsia="Calibri" w:hAnsi="Arial" w:cs="Arial"/>
                <w:b/>
                <w:sz w:val="24"/>
                <w:szCs w:val="24"/>
                <w:lang w:val="en-GB"/>
              </w:rPr>
              <w:t>239</w:t>
            </w:r>
          </w:p>
        </w:tc>
        <w:tc>
          <w:tcPr>
            <w:tcW w:w="1878" w:type="pct"/>
            <w:shd w:val="clear" w:color="auto" w:fill="FFFFFF"/>
          </w:tcPr>
          <w:p w14:paraId="0605C834" w14:textId="77777777" w:rsidR="000729CF" w:rsidRPr="000729CF" w:rsidRDefault="000729CF" w:rsidP="000729CF">
            <w:pPr>
              <w:jc w:val="both"/>
              <w:rPr>
                <w:rFonts w:ascii="Arial" w:eastAsia="Calibri" w:hAnsi="Arial" w:cs="Arial"/>
                <w:b/>
                <w:sz w:val="24"/>
                <w:szCs w:val="24"/>
                <w:lang w:val="en-GB"/>
              </w:rPr>
            </w:pPr>
            <w:r w:rsidRPr="000729CF">
              <w:rPr>
                <w:rFonts w:ascii="Arial" w:eastAsia="Calibri" w:hAnsi="Arial" w:cs="Arial"/>
                <w:b/>
                <w:sz w:val="24"/>
                <w:szCs w:val="24"/>
                <w:lang w:val="en-GB"/>
              </w:rPr>
              <w:t>HRA CFR at 31 March</w:t>
            </w:r>
          </w:p>
        </w:tc>
        <w:tc>
          <w:tcPr>
            <w:tcW w:w="820" w:type="pct"/>
            <w:tcBorders>
              <w:top w:val="single" w:sz="4" w:space="0" w:color="auto"/>
              <w:bottom w:val="single" w:sz="4" w:space="0" w:color="auto"/>
            </w:tcBorders>
            <w:shd w:val="clear" w:color="auto" w:fill="FFFFFF"/>
            <w:vAlign w:val="center"/>
          </w:tcPr>
          <w:p w14:paraId="26DE29AA" w14:textId="77777777" w:rsidR="000729CF" w:rsidRPr="000729CF" w:rsidRDefault="000729CF" w:rsidP="000729CF">
            <w:pPr>
              <w:jc w:val="right"/>
              <w:rPr>
                <w:rFonts w:ascii="Arial" w:eastAsia="Calibri" w:hAnsi="Arial" w:cs="Arial"/>
                <w:b/>
                <w:sz w:val="24"/>
                <w:szCs w:val="24"/>
                <w:lang w:val="en-GB"/>
              </w:rPr>
            </w:pPr>
            <w:r w:rsidRPr="000729CF">
              <w:rPr>
                <w:rFonts w:ascii="Arial" w:eastAsia="Calibri" w:hAnsi="Arial" w:cs="Arial"/>
                <w:b/>
                <w:sz w:val="24"/>
                <w:szCs w:val="24"/>
                <w:lang w:val="en-GB"/>
              </w:rPr>
              <w:t>301</w:t>
            </w:r>
          </w:p>
        </w:tc>
        <w:tc>
          <w:tcPr>
            <w:tcW w:w="820" w:type="pct"/>
            <w:tcBorders>
              <w:top w:val="single" w:sz="4" w:space="0" w:color="auto"/>
              <w:bottom w:val="single" w:sz="4" w:space="0" w:color="auto"/>
            </w:tcBorders>
            <w:shd w:val="clear" w:color="auto" w:fill="FFFFFF"/>
            <w:vAlign w:val="center"/>
          </w:tcPr>
          <w:p w14:paraId="33F13022" w14:textId="77777777" w:rsidR="000729CF" w:rsidRPr="000729CF" w:rsidRDefault="000729CF" w:rsidP="000729CF">
            <w:pPr>
              <w:jc w:val="right"/>
              <w:rPr>
                <w:rFonts w:ascii="Arial" w:eastAsia="Calibri" w:hAnsi="Arial" w:cs="Arial"/>
                <w:b/>
                <w:sz w:val="24"/>
                <w:szCs w:val="24"/>
                <w:lang w:val="en-GB"/>
              </w:rPr>
            </w:pPr>
            <w:r w:rsidRPr="000729CF">
              <w:rPr>
                <w:rFonts w:ascii="Arial" w:eastAsia="Calibri" w:hAnsi="Arial" w:cs="Arial"/>
                <w:b/>
                <w:sz w:val="24"/>
                <w:szCs w:val="24"/>
                <w:lang w:val="en-GB"/>
              </w:rPr>
              <w:t>351</w:t>
            </w:r>
          </w:p>
        </w:tc>
        <w:tc>
          <w:tcPr>
            <w:tcW w:w="821" w:type="pct"/>
            <w:tcBorders>
              <w:top w:val="single" w:sz="4" w:space="0" w:color="auto"/>
              <w:bottom w:val="single" w:sz="4" w:space="0" w:color="auto"/>
            </w:tcBorders>
            <w:shd w:val="clear" w:color="auto" w:fill="FFFFFF"/>
            <w:vAlign w:val="center"/>
          </w:tcPr>
          <w:p w14:paraId="46D045DE" w14:textId="77777777" w:rsidR="000729CF" w:rsidRPr="000729CF" w:rsidRDefault="000729CF" w:rsidP="000729CF">
            <w:pPr>
              <w:jc w:val="right"/>
              <w:rPr>
                <w:rFonts w:ascii="Arial" w:eastAsia="Calibri" w:hAnsi="Arial" w:cs="Arial"/>
                <w:b/>
                <w:sz w:val="24"/>
                <w:szCs w:val="24"/>
                <w:lang w:val="en-GB"/>
              </w:rPr>
            </w:pPr>
            <w:r w:rsidRPr="000729CF">
              <w:rPr>
                <w:rFonts w:ascii="Arial" w:eastAsia="Calibri" w:hAnsi="Arial" w:cs="Arial"/>
                <w:b/>
                <w:sz w:val="24"/>
                <w:szCs w:val="24"/>
                <w:lang w:val="en-GB"/>
              </w:rPr>
              <w:t>391</w:t>
            </w:r>
          </w:p>
        </w:tc>
      </w:tr>
      <w:tr w:rsidR="000729CF" w:rsidRPr="000729CF" w14:paraId="13B0057F" w14:textId="77777777" w:rsidTr="00BC26AB">
        <w:trPr>
          <w:trHeight w:val="283"/>
        </w:trPr>
        <w:tc>
          <w:tcPr>
            <w:tcW w:w="660" w:type="pct"/>
            <w:shd w:val="clear" w:color="auto" w:fill="C6D9F1"/>
            <w:vAlign w:val="center"/>
          </w:tcPr>
          <w:p w14:paraId="2B8677AD" w14:textId="77777777" w:rsidR="000729CF" w:rsidRPr="000729CF" w:rsidRDefault="000729CF" w:rsidP="000729CF">
            <w:pPr>
              <w:jc w:val="right"/>
              <w:rPr>
                <w:rFonts w:ascii="Arial" w:eastAsia="Calibri" w:hAnsi="Arial" w:cs="Arial"/>
                <w:b/>
                <w:sz w:val="24"/>
                <w:szCs w:val="24"/>
                <w:lang w:val="en-GB"/>
              </w:rPr>
            </w:pPr>
            <w:r w:rsidRPr="000729CF">
              <w:rPr>
                <w:rFonts w:ascii="Arial" w:eastAsia="Calibri" w:hAnsi="Arial" w:cs="Arial"/>
                <w:b/>
                <w:sz w:val="24"/>
                <w:szCs w:val="24"/>
                <w:lang w:val="en-GB"/>
              </w:rPr>
              <w:t>-</w:t>
            </w:r>
          </w:p>
        </w:tc>
        <w:tc>
          <w:tcPr>
            <w:tcW w:w="1878" w:type="pct"/>
            <w:shd w:val="clear" w:color="auto" w:fill="C6D9F1"/>
            <w:vAlign w:val="center"/>
          </w:tcPr>
          <w:p w14:paraId="60AA01E9" w14:textId="77777777" w:rsidR="000729CF" w:rsidRPr="000729CF" w:rsidRDefault="000729CF" w:rsidP="000729CF">
            <w:pPr>
              <w:rPr>
                <w:rFonts w:ascii="Arial" w:eastAsia="Calibri" w:hAnsi="Arial" w:cs="Arial"/>
                <w:b/>
                <w:sz w:val="24"/>
                <w:szCs w:val="24"/>
                <w:lang w:val="en-GB"/>
              </w:rPr>
            </w:pPr>
            <w:r w:rsidRPr="000729CF">
              <w:rPr>
                <w:rFonts w:ascii="Arial" w:eastAsia="Calibri" w:hAnsi="Arial" w:cs="Arial"/>
                <w:b/>
                <w:sz w:val="24"/>
                <w:szCs w:val="24"/>
                <w:lang w:val="en-GB"/>
              </w:rPr>
              <w:t>Under / (Over) borrowing</w:t>
            </w:r>
          </w:p>
        </w:tc>
        <w:tc>
          <w:tcPr>
            <w:tcW w:w="820" w:type="pct"/>
            <w:tcBorders>
              <w:top w:val="single" w:sz="4" w:space="0" w:color="auto"/>
              <w:bottom w:val="single" w:sz="4" w:space="0" w:color="auto"/>
            </w:tcBorders>
            <w:shd w:val="clear" w:color="auto" w:fill="C6D9F1"/>
            <w:vAlign w:val="center"/>
          </w:tcPr>
          <w:p w14:paraId="75182E38" w14:textId="77777777" w:rsidR="000729CF" w:rsidRPr="000729CF" w:rsidRDefault="000729CF" w:rsidP="000729CF">
            <w:pPr>
              <w:jc w:val="right"/>
              <w:rPr>
                <w:rFonts w:ascii="Arial" w:eastAsia="Calibri" w:hAnsi="Arial" w:cs="Arial"/>
                <w:b/>
                <w:sz w:val="24"/>
                <w:szCs w:val="24"/>
                <w:lang w:val="en-GB"/>
              </w:rPr>
            </w:pPr>
            <w:r w:rsidRPr="000729CF">
              <w:rPr>
                <w:rFonts w:ascii="Arial" w:eastAsia="Calibri" w:hAnsi="Arial" w:cs="Arial"/>
                <w:b/>
                <w:sz w:val="24"/>
                <w:szCs w:val="24"/>
                <w:lang w:val="en-GB"/>
              </w:rPr>
              <w:t>-</w:t>
            </w:r>
          </w:p>
        </w:tc>
        <w:tc>
          <w:tcPr>
            <w:tcW w:w="820" w:type="pct"/>
            <w:tcBorders>
              <w:top w:val="single" w:sz="4" w:space="0" w:color="auto"/>
              <w:bottom w:val="single" w:sz="4" w:space="0" w:color="auto"/>
            </w:tcBorders>
            <w:shd w:val="clear" w:color="auto" w:fill="C6D9F1"/>
            <w:vAlign w:val="center"/>
          </w:tcPr>
          <w:p w14:paraId="3BB20DBC" w14:textId="77777777" w:rsidR="000729CF" w:rsidRPr="000729CF" w:rsidRDefault="000729CF" w:rsidP="000729CF">
            <w:pPr>
              <w:jc w:val="right"/>
              <w:rPr>
                <w:rFonts w:ascii="Arial" w:eastAsia="Calibri" w:hAnsi="Arial" w:cs="Arial"/>
                <w:b/>
                <w:sz w:val="24"/>
                <w:szCs w:val="24"/>
                <w:lang w:val="en-GB"/>
              </w:rPr>
            </w:pPr>
            <w:r w:rsidRPr="000729CF">
              <w:rPr>
                <w:rFonts w:ascii="Arial" w:eastAsia="Calibri" w:hAnsi="Arial" w:cs="Arial"/>
                <w:b/>
                <w:sz w:val="24"/>
                <w:szCs w:val="24"/>
                <w:lang w:val="en-GB"/>
              </w:rPr>
              <w:t>-</w:t>
            </w:r>
          </w:p>
        </w:tc>
        <w:tc>
          <w:tcPr>
            <w:tcW w:w="821" w:type="pct"/>
            <w:tcBorders>
              <w:top w:val="single" w:sz="4" w:space="0" w:color="auto"/>
              <w:bottom w:val="single" w:sz="4" w:space="0" w:color="auto"/>
            </w:tcBorders>
            <w:shd w:val="clear" w:color="auto" w:fill="C6D9F1"/>
            <w:vAlign w:val="center"/>
          </w:tcPr>
          <w:p w14:paraId="38C5B4A6" w14:textId="77777777" w:rsidR="000729CF" w:rsidRPr="000729CF" w:rsidRDefault="000729CF" w:rsidP="000729CF">
            <w:pPr>
              <w:jc w:val="right"/>
              <w:rPr>
                <w:rFonts w:ascii="Arial" w:eastAsia="Calibri" w:hAnsi="Arial" w:cs="Arial"/>
                <w:b/>
                <w:sz w:val="24"/>
                <w:szCs w:val="24"/>
                <w:lang w:val="en-GB"/>
              </w:rPr>
            </w:pPr>
            <w:r w:rsidRPr="000729CF">
              <w:rPr>
                <w:rFonts w:ascii="Arial" w:eastAsia="Calibri" w:hAnsi="Arial" w:cs="Arial"/>
                <w:b/>
                <w:sz w:val="24"/>
                <w:szCs w:val="24"/>
                <w:lang w:val="en-GB"/>
              </w:rPr>
              <w:t>-</w:t>
            </w:r>
          </w:p>
        </w:tc>
      </w:tr>
    </w:tbl>
    <w:p w14:paraId="62CF8DA9" w14:textId="77777777" w:rsidR="000729CF" w:rsidRPr="000729CF" w:rsidRDefault="000729CF" w:rsidP="00CE70A3">
      <w:pPr>
        <w:numPr>
          <w:ilvl w:val="0"/>
          <w:numId w:val="82"/>
        </w:numPr>
        <w:spacing w:before="120" w:after="120" w:line="276" w:lineRule="auto"/>
        <w:ind w:left="993" w:hanging="284"/>
        <w:rPr>
          <w:rFonts w:ascii="Arial" w:eastAsia="Calibri" w:hAnsi="Arial" w:cs="Arial"/>
          <w:i/>
          <w:sz w:val="24"/>
          <w:szCs w:val="24"/>
          <w:lang w:val="en-GB"/>
        </w:rPr>
      </w:pPr>
      <w:r w:rsidRPr="000729CF">
        <w:rPr>
          <w:rFonts w:ascii="Arial" w:eastAsia="Calibri" w:hAnsi="Arial" w:cs="Arial"/>
          <w:i/>
          <w:sz w:val="24"/>
          <w:szCs w:val="24"/>
          <w:lang w:val="en-GB"/>
        </w:rPr>
        <w:t>GF CFR in Table 4 is the underlying need to borrow and excludes PFI and lease arrangements, which are included in the CFR figure in the Prudential Indicators in Annex C.</w:t>
      </w:r>
    </w:p>
    <w:p w14:paraId="4F7A72E5" w14:textId="77777777" w:rsidR="000729CF" w:rsidRPr="000729CF" w:rsidRDefault="000729CF" w:rsidP="00CE70A3">
      <w:pPr>
        <w:keepNext/>
        <w:numPr>
          <w:ilvl w:val="1"/>
          <w:numId w:val="67"/>
        </w:numPr>
        <w:spacing w:before="120" w:after="120" w:line="276" w:lineRule="auto"/>
        <w:ind w:left="709" w:hanging="709"/>
        <w:outlineLvl w:val="1"/>
        <w:rPr>
          <w:rFonts w:ascii="Arial" w:hAnsi="Arial" w:cs="Arial"/>
          <w:b/>
          <w:bCs/>
          <w:i/>
          <w:iCs/>
          <w:sz w:val="24"/>
          <w:szCs w:val="24"/>
          <w:lang w:val="en-GB"/>
        </w:rPr>
      </w:pPr>
      <w:r w:rsidRPr="000729CF">
        <w:rPr>
          <w:rFonts w:ascii="Arial" w:hAnsi="Arial" w:cs="Arial"/>
          <w:b/>
          <w:bCs/>
          <w:i/>
          <w:iCs/>
          <w:sz w:val="24"/>
          <w:szCs w:val="24"/>
          <w:lang w:val="en-GB"/>
        </w:rPr>
        <w:t xml:space="preserve">Policy on Borrowing in Advance of Need </w:t>
      </w:r>
    </w:p>
    <w:p w14:paraId="2796A79D" w14:textId="77777777" w:rsidR="000729CF" w:rsidRPr="000729CF" w:rsidRDefault="000729CF" w:rsidP="000729CF">
      <w:pPr>
        <w:spacing w:after="200"/>
        <w:ind w:left="709"/>
        <w:rPr>
          <w:rFonts w:ascii="Arial" w:eastAsia="Calibri" w:hAnsi="Arial" w:cs="Arial"/>
          <w:sz w:val="24"/>
          <w:szCs w:val="24"/>
          <w:lang w:val="en-GB"/>
        </w:rPr>
      </w:pPr>
      <w:r w:rsidRPr="000729CF">
        <w:rPr>
          <w:rFonts w:ascii="Arial" w:eastAsia="Calibri" w:hAnsi="Arial" w:cs="Arial"/>
          <w:sz w:val="24"/>
          <w:szCs w:val="24"/>
          <w:lang w:val="en-GB"/>
        </w:rPr>
        <w:t>The council will not borrow purely in order to profit from investment of sums borrowed in advance of need. Any decision to borrow in advance will be within approved Capital Financing Requirement estimates and will be considered carefully to ensure that value for money can be demonstrated and that the council can ensure the security of such funds. Risks associated with any borrowing in advance activity will be subject to prior appraisal and subsequent reporting.</w:t>
      </w:r>
    </w:p>
    <w:p w14:paraId="59A90581" w14:textId="77777777" w:rsidR="000729CF" w:rsidRPr="000729CF" w:rsidRDefault="000729CF" w:rsidP="00CE70A3">
      <w:pPr>
        <w:keepNext/>
        <w:numPr>
          <w:ilvl w:val="1"/>
          <w:numId w:val="67"/>
        </w:numPr>
        <w:spacing w:before="120" w:after="120" w:line="276" w:lineRule="auto"/>
        <w:ind w:left="709" w:hanging="709"/>
        <w:outlineLvl w:val="1"/>
        <w:rPr>
          <w:rFonts w:ascii="Arial" w:hAnsi="Arial" w:cs="Arial"/>
          <w:b/>
          <w:bCs/>
          <w:i/>
          <w:iCs/>
          <w:sz w:val="24"/>
          <w:szCs w:val="24"/>
          <w:lang w:val="en-GB"/>
        </w:rPr>
      </w:pPr>
      <w:r w:rsidRPr="000729CF">
        <w:rPr>
          <w:rFonts w:ascii="Arial" w:hAnsi="Arial" w:cs="Arial"/>
          <w:b/>
          <w:bCs/>
          <w:i/>
          <w:iCs/>
          <w:sz w:val="24"/>
          <w:szCs w:val="24"/>
          <w:lang w:val="en-GB"/>
        </w:rPr>
        <w:tab/>
        <w:t xml:space="preserve">Debt Rescheduling </w:t>
      </w:r>
    </w:p>
    <w:p w14:paraId="44450D0A" w14:textId="77777777" w:rsidR="000729CF" w:rsidRPr="000729CF" w:rsidRDefault="000729CF" w:rsidP="000729CF">
      <w:pPr>
        <w:spacing w:after="120"/>
        <w:ind w:left="709"/>
        <w:rPr>
          <w:rFonts w:ascii="Arial" w:eastAsia="Calibri" w:hAnsi="Arial" w:cs="Arial"/>
          <w:sz w:val="24"/>
          <w:szCs w:val="24"/>
          <w:lang w:val="en-GB"/>
        </w:rPr>
      </w:pPr>
      <w:r w:rsidRPr="000729CF">
        <w:rPr>
          <w:rFonts w:ascii="Arial" w:eastAsia="Calibri" w:hAnsi="Arial" w:cs="Arial"/>
          <w:bCs/>
          <w:noProof/>
          <w:sz w:val="24"/>
          <w:szCs w:val="24"/>
          <w:lang w:val="en-GB"/>
        </w:rPr>
        <w:t>Officers continue to regularly review opportunities for debt rescheduling but t</w:t>
      </w:r>
      <w:r w:rsidRPr="000729CF">
        <w:rPr>
          <w:rFonts w:ascii="Arial" w:eastAsia="Calibri" w:hAnsi="Arial" w:cs="Arial"/>
          <w:sz w:val="24"/>
          <w:szCs w:val="24"/>
          <w:lang w:val="en-GB"/>
        </w:rPr>
        <w:t>here has been a considerable widening of the difference between new borrowing and repayment rates, which has resulted in far fewer opportunities to realise any savings or benefits from rescheduling PWLB debt.</w:t>
      </w:r>
    </w:p>
    <w:p w14:paraId="2812170B" w14:textId="77777777" w:rsidR="000729CF" w:rsidRPr="000729CF" w:rsidRDefault="000729CF" w:rsidP="000729CF">
      <w:pPr>
        <w:spacing w:after="120"/>
        <w:ind w:left="709"/>
        <w:rPr>
          <w:rFonts w:ascii="Arial" w:eastAsia="Calibri" w:hAnsi="Arial" w:cs="Arial"/>
          <w:noProof/>
          <w:sz w:val="24"/>
          <w:szCs w:val="24"/>
          <w:lang w:val="en-GB"/>
        </w:rPr>
      </w:pPr>
      <w:r w:rsidRPr="000729CF">
        <w:rPr>
          <w:rFonts w:ascii="Arial" w:eastAsia="Calibri" w:hAnsi="Arial" w:cs="Arial"/>
          <w:noProof/>
          <w:sz w:val="24"/>
          <w:szCs w:val="24"/>
          <w:lang w:val="en-GB"/>
        </w:rPr>
        <w:t>The reasons for any rescheduling to take place will include:</w:t>
      </w:r>
    </w:p>
    <w:p w14:paraId="590AD5BD" w14:textId="77777777" w:rsidR="000729CF" w:rsidRPr="000729CF" w:rsidRDefault="000729CF" w:rsidP="00CE70A3">
      <w:pPr>
        <w:numPr>
          <w:ilvl w:val="0"/>
          <w:numId w:val="71"/>
        </w:numPr>
        <w:spacing w:before="45" w:after="45" w:line="276" w:lineRule="auto"/>
        <w:ind w:left="1134" w:hanging="425"/>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the generation of cash savings and / or discounted cash flow savings;</w:t>
      </w:r>
    </w:p>
    <w:p w14:paraId="0FB69E36" w14:textId="77777777" w:rsidR="000729CF" w:rsidRPr="000729CF" w:rsidRDefault="000729CF" w:rsidP="00CE70A3">
      <w:pPr>
        <w:numPr>
          <w:ilvl w:val="0"/>
          <w:numId w:val="71"/>
        </w:numPr>
        <w:spacing w:before="45" w:after="45" w:line="276" w:lineRule="auto"/>
        <w:ind w:left="1134" w:hanging="425"/>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helping to fulfil long term treasury strategy aims;</w:t>
      </w:r>
    </w:p>
    <w:p w14:paraId="6BE03C54" w14:textId="77777777" w:rsidR="000729CF" w:rsidRPr="000729CF" w:rsidRDefault="000729CF" w:rsidP="00CE70A3">
      <w:pPr>
        <w:numPr>
          <w:ilvl w:val="0"/>
          <w:numId w:val="71"/>
        </w:numPr>
        <w:spacing w:before="45" w:after="45" w:line="276" w:lineRule="auto"/>
        <w:ind w:left="1134" w:hanging="425"/>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enhancing the balance of the portfolio (amending the maturity profile and/or the balance of volatility).</w:t>
      </w:r>
    </w:p>
    <w:p w14:paraId="147763FF" w14:textId="77777777" w:rsidR="000729CF" w:rsidRPr="000729CF" w:rsidRDefault="000729CF" w:rsidP="000729CF">
      <w:pPr>
        <w:spacing w:before="120" w:after="200"/>
        <w:ind w:left="709"/>
        <w:rPr>
          <w:rFonts w:ascii="Arial" w:eastAsia="Calibri" w:hAnsi="Arial" w:cs="Arial"/>
          <w:sz w:val="24"/>
          <w:szCs w:val="24"/>
          <w:lang w:val="en-GB"/>
        </w:rPr>
      </w:pPr>
      <w:r w:rsidRPr="000729CF">
        <w:rPr>
          <w:rFonts w:ascii="Arial" w:eastAsia="Calibri" w:hAnsi="Arial" w:cs="Arial"/>
          <w:sz w:val="24"/>
          <w:szCs w:val="24"/>
          <w:lang w:val="en-GB"/>
        </w:rPr>
        <w:t xml:space="preserve">The strategy is to continue to seek opportunity to reduce the overall level of the council’s debt where prudent to do so, thus providing in future years cost reduction in terms of lower debt repayment costs, and </w:t>
      </w:r>
      <w:r w:rsidRPr="000729CF">
        <w:rPr>
          <w:rFonts w:ascii="Arial" w:eastAsia="Calibri" w:hAnsi="Arial" w:cs="Arial"/>
          <w:bCs/>
          <w:noProof/>
          <w:sz w:val="24"/>
          <w:szCs w:val="24"/>
          <w:lang w:val="en-GB"/>
        </w:rPr>
        <w:t xml:space="preserve">potential for making savings by running down investment balances to repay debt prematurely as short term rates on investments are likely to be lower than rates paid on current debt. </w:t>
      </w:r>
      <w:r w:rsidRPr="000729CF">
        <w:rPr>
          <w:rFonts w:ascii="Arial" w:eastAsia="Calibri" w:hAnsi="Arial" w:cs="Arial"/>
          <w:sz w:val="24"/>
          <w:szCs w:val="24"/>
          <w:lang w:val="en-GB"/>
        </w:rPr>
        <w:t>All rescheduling will be agreed by the S151 Officer.</w:t>
      </w:r>
    </w:p>
    <w:p w14:paraId="4343DC51" w14:textId="77777777" w:rsidR="000729CF" w:rsidRPr="000729CF" w:rsidRDefault="000729CF" w:rsidP="00CE70A3">
      <w:pPr>
        <w:keepNext/>
        <w:numPr>
          <w:ilvl w:val="1"/>
          <w:numId w:val="67"/>
        </w:numPr>
        <w:spacing w:before="120" w:after="120" w:line="276" w:lineRule="auto"/>
        <w:ind w:left="709" w:hanging="709"/>
        <w:outlineLvl w:val="1"/>
        <w:rPr>
          <w:rFonts w:ascii="Arial" w:hAnsi="Arial" w:cs="Arial"/>
          <w:b/>
          <w:bCs/>
          <w:i/>
          <w:iCs/>
          <w:noProof/>
          <w:sz w:val="24"/>
          <w:szCs w:val="24"/>
          <w:lang w:val="en-GB"/>
        </w:rPr>
      </w:pPr>
      <w:r w:rsidRPr="000729CF">
        <w:rPr>
          <w:rFonts w:ascii="Arial" w:hAnsi="Arial" w:cs="Arial"/>
          <w:b/>
          <w:bCs/>
          <w:i/>
          <w:iCs/>
          <w:noProof/>
          <w:sz w:val="24"/>
          <w:szCs w:val="24"/>
          <w:lang w:val="en-GB"/>
        </w:rPr>
        <w:tab/>
        <w:t>Interest Rate Risk &amp; Continual Review</w:t>
      </w:r>
    </w:p>
    <w:p w14:paraId="1D67EF7C" w14:textId="77777777" w:rsidR="000729CF" w:rsidRPr="000729CF" w:rsidRDefault="000729CF" w:rsidP="000729CF">
      <w:pPr>
        <w:spacing w:after="120"/>
        <w:ind w:left="709"/>
        <w:rPr>
          <w:rFonts w:ascii="Arial" w:eastAsia="Calibri" w:hAnsi="Arial" w:cs="Arial"/>
          <w:noProof/>
          <w:spacing w:val="-5"/>
          <w:sz w:val="24"/>
          <w:szCs w:val="24"/>
          <w:lang w:val="en-GB"/>
        </w:rPr>
      </w:pPr>
      <w:r w:rsidRPr="000729CF">
        <w:rPr>
          <w:rFonts w:ascii="Arial" w:eastAsia="Calibri" w:hAnsi="Arial" w:cs="Arial"/>
          <w:noProof/>
          <w:spacing w:val="-5"/>
          <w:sz w:val="24"/>
          <w:szCs w:val="24"/>
          <w:lang w:val="en-GB"/>
        </w:rPr>
        <w:t xml:space="preserve">The council’s total borrowing need of £266m is identified in </w:t>
      </w:r>
      <w:r w:rsidRPr="000729CF">
        <w:rPr>
          <w:rFonts w:ascii="Arial" w:eastAsia="Calibri" w:hAnsi="Arial" w:cs="Arial"/>
          <w:b/>
          <w:noProof/>
          <w:spacing w:val="-5"/>
          <w:sz w:val="24"/>
          <w:szCs w:val="24"/>
          <w:lang w:val="en-GB"/>
        </w:rPr>
        <w:t>Tables 2 &amp; 3.</w:t>
      </w:r>
      <w:r w:rsidRPr="000729CF">
        <w:rPr>
          <w:rFonts w:ascii="Arial" w:eastAsia="Calibri" w:hAnsi="Arial" w:cs="Arial"/>
          <w:noProof/>
          <w:spacing w:val="-5"/>
          <w:sz w:val="24"/>
          <w:szCs w:val="24"/>
          <w:lang w:val="en-GB"/>
        </w:rPr>
        <w:t xml:space="preserve"> This borrowing need, together with the debt at risk of maturity shown in </w:t>
      </w:r>
      <w:r w:rsidRPr="000729CF">
        <w:rPr>
          <w:rFonts w:ascii="Arial" w:eastAsia="Calibri" w:hAnsi="Arial" w:cs="Arial"/>
          <w:b/>
          <w:noProof/>
          <w:spacing w:val="-5"/>
          <w:sz w:val="24"/>
          <w:szCs w:val="24"/>
          <w:lang w:val="en-GB"/>
        </w:rPr>
        <w:t>Table 5</w:t>
      </w:r>
      <w:r w:rsidRPr="000729CF">
        <w:rPr>
          <w:rFonts w:ascii="Arial" w:eastAsia="Calibri" w:hAnsi="Arial" w:cs="Arial"/>
          <w:bCs/>
          <w:noProof/>
          <w:spacing w:val="-5"/>
          <w:sz w:val="24"/>
          <w:szCs w:val="24"/>
          <w:lang w:val="en-GB"/>
        </w:rPr>
        <w:t>,</w:t>
      </w:r>
      <w:r w:rsidRPr="000729CF">
        <w:rPr>
          <w:rFonts w:ascii="Arial" w:eastAsia="Calibri" w:hAnsi="Arial" w:cs="Arial"/>
          <w:noProof/>
          <w:spacing w:val="-5"/>
          <w:sz w:val="24"/>
          <w:szCs w:val="24"/>
          <w:lang w:val="en-GB"/>
        </w:rPr>
        <w:t xml:space="preserve"> is the extent to which the council is subject to interest rate risk over the next three years.</w:t>
      </w:r>
    </w:p>
    <w:p w14:paraId="375B3CA4" w14:textId="77777777" w:rsidR="000729CF" w:rsidRPr="000729CF" w:rsidRDefault="000729CF" w:rsidP="000729CF">
      <w:pPr>
        <w:spacing w:after="120"/>
        <w:ind w:left="709"/>
        <w:rPr>
          <w:rFonts w:ascii="Arial" w:eastAsia="Calibri" w:hAnsi="Arial" w:cs="Arial"/>
          <w:noProof/>
          <w:spacing w:val="-5"/>
          <w:sz w:val="24"/>
          <w:szCs w:val="24"/>
          <w:lang w:val="en-GB"/>
        </w:rPr>
      </w:pPr>
    </w:p>
    <w:tbl>
      <w:tblPr>
        <w:tblW w:w="4632"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1"/>
        <w:gridCol w:w="1470"/>
        <w:gridCol w:w="1470"/>
        <w:gridCol w:w="1468"/>
      </w:tblGrid>
      <w:tr w:rsidR="000729CF" w:rsidRPr="000729CF" w14:paraId="408E5CB5" w14:textId="77777777" w:rsidTr="00BC26AB">
        <w:tc>
          <w:tcPr>
            <w:tcW w:w="2529" w:type="pct"/>
            <w:vMerge w:val="restart"/>
            <w:shd w:val="clear" w:color="auto" w:fill="17365D"/>
          </w:tcPr>
          <w:p w14:paraId="42323C31" w14:textId="77777777" w:rsidR="000729CF" w:rsidRPr="000729CF" w:rsidRDefault="000729CF" w:rsidP="000729CF">
            <w:pPr>
              <w:jc w:val="both"/>
              <w:rPr>
                <w:rFonts w:ascii="Arial" w:eastAsia="Calibri" w:hAnsi="Arial" w:cs="Arial"/>
                <w:b/>
                <w:noProof/>
                <w:spacing w:val="-5"/>
                <w:sz w:val="24"/>
                <w:szCs w:val="24"/>
                <w:lang w:val="en-GB"/>
              </w:rPr>
            </w:pPr>
            <w:r w:rsidRPr="000729CF">
              <w:rPr>
                <w:rFonts w:ascii="Arial" w:eastAsia="Calibri" w:hAnsi="Arial" w:cs="Arial"/>
                <w:b/>
                <w:noProof/>
                <w:spacing w:val="-5"/>
                <w:sz w:val="24"/>
                <w:szCs w:val="24"/>
                <w:lang w:val="en-GB"/>
              </w:rPr>
              <w:t>Table 5</w:t>
            </w:r>
          </w:p>
        </w:tc>
        <w:tc>
          <w:tcPr>
            <w:tcW w:w="824" w:type="pct"/>
            <w:shd w:val="clear" w:color="auto" w:fill="17365D"/>
          </w:tcPr>
          <w:p w14:paraId="1C3BEAC3" w14:textId="77777777" w:rsidR="000729CF" w:rsidRPr="000729CF" w:rsidRDefault="000729CF" w:rsidP="000729CF">
            <w:pPr>
              <w:jc w:val="center"/>
              <w:rPr>
                <w:rFonts w:ascii="Arial" w:eastAsia="Calibri" w:hAnsi="Arial" w:cs="Arial"/>
                <w:b/>
                <w:noProof/>
                <w:spacing w:val="-5"/>
                <w:sz w:val="24"/>
                <w:szCs w:val="24"/>
                <w:lang w:val="en-GB"/>
              </w:rPr>
            </w:pPr>
            <w:r w:rsidRPr="000729CF">
              <w:rPr>
                <w:rFonts w:ascii="Arial" w:eastAsia="Calibri" w:hAnsi="Arial" w:cs="Arial"/>
                <w:b/>
                <w:noProof/>
                <w:spacing w:val="-5"/>
                <w:sz w:val="24"/>
                <w:szCs w:val="24"/>
                <w:lang w:val="en-GB"/>
              </w:rPr>
              <w:t>2024/25</w:t>
            </w:r>
          </w:p>
        </w:tc>
        <w:tc>
          <w:tcPr>
            <w:tcW w:w="824" w:type="pct"/>
            <w:shd w:val="clear" w:color="auto" w:fill="17365D"/>
          </w:tcPr>
          <w:p w14:paraId="41A9EED7" w14:textId="77777777" w:rsidR="000729CF" w:rsidRPr="000729CF" w:rsidRDefault="000729CF" w:rsidP="000729CF">
            <w:pPr>
              <w:jc w:val="center"/>
              <w:rPr>
                <w:rFonts w:ascii="Arial" w:eastAsia="Calibri" w:hAnsi="Arial" w:cs="Arial"/>
                <w:b/>
                <w:noProof/>
                <w:spacing w:val="-5"/>
                <w:sz w:val="24"/>
                <w:szCs w:val="24"/>
                <w:lang w:val="en-GB"/>
              </w:rPr>
            </w:pPr>
            <w:r w:rsidRPr="000729CF">
              <w:rPr>
                <w:rFonts w:ascii="Arial" w:eastAsia="Calibri" w:hAnsi="Arial" w:cs="Arial"/>
                <w:b/>
                <w:noProof/>
                <w:spacing w:val="-5"/>
                <w:sz w:val="24"/>
                <w:szCs w:val="24"/>
                <w:lang w:val="en-GB"/>
              </w:rPr>
              <w:t>2025/26</w:t>
            </w:r>
          </w:p>
        </w:tc>
        <w:tc>
          <w:tcPr>
            <w:tcW w:w="823" w:type="pct"/>
            <w:shd w:val="clear" w:color="auto" w:fill="17365D"/>
          </w:tcPr>
          <w:p w14:paraId="2F3C8A32" w14:textId="77777777" w:rsidR="000729CF" w:rsidRPr="000729CF" w:rsidRDefault="000729CF" w:rsidP="000729CF">
            <w:pPr>
              <w:jc w:val="center"/>
              <w:rPr>
                <w:rFonts w:ascii="Arial" w:eastAsia="Calibri" w:hAnsi="Arial" w:cs="Arial"/>
                <w:b/>
                <w:noProof/>
                <w:spacing w:val="-5"/>
                <w:sz w:val="24"/>
                <w:szCs w:val="24"/>
                <w:lang w:val="en-GB"/>
              </w:rPr>
            </w:pPr>
            <w:r w:rsidRPr="000729CF">
              <w:rPr>
                <w:rFonts w:ascii="Arial" w:eastAsia="Calibri" w:hAnsi="Arial" w:cs="Arial"/>
                <w:b/>
                <w:noProof/>
                <w:spacing w:val="-5"/>
                <w:sz w:val="24"/>
                <w:szCs w:val="24"/>
                <w:lang w:val="en-GB"/>
              </w:rPr>
              <w:t>2026/27</w:t>
            </w:r>
          </w:p>
        </w:tc>
      </w:tr>
      <w:tr w:rsidR="000729CF" w:rsidRPr="000729CF" w14:paraId="5C597383" w14:textId="77777777" w:rsidTr="00BC26AB">
        <w:tc>
          <w:tcPr>
            <w:tcW w:w="2529" w:type="pct"/>
            <w:vMerge/>
            <w:shd w:val="clear" w:color="auto" w:fill="17365D"/>
          </w:tcPr>
          <w:p w14:paraId="30875C9A" w14:textId="77777777" w:rsidR="000729CF" w:rsidRPr="000729CF" w:rsidRDefault="000729CF" w:rsidP="000729CF">
            <w:pPr>
              <w:jc w:val="both"/>
              <w:rPr>
                <w:rFonts w:ascii="Arial" w:eastAsia="Calibri" w:hAnsi="Arial" w:cs="Arial"/>
                <w:b/>
                <w:noProof/>
                <w:spacing w:val="-5"/>
                <w:sz w:val="24"/>
                <w:szCs w:val="24"/>
                <w:lang w:val="en-GB"/>
              </w:rPr>
            </w:pPr>
          </w:p>
        </w:tc>
        <w:tc>
          <w:tcPr>
            <w:tcW w:w="824" w:type="pct"/>
            <w:shd w:val="clear" w:color="auto" w:fill="17365D"/>
          </w:tcPr>
          <w:p w14:paraId="53F85969" w14:textId="77777777" w:rsidR="000729CF" w:rsidRPr="000729CF" w:rsidRDefault="000729CF" w:rsidP="000729CF">
            <w:pPr>
              <w:jc w:val="center"/>
              <w:rPr>
                <w:rFonts w:ascii="Arial" w:eastAsia="Calibri" w:hAnsi="Arial" w:cs="Arial"/>
                <w:b/>
                <w:noProof/>
                <w:spacing w:val="-5"/>
                <w:sz w:val="24"/>
                <w:szCs w:val="24"/>
                <w:lang w:val="en-GB"/>
              </w:rPr>
            </w:pPr>
            <w:r w:rsidRPr="000729CF">
              <w:rPr>
                <w:rFonts w:ascii="Arial" w:eastAsia="Calibri" w:hAnsi="Arial" w:cs="Arial"/>
                <w:b/>
                <w:noProof/>
                <w:spacing w:val="-5"/>
                <w:sz w:val="24"/>
                <w:szCs w:val="24"/>
                <w:lang w:val="en-GB"/>
              </w:rPr>
              <w:t>£m</w:t>
            </w:r>
          </w:p>
        </w:tc>
        <w:tc>
          <w:tcPr>
            <w:tcW w:w="824" w:type="pct"/>
            <w:shd w:val="clear" w:color="auto" w:fill="17365D"/>
          </w:tcPr>
          <w:p w14:paraId="798AE656" w14:textId="77777777" w:rsidR="000729CF" w:rsidRPr="000729CF" w:rsidRDefault="000729CF" w:rsidP="000729CF">
            <w:pPr>
              <w:jc w:val="center"/>
              <w:rPr>
                <w:rFonts w:ascii="Arial" w:eastAsia="Calibri" w:hAnsi="Arial" w:cs="Arial"/>
                <w:b/>
                <w:noProof/>
                <w:spacing w:val="-5"/>
                <w:sz w:val="24"/>
                <w:szCs w:val="24"/>
                <w:lang w:val="en-GB"/>
              </w:rPr>
            </w:pPr>
            <w:r w:rsidRPr="000729CF">
              <w:rPr>
                <w:rFonts w:ascii="Arial" w:eastAsia="Calibri" w:hAnsi="Arial" w:cs="Arial"/>
                <w:b/>
                <w:noProof/>
                <w:spacing w:val="-5"/>
                <w:sz w:val="24"/>
                <w:szCs w:val="24"/>
                <w:lang w:val="en-GB"/>
              </w:rPr>
              <w:t>£m</w:t>
            </w:r>
          </w:p>
        </w:tc>
        <w:tc>
          <w:tcPr>
            <w:tcW w:w="823" w:type="pct"/>
            <w:shd w:val="clear" w:color="auto" w:fill="17365D"/>
          </w:tcPr>
          <w:p w14:paraId="60B35F3C" w14:textId="77777777" w:rsidR="000729CF" w:rsidRPr="000729CF" w:rsidRDefault="000729CF" w:rsidP="000729CF">
            <w:pPr>
              <w:jc w:val="center"/>
              <w:rPr>
                <w:rFonts w:ascii="Arial" w:eastAsia="Calibri" w:hAnsi="Arial" w:cs="Arial"/>
                <w:b/>
                <w:noProof/>
                <w:spacing w:val="-5"/>
                <w:sz w:val="24"/>
                <w:szCs w:val="24"/>
                <w:lang w:val="en-GB"/>
              </w:rPr>
            </w:pPr>
            <w:r w:rsidRPr="000729CF">
              <w:rPr>
                <w:rFonts w:ascii="Arial" w:eastAsia="Calibri" w:hAnsi="Arial" w:cs="Arial"/>
                <w:b/>
                <w:noProof/>
                <w:spacing w:val="-5"/>
                <w:sz w:val="24"/>
                <w:szCs w:val="24"/>
                <w:lang w:val="en-GB"/>
              </w:rPr>
              <w:t>£m</w:t>
            </w:r>
          </w:p>
        </w:tc>
      </w:tr>
      <w:tr w:rsidR="000729CF" w:rsidRPr="000729CF" w14:paraId="4B53C0BC" w14:textId="77777777" w:rsidTr="00BC26AB">
        <w:tc>
          <w:tcPr>
            <w:tcW w:w="2529" w:type="pct"/>
            <w:shd w:val="clear" w:color="auto" w:fill="auto"/>
          </w:tcPr>
          <w:p w14:paraId="6EB145F3" w14:textId="77777777" w:rsidR="000729CF" w:rsidRPr="000729CF" w:rsidRDefault="000729CF" w:rsidP="000729CF">
            <w:pPr>
              <w:rPr>
                <w:rFonts w:ascii="Arial" w:eastAsia="Calibri" w:hAnsi="Arial" w:cs="Arial"/>
                <w:noProof/>
                <w:spacing w:val="-5"/>
                <w:sz w:val="24"/>
                <w:szCs w:val="24"/>
                <w:lang w:val="en-GB"/>
              </w:rPr>
            </w:pPr>
            <w:r w:rsidRPr="000729CF">
              <w:rPr>
                <w:rFonts w:ascii="Arial" w:eastAsia="Calibri" w:hAnsi="Arial" w:cs="Arial"/>
                <w:noProof/>
                <w:spacing w:val="-5"/>
                <w:sz w:val="24"/>
                <w:szCs w:val="24"/>
                <w:lang w:val="en-GB"/>
              </w:rPr>
              <w:t>Maturing Debt</w:t>
            </w:r>
          </w:p>
        </w:tc>
        <w:tc>
          <w:tcPr>
            <w:tcW w:w="824" w:type="pct"/>
            <w:shd w:val="clear" w:color="auto" w:fill="auto"/>
          </w:tcPr>
          <w:p w14:paraId="21D5618E" w14:textId="77777777" w:rsidR="000729CF" w:rsidRPr="000729CF" w:rsidRDefault="000729CF" w:rsidP="000729CF">
            <w:pPr>
              <w:jc w:val="right"/>
              <w:rPr>
                <w:rFonts w:ascii="Arial" w:eastAsia="Calibri" w:hAnsi="Arial" w:cs="Arial"/>
                <w:noProof/>
                <w:spacing w:val="-5"/>
                <w:sz w:val="24"/>
                <w:szCs w:val="24"/>
                <w:lang w:val="en-GB"/>
              </w:rPr>
            </w:pPr>
            <w:r w:rsidRPr="000729CF">
              <w:rPr>
                <w:rFonts w:ascii="Arial" w:eastAsia="Calibri" w:hAnsi="Arial" w:cs="Arial"/>
                <w:noProof/>
                <w:spacing w:val="-5"/>
                <w:sz w:val="24"/>
                <w:szCs w:val="24"/>
                <w:lang w:val="en-GB"/>
              </w:rPr>
              <w:t>14</w:t>
            </w:r>
          </w:p>
        </w:tc>
        <w:tc>
          <w:tcPr>
            <w:tcW w:w="824" w:type="pct"/>
            <w:shd w:val="clear" w:color="auto" w:fill="auto"/>
          </w:tcPr>
          <w:p w14:paraId="120C5C2E" w14:textId="77777777" w:rsidR="000729CF" w:rsidRPr="000729CF" w:rsidRDefault="000729CF" w:rsidP="000729CF">
            <w:pPr>
              <w:jc w:val="right"/>
              <w:rPr>
                <w:rFonts w:ascii="Arial" w:eastAsia="Calibri" w:hAnsi="Arial" w:cs="Arial"/>
                <w:noProof/>
                <w:spacing w:val="-5"/>
                <w:sz w:val="24"/>
                <w:szCs w:val="24"/>
                <w:lang w:val="en-GB"/>
              </w:rPr>
            </w:pPr>
            <w:r w:rsidRPr="000729CF">
              <w:rPr>
                <w:rFonts w:ascii="Arial" w:eastAsia="Calibri" w:hAnsi="Arial" w:cs="Arial"/>
                <w:noProof/>
                <w:spacing w:val="-5"/>
                <w:sz w:val="24"/>
                <w:szCs w:val="24"/>
                <w:lang w:val="en-GB"/>
              </w:rPr>
              <w:t>5</w:t>
            </w:r>
          </w:p>
        </w:tc>
        <w:tc>
          <w:tcPr>
            <w:tcW w:w="823" w:type="pct"/>
            <w:shd w:val="clear" w:color="auto" w:fill="auto"/>
          </w:tcPr>
          <w:p w14:paraId="7F391125" w14:textId="77777777" w:rsidR="000729CF" w:rsidRPr="000729CF" w:rsidRDefault="000729CF" w:rsidP="000729CF">
            <w:pPr>
              <w:jc w:val="right"/>
              <w:rPr>
                <w:rFonts w:ascii="Arial" w:eastAsia="Calibri" w:hAnsi="Arial" w:cs="Arial"/>
                <w:noProof/>
                <w:spacing w:val="-5"/>
                <w:sz w:val="24"/>
                <w:szCs w:val="24"/>
                <w:lang w:val="en-GB"/>
              </w:rPr>
            </w:pPr>
            <w:r w:rsidRPr="000729CF">
              <w:rPr>
                <w:rFonts w:ascii="Arial" w:eastAsia="Calibri" w:hAnsi="Arial" w:cs="Arial"/>
                <w:noProof/>
                <w:spacing w:val="-5"/>
                <w:sz w:val="24"/>
                <w:szCs w:val="24"/>
                <w:lang w:val="en-GB"/>
              </w:rPr>
              <w:t>8</w:t>
            </w:r>
          </w:p>
        </w:tc>
      </w:tr>
      <w:tr w:rsidR="000729CF" w:rsidRPr="000729CF" w14:paraId="0C622307" w14:textId="77777777" w:rsidTr="00BC26AB">
        <w:tc>
          <w:tcPr>
            <w:tcW w:w="2529" w:type="pct"/>
            <w:shd w:val="clear" w:color="auto" w:fill="auto"/>
          </w:tcPr>
          <w:p w14:paraId="6715D5B8" w14:textId="77777777" w:rsidR="000729CF" w:rsidRPr="000729CF" w:rsidRDefault="000729CF" w:rsidP="000729CF">
            <w:pPr>
              <w:rPr>
                <w:rFonts w:ascii="Arial" w:eastAsia="Calibri" w:hAnsi="Arial" w:cs="Arial"/>
                <w:noProof/>
                <w:spacing w:val="-5"/>
                <w:sz w:val="24"/>
                <w:szCs w:val="24"/>
                <w:lang w:val="en-GB"/>
              </w:rPr>
            </w:pPr>
            <w:r w:rsidRPr="000729CF">
              <w:rPr>
                <w:rFonts w:ascii="Arial" w:eastAsia="Calibri" w:hAnsi="Arial" w:cs="Arial"/>
                <w:noProof/>
                <w:spacing w:val="-5"/>
                <w:sz w:val="24"/>
                <w:szCs w:val="24"/>
                <w:lang w:val="en-GB"/>
              </w:rPr>
              <w:t>Debt Subject to early repayments options</w:t>
            </w:r>
          </w:p>
        </w:tc>
        <w:tc>
          <w:tcPr>
            <w:tcW w:w="824" w:type="pct"/>
            <w:shd w:val="clear" w:color="auto" w:fill="auto"/>
          </w:tcPr>
          <w:p w14:paraId="4BB4E37D" w14:textId="77777777" w:rsidR="000729CF" w:rsidRPr="000729CF" w:rsidRDefault="000729CF" w:rsidP="000729CF">
            <w:pPr>
              <w:jc w:val="right"/>
              <w:rPr>
                <w:rFonts w:ascii="Arial" w:eastAsia="Calibri" w:hAnsi="Arial" w:cs="Arial"/>
                <w:noProof/>
                <w:spacing w:val="-5"/>
                <w:sz w:val="24"/>
                <w:szCs w:val="24"/>
                <w:lang w:val="en-GB"/>
              </w:rPr>
            </w:pPr>
            <w:r w:rsidRPr="000729CF">
              <w:rPr>
                <w:rFonts w:ascii="Arial" w:eastAsia="Calibri" w:hAnsi="Arial" w:cs="Arial"/>
                <w:noProof/>
                <w:spacing w:val="-5"/>
                <w:sz w:val="24"/>
                <w:szCs w:val="24"/>
                <w:lang w:val="en-GB"/>
              </w:rPr>
              <w:t>5</w:t>
            </w:r>
          </w:p>
        </w:tc>
        <w:tc>
          <w:tcPr>
            <w:tcW w:w="824" w:type="pct"/>
            <w:shd w:val="clear" w:color="auto" w:fill="auto"/>
          </w:tcPr>
          <w:p w14:paraId="7587FE9C" w14:textId="77777777" w:rsidR="000729CF" w:rsidRPr="000729CF" w:rsidRDefault="000729CF" w:rsidP="000729CF">
            <w:pPr>
              <w:jc w:val="right"/>
              <w:rPr>
                <w:rFonts w:ascii="Arial" w:eastAsia="Calibri" w:hAnsi="Arial" w:cs="Arial"/>
                <w:noProof/>
                <w:spacing w:val="-5"/>
                <w:sz w:val="24"/>
                <w:szCs w:val="24"/>
                <w:lang w:val="en-GB"/>
              </w:rPr>
            </w:pPr>
            <w:r w:rsidRPr="000729CF">
              <w:rPr>
                <w:rFonts w:ascii="Arial" w:eastAsia="Calibri" w:hAnsi="Arial" w:cs="Arial"/>
                <w:noProof/>
                <w:spacing w:val="-5"/>
                <w:sz w:val="24"/>
                <w:szCs w:val="24"/>
                <w:lang w:val="en-GB"/>
              </w:rPr>
              <w:t>5</w:t>
            </w:r>
          </w:p>
        </w:tc>
        <w:tc>
          <w:tcPr>
            <w:tcW w:w="823" w:type="pct"/>
            <w:shd w:val="clear" w:color="auto" w:fill="auto"/>
          </w:tcPr>
          <w:p w14:paraId="7D3F9C75" w14:textId="77777777" w:rsidR="000729CF" w:rsidRPr="000729CF" w:rsidRDefault="000729CF" w:rsidP="000729CF">
            <w:pPr>
              <w:jc w:val="right"/>
              <w:rPr>
                <w:rFonts w:ascii="Arial" w:eastAsia="Calibri" w:hAnsi="Arial" w:cs="Arial"/>
                <w:noProof/>
                <w:spacing w:val="-5"/>
                <w:sz w:val="24"/>
                <w:szCs w:val="24"/>
                <w:lang w:val="en-GB"/>
              </w:rPr>
            </w:pPr>
            <w:r w:rsidRPr="000729CF">
              <w:rPr>
                <w:rFonts w:ascii="Arial" w:eastAsia="Calibri" w:hAnsi="Arial" w:cs="Arial"/>
                <w:noProof/>
                <w:spacing w:val="-5"/>
                <w:sz w:val="24"/>
                <w:szCs w:val="24"/>
                <w:lang w:val="en-GB"/>
              </w:rPr>
              <w:t>10</w:t>
            </w:r>
          </w:p>
        </w:tc>
      </w:tr>
      <w:tr w:rsidR="000729CF" w:rsidRPr="000729CF" w14:paraId="035CD606" w14:textId="77777777" w:rsidTr="00BC26AB">
        <w:tc>
          <w:tcPr>
            <w:tcW w:w="2529" w:type="pct"/>
            <w:shd w:val="clear" w:color="auto" w:fill="C6D9F1"/>
          </w:tcPr>
          <w:p w14:paraId="2BE67406" w14:textId="77777777" w:rsidR="000729CF" w:rsidRPr="000729CF" w:rsidRDefault="000729CF" w:rsidP="000729CF">
            <w:pPr>
              <w:rPr>
                <w:rFonts w:ascii="Arial" w:eastAsia="Calibri" w:hAnsi="Arial" w:cs="Arial"/>
                <w:b/>
                <w:noProof/>
                <w:spacing w:val="-5"/>
                <w:sz w:val="24"/>
                <w:szCs w:val="24"/>
                <w:lang w:val="en-GB"/>
              </w:rPr>
            </w:pPr>
            <w:r w:rsidRPr="000729CF">
              <w:rPr>
                <w:rFonts w:ascii="Arial" w:eastAsia="Calibri" w:hAnsi="Arial" w:cs="Arial"/>
                <w:b/>
                <w:noProof/>
                <w:spacing w:val="-5"/>
                <w:sz w:val="24"/>
                <w:szCs w:val="24"/>
                <w:lang w:val="en-GB"/>
              </w:rPr>
              <w:t>Total debt at risk of maturity</w:t>
            </w:r>
          </w:p>
        </w:tc>
        <w:tc>
          <w:tcPr>
            <w:tcW w:w="824" w:type="pct"/>
            <w:shd w:val="clear" w:color="auto" w:fill="auto"/>
          </w:tcPr>
          <w:p w14:paraId="42FDD1A9" w14:textId="77777777" w:rsidR="000729CF" w:rsidRPr="000729CF" w:rsidRDefault="000729CF" w:rsidP="000729CF">
            <w:pPr>
              <w:jc w:val="right"/>
              <w:rPr>
                <w:rFonts w:ascii="Arial" w:eastAsia="Calibri" w:hAnsi="Arial" w:cs="Arial"/>
                <w:b/>
                <w:noProof/>
                <w:spacing w:val="-5"/>
                <w:sz w:val="24"/>
                <w:szCs w:val="24"/>
                <w:lang w:val="en-GB"/>
              </w:rPr>
            </w:pPr>
            <w:r w:rsidRPr="000729CF">
              <w:rPr>
                <w:rFonts w:ascii="Arial" w:eastAsia="Calibri" w:hAnsi="Arial" w:cs="Arial"/>
                <w:b/>
                <w:noProof/>
                <w:spacing w:val="-5"/>
                <w:sz w:val="24"/>
                <w:szCs w:val="24"/>
                <w:lang w:val="en-GB"/>
              </w:rPr>
              <w:t>19</w:t>
            </w:r>
          </w:p>
        </w:tc>
        <w:tc>
          <w:tcPr>
            <w:tcW w:w="824" w:type="pct"/>
            <w:shd w:val="clear" w:color="auto" w:fill="auto"/>
          </w:tcPr>
          <w:p w14:paraId="1E61252D" w14:textId="77777777" w:rsidR="000729CF" w:rsidRPr="000729CF" w:rsidRDefault="000729CF" w:rsidP="000729CF">
            <w:pPr>
              <w:jc w:val="right"/>
              <w:rPr>
                <w:rFonts w:ascii="Arial" w:eastAsia="Calibri" w:hAnsi="Arial" w:cs="Arial"/>
                <w:b/>
                <w:noProof/>
                <w:spacing w:val="-5"/>
                <w:sz w:val="24"/>
                <w:szCs w:val="24"/>
                <w:lang w:val="en-GB"/>
              </w:rPr>
            </w:pPr>
            <w:r w:rsidRPr="000729CF">
              <w:rPr>
                <w:rFonts w:ascii="Arial" w:eastAsia="Calibri" w:hAnsi="Arial" w:cs="Arial"/>
                <w:b/>
                <w:noProof/>
                <w:spacing w:val="-5"/>
                <w:sz w:val="24"/>
                <w:szCs w:val="24"/>
                <w:lang w:val="en-GB"/>
              </w:rPr>
              <w:t>10</w:t>
            </w:r>
          </w:p>
        </w:tc>
        <w:tc>
          <w:tcPr>
            <w:tcW w:w="823" w:type="pct"/>
            <w:shd w:val="clear" w:color="auto" w:fill="auto"/>
          </w:tcPr>
          <w:p w14:paraId="0FDBEE97" w14:textId="77777777" w:rsidR="000729CF" w:rsidRPr="000729CF" w:rsidRDefault="000729CF" w:rsidP="000729CF">
            <w:pPr>
              <w:jc w:val="right"/>
              <w:rPr>
                <w:rFonts w:ascii="Arial" w:eastAsia="Calibri" w:hAnsi="Arial" w:cs="Arial"/>
                <w:b/>
                <w:noProof/>
                <w:spacing w:val="-5"/>
                <w:sz w:val="24"/>
                <w:szCs w:val="24"/>
                <w:lang w:val="en-GB"/>
              </w:rPr>
            </w:pPr>
            <w:r w:rsidRPr="000729CF">
              <w:rPr>
                <w:rFonts w:ascii="Arial" w:eastAsia="Calibri" w:hAnsi="Arial" w:cs="Arial"/>
                <w:b/>
                <w:noProof/>
                <w:spacing w:val="-5"/>
                <w:sz w:val="24"/>
                <w:szCs w:val="24"/>
                <w:lang w:val="en-GB"/>
              </w:rPr>
              <w:t>18</w:t>
            </w:r>
          </w:p>
        </w:tc>
      </w:tr>
    </w:tbl>
    <w:p w14:paraId="1B8B5C61" w14:textId="77777777" w:rsidR="000729CF" w:rsidRPr="000729CF" w:rsidRDefault="000729CF" w:rsidP="000729CF">
      <w:pPr>
        <w:spacing w:before="120" w:after="120"/>
        <w:ind w:left="720"/>
        <w:rPr>
          <w:rFonts w:ascii="Arial" w:eastAsia="Calibri" w:hAnsi="Arial" w:cs="Arial"/>
          <w:noProof/>
          <w:spacing w:val="-5"/>
          <w:sz w:val="24"/>
          <w:szCs w:val="24"/>
          <w:lang w:val="en-GB"/>
        </w:rPr>
      </w:pPr>
    </w:p>
    <w:p w14:paraId="4C63B18E" w14:textId="77777777" w:rsidR="000729CF" w:rsidRPr="000729CF" w:rsidRDefault="000729CF" w:rsidP="000729CF">
      <w:pPr>
        <w:spacing w:before="120" w:after="120"/>
        <w:ind w:left="720"/>
        <w:rPr>
          <w:rFonts w:ascii="Arial" w:eastAsia="Calibri" w:hAnsi="Arial" w:cs="Arial"/>
          <w:noProof/>
          <w:color w:val="0D0D0D"/>
          <w:spacing w:val="-5"/>
          <w:sz w:val="24"/>
          <w:szCs w:val="24"/>
          <w:lang w:val="en-GB"/>
        </w:rPr>
      </w:pPr>
      <w:r w:rsidRPr="000729CF">
        <w:rPr>
          <w:rFonts w:ascii="Arial" w:eastAsia="Calibri" w:hAnsi="Arial" w:cs="Arial"/>
          <w:noProof/>
          <w:spacing w:val="-5"/>
          <w:sz w:val="24"/>
          <w:szCs w:val="24"/>
          <w:lang w:val="en-GB"/>
        </w:rPr>
        <w:t>Officers continue to review the need to borrow taking into consideration the potential increases in borrrowing costs, the need to finance new capital expenditure, the need to refinance maturing debt, and the cost of carry that might incur a revenue loss between borrowing costs and investment returns</w:t>
      </w:r>
      <w:r w:rsidRPr="000729CF">
        <w:rPr>
          <w:rFonts w:ascii="Arial" w:eastAsia="Calibri" w:hAnsi="Arial" w:cs="Arial"/>
          <w:noProof/>
          <w:color w:val="0D0D0D"/>
          <w:spacing w:val="-5"/>
          <w:sz w:val="24"/>
          <w:szCs w:val="24"/>
          <w:lang w:val="en-GB"/>
        </w:rPr>
        <w:t xml:space="preserve">. </w:t>
      </w:r>
    </w:p>
    <w:p w14:paraId="279F76E5" w14:textId="77777777" w:rsidR="000729CF" w:rsidRPr="000729CF" w:rsidRDefault="000729CF" w:rsidP="000729CF">
      <w:pPr>
        <w:spacing w:after="120"/>
        <w:ind w:left="720"/>
        <w:rPr>
          <w:rFonts w:ascii="Arial" w:eastAsia="Calibri" w:hAnsi="Arial" w:cs="Arial"/>
          <w:sz w:val="24"/>
          <w:szCs w:val="24"/>
          <w:lang w:val="en-GB"/>
        </w:rPr>
      </w:pPr>
      <w:r w:rsidRPr="000729CF">
        <w:rPr>
          <w:rFonts w:ascii="Arial" w:eastAsia="Calibri" w:hAnsi="Arial" w:cs="Arial"/>
          <w:sz w:val="24"/>
          <w:szCs w:val="24"/>
          <w:lang w:val="en-GB"/>
        </w:rPr>
        <w:t>Against this background and the risks within the economic forecast, caution needs to be exercised. The S151 Chief Finance Officer will therefore continue to monitor interest rates in financial markets and adopt a proactive approach to changing circumstances as follows:</w:t>
      </w:r>
    </w:p>
    <w:p w14:paraId="2BA0EEA8" w14:textId="77777777" w:rsidR="000729CF" w:rsidRPr="000729CF" w:rsidRDefault="000729CF" w:rsidP="00CE70A3">
      <w:pPr>
        <w:numPr>
          <w:ilvl w:val="0"/>
          <w:numId w:val="71"/>
        </w:numPr>
        <w:spacing w:before="45" w:after="45" w:line="276" w:lineRule="auto"/>
        <w:ind w:left="1134" w:hanging="425"/>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if it was considered that there was a significant risk of a forthcoming sharp fall in long and short-term rates (e.g. due to a marked increase in the risk of a relapse into recession or increasing risk of deflation), then long term borrowing will be postponed and potential rescheduling from fixed rate funding into short-term borrowing will be considered;</w:t>
      </w:r>
    </w:p>
    <w:p w14:paraId="57F0771A" w14:textId="77777777" w:rsidR="000729CF" w:rsidRPr="000729CF" w:rsidRDefault="000729CF" w:rsidP="00CE70A3">
      <w:pPr>
        <w:numPr>
          <w:ilvl w:val="0"/>
          <w:numId w:val="71"/>
        </w:numPr>
        <w:spacing w:before="45" w:after="45" w:line="276" w:lineRule="auto"/>
        <w:ind w:left="1134" w:hanging="425"/>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if it was considered that there was a significant risk of a much sharper rise in long and short-term rates than currently forecast, then the portfolio position will be re-appraised with the likely action that borrowing would be undertaken and fixed rate funding drawn on whilst interest rates are still lower than they are expected to be in the next few years.</w:t>
      </w:r>
    </w:p>
    <w:p w14:paraId="3F15F2A4" w14:textId="77777777" w:rsidR="000729CF" w:rsidRPr="000729CF" w:rsidRDefault="000729CF" w:rsidP="00CE70A3">
      <w:pPr>
        <w:keepNext/>
        <w:numPr>
          <w:ilvl w:val="0"/>
          <w:numId w:val="67"/>
        </w:numPr>
        <w:spacing w:before="240" w:after="120" w:line="276" w:lineRule="auto"/>
        <w:ind w:left="709" w:hanging="709"/>
        <w:outlineLvl w:val="0"/>
        <w:rPr>
          <w:rFonts w:ascii="Arial" w:hAnsi="Arial" w:cs="Arial"/>
          <w:b/>
          <w:bCs/>
          <w:kern w:val="32"/>
          <w:sz w:val="24"/>
          <w:szCs w:val="24"/>
          <w:lang w:val="en-GB"/>
        </w:rPr>
      </w:pPr>
      <w:r w:rsidRPr="000729CF">
        <w:rPr>
          <w:rFonts w:ascii="Arial" w:hAnsi="Arial" w:cs="Arial"/>
          <w:b/>
          <w:bCs/>
          <w:kern w:val="32"/>
          <w:sz w:val="24"/>
          <w:szCs w:val="24"/>
          <w:lang w:val="en-GB"/>
        </w:rPr>
        <w:t>MINIMUM REVENUE PROVISION POLICY STATEMENT</w:t>
      </w:r>
    </w:p>
    <w:p w14:paraId="480A6162" w14:textId="77777777" w:rsidR="000729CF" w:rsidRPr="000729CF" w:rsidRDefault="000729CF" w:rsidP="000729CF">
      <w:pPr>
        <w:spacing w:after="120"/>
        <w:ind w:left="709"/>
        <w:rPr>
          <w:rFonts w:ascii="Arial" w:eastAsia="Calibri" w:hAnsi="Arial" w:cs="Arial"/>
          <w:sz w:val="24"/>
          <w:szCs w:val="24"/>
          <w:lang w:val="en-GB"/>
        </w:rPr>
      </w:pPr>
      <w:r w:rsidRPr="000729CF">
        <w:rPr>
          <w:rFonts w:ascii="Arial" w:eastAsia="Calibri" w:hAnsi="Arial" w:cs="Arial"/>
          <w:sz w:val="24"/>
          <w:szCs w:val="24"/>
          <w:lang w:val="en-GB"/>
        </w:rPr>
        <w:t>The council is required to pay off an element of the accumulated General Fund capital spend each year (the Capital Financing Requirement - CFR) through a revenue charge (the Minimum Revenue Provision - MRP). Department of Levelling Up, Housing and Communities (</w:t>
      </w:r>
      <w:r w:rsidRPr="000729CF">
        <w:rPr>
          <w:rFonts w:ascii="Arial" w:eastAsia="Calibri" w:hAnsi="Arial" w:cs="Arial"/>
          <w:bCs/>
          <w:sz w:val="24"/>
          <w:szCs w:val="24"/>
          <w:lang w:val="en-GB"/>
        </w:rPr>
        <w:t>DLUHC</w:t>
      </w:r>
      <w:r w:rsidRPr="000729CF">
        <w:rPr>
          <w:rFonts w:ascii="Arial" w:eastAsia="Calibri" w:hAnsi="Arial" w:cs="Arial"/>
          <w:sz w:val="24"/>
          <w:szCs w:val="24"/>
          <w:lang w:val="en-GB"/>
        </w:rPr>
        <w:t>) regulations require the full Council to approve an MRP Statement in advance of each year. A variety of options are available to councils, so long as the principle of any option selected ensures a prudent provision to redeem its debt liability over a period which is commensurate with the period over which capital assets are estimated to provide benefits (i.e. the estimated useful life of the asset being financed).</w:t>
      </w:r>
    </w:p>
    <w:p w14:paraId="5146C458" w14:textId="77777777" w:rsidR="000729CF" w:rsidRPr="000729CF" w:rsidRDefault="000729CF" w:rsidP="000729CF">
      <w:pPr>
        <w:spacing w:after="120"/>
        <w:ind w:left="709"/>
        <w:rPr>
          <w:rFonts w:ascii="Arial" w:eastAsia="Calibri" w:hAnsi="Arial" w:cs="Arial"/>
          <w:sz w:val="24"/>
          <w:szCs w:val="24"/>
          <w:lang w:val="en-GB"/>
        </w:rPr>
      </w:pPr>
      <w:r w:rsidRPr="000729CF">
        <w:rPr>
          <w:rFonts w:ascii="Arial" w:eastAsia="Calibri" w:hAnsi="Arial" w:cs="Arial"/>
          <w:sz w:val="24"/>
          <w:szCs w:val="24"/>
          <w:lang w:val="en-GB"/>
        </w:rPr>
        <w:t>The Council is recommended to approve the following MRP Statement for 2024/25:</w:t>
      </w:r>
    </w:p>
    <w:p w14:paraId="22E73259" w14:textId="77777777" w:rsidR="000729CF" w:rsidRPr="000729CF" w:rsidRDefault="000729CF" w:rsidP="000729CF">
      <w:pPr>
        <w:shd w:val="clear" w:color="auto" w:fill="C6D9F1"/>
        <w:spacing w:after="120"/>
        <w:ind w:left="709"/>
        <w:rPr>
          <w:rFonts w:ascii="Arial" w:eastAsia="Calibri" w:hAnsi="Arial" w:cs="Arial"/>
          <w:b/>
          <w:sz w:val="24"/>
          <w:szCs w:val="24"/>
          <w:lang w:val="en-GB"/>
        </w:rPr>
      </w:pPr>
      <w:r w:rsidRPr="000729CF">
        <w:rPr>
          <w:rFonts w:ascii="Arial" w:eastAsia="Calibri" w:hAnsi="Arial" w:cs="Arial"/>
          <w:b/>
          <w:sz w:val="24"/>
          <w:szCs w:val="24"/>
          <w:lang w:val="en-GB"/>
        </w:rPr>
        <w:t xml:space="preserve">For all debt where the government has provided revenue support (supported capital expenditure), the MRP policy will be: </w:t>
      </w:r>
    </w:p>
    <w:p w14:paraId="1A8333A9" w14:textId="77777777" w:rsidR="000729CF" w:rsidRPr="000729CF" w:rsidRDefault="000729CF" w:rsidP="00CE70A3">
      <w:pPr>
        <w:numPr>
          <w:ilvl w:val="0"/>
          <w:numId w:val="68"/>
        </w:numPr>
        <w:shd w:val="clear" w:color="auto" w:fill="C6D9F1"/>
        <w:spacing w:after="240" w:line="276" w:lineRule="auto"/>
        <w:ind w:left="1134" w:hanging="425"/>
        <w:rPr>
          <w:rFonts w:ascii="Arial" w:eastAsia="Calibri" w:hAnsi="Arial" w:cs="Arial"/>
          <w:sz w:val="24"/>
          <w:szCs w:val="24"/>
          <w:lang w:val="en-GB"/>
        </w:rPr>
      </w:pPr>
      <w:r w:rsidRPr="000729CF">
        <w:rPr>
          <w:rFonts w:ascii="Arial" w:eastAsia="Calibri" w:hAnsi="Arial" w:cs="Arial"/>
          <w:sz w:val="24"/>
          <w:szCs w:val="24"/>
          <w:lang w:val="en-GB"/>
        </w:rPr>
        <w:t>Provision on a straight-line basis over 50 years.</w:t>
      </w:r>
    </w:p>
    <w:p w14:paraId="36619E21" w14:textId="77777777" w:rsidR="000729CF" w:rsidRPr="000729CF" w:rsidRDefault="000729CF" w:rsidP="000729CF">
      <w:pPr>
        <w:shd w:val="clear" w:color="auto" w:fill="C6D9F1"/>
        <w:spacing w:after="120"/>
        <w:ind w:left="709"/>
        <w:rPr>
          <w:rFonts w:ascii="Arial" w:eastAsia="Calibri" w:hAnsi="Arial" w:cs="Arial"/>
          <w:b/>
          <w:sz w:val="24"/>
          <w:szCs w:val="24"/>
          <w:lang w:val="en-GB"/>
        </w:rPr>
      </w:pPr>
      <w:r w:rsidRPr="000729CF">
        <w:rPr>
          <w:rFonts w:ascii="Arial" w:eastAsia="Calibri" w:hAnsi="Arial" w:cs="Arial"/>
          <w:b/>
          <w:sz w:val="24"/>
          <w:szCs w:val="24"/>
          <w:lang w:val="en-GB"/>
        </w:rPr>
        <w:t>For all debt where the government does not provide revenue support:</w:t>
      </w:r>
    </w:p>
    <w:p w14:paraId="59FC399E" w14:textId="77777777" w:rsidR="000729CF" w:rsidRPr="000729CF" w:rsidRDefault="000729CF" w:rsidP="00CE70A3">
      <w:pPr>
        <w:numPr>
          <w:ilvl w:val="0"/>
          <w:numId w:val="68"/>
        </w:numPr>
        <w:shd w:val="clear" w:color="auto" w:fill="C6D9F1"/>
        <w:spacing w:after="240" w:line="276" w:lineRule="auto"/>
        <w:ind w:left="1134" w:hanging="425"/>
        <w:rPr>
          <w:rFonts w:ascii="Arial" w:eastAsia="Calibri" w:hAnsi="Arial" w:cs="Arial"/>
          <w:sz w:val="24"/>
          <w:szCs w:val="24"/>
          <w:lang w:val="en-GB"/>
        </w:rPr>
      </w:pPr>
      <w:r w:rsidRPr="000729CF">
        <w:rPr>
          <w:rFonts w:ascii="Arial" w:eastAsia="Calibri" w:hAnsi="Arial" w:cs="Arial"/>
          <w:sz w:val="24"/>
          <w:szCs w:val="24"/>
          <w:lang w:val="en-GB"/>
        </w:rPr>
        <w:t>Where the debt relates to an asset, the council will set aside a sum equivalent to repaying the debt over the life of the asset either in equal instalments or on an annuity basis over a maximum life of 50 years. The method to be adopted will be determined according to which is the most financially beneficial to the council over the life of the asset.</w:t>
      </w:r>
    </w:p>
    <w:p w14:paraId="3C3B563D" w14:textId="77777777" w:rsidR="000729CF" w:rsidRPr="000729CF" w:rsidRDefault="000729CF" w:rsidP="00CE70A3">
      <w:pPr>
        <w:numPr>
          <w:ilvl w:val="0"/>
          <w:numId w:val="68"/>
        </w:numPr>
        <w:shd w:val="clear" w:color="auto" w:fill="C6D9F1"/>
        <w:spacing w:after="240" w:line="276" w:lineRule="auto"/>
        <w:ind w:left="1134" w:hanging="425"/>
        <w:rPr>
          <w:rFonts w:ascii="Arial" w:eastAsia="Calibri" w:hAnsi="Arial" w:cs="Arial"/>
          <w:sz w:val="24"/>
          <w:szCs w:val="24"/>
          <w:lang w:val="en-GB"/>
        </w:rPr>
      </w:pPr>
      <w:r w:rsidRPr="000729CF">
        <w:rPr>
          <w:rFonts w:ascii="Arial" w:eastAsia="Calibri" w:hAnsi="Arial" w:cs="Arial"/>
          <w:sz w:val="24"/>
          <w:szCs w:val="24"/>
          <w:lang w:val="en-GB"/>
        </w:rPr>
        <w:t>Where the debt relates to expenditure which is subject to a capitalisation direction issued by the government, the council will set aside a sum equivalent to repaying the debt over a period consistent with the nature of the expenditure on an annuity basis.</w:t>
      </w:r>
    </w:p>
    <w:p w14:paraId="4B6834F5" w14:textId="77777777" w:rsidR="000729CF" w:rsidRPr="000729CF" w:rsidRDefault="000729CF" w:rsidP="00CE70A3">
      <w:pPr>
        <w:numPr>
          <w:ilvl w:val="0"/>
          <w:numId w:val="68"/>
        </w:numPr>
        <w:shd w:val="clear" w:color="auto" w:fill="C6D9F1"/>
        <w:spacing w:after="240" w:line="276" w:lineRule="auto"/>
        <w:ind w:left="1134" w:hanging="425"/>
        <w:rPr>
          <w:rFonts w:ascii="Arial" w:eastAsia="Calibri" w:hAnsi="Arial" w:cs="Arial"/>
          <w:sz w:val="24"/>
          <w:szCs w:val="24"/>
          <w:lang w:val="en-GB"/>
        </w:rPr>
      </w:pPr>
      <w:r w:rsidRPr="000729CF">
        <w:rPr>
          <w:rFonts w:ascii="Arial" w:eastAsia="Calibri" w:hAnsi="Arial" w:cs="Arial"/>
          <w:sz w:val="24"/>
          <w:szCs w:val="24"/>
          <w:lang w:val="en-GB"/>
        </w:rPr>
        <w:t>In the case of assets under construction, MRP will be delayed until the relevant asset becomes operational.</w:t>
      </w:r>
    </w:p>
    <w:p w14:paraId="77C469D3" w14:textId="77777777" w:rsidR="000729CF" w:rsidRPr="000729CF" w:rsidRDefault="000729CF" w:rsidP="000729CF">
      <w:pPr>
        <w:shd w:val="clear" w:color="auto" w:fill="C6D9F1"/>
        <w:spacing w:after="240"/>
        <w:ind w:left="709"/>
        <w:rPr>
          <w:rFonts w:ascii="Arial" w:eastAsia="Calibri" w:hAnsi="Arial" w:cs="Arial"/>
          <w:sz w:val="24"/>
          <w:szCs w:val="24"/>
          <w:lang w:val="en-GB"/>
        </w:rPr>
      </w:pPr>
      <w:r w:rsidRPr="000729CF">
        <w:rPr>
          <w:rFonts w:ascii="Arial" w:eastAsia="Calibri" w:hAnsi="Arial" w:cs="Arial"/>
          <w:b/>
          <w:sz w:val="24"/>
          <w:szCs w:val="24"/>
          <w:lang w:val="en-GB"/>
        </w:rPr>
        <w:t>Where the debt relates to capital loans to a third party:</w:t>
      </w:r>
    </w:p>
    <w:p w14:paraId="451CC727" w14:textId="77777777" w:rsidR="000729CF" w:rsidRPr="000729CF" w:rsidRDefault="000729CF" w:rsidP="00CE70A3">
      <w:pPr>
        <w:numPr>
          <w:ilvl w:val="0"/>
          <w:numId w:val="68"/>
        </w:numPr>
        <w:shd w:val="clear" w:color="auto" w:fill="C6D9F1"/>
        <w:spacing w:after="240" w:line="276" w:lineRule="auto"/>
        <w:ind w:left="1134" w:hanging="425"/>
        <w:rPr>
          <w:rFonts w:ascii="Arial" w:eastAsia="Calibri" w:hAnsi="Arial" w:cs="Arial"/>
          <w:sz w:val="24"/>
          <w:szCs w:val="24"/>
          <w:lang w:val="en-GB"/>
        </w:rPr>
      </w:pPr>
      <w:r w:rsidRPr="000729CF">
        <w:rPr>
          <w:rFonts w:ascii="Arial" w:eastAsia="Calibri" w:hAnsi="Arial" w:cs="Arial"/>
          <w:sz w:val="24"/>
          <w:szCs w:val="24"/>
          <w:lang w:val="en-GB"/>
        </w:rPr>
        <w:t xml:space="preserve">The repayments of principal will be set aside as capital receipts to finance the initial capital advance in lieu of making </w:t>
      </w:r>
      <w:proofErr w:type="gramStart"/>
      <w:r w:rsidRPr="000729CF">
        <w:rPr>
          <w:rFonts w:ascii="Arial" w:eastAsia="Calibri" w:hAnsi="Arial" w:cs="Arial"/>
          <w:sz w:val="24"/>
          <w:szCs w:val="24"/>
          <w:lang w:val="en-GB"/>
        </w:rPr>
        <w:t>a</w:t>
      </w:r>
      <w:proofErr w:type="gramEnd"/>
      <w:r w:rsidRPr="000729CF">
        <w:rPr>
          <w:rFonts w:ascii="Arial" w:eastAsia="Calibri" w:hAnsi="Arial" w:cs="Arial"/>
          <w:sz w:val="24"/>
          <w:szCs w:val="24"/>
          <w:lang w:val="en-GB"/>
        </w:rPr>
        <w:t xml:space="preserve"> MRP.</w:t>
      </w:r>
    </w:p>
    <w:p w14:paraId="7C10F49D" w14:textId="77777777" w:rsidR="000729CF" w:rsidRPr="000729CF" w:rsidRDefault="000729CF" w:rsidP="00CE70A3">
      <w:pPr>
        <w:numPr>
          <w:ilvl w:val="0"/>
          <w:numId w:val="68"/>
        </w:numPr>
        <w:shd w:val="clear" w:color="auto" w:fill="C6D9F1"/>
        <w:spacing w:after="240" w:line="276" w:lineRule="auto"/>
        <w:ind w:left="1134" w:hanging="425"/>
        <w:rPr>
          <w:rFonts w:ascii="Arial" w:eastAsia="Calibri" w:hAnsi="Arial" w:cs="Arial"/>
          <w:sz w:val="24"/>
          <w:szCs w:val="24"/>
          <w:lang w:val="en-GB"/>
        </w:rPr>
      </w:pPr>
      <w:r w:rsidRPr="000729CF">
        <w:rPr>
          <w:rFonts w:ascii="Arial" w:eastAsia="Calibri" w:hAnsi="Arial" w:cs="Arial"/>
          <w:sz w:val="24"/>
          <w:szCs w:val="24"/>
          <w:lang w:val="en-GB"/>
        </w:rPr>
        <w:t>Where the debt relates to the i360 Limited, the council will set aside MRP on an annuity basis over the shorter of the remaining asset life or remaining loan period.</w:t>
      </w:r>
    </w:p>
    <w:p w14:paraId="318515E2" w14:textId="77777777" w:rsidR="000729CF" w:rsidRPr="000729CF" w:rsidRDefault="000729CF" w:rsidP="000729CF">
      <w:pPr>
        <w:shd w:val="clear" w:color="auto" w:fill="C6D9F1"/>
        <w:spacing w:after="240"/>
        <w:ind w:left="709"/>
        <w:rPr>
          <w:rFonts w:ascii="Arial" w:eastAsia="Calibri" w:hAnsi="Arial" w:cs="Arial"/>
          <w:b/>
          <w:sz w:val="24"/>
          <w:szCs w:val="24"/>
          <w:lang w:val="en-GB"/>
        </w:rPr>
      </w:pPr>
      <w:bookmarkStart w:id="58" w:name="_Hlk61963767"/>
      <w:r w:rsidRPr="000729CF">
        <w:rPr>
          <w:rFonts w:ascii="Arial" w:eastAsia="Calibri" w:hAnsi="Arial" w:cs="Arial"/>
          <w:b/>
          <w:sz w:val="24"/>
          <w:szCs w:val="24"/>
          <w:lang w:val="en-GB"/>
        </w:rPr>
        <w:t>Where the debt relates to the Living Wage Joint Venture:</w:t>
      </w:r>
    </w:p>
    <w:p w14:paraId="59A559D7" w14:textId="77777777" w:rsidR="000729CF" w:rsidRPr="000729CF" w:rsidRDefault="000729CF" w:rsidP="00CE70A3">
      <w:pPr>
        <w:numPr>
          <w:ilvl w:val="0"/>
          <w:numId w:val="68"/>
        </w:numPr>
        <w:shd w:val="clear" w:color="auto" w:fill="C6D9F1"/>
        <w:spacing w:after="240" w:line="276" w:lineRule="auto"/>
        <w:ind w:left="1134" w:hanging="425"/>
        <w:rPr>
          <w:rFonts w:ascii="Arial" w:eastAsia="Calibri" w:hAnsi="Arial" w:cs="Arial"/>
          <w:sz w:val="24"/>
          <w:szCs w:val="24"/>
          <w:lang w:val="en-GB"/>
        </w:rPr>
      </w:pPr>
      <w:r w:rsidRPr="000729CF">
        <w:rPr>
          <w:rFonts w:ascii="Arial" w:eastAsia="Calibri" w:hAnsi="Arial" w:cs="Arial"/>
          <w:sz w:val="24"/>
          <w:szCs w:val="24"/>
          <w:lang w:val="en-GB"/>
        </w:rPr>
        <w:t xml:space="preserve">Where the Living Wage Joint Venture develops housing but disposes of these assets on completion, the council will set aside the capital receipt at the point of transfer in lieu of making an MRP payment. </w:t>
      </w:r>
    </w:p>
    <w:p w14:paraId="377465AC" w14:textId="77777777" w:rsidR="000729CF" w:rsidRPr="000729CF" w:rsidRDefault="000729CF" w:rsidP="00CE70A3">
      <w:pPr>
        <w:numPr>
          <w:ilvl w:val="0"/>
          <w:numId w:val="68"/>
        </w:numPr>
        <w:shd w:val="clear" w:color="auto" w:fill="C6D9F1"/>
        <w:spacing w:after="240" w:line="276" w:lineRule="auto"/>
        <w:ind w:left="1134" w:hanging="425"/>
        <w:rPr>
          <w:rFonts w:ascii="Arial" w:eastAsia="Calibri" w:hAnsi="Arial" w:cs="Arial"/>
          <w:sz w:val="24"/>
          <w:szCs w:val="24"/>
          <w:lang w:val="en-GB"/>
        </w:rPr>
      </w:pPr>
      <w:r w:rsidRPr="000729CF">
        <w:rPr>
          <w:rFonts w:ascii="Arial" w:eastAsia="Calibri" w:hAnsi="Arial" w:cs="Arial"/>
          <w:sz w:val="24"/>
          <w:szCs w:val="24"/>
          <w:lang w:val="en-GB"/>
        </w:rPr>
        <w:t xml:space="preserve">Where the Living Wage Joint Venture develops or acquires housing and retains these assets and future rental streams, the council will set aside, in equal instalments, a sum which is equivalent to repaying the debt at the end of year 40 within the 60 year business plan. Set aside will commence, at the latest, in the year in which net surpluses are modelled for each individual tranche of borrowing. </w:t>
      </w:r>
    </w:p>
    <w:bookmarkEnd w:id="58"/>
    <w:p w14:paraId="076D45CA" w14:textId="77777777" w:rsidR="000729CF" w:rsidRPr="000729CF" w:rsidRDefault="000729CF" w:rsidP="000729CF">
      <w:pPr>
        <w:shd w:val="clear" w:color="auto" w:fill="C6D9F1"/>
        <w:spacing w:after="120"/>
        <w:ind w:left="709"/>
        <w:rPr>
          <w:rFonts w:ascii="Arial" w:eastAsia="Calibri" w:hAnsi="Arial" w:cs="Arial"/>
          <w:b/>
          <w:sz w:val="24"/>
          <w:szCs w:val="24"/>
          <w:lang w:val="en-GB"/>
        </w:rPr>
      </w:pPr>
      <w:r w:rsidRPr="000729CF">
        <w:rPr>
          <w:rFonts w:ascii="Arial" w:eastAsia="Calibri" w:hAnsi="Arial" w:cs="Arial"/>
          <w:b/>
          <w:sz w:val="24"/>
          <w:szCs w:val="24"/>
          <w:lang w:val="en-GB"/>
        </w:rPr>
        <w:t>For on-balance sheet PFI schemes and leases, the MRP policy will be:</w:t>
      </w:r>
    </w:p>
    <w:p w14:paraId="061B02BF" w14:textId="77777777" w:rsidR="000729CF" w:rsidRPr="000729CF" w:rsidRDefault="000729CF" w:rsidP="00CE70A3">
      <w:pPr>
        <w:numPr>
          <w:ilvl w:val="0"/>
          <w:numId w:val="68"/>
        </w:numPr>
        <w:shd w:val="clear" w:color="auto" w:fill="C6D9F1"/>
        <w:spacing w:after="240" w:line="276" w:lineRule="auto"/>
        <w:ind w:left="1134" w:hanging="425"/>
        <w:rPr>
          <w:rFonts w:ascii="Arial" w:eastAsia="Calibri" w:hAnsi="Arial" w:cs="Arial"/>
          <w:sz w:val="24"/>
          <w:szCs w:val="24"/>
          <w:lang w:val="en-GB"/>
        </w:rPr>
      </w:pPr>
      <w:r w:rsidRPr="000729CF">
        <w:rPr>
          <w:rFonts w:ascii="Arial" w:eastAsia="Calibri" w:hAnsi="Arial" w:cs="Arial"/>
          <w:sz w:val="24"/>
          <w:szCs w:val="24"/>
          <w:lang w:val="en-GB"/>
        </w:rPr>
        <w:t xml:space="preserve">Asset Life Method (annuity method) - the MRP will be calculated according to the flow of benefits from the asset, and where the principal repayments increase over the life of the asset.  Any related MRP will be equivalent to the “capital repayment element” of the annual charge payable. </w:t>
      </w:r>
    </w:p>
    <w:p w14:paraId="5544FAE1" w14:textId="77777777" w:rsidR="000729CF" w:rsidRPr="000729CF" w:rsidRDefault="000729CF" w:rsidP="000729CF">
      <w:pPr>
        <w:shd w:val="clear" w:color="auto" w:fill="C6D9F1"/>
        <w:spacing w:after="240"/>
        <w:ind w:left="709"/>
        <w:rPr>
          <w:rFonts w:ascii="Arial" w:eastAsia="Calibri" w:hAnsi="Arial" w:cs="Arial"/>
          <w:sz w:val="24"/>
          <w:szCs w:val="24"/>
          <w:lang w:val="en-GB"/>
        </w:rPr>
      </w:pPr>
      <w:r w:rsidRPr="000729CF">
        <w:rPr>
          <w:rFonts w:ascii="Arial" w:eastAsia="Calibri" w:hAnsi="Arial" w:cs="Arial"/>
          <w:sz w:val="24"/>
          <w:szCs w:val="24"/>
          <w:lang w:val="en-GB"/>
        </w:rPr>
        <w:t>There is the option to charge more than the prudential provision of MRP each year through a Voluntary Revenue Provision (VRP).</w:t>
      </w:r>
    </w:p>
    <w:p w14:paraId="52596AFF" w14:textId="77777777" w:rsidR="000729CF" w:rsidRPr="000729CF" w:rsidRDefault="000729CF" w:rsidP="000729CF">
      <w:pPr>
        <w:autoSpaceDE w:val="0"/>
        <w:autoSpaceDN w:val="0"/>
        <w:adjustRightInd w:val="0"/>
        <w:rPr>
          <w:rFonts w:ascii="Arial" w:eastAsia="Calibri" w:hAnsi="Arial" w:cs="Arial"/>
          <w:b/>
          <w:bCs/>
          <w:color w:val="000000"/>
          <w:sz w:val="24"/>
          <w:szCs w:val="24"/>
          <w:highlight w:val="yellow"/>
          <w:lang w:val="en-GB" w:eastAsia="en-GB"/>
        </w:rPr>
      </w:pPr>
    </w:p>
    <w:p w14:paraId="4B6A89A2" w14:textId="77777777" w:rsidR="000729CF" w:rsidRPr="000729CF" w:rsidRDefault="000729CF" w:rsidP="00CE70A3">
      <w:pPr>
        <w:keepNext/>
        <w:numPr>
          <w:ilvl w:val="0"/>
          <w:numId w:val="67"/>
        </w:numPr>
        <w:spacing w:before="240" w:after="120" w:line="276" w:lineRule="auto"/>
        <w:ind w:left="709" w:hanging="709"/>
        <w:outlineLvl w:val="0"/>
        <w:rPr>
          <w:rFonts w:ascii="Arial" w:hAnsi="Arial" w:cs="Arial"/>
          <w:b/>
          <w:bCs/>
          <w:kern w:val="32"/>
          <w:sz w:val="24"/>
          <w:szCs w:val="24"/>
          <w:lang w:val="en-GB"/>
        </w:rPr>
      </w:pPr>
      <w:r w:rsidRPr="000729CF">
        <w:rPr>
          <w:rFonts w:ascii="Arial" w:hAnsi="Arial" w:cs="Arial"/>
          <w:b/>
          <w:bCs/>
          <w:kern w:val="32"/>
          <w:sz w:val="24"/>
          <w:szCs w:val="24"/>
          <w:lang w:val="en-GB"/>
        </w:rPr>
        <w:t xml:space="preserve">ANNUAL INVESTMENT STRATEGY </w:t>
      </w:r>
    </w:p>
    <w:p w14:paraId="512EF340" w14:textId="77777777" w:rsidR="000729CF" w:rsidRPr="000729CF" w:rsidRDefault="000729CF" w:rsidP="000729CF">
      <w:pPr>
        <w:autoSpaceDE w:val="0"/>
        <w:autoSpaceDN w:val="0"/>
        <w:adjustRightInd w:val="0"/>
        <w:spacing w:after="120"/>
        <w:ind w:left="709"/>
        <w:rPr>
          <w:rFonts w:ascii="Arial" w:eastAsia="Calibri" w:hAnsi="Arial" w:cs="Arial"/>
          <w:bCs/>
          <w:color w:val="000000"/>
          <w:sz w:val="24"/>
          <w:szCs w:val="24"/>
          <w:lang w:val="en-GB" w:eastAsia="en-GB"/>
        </w:rPr>
      </w:pPr>
      <w:r w:rsidRPr="000729CF">
        <w:rPr>
          <w:rFonts w:ascii="Arial" w:eastAsia="Calibri" w:hAnsi="Arial" w:cs="Arial"/>
          <w:bCs/>
          <w:color w:val="000000"/>
          <w:sz w:val="24"/>
          <w:szCs w:val="24"/>
          <w:lang w:val="en-GB" w:eastAsia="en-GB"/>
        </w:rPr>
        <w:t>DLUHC and CIPFA have extended the meaning of ‘investments’ to include both financial and non-financial investments. This report deals with financial investments. Non-financial investments are covered in the Capital Strategy (Appendix 2 of the budget report).</w:t>
      </w:r>
    </w:p>
    <w:p w14:paraId="1136D191" w14:textId="77777777" w:rsidR="000729CF" w:rsidRPr="000729CF" w:rsidRDefault="000729CF" w:rsidP="000729CF">
      <w:pPr>
        <w:autoSpaceDE w:val="0"/>
        <w:autoSpaceDN w:val="0"/>
        <w:adjustRightInd w:val="0"/>
        <w:spacing w:after="120"/>
        <w:ind w:left="709"/>
        <w:rPr>
          <w:rFonts w:ascii="Arial" w:eastAsia="Calibri" w:hAnsi="Arial" w:cs="Arial"/>
          <w:b/>
          <w:bCs/>
          <w:i/>
          <w:color w:val="000000"/>
          <w:sz w:val="24"/>
          <w:szCs w:val="24"/>
          <w:lang w:val="en-GB" w:eastAsia="en-GB"/>
        </w:rPr>
      </w:pPr>
      <w:r w:rsidRPr="000729CF">
        <w:rPr>
          <w:rFonts w:ascii="Arial" w:eastAsia="Calibri" w:hAnsi="Arial" w:cs="Arial"/>
          <w:color w:val="000000"/>
          <w:sz w:val="24"/>
          <w:szCs w:val="24"/>
          <w:lang w:val="en-GB" w:eastAsia="en-GB"/>
        </w:rPr>
        <w:t>The council’s investment policy has regard to the following:</w:t>
      </w:r>
    </w:p>
    <w:p w14:paraId="7F12700E" w14:textId="77777777" w:rsidR="000729CF" w:rsidRPr="000729CF" w:rsidRDefault="000729CF" w:rsidP="00CE70A3">
      <w:pPr>
        <w:numPr>
          <w:ilvl w:val="0"/>
          <w:numId w:val="68"/>
        </w:numPr>
        <w:autoSpaceDE w:val="0"/>
        <w:autoSpaceDN w:val="0"/>
        <w:adjustRightInd w:val="0"/>
        <w:spacing w:after="120" w:line="276" w:lineRule="auto"/>
        <w:ind w:left="1134" w:hanging="425"/>
        <w:contextualSpacing/>
        <w:rPr>
          <w:rFonts w:ascii="Arial" w:eastAsia="Calibri" w:hAnsi="Arial" w:cs="Arial"/>
          <w:color w:val="000000"/>
          <w:sz w:val="24"/>
          <w:szCs w:val="24"/>
          <w:lang w:val="en-GB" w:eastAsia="en-GB"/>
        </w:rPr>
      </w:pPr>
      <w:r w:rsidRPr="000729CF">
        <w:rPr>
          <w:rFonts w:ascii="Arial" w:eastAsia="Calibri" w:hAnsi="Arial" w:cs="Arial"/>
          <w:bCs/>
          <w:color w:val="000000"/>
          <w:sz w:val="24"/>
          <w:szCs w:val="24"/>
          <w:lang w:val="en-GB" w:eastAsia="en-GB"/>
        </w:rPr>
        <w:t>DLUHC</w:t>
      </w:r>
      <w:r w:rsidRPr="000729CF">
        <w:rPr>
          <w:rFonts w:ascii="Arial" w:eastAsia="Calibri" w:hAnsi="Arial" w:cs="Arial"/>
          <w:color w:val="000000"/>
          <w:sz w:val="24"/>
          <w:szCs w:val="24"/>
          <w:lang w:val="en-GB" w:eastAsia="en-GB"/>
        </w:rPr>
        <w:t>’s Guidance on Local Government Investments (the “Guidance”);</w:t>
      </w:r>
    </w:p>
    <w:p w14:paraId="0161B4C3" w14:textId="77777777" w:rsidR="000729CF" w:rsidRPr="000729CF" w:rsidRDefault="000729CF" w:rsidP="00CE70A3">
      <w:pPr>
        <w:numPr>
          <w:ilvl w:val="0"/>
          <w:numId w:val="68"/>
        </w:numPr>
        <w:autoSpaceDE w:val="0"/>
        <w:autoSpaceDN w:val="0"/>
        <w:adjustRightInd w:val="0"/>
        <w:spacing w:after="120" w:line="276" w:lineRule="auto"/>
        <w:ind w:left="1134" w:hanging="425"/>
        <w:contextualSpacing/>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CIPFA Treasury Management in Public Services Code of Practice and Cross Sectoral Guidance Notes 2021 (the “Code”);</w:t>
      </w:r>
    </w:p>
    <w:p w14:paraId="1C605111" w14:textId="77777777" w:rsidR="000729CF" w:rsidRPr="000729CF" w:rsidRDefault="000729CF" w:rsidP="00CE70A3">
      <w:pPr>
        <w:numPr>
          <w:ilvl w:val="0"/>
          <w:numId w:val="68"/>
        </w:numPr>
        <w:autoSpaceDE w:val="0"/>
        <w:autoSpaceDN w:val="0"/>
        <w:adjustRightInd w:val="0"/>
        <w:spacing w:after="120" w:line="276" w:lineRule="auto"/>
        <w:ind w:left="1134" w:hanging="425"/>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CIPFA Treasury Management Guidance Notes 2021.</w:t>
      </w:r>
    </w:p>
    <w:p w14:paraId="3612C3CE" w14:textId="77777777" w:rsidR="000729CF" w:rsidRPr="000729CF" w:rsidRDefault="000729CF" w:rsidP="000729CF">
      <w:pPr>
        <w:autoSpaceDE w:val="0"/>
        <w:autoSpaceDN w:val="0"/>
        <w:adjustRightInd w:val="0"/>
        <w:spacing w:after="240"/>
        <w:ind w:left="709"/>
        <w:rPr>
          <w:rFonts w:ascii="Arial" w:eastAsia="Calibri" w:hAnsi="Arial" w:cs="Arial"/>
          <w:bCs/>
          <w:iCs/>
          <w:color w:val="000000"/>
          <w:sz w:val="24"/>
          <w:szCs w:val="24"/>
          <w:lang w:val="en-GB" w:eastAsia="en-GB"/>
        </w:rPr>
      </w:pPr>
      <w:r w:rsidRPr="000729CF">
        <w:rPr>
          <w:rFonts w:ascii="Arial" w:eastAsia="Calibri" w:hAnsi="Arial" w:cs="Arial"/>
          <w:b/>
          <w:iCs/>
          <w:color w:val="000000"/>
          <w:sz w:val="24"/>
          <w:szCs w:val="24"/>
          <w:lang w:val="en-GB" w:eastAsia="en-GB"/>
        </w:rPr>
        <w:t xml:space="preserve">The council’s investment priorities will be the security of capital first, portfolio liquidity second and then yield (return). </w:t>
      </w:r>
      <w:bookmarkStart w:id="59" w:name="_Hlk121311527"/>
      <w:r w:rsidRPr="000729CF">
        <w:rPr>
          <w:rFonts w:ascii="Arial" w:eastAsia="Calibri" w:hAnsi="Arial" w:cs="Arial"/>
          <w:bCs/>
          <w:iCs/>
          <w:color w:val="000000"/>
          <w:sz w:val="24"/>
          <w:szCs w:val="24"/>
          <w:lang w:val="en-GB" w:eastAsia="en-GB"/>
        </w:rPr>
        <w:t>The Authority will aim to achieve the optimum return (yield) on its investments commensurate with proper levels of security and liquidity and with regard to the Authority’s risk appetite.</w:t>
      </w:r>
      <w:bookmarkEnd w:id="59"/>
    </w:p>
    <w:p w14:paraId="08EE97E2" w14:textId="77777777" w:rsidR="000729CF" w:rsidRPr="000729CF" w:rsidRDefault="000729CF" w:rsidP="00CE70A3">
      <w:pPr>
        <w:keepNext/>
        <w:numPr>
          <w:ilvl w:val="1"/>
          <w:numId w:val="67"/>
        </w:numPr>
        <w:spacing w:before="120" w:after="120" w:line="276" w:lineRule="auto"/>
        <w:ind w:left="709" w:hanging="709"/>
        <w:outlineLvl w:val="1"/>
        <w:rPr>
          <w:rFonts w:ascii="Arial" w:hAnsi="Arial" w:cs="Arial"/>
          <w:b/>
          <w:bCs/>
          <w:i/>
          <w:iCs/>
          <w:sz w:val="24"/>
          <w:szCs w:val="24"/>
          <w:lang w:val="en-GB"/>
        </w:rPr>
      </w:pPr>
      <w:r w:rsidRPr="000729CF">
        <w:rPr>
          <w:rFonts w:ascii="Arial" w:hAnsi="Arial" w:cs="Arial"/>
          <w:b/>
          <w:bCs/>
          <w:i/>
          <w:iCs/>
          <w:sz w:val="24"/>
          <w:szCs w:val="24"/>
          <w:lang w:val="en-GB"/>
        </w:rPr>
        <w:tab/>
        <w:t>Annual Investment Strategy for 2024/25</w:t>
      </w:r>
    </w:p>
    <w:p w14:paraId="44457365" w14:textId="77777777" w:rsidR="000729CF" w:rsidRPr="000729CF" w:rsidRDefault="000729CF" w:rsidP="000729CF">
      <w:pPr>
        <w:autoSpaceDE w:val="0"/>
        <w:autoSpaceDN w:val="0"/>
        <w:adjustRightInd w:val="0"/>
        <w:spacing w:after="120"/>
        <w:ind w:left="709"/>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 xml:space="preserve">Investments will be made with reference to the core balance and cash flow requirements and the outlook for short-term interest rates (i.e. rates for investments up to 12 months). </w:t>
      </w:r>
    </w:p>
    <w:p w14:paraId="3768CFAB" w14:textId="77777777" w:rsidR="000729CF" w:rsidRPr="000729CF" w:rsidRDefault="000729CF" w:rsidP="000729CF">
      <w:pPr>
        <w:autoSpaceDE w:val="0"/>
        <w:autoSpaceDN w:val="0"/>
        <w:adjustRightInd w:val="0"/>
        <w:spacing w:before="120" w:after="120"/>
        <w:ind w:left="720"/>
        <w:rPr>
          <w:rFonts w:ascii="Arial" w:eastAsia="Calibri" w:hAnsi="Arial" w:cs="Arial"/>
          <w:color w:val="000000"/>
          <w:sz w:val="24"/>
          <w:szCs w:val="24"/>
          <w:lang w:val="en-GB" w:eastAsia="en-GB"/>
        </w:rPr>
      </w:pPr>
      <w:bookmarkStart w:id="60" w:name="_Hlk121311553"/>
      <w:r w:rsidRPr="000729CF">
        <w:rPr>
          <w:rFonts w:ascii="Arial" w:eastAsia="Calibri" w:hAnsi="Arial" w:cs="Arial"/>
          <w:color w:val="000000"/>
          <w:sz w:val="24"/>
          <w:szCs w:val="24"/>
          <w:lang w:val="en-GB" w:eastAsia="en-GB"/>
        </w:rPr>
        <w:t>Greater returns are usually obtainable by investing for longer periods. However, based on the forecast of Bank Rate below, it is recommended that an “agile” investment strategy is adopted as an appropriate way of optimising returns.</w:t>
      </w:r>
    </w:p>
    <w:p w14:paraId="4AF3B521" w14:textId="77777777" w:rsidR="000729CF" w:rsidRPr="000729CF" w:rsidRDefault="000729CF" w:rsidP="000729CF">
      <w:pPr>
        <w:autoSpaceDE w:val="0"/>
        <w:autoSpaceDN w:val="0"/>
        <w:adjustRightInd w:val="0"/>
        <w:spacing w:after="120"/>
        <w:ind w:left="709"/>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While most cash balances are required in order to manage the ups and downs of cash flow, where cash sums can be identified that could be invested for longer periods, the value to be obtained from longer term investments will be carefully assessed:</w:t>
      </w:r>
    </w:p>
    <w:p w14:paraId="02787CF2" w14:textId="77777777" w:rsidR="000729CF" w:rsidRPr="000729CF" w:rsidRDefault="000729CF" w:rsidP="00CE70A3">
      <w:pPr>
        <w:numPr>
          <w:ilvl w:val="0"/>
          <w:numId w:val="78"/>
        </w:numPr>
        <w:autoSpaceDE w:val="0"/>
        <w:autoSpaceDN w:val="0"/>
        <w:adjustRightInd w:val="0"/>
        <w:spacing w:after="120" w:line="276" w:lineRule="auto"/>
        <w:ind w:left="1134" w:hanging="425"/>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 xml:space="preserve">If it is predicted that Bank Rate is likely to rise significantly within the time horizon being considered, then consideration will be given to keeping most investments on short term or variable terms. </w:t>
      </w:r>
    </w:p>
    <w:p w14:paraId="635E0E1A" w14:textId="77777777" w:rsidR="000729CF" w:rsidRPr="000729CF" w:rsidRDefault="000729CF" w:rsidP="00CE70A3">
      <w:pPr>
        <w:numPr>
          <w:ilvl w:val="0"/>
          <w:numId w:val="78"/>
        </w:numPr>
        <w:autoSpaceDE w:val="0"/>
        <w:autoSpaceDN w:val="0"/>
        <w:adjustRightInd w:val="0"/>
        <w:spacing w:after="120" w:line="276" w:lineRule="auto"/>
        <w:ind w:left="1134" w:hanging="425"/>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 xml:space="preserve">Conversely, if it is predicted that Bank Rate is likely to fall within that time period, consideration will be given to locking in the higher rates currently obtainable, for longer periods. </w:t>
      </w:r>
    </w:p>
    <w:p w14:paraId="2A4FF283" w14:textId="77777777" w:rsidR="000729CF" w:rsidRPr="000729CF" w:rsidRDefault="000729CF" w:rsidP="000729CF">
      <w:pPr>
        <w:autoSpaceDE w:val="0"/>
        <w:autoSpaceDN w:val="0"/>
        <w:adjustRightInd w:val="0"/>
        <w:spacing w:after="120"/>
        <w:ind w:left="709"/>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It is currently expected that the Bank Rate will remain at the current level (expected to be the peak) during the remainder of 2023/24, with the prospect for Bank Rate to fall in the second half of 2024/25, and gradually reducing into 2025/26. Link Asset Service’s (LAS) Bank Rate forecasts for financial year ends (March) are:</w:t>
      </w:r>
      <w:bookmarkEnd w:id="60"/>
    </w:p>
    <w:tbl>
      <w:tblPr>
        <w:tblW w:w="4632"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3"/>
        <w:gridCol w:w="1784"/>
        <w:gridCol w:w="1784"/>
        <w:gridCol w:w="1784"/>
        <w:gridCol w:w="1784"/>
      </w:tblGrid>
      <w:tr w:rsidR="000729CF" w:rsidRPr="000729CF" w14:paraId="7A1624F6" w14:textId="77777777" w:rsidTr="00BC26AB">
        <w:tc>
          <w:tcPr>
            <w:tcW w:w="1000" w:type="pct"/>
            <w:shd w:val="clear" w:color="auto" w:fill="17365D"/>
          </w:tcPr>
          <w:p w14:paraId="581747C2" w14:textId="77777777" w:rsidR="000729CF" w:rsidRPr="000729CF" w:rsidRDefault="000729CF" w:rsidP="000729CF">
            <w:pPr>
              <w:autoSpaceDE w:val="0"/>
              <w:autoSpaceDN w:val="0"/>
              <w:adjustRightInd w:val="0"/>
              <w:ind w:left="176" w:hanging="176"/>
              <w:jc w:val="center"/>
              <w:rPr>
                <w:rFonts w:ascii="Arial" w:eastAsia="Calibri" w:hAnsi="Arial" w:cs="Arial"/>
                <w:b/>
                <w:color w:val="FFFFFF"/>
                <w:sz w:val="24"/>
                <w:szCs w:val="24"/>
                <w:lang w:val="en-GB" w:eastAsia="en-GB"/>
              </w:rPr>
            </w:pPr>
            <w:bookmarkStart w:id="61" w:name="_Hlk121311590"/>
            <w:r w:rsidRPr="000729CF">
              <w:rPr>
                <w:rFonts w:ascii="Arial" w:eastAsia="Calibri" w:hAnsi="Arial" w:cs="Arial"/>
                <w:b/>
                <w:color w:val="FFFFFF"/>
                <w:sz w:val="24"/>
                <w:szCs w:val="24"/>
                <w:lang w:val="en-GB" w:eastAsia="en-GB"/>
              </w:rPr>
              <w:t>Year</w:t>
            </w:r>
          </w:p>
        </w:tc>
        <w:tc>
          <w:tcPr>
            <w:tcW w:w="1000" w:type="pct"/>
            <w:shd w:val="clear" w:color="auto" w:fill="17365D"/>
          </w:tcPr>
          <w:p w14:paraId="1028B1D9" w14:textId="77777777" w:rsidR="000729CF" w:rsidRPr="000729CF" w:rsidRDefault="000729CF" w:rsidP="000729CF">
            <w:pPr>
              <w:autoSpaceDE w:val="0"/>
              <w:autoSpaceDN w:val="0"/>
              <w:adjustRightInd w:val="0"/>
              <w:jc w:val="center"/>
              <w:rPr>
                <w:rFonts w:ascii="Arial" w:eastAsia="Calibri" w:hAnsi="Arial" w:cs="Arial"/>
                <w:b/>
                <w:color w:val="FFFFFF"/>
                <w:sz w:val="24"/>
                <w:szCs w:val="24"/>
                <w:lang w:val="en-GB" w:eastAsia="en-GB"/>
              </w:rPr>
            </w:pPr>
            <w:r w:rsidRPr="000729CF">
              <w:rPr>
                <w:rFonts w:ascii="Arial" w:eastAsia="Calibri" w:hAnsi="Arial" w:cs="Arial"/>
                <w:b/>
                <w:color w:val="FFFFFF"/>
                <w:sz w:val="24"/>
                <w:szCs w:val="24"/>
                <w:lang w:val="en-GB" w:eastAsia="en-GB"/>
              </w:rPr>
              <w:t>2023/24</w:t>
            </w:r>
          </w:p>
        </w:tc>
        <w:tc>
          <w:tcPr>
            <w:tcW w:w="1000" w:type="pct"/>
            <w:shd w:val="clear" w:color="auto" w:fill="17365D"/>
          </w:tcPr>
          <w:p w14:paraId="043B998B" w14:textId="77777777" w:rsidR="000729CF" w:rsidRPr="000729CF" w:rsidRDefault="000729CF" w:rsidP="000729CF">
            <w:pPr>
              <w:autoSpaceDE w:val="0"/>
              <w:autoSpaceDN w:val="0"/>
              <w:adjustRightInd w:val="0"/>
              <w:jc w:val="center"/>
              <w:rPr>
                <w:rFonts w:ascii="Arial" w:eastAsia="Calibri" w:hAnsi="Arial" w:cs="Arial"/>
                <w:b/>
                <w:color w:val="FFFFFF"/>
                <w:sz w:val="24"/>
                <w:szCs w:val="24"/>
                <w:lang w:val="en-GB" w:eastAsia="en-GB"/>
              </w:rPr>
            </w:pPr>
            <w:r w:rsidRPr="000729CF">
              <w:rPr>
                <w:rFonts w:ascii="Arial" w:eastAsia="Calibri" w:hAnsi="Arial" w:cs="Arial"/>
                <w:b/>
                <w:color w:val="FFFFFF"/>
                <w:sz w:val="24"/>
                <w:szCs w:val="24"/>
                <w:lang w:val="en-GB" w:eastAsia="en-GB"/>
              </w:rPr>
              <w:t>2024/25</w:t>
            </w:r>
          </w:p>
        </w:tc>
        <w:tc>
          <w:tcPr>
            <w:tcW w:w="1000" w:type="pct"/>
            <w:shd w:val="clear" w:color="auto" w:fill="17365D"/>
          </w:tcPr>
          <w:p w14:paraId="7D7E1673" w14:textId="77777777" w:rsidR="000729CF" w:rsidRPr="000729CF" w:rsidRDefault="000729CF" w:rsidP="000729CF">
            <w:pPr>
              <w:autoSpaceDE w:val="0"/>
              <w:autoSpaceDN w:val="0"/>
              <w:adjustRightInd w:val="0"/>
              <w:jc w:val="center"/>
              <w:rPr>
                <w:rFonts w:ascii="Arial" w:eastAsia="Calibri" w:hAnsi="Arial" w:cs="Arial"/>
                <w:b/>
                <w:color w:val="FFFFFF"/>
                <w:sz w:val="24"/>
                <w:szCs w:val="24"/>
                <w:lang w:val="en-GB" w:eastAsia="en-GB"/>
              </w:rPr>
            </w:pPr>
            <w:r w:rsidRPr="000729CF">
              <w:rPr>
                <w:rFonts w:ascii="Arial" w:eastAsia="Calibri" w:hAnsi="Arial" w:cs="Arial"/>
                <w:b/>
                <w:color w:val="FFFFFF"/>
                <w:sz w:val="24"/>
                <w:szCs w:val="24"/>
                <w:lang w:val="en-GB" w:eastAsia="en-GB"/>
              </w:rPr>
              <w:t>2025/26</w:t>
            </w:r>
          </w:p>
        </w:tc>
        <w:tc>
          <w:tcPr>
            <w:tcW w:w="1000" w:type="pct"/>
            <w:shd w:val="clear" w:color="auto" w:fill="17365D"/>
          </w:tcPr>
          <w:p w14:paraId="69303961" w14:textId="77777777" w:rsidR="000729CF" w:rsidRPr="000729CF" w:rsidRDefault="000729CF" w:rsidP="000729CF">
            <w:pPr>
              <w:autoSpaceDE w:val="0"/>
              <w:autoSpaceDN w:val="0"/>
              <w:adjustRightInd w:val="0"/>
              <w:jc w:val="center"/>
              <w:rPr>
                <w:rFonts w:ascii="Arial" w:eastAsia="Calibri" w:hAnsi="Arial" w:cs="Arial"/>
                <w:b/>
                <w:color w:val="FFFFFF"/>
                <w:sz w:val="24"/>
                <w:szCs w:val="24"/>
                <w:lang w:val="en-GB" w:eastAsia="en-GB"/>
              </w:rPr>
            </w:pPr>
            <w:r w:rsidRPr="000729CF">
              <w:rPr>
                <w:rFonts w:ascii="Arial" w:eastAsia="Calibri" w:hAnsi="Arial" w:cs="Arial"/>
                <w:b/>
                <w:color w:val="FFFFFF"/>
                <w:sz w:val="24"/>
                <w:szCs w:val="24"/>
                <w:lang w:val="en-GB" w:eastAsia="en-GB"/>
              </w:rPr>
              <w:t>2026/27</w:t>
            </w:r>
          </w:p>
        </w:tc>
      </w:tr>
      <w:tr w:rsidR="000729CF" w:rsidRPr="000729CF" w14:paraId="19B21F3C" w14:textId="77777777" w:rsidTr="00BC26AB">
        <w:tc>
          <w:tcPr>
            <w:tcW w:w="1000" w:type="pct"/>
          </w:tcPr>
          <w:p w14:paraId="3E94F2B2" w14:textId="77777777" w:rsidR="000729CF" w:rsidRPr="000729CF" w:rsidRDefault="000729CF" w:rsidP="000729CF">
            <w:pPr>
              <w:autoSpaceDE w:val="0"/>
              <w:autoSpaceDN w:val="0"/>
              <w:adjustRightInd w:val="0"/>
              <w:jc w:val="center"/>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Bank Rate</w:t>
            </w:r>
          </w:p>
        </w:tc>
        <w:tc>
          <w:tcPr>
            <w:tcW w:w="1000" w:type="pct"/>
            <w:shd w:val="clear" w:color="auto" w:fill="auto"/>
          </w:tcPr>
          <w:p w14:paraId="732F5DEB" w14:textId="77777777" w:rsidR="000729CF" w:rsidRPr="000729CF" w:rsidRDefault="000729CF" w:rsidP="000729CF">
            <w:pPr>
              <w:autoSpaceDE w:val="0"/>
              <w:autoSpaceDN w:val="0"/>
              <w:adjustRightInd w:val="0"/>
              <w:jc w:val="center"/>
              <w:rPr>
                <w:rFonts w:ascii="Arial" w:eastAsia="Calibri" w:hAnsi="Arial" w:cs="Arial"/>
                <w:color w:val="000000"/>
                <w:sz w:val="22"/>
                <w:szCs w:val="22"/>
                <w:lang w:val="en-GB" w:eastAsia="en-GB"/>
              </w:rPr>
            </w:pPr>
            <w:r w:rsidRPr="000729CF">
              <w:rPr>
                <w:rFonts w:ascii="Arial" w:eastAsia="Calibri" w:hAnsi="Arial" w:cs="Arial"/>
                <w:color w:val="000000"/>
                <w:sz w:val="22"/>
                <w:szCs w:val="22"/>
                <w:lang w:val="en-GB" w:eastAsia="en-GB"/>
              </w:rPr>
              <w:t>5.25%</w:t>
            </w:r>
          </w:p>
        </w:tc>
        <w:tc>
          <w:tcPr>
            <w:tcW w:w="1000" w:type="pct"/>
            <w:shd w:val="clear" w:color="auto" w:fill="auto"/>
          </w:tcPr>
          <w:p w14:paraId="7B32F69B" w14:textId="77777777" w:rsidR="000729CF" w:rsidRPr="000729CF" w:rsidRDefault="000729CF" w:rsidP="000729CF">
            <w:pPr>
              <w:autoSpaceDE w:val="0"/>
              <w:autoSpaceDN w:val="0"/>
              <w:adjustRightInd w:val="0"/>
              <w:jc w:val="center"/>
              <w:rPr>
                <w:rFonts w:ascii="Arial" w:eastAsia="Calibri" w:hAnsi="Arial" w:cs="Arial"/>
                <w:color w:val="000000"/>
                <w:sz w:val="22"/>
                <w:szCs w:val="22"/>
                <w:lang w:val="en-GB" w:eastAsia="en-GB"/>
              </w:rPr>
            </w:pPr>
            <w:r w:rsidRPr="000729CF">
              <w:rPr>
                <w:rFonts w:ascii="Arial" w:eastAsia="Calibri" w:hAnsi="Arial" w:cs="Arial"/>
                <w:color w:val="000000"/>
                <w:sz w:val="22"/>
                <w:szCs w:val="22"/>
                <w:lang w:val="en-GB" w:eastAsia="en-GB"/>
              </w:rPr>
              <w:t>3.75%</w:t>
            </w:r>
          </w:p>
        </w:tc>
        <w:tc>
          <w:tcPr>
            <w:tcW w:w="1000" w:type="pct"/>
            <w:shd w:val="clear" w:color="auto" w:fill="auto"/>
          </w:tcPr>
          <w:p w14:paraId="6D2B8A6C" w14:textId="77777777" w:rsidR="000729CF" w:rsidRPr="000729CF" w:rsidRDefault="000729CF" w:rsidP="000729CF">
            <w:pPr>
              <w:autoSpaceDE w:val="0"/>
              <w:autoSpaceDN w:val="0"/>
              <w:adjustRightInd w:val="0"/>
              <w:jc w:val="center"/>
              <w:rPr>
                <w:rFonts w:ascii="Arial" w:eastAsia="Calibri" w:hAnsi="Arial" w:cs="Arial"/>
                <w:color w:val="000000"/>
                <w:sz w:val="22"/>
                <w:szCs w:val="22"/>
                <w:lang w:val="en-GB" w:eastAsia="en-GB"/>
              </w:rPr>
            </w:pPr>
            <w:r w:rsidRPr="000729CF">
              <w:rPr>
                <w:rFonts w:ascii="Arial" w:eastAsia="Calibri" w:hAnsi="Arial" w:cs="Arial"/>
                <w:color w:val="000000"/>
                <w:sz w:val="22"/>
                <w:szCs w:val="22"/>
                <w:lang w:val="en-GB" w:eastAsia="en-GB"/>
              </w:rPr>
              <w:t>3.00%</w:t>
            </w:r>
          </w:p>
        </w:tc>
        <w:tc>
          <w:tcPr>
            <w:tcW w:w="1000" w:type="pct"/>
            <w:shd w:val="clear" w:color="auto" w:fill="auto"/>
          </w:tcPr>
          <w:p w14:paraId="3A6A43A7" w14:textId="77777777" w:rsidR="000729CF" w:rsidRPr="000729CF" w:rsidRDefault="000729CF" w:rsidP="000729CF">
            <w:pPr>
              <w:autoSpaceDE w:val="0"/>
              <w:autoSpaceDN w:val="0"/>
              <w:adjustRightInd w:val="0"/>
              <w:jc w:val="center"/>
              <w:rPr>
                <w:rFonts w:ascii="Arial" w:eastAsia="Calibri" w:hAnsi="Arial" w:cs="Arial"/>
                <w:color w:val="000000"/>
                <w:sz w:val="22"/>
                <w:szCs w:val="22"/>
                <w:lang w:val="en-GB" w:eastAsia="en-GB"/>
              </w:rPr>
            </w:pPr>
            <w:r w:rsidRPr="000729CF">
              <w:rPr>
                <w:rFonts w:ascii="Arial" w:eastAsia="Calibri" w:hAnsi="Arial" w:cs="Arial"/>
                <w:color w:val="000000"/>
                <w:sz w:val="22"/>
                <w:szCs w:val="22"/>
                <w:lang w:val="en-GB" w:eastAsia="en-GB"/>
              </w:rPr>
              <w:t>3.00%</w:t>
            </w:r>
          </w:p>
        </w:tc>
      </w:tr>
    </w:tbl>
    <w:bookmarkEnd w:id="61"/>
    <w:p w14:paraId="6164F1CC" w14:textId="77777777" w:rsidR="000729CF" w:rsidRPr="000729CF" w:rsidRDefault="000729CF" w:rsidP="000729CF">
      <w:pPr>
        <w:autoSpaceDE w:val="0"/>
        <w:autoSpaceDN w:val="0"/>
        <w:adjustRightInd w:val="0"/>
        <w:spacing w:before="120" w:after="120"/>
        <w:ind w:left="720"/>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Link Asset Service’s (LAS) view on the prospect for interest rates, including their forecast for short term investment rates is appended at Annex B.</w:t>
      </w:r>
    </w:p>
    <w:p w14:paraId="789D175E" w14:textId="77777777" w:rsidR="000729CF" w:rsidRPr="000729CF" w:rsidRDefault="000729CF" w:rsidP="000729CF">
      <w:pPr>
        <w:spacing w:before="120" w:after="120"/>
        <w:ind w:left="720"/>
        <w:rPr>
          <w:rFonts w:ascii="Arial" w:eastAsia="Calibri" w:hAnsi="Arial" w:cs="Arial"/>
          <w:iCs/>
          <w:sz w:val="24"/>
          <w:szCs w:val="24"/>
          <w:lang w:val="en-GB"/>
        </w:rPr>
      </w:pPr>
      <w:r w:rsidRPr="000729CF">
        <w:rPr>
          <w:rFonts w:ascii="Arial" w:eastAsia="Calibri" w:hAnsi="Arial" w:cs="Arial"/>
          <w:iCs/>
          <w:sz w:val="24"/>
          <w:szCs w:val="24"/>
          <w:lang w:val="en-GB"/>
        </w:rPr>
        <w:t>The primary principle governing the council’s investment criteria is the security of its investments but return on investment is also important. After this main principle, the council will ensure that:</w:t>
      </w:r>
    </w:p>
    <w:p w14:paraId="3D965F71" w14:textId="77777777" w:rsidR="000729CF" w:rsidRPr="000729CF" w:rsidRDefault="000729CF" w:rsidP="00CE70A3">
      <w:pPr>
        <w:numPr>
          <w:ilvl w:val="0"/>
          <w:numId w:val="78"/>
        </w:numPr>
        <w:autoSpaceDE w:val="0"/>
        <w:autoSpaceDN w:val="0"/>
        <w:adjustRightInd w:val="0"/>
        <w:spacing w:after="120" w:line="276" w:lineRule="auto"/>
        <w:ind w:left="1134" w:hanging="425"/>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It maintains a policy covering both the categories of investment types it will invest in and the criteria for choosing investment counterparties with adequate security, and monitoring their security;</w:t>
      </w:r>
    </w:p>
    <w:p w14:paraId="4CD85A47" w14:textId="77777777" w:rsidR="000729CF" w:rsidRPr="000729CF" w:rsidRDefault="000729CF" w:rsidP="00CE70A3">
      <w:pPr>
        <w:numPr>
          <w:ilvl w:val="0"/>
          <w:numId w:val="78"/>
        </w:numPr>
        <w:autoSpaceDE w:val="0"/>
        <w:autoSpaceDN w:val="0"/>
        <w:adjustRightInd w:val="0"/>
        <w:spacing w:after="120" w:line="276" w:lineRule="auto"/>
        <w:ind w:left="1134" w:hanging="425"/>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It has sufficient liquidity in its investments.</w:t>
      </w:r>
    </w:p>
    <w:p w14:paraId="230C22AC" w14:textId="77777777" w:rsidR="000729CF" w:rsidRPr="000729CF" w:rsidRDefault="000729CF" w:rsidP="00CE70A3">
      <w:pPr>
        <w:numPr>
          <w:ilvl w:val="2"/>
          <w:numId w:val="67"/>
        </w:numPr>
        <w:spacing w:before="120" w:after="120" w:line="276" w:lineRule="auto"/>
        <w:outlineLvl w:val="2"/>
        <w:rPr>
          <w:rFonts w:ascii="Arial" w:hAnsi="Arial" w:cs="Arial"/>
          <w:b/>
          <w:bCs/>
          <w:i/>
          <w:iCs/>
          <w:sz w:val="24"/>
          <w:szCs w:val="24"/>
          <w:lang w:val="en-GB"/>
        </w:rPr>
      </w:pPr>
      <w:r w:rsidRPr="000729CF">
        <w:rPr>
          <w:rFonts w:ascii="Arial" w:hAnsi="Arial" w:cs="Arial"/>
          <w:b/>
          <w:bCs/>
          <w:i/>
          <w:iCs/>
          <w:sz w:val="24"/>
          <w:szCs w:val="24"/>
          <w:lang w:val="en-GB"/>
        </w:rPr>
        <w:t>Approach for 2024/25</w:t>
      </w:r>
    </w:p>
    <w:p w14:paraId="239AE1E6" w14:textId="77777777" w:rsidR="000729CF" w:rsidRPr="000729CF" w:rsidRDefault="000729CF" w:rsidP="000729CF">
      <w:pPr>
        <w:spacing w:before="120" w:after="120"/>
        <w:ind w:left="720"/>
        <w:rPr>
          <w:rFonts w:ascii="Arial" w:eastAsia="Calibri" w:hAnsi="Arial" w:cs="Arial"/>
          <w:iCs/>
          <w:sz w:val="24"/>
          <w:szCs w:val="24"/>
          <w:lang w:val="en-GB"/>
        </w:rPr>
      </w:pPr>
      <w:r w:rsidRPr="000729CF">
        <w:rPr>
          <w:rFonts w:ascii="Arial" w:eastAsia="Calibri" w:hAnsi="Arial" w:cs="Arial"/>
          <w:iCs/>
          <w:sz w:val="24"/>
          <w:szCs w:val="24"/>
          <w:lang w:val="en-GB"/>
        </w:rPr>
        <w:t>Investment balances had been inflated between 2019/20 and 2022/23 as a result of a number of factors, but primarily due to support measures taken by central government during the pandemic to ensure Local Authorities had the necessary resources to deliver a response to the pandemic. As expected, this support was removed during 2022/23. Additionally, increased planned internal borrowing and repayment of one of the authority’s LOBO loans has reduced the investment balances further still during 2023/24.</w:t>
      </w:r>
    </w:p>
    <w:p w14:paraId="07D8FDFD" w14:textId="77777777" w:rsidR="000729CF" w:rsidRPr="000729CF" w:rsidRDefault="000729CF" w:rsidP="000729CF">
      <w:pPr>
        <w:spacing w:before="120" w:after="120"/>
        <w:ind w:left="720"/>
        <w:rPr>
          <w:rFonts w:ascii="Arial" w:eastAsia="Calibri" w:hAnsi="Arial" w:cs="Arial"/>
          <w:iCs/>
          <w:sz w:val="24"/>
          <w:szCs w:val="24"/>
          <w:lang w:val="en-GB"/>
        </w:rPr>
      </w:pPr>
      <w:r w:rsidRPr="000729CF">
        <w:rPr>
          <w:rFonts w:ascii="Arial" w:eastAsia="Calibri" w:hAnsi="Arial" w:cs="Arial"/>
          <w:iCs/>
          <w:sz w:val="24"/>
          <w:szCs w:val="24"/>
          <w:lang w:val="en-GB"/>
        </w:rPr>
        <w:t>The environment for investment has been more attractive during 2023/24 as a result of sharp increases in the Bank of England Base Rate as a reaction to inflationary pressures. The returns on investments have gradually been increasing over the year as maturing investments are rolled into new investments that reflect the increases in investment rates. The council’s treasury advisors have provided their forecast for investment rates in Annex B. Interest rates are thought to have peaked at 5.25%, with expectations of interest rate reductions during the calendar year of 2024.</w:t>
      </w:r>
    </w:p>
    <w:p w14:paraId="2A9486B0" w14:textId="77777777" w:rsidR="000729CF" w:rsidRPr="000729CF" w:rsidRDefault="000729CF" w:rsidP="000729CF">
      <w:pPr>
        <w:spacing w:before="120" w:after="120"/>
        <w:ind w:left="720"/>
        <w:rPr>
          <w:rFonts w:ascii="Arial" w:eastAsia="Calibri" w:hAnsi="Arial" w:cs="Arial"/>
          <w:iCs/>
          <w:sz w:val="24"/>
          <w:szCs w:val="24"/>
          <w:lang w:val="en-GB"/>
        </w:rPr>
      </w:pPr>
      <w:r w:rsidRPr="000729CF">
        <w:rPr>
          <w:rFonts w:ascii="Arial" w:eastAsia="Calibri" w:hAnsi="Arial" w:cs="Arial"/>
          <w:iCs/>
          <w:sz w:val="24"/>
          <w:szCs w:val="24"/>
          <w:lang w:val="en-GB"/>
        </w:rPr>
        <w:t xml:space="preserve">Investment balances are expected to reduce further in 2024/25. This is primarily due to the expectation of further increases in internal borrowing to avoid as far as possible, entering into long-term borrowing at a time where interest rates are expected to be at their highest. Investment income will fall as a result of the combination of reducing interest rates and reducing balances. Work is therefore being undertaken to try and maximise cash to ensure investment income is protected as far as possible. This work includes measures to improve the working capital (that is, the timing differences between the council paying its suppliers and receiving money from its customers), and a review of the timing of capital projects, undertaken by the officer led Capital Programme Board. The Financing Costs budget for the medium term has been prepared on the basis of these measures. </w:t>
      </w:r>
    </w:p>
    <w:p w14:paraId="1EFFD51F" w14:textId="77777777" w:rsidR="000729CF" w:rsidRPr="000729CF" w:rsidRDefault="000729CF" w:rsidP="000729CF">
      <w:pPr>
        <w:spacing w:before="120" w:after="120"/>
        <w:ind w:left="720"/>
        <w:rPr>
          <w:rFonts w:ascii="Arial" w:eastAsia="Calibri" w:hAnsi="Arial" w:cs="Arial"/>
          <w:iCs/>
          <w:sz w:val="24"/>
          <w:szCs w:val="24"/>
          <w:lang w:val="en-GB"/>
        </w:rPr>
      </w:pPr>
      <w:r w:rsidRPr="000729CF">
        <w:rPr>
          <w:rFonts w:ascii="Arial" w:eastAsia="Calibri" w:hAnsi="Arial" w:cs="Arial"/>
          <w:iCs/>
          <w:sz w:val="24"/>
          <w:szCs w:val="24"/>
          <w:lang w:val="en-GB"/>
        </w:rPr>
        <w:t>In February 2021, £10.0m was invested across two short term bond funds managed by Royal London Asset Management. There has been a fall in the capital value as a result of the increase in interest rates. However, there is no impact on the council’s income from these funds, and the current statutory override means that there is no impact on the council’s budget as a result of this change in value. The investment time horizon is expected to be at least 3 years, and therefore it is expected that the capital value will recover before divesting from the funds.</w:t>
      </w:r>
    </w:p>
    <w:p w14:paraId="579FCF2A" w14:textId="77777777" w:rsidR="000729CF" w:rsidRPr="000729CF" w:rsidRDefault="000729CF" w:rsidP="00CE70A3">
      <w:pPr>
        <w:keepNext/>
        <w:numPr>
          <w:ilvl w:val="2"/>
          <w:numId w:val="67"/>
        </w:numPr>
        <w:spacing w:before="120" w:after="120" w:line="276" w:lineRule="auto"/>
        <w:outlineLvl w:val="2"/>
        <w:rPr>
          <w:rFonts w:ascii="Arial" w:hAnsi="Arial" w:cs="Arial"/>
          <w:b/>
          <w:bCs/>
          <w:i/>
          <w:iCs/>
          <w:sz w:val="24"/>
          <w:szCs w:val="24"/>
          <w:lang w:val="en-GB"/>
        </w:rPr>
      </w:pPr>
      <w:r w:rsidRPr="000729CF">
        <w:rPr>
          <w:rFonts w:ascii="Arial" w:hAnsi="Arial" w:cs="Arial"/>
          <w:b/>
          <w:bCs/>
          <w:i/>
          <w:iCs/>
          <w:sz w:val="24"/>
          <w:szCs w:val="24"/>
          <w:lang w:val="en-GB"/>
        </w:rPr>
        <w:t>Changes from 2023/24 Strategy</w:t>
      </w:r>
    </w:p>
    <w:p w14:paraId="28DB7459" w14:textId="77777777" w:rsidR="000729CF" w:rsidRPr="000729CF" w:rsidRDefault="000729CF" w:rsidP="000729CF">
      <w:pPr>
        <w:spacing w:after="120"/>
        <w:ind w:left="720"/>
        <w:rPr>
          <w:rFonts w:ascii="Arial" w:eastAsia="Calibri" w:hAnsi="Arial" w:cs="Arial"/>
          <w:sz w:val="24"/>
          <w:szCs w:val="24"/>
          <w:lang w:val="en-GB"/>
        </w:rPr>
      </w:pPr>
      <w:r w:rsidRPr="000729CF">
        <w:rPr>
          <w:rFonts w:ascii="Arial" w:eastAsia="Calibri" w:hAnsi="Arial" w:cs="Arial"/>
          <w:iCs/>
          <w:sz w:val="24"/>
          <w:szCs w:val="24"/>
          <w:lang w:val="en-GB"/>
        </w:rPr>
        <w:t xml:space="preserve">There are no changes proposed to the 2024/25 Annual Investment Strategy. </w:t>
      </w:r>
    </w:p>
    <w:p w14:paraId="060B3800" w14:textId="77777777" w:rsidR="000729CF" w:rsidRPr="000729CF" w:rsidRDefault="000729CF" w:rsidP="00CE70A3">
      <w:pPr>
        <w:keepNext/>
        <w:numPr>
          <w:ilvl w:val="1"/>
          <w:numId w:val="67"/>
        </w:numPr>
        <w:spacing w:before="120" w:after="120" w:line="276" w:lineRule="auto"/>
        <w:ind w:left="709" w:hanging="709"/>
        <w:outlineLvl w:val="1"/>
        <w:rPr>
          <w:rFonts w:ascii="Arial" w:hAnsi="Arial" w:cs="Arial"/>
          <w:b/>
          <w:bCs/>
          <w:i/>
          <w:iCs/>
          <w:sz w:val="24"/>
          <w:szCs w:val="24"/>
          <w:lang w:val="en-GB"/>
        </w:rPr>
      </w:pPr>
      <w:r w:rsidRPr="000729CF">
        <w:rPr>
          <w:rFonts w:ascii="Arial" w:hAnsi="Arial" w:cs="Arial"/>
          <w:b/>
          <w:bCs/>
          <w:i/>
          <w:iCs/>
          <w:sz w:val="24"/>
          <w:szCs w:val="24"/>
          <w:lang w:val="en-GB"/>
        </w:rPr>
        <w:tab/>
        <w:t>Investment Policy – Management of risk</w:t>
      </w:r>
    </w:p>
    <w:p w14:paraId="77701E48" w14:textId="77777777" w:rsidR="000729CF" w:rsidRPr="000729CF" w:rsidRDefault="000729CF" w:rsidP="000729CF">
      <w:pPr>
        <w:spacing w:after="120"/>
        <w:ind w:left="709"/>
        <w:rPr>
          <w:rFonts w:ascii="Arial" w:eastAsia="Calibri" w:hAnsi="Arial" w:cs="Arial"/>
          <w:sz w:val="24"/>
          <w:szCs w:val="24"/>
          <w:lang w:val="en-GB"/>
        </w:rPr>
      </w:pPr>
      <w:r w:rsidRPr="000729CF">
        <w:rPr>
          <w:rFonts w:ascii="Arial" w:eastAsia="Calibri" w:hAnsi="Arial" w:cs="Arial"/>
          <w:sz w:val="24"/>
          <w:szCs w:val="24"/>
          <w:lang w:val="en-GB"/>
        </w:rPr>
        <w:t>The guidance from DLUHC and CIPFA outlined in 4 places a high priority on the management of risk. The Council has a prudent approach to managing risk and defines its risk appetite by the following means:</w:t>
      </w:r>
    </w:p>
    <w:p w14:paraId="23469889" w14:textId="77777777" w:rsidR="000729CF" w:rsidRPr="000729CF" w:rsidRDefault="000729CF" w:rsidP="00CE70A3">
      <w:pPr>
        <w:numPr>
          <w:ilvl w:val="0"/>
          <w:numId w:val="75"/>
        </w:numPr>
        <w:autoSpaceDE w:val="0"/>
        <w:autoSpaceDN w:val="0"/>
        <w:adjustRightInd w:val="0"/>
        <w:spacing w:after="120" w:line="276" w:lineRule="auto"/>
        <w:ind w:left="1276" w:hanging="567"/>
        <w:rPr>
          <w:rFonts w:ascii="Arial" w:eastAsia="Calibri" w:hAnsi="Arial" w:cs="Arial"/>
          <w:bCs/>
          <w:color w:val="000000"/>
          <w:sz w:val="24"/>
          <w:szCs w:val="24"/>
          <w:lang w:val="en-GB" w:eastAsia="en-GB"/>
        </w:rPr>
      </w:pPr>
      <w:r w:rsidRPr="000729CF">
        <w:rPr>
          <w:rFonts w:ascii="Arial" w:eastAsia="Calibri" w:hAnsi="Arial" w:cs="Arial"/>
          <w:bCs/>
          <w:color w:val="000000"/>
          <w:sz w:val="24"/>
          <w:szCs w:val="24"/>
          <w:lang w:val="en-GB" w:eastAsia="en-GB"/>
        </w:rPr>
        <w:t>Minimum acceptable credit criteria are applied in order to generate a list of high creditworthy counterparties.  This also enables diversification and thus avoids a concentration of risk. The key ratings used to monitor counterparties are the short term and long-term ratings.</w:t>
      </w:r>
    </w:p>
    <w:p w14:paraId="6656744B" w14:textId="77777777" w:rsidR="000729CF" w:rsidRPr="000729CF" w:rsidRDefault="000729CF" w:rsidP="00CE70A3">
      <w:pPr>
        <w:numPr>
          <w:ilvl w:val="0"/>
          <w:numId w:val="75"/>
        </w:numPr>
        <w:autoSpaceDE w:val="0"/>
        <w:autoSpaceDN w:val="0"/>
        <w:adjustRightInd w:val="0"/>
        <w:spacing w:after="120" w:line="276" w:lineRule="auto"/>
        <w:ind w:left="1276" w:hanging="567"/>
        <w:rPr>
          <w:rFonts w:ascii="Arial" w:eastAsia="Calibri" w:hAnsi="Arial" w:cs="Arial"/>
          <w:bCs/>
          <w:color w:val="000000"/>
          <w:sz w:val="24"/>
          <w:szCs w:val="24"/>
          <w:lang w:val="en-GB" w:eastAsia="en-GB"/>
        </w:rPr>
      </w:pPr>
      <w:r w:rsidRPr="000729CF">
        <w:rPr>
          <w:rFonts w:ascii="Arial" w:eastAsia="Calibri" w:hAnsi="Arial" w:cs="Arial"/>
          <w:bCs/>
          <w:color w:val="000000"/>
          <w:sz w:val="24"/>
          <w:szCs w:val="24"/>
          <w:lang w:val="en-GB" w:eastAsia="en-GB"/>
        </w:rPr>
        <w:t xml:space="preserve">Other information: ratings will not be the sole determinant of the quality of an institution; it is important to continually assess and monitor the financial sector on both a micro and macro basis and in relation to the economic and political environments in which institutions operate. The assessment will also take account of information that reflects the opinion of the markets. To achieve this consideration the council will engage with its advisors to monitor market pricing such as “credit default swaps” (CDS) and overlay that information on credit ratings. </w:t>
      </w:r>
    </w:p>
    <w:p w14:paraId="1DB847C0" w14:textId="77777777" w:rsidR="000729CF" w:rsidRPr="000729CF" w:rsidRDefault="000729CF" w:rsidP="00CE70A3">
      <w:pPr>
        <w:numPr>
          <w:ilvl w:val="0"/>
          <w:numId w:val="75"/>
        </w:numPr>
        <w:autoSpaceDE w:val="0"/>
        <w:autoSpaceDN w:val="0"/>
        <w:adjustRightInd w:val="0"/>
        <w:spacing w:after="120" w:line="276" w:lineRule="auto"/>
        <w:ind w:left="1276" w:hanging="567"/>
        <w:rPr>
          <w:rFonts w:ascii="Arial" w:eastAsia="Calibri" w:hAnsi="Arial" w:cs="Arial"/>
          <w:bCs/>
          <w:color w:val="000000"/>
          <w:sz w:val="24"/>
          <w:szCs w:val="24"/>
          <w:lang w:val="en-GB" w:eastAsia="en-GB"/>
        </w:rPr>
      </w:pPr>
      <w:r w:rsidRPr="000729CF">
        <w:rPr>
          <w:rFonts w:ascii="Arial" w:eastAsia="Calibri" w:hAnsi="Arial" w:cs="Arial"/>
          <w:bCs/>
          <w:color w:val="000000"/>
          <w:sz w:val="24"/>
          <w:szCs w:val="24"/>
          <w:lang w:val="en-GB" w:eastAsia="en-GB"/>
        </w:rPr>
        <w:t>Other information sources used will include the financial press, share prices and other such information pertaining to the banking sector in order to establish the most robust scrutiny process on the suitability of potential investment counterparties.</w:t>
      </w:r>
    </w:p>
    <w:p w14:paraId="41A556CF" w14:textId="77777777" w:rsidR="000729CF" w:rsidRPr="000729CF" w:rsidRDefault="000729CF" w:rsidP="00CE70A3">
      <w:pPr>
        <w:numPr>
          <w:ilvl w:val="0"/>
          <w:numId w:val="75"/>
        </w:numPr>
        <w:autoSpaceDE w:val="0"/>
        <w:autoSpaceDN w:val="0"/>
        <w:adjustRightInd w:val="0"/>
        <w:spacing w:after="120" w:line="276" w:lineRule="auto"/>
        <w:ind w:left="1276" w:hanging="567"/>
        <w:rPr>
          <w:rFonts w:ascii="Arial" w:eastAsia="Calibri" w:hAnsi="Arial" w:cs="Arial"/>
          <w:bCs/>
          <w:color w:val="000000"/>
          <w:sz w:val="24"/>
          <w:szCs w:val="24"/>
          <w:lang w:val="en-GB" w:eastAsia="en-GB"/>
        </w:rPr>
      </w:pPr>
      <w:r w:rsidRPr="000729CF">
        <w:rPr>
          <w:rFonts w:ascii="Arial" w:eastAsia="Calibri" w:hAnsi="Arial" w:cs="Arial"/>
          <w:bCs/>
          <w:color w:val="000000"/>
          <w:sz w:val="24"/>
          <w:szCs w:val="24"/>
          <w:lang w:val="en-GB" w:eastAsia="en-GB"/>
        </w:rPr>
        <w:t>Where there is a significant or sudden deterioration in one or more indicators (such as CDS prices), officers will undertake a review and, where necessary take action. This action may take the form of temporary suspension of a counterparty from the council’s approved lending list, or a restriction of the maximum period and investment limits.</w:t>
      </w:r>
    </w:p>
    <w:p w14:paraId="7F0016AA" w14:textId="77777777" w:rsidR="000729CF" w:rsidRPr="000729CF" w:rsidRDefault="000729CF" w:rsidP="00CE70A3">
      <w:pPr>
        <w:numPr>
          <w:ilvl w:val="0"/>
          <w:numId w:val="75"/>
        </w:numPr>
        <w:autoSpaceDE w:val="0"/>
        <w:autoSpaceDN w:val="0"/>
        <w:adjustRightInd w:val="0"/>
        <w:spacing w:after="120" w:line="276" w:lineRule="auto"/>
        <w:ind w:left="1276" w:hanging="567"/>
        <w:rPr>
          <w:rFonts w:ascii="Arial" w:eastAsia="Calibri" w:hAnsi="Arial" w:cs="Arial"/>
          <w:bCs/>
          <w:color w:val="000000"/>
          <w:sz w:val="24"/>
          <w:szCs w:val="24"/>
          <w:lang w:val="en-GB" w:eastAsia="en-GB"/>
        </w:rPr>
      </w:pPr>
      <w:r w:rsidRPr="000729CF">
        <w:rPr>
          <w:rFonts w:ascii="Arial" w:eastAsia="Calibri" w:hAnsi="Arial" w:cs="Arial"/>
          <w:bCs/>
          <w:color w:val="000000"/>
          <w:sz w:val="24"/>
          <w:szCs w:val="24"/>
          <w:lang w:val="en-GB" w:eastAsia="en-GB"/>
        </w:rPr>
        <w:t xml:space="preserve">This authority has defined the list of types of investment instruments that the treasury management team are authorised to use. </w:t>
      </w:r>
    </w:p>
    <w:p w14:paraId="4172854C" w14:textId="77777777" w:rsidR="000729CF" w:rsidRPr="000729CF" w:rsidRDefault="000729CF" w:rsidP="00CE70A3">
      <w:pPr>
        <w:numPr>
          <w:ilvl w:val="1"/>
          <w:numId w:val="75"/>
        </w:numPr>
        <w:autoSpaceDE w:val="0"/>
        <w:autoSpaceDN w:val="0"/>
        <w:adjustRightInd w:val="0"/>
        <w:spacing w:after="120" w:line="276" w:lineRule="auto"/>
        <w:ind w:left="1843" w:hanging="567"/>
        <w:rPr>
          <w:rFonts w:ascii="Arial" w:eastAsia="Calibri" w:hAnsi="Arial" w:cs="Arial"/>
          <w:bCs/>
          <w:color w:val="000000"/>
          <w:sz w:val="24"/>
          <w:szCs w:val="24"/>
          <w:lang w:val="en-GB" w:eastAsia="en-GB"/>
        </w:rPr>
      </w:pPr>
      <w:r w:rsidRPr="000729CF">
        <w:rPr>
          <w:rFonts w:ascii="Arial" w:eastAsia="Calibri" w:hAnsi="Arial" w:cs="Arial"/>
          <w:b/>
          <w:bCs/>
          <w:color w:val="000000"/>
          <w:sz w:val="24"/>
          <w:szCs w:val="24"/>
          <w:lang w:val="en-GB" w:eastAsia="en-GB"/>
        </w:rPr>
        <w:t>Specified investments</w:t>
      </w:r>
      <w:r w:rsidRPr="000729CF">
        <w:rPr>
          <w:rFonts w:ascii="Arial" w:eastAsia="Calibri" w:hAnsi="Arial" w:cs="Arial"/>
          <w:bCs/>
          <w:color w:val="000000"/>
          <w:sz w:val="24"/>
          <w:szCs w:val="24"/>
          <w:lang w:val="en-GB" w:eastAsia="en-GB"/>
        </w:rPr>
        <w:t xml:space="preserve"> are those with a high level of credit quality and subject to a maturity limit of one year. The limits and permitted instruments for specified investments are listed within Table 6.</w:t>
      </w:r>
    </w:p>
    <w:p w14:paraId="61709318" w14:textId="77777777" w:rsidR="000729CF" w:rsidRPr="000729CF" w:rsidRDefault="000729CF" w:rsidP="00CE70A3">
      <w:pPr>
        <w:numPr>
          <w:ilvl w:val="1"/>
          <w:numId w:val="75"/>
        </w:numPr>
        <w:autoSpaceDE w:val="0"/>
        <w:autoSpaceDN w:val="0"/>
        <w:adjustRightInd w:val="0"/>
        <w:spacing w:after="120" w:line="276" w:lineRule="auto"/>
        <w:ind w:left="1843" w:hanging="567"/>
        <w:rPr>
          <w:rFonts w:ascii="Arial" w:eastAsia="Calibri" w:hAnsi="Arial" w:cs="Arial"/>
          <w:bCs/>
          <w:color w:val="000000"/>
          <w:sz w:val="24"/>
          <w:szCs w:val="24"/>
          <w:lang w:val="en-GB" w:eastAsia="en-GB"/>
        </w:rPr>
      </w:pPr>
      <w:r w:rsidRPr="000729CF">
        <w:rPr>
          <w:rFonts w:ascii="Arial" w:eastAsia="Calibri" w:hAnsi="Arial" w:cs="Arial"/>
          <w:b/>
          <w:bCs/>
          <w:color w:val="000000"/>
          <w:sz w:val="24"/>
          <w:szCs w:val="24"/>
          <w:lang w:val="en-GB" w:eastAsia="en-GB"/>
        </w:rPr>
        <w:t>Non-specified investments</w:t>
      </w:r>
      <w:r w:rsidRPr="000729CF">
        <w:rPr>
          <w:rFonts w:ascii="Arial" w:eastAsia="Calibri" w:hAnsi="Arial" w:cs="Arial"/>
          <w:bCs/>
          <w:color w:val="000000"/>
          <w:sz w:val="24"/>
          <w:szCs w:val="24"/>
          <w:lang w:val="en-GB" w:eastAsia="en-GB"/>
        </w:rPr>
        <w:t xml:space="preserve"> are those with less high credit quality, may be for periods in excess of one year, and/or are more complex instruments which require greater consideration by members and officers before being authorised for use. The limits and permitted instruments for non-specified investments are listed within Table 7.</w:t>
      </w:r>
    </w:p>
    <w:p w14:paraId="36C7DB6F" w14:textId="77777777" w:rsidR="000729CF" w:rsidRPr="000729CF" w:rsidRDefault="000729CF" w:rsidP="00CE70A3">
      <w:pPr>
        <w:numPr>
          <w:ilvl w:val="0"/>
          <w:numId w:val="75"/>
        </w:numPr>
        <w:autoSpaceDE w:val="0"/>
        <w:autoSpaceDN w:val="0"/>
        <w:adjustRightInd w:val="0"/>
        <w:spacing w:after="120" w:line="276" w:lineRule="auto"/>
        <w:ind w:left="1276" w:hanging="567"/>
        <w:rPr>
          <w:rFonts w:ascii="Arial" w:eastAsia="Calibri" w:hAnsi="Arial" w:cs="Arial"/>
          <w:bCs/>
          <w:color w:val="000000"/>
          <w:sz w:val="24"/>
          <w:szCs w:val="24"/>
          <w:lang w:val="en-GB" w:eastAsia="en-GB"/>
        </w:rPr>
      </w:pPr>
      <w:r w:rsidRPr="000729CF">
        <w:rPr>
          <w:rFonts w:ascii="Arial" w:eastAsia="Calibri" w:hAnsi="Arial" w:cs="Arial"/>
          <w:bCs/>
          <w:color w:val="000000"/>
          <w:sz w:val="24"/>
          <w:szCs w:val="24"/>
          <w:lang w:val="en-GB" w:eastAsia="en-GB"/>
        </w:rPr>
        <w:t>Lending limits (amounts and maturity) for each counterparty will be set through applying the credit criteria matrix (within Table 7).</w:t>
      </w:r>
    </w:p>
    <w:p w14:paraId="2C39F164" w14:textId="77777777" w:rsidR="000729CF" w:rsidRPr="000729CF" w:rsidRDefault="000729CF" w:rsidP="00CE70A3">
      <w:pPr>
        <w:numPr>
          <w:ilvl w:val="0"/>
          <w:numId w:val="75"/>
        </w:numPr>
        <w:autoSpaceDE w:val="0"/>
        <w:autoSpaceDN w:val="0"/>
        <w:adjustRightInd w:val="0"/>
        <w:spacing w:after="120" w:line="276" w:lineRule="auto"/>
        <w:ind w:left="1276" w:hanging="567"/>
        <w:rPr>
          <w:rFonts w:ascii="Arial" w:eastAsia="Calibri" w:hAnsi="Arial" w:cs="Arial"/>
          <w:bCs/>
          <w:color w:val="000000"/>
          <w:sz w:val="24"/>
          <w:szCs w:val="24"/>
          <w:lang w:val="en-GB" w:eastAsia="en-GB"/>
        </w:rPr>
      </w:pPr>
      <w:r w:rsidRPr="000729CF">
        <w:rPr>
          <w:rFonts w:ascii="Arial" w:eastAsia="Calibri" w:hAnsi="Arial" w:cs="Arial"/>
          <w:bCs/>
          <w:color w:val="000000"/>
          <w:sz w:val="24"/>
          <w:szCs w:val="24"/>
          <w:lang w:val="en-GB" w:eastAsia="en-GB"/>
        </w:rPr>
        <w:t>This authority will set limits for the amount of its investments:</w:t>
      </w:r>
    </w:p>
    <w:p w14:paraId="45EE486B" w14:textId="77777777" w:rsidR="000729CF" w:rsidRPr="000729CF" w:rsidRDefault="000729CF" w:rsidP="00CE70A3">
      <w:pPr>
        <w:numPr>
          <w:ilvl w:val="1"/>
          <w:numId w:val="75"/>
        </w:numPr>
        <w:autoSpaceDE w:val="0"/>
        <w:autoSpaceDN w:val="0"/>
        <w:adjustRightInd w:val="0"/>
        <w:spacing w:after="120" w:line="276" w:lineRule="auto"/>
        <w:ind w:left="1843" w:hanging="567"/>
        <w:rPr>
          <w:rFonts w:ascii="Arial" w:eastAsia="Calibri" w:hAnsi="Arial" w:cs="Arial"/>
          <w:bCs/>
          <w:color w:val="000000"/>
          <w:sz w:val="24"/>
          <w:szCs w:val="24"/>
          <w:lang w:val="en-GB" w:eastAsia="en-GB"/>
        </w:rPr>
      </w:pPr>
      <w:r w:rsidRPr="000729CF">
        <w:rPr>
          <w:rFonts w:ascii="Arial" w:eastAsia="Calibri" w:hAnsi="Arial" w:cs="Arial"/>
          <w:bCs/>
          <w:color w:val="000000"/>
          <w:sz w:val="24"/>
          <w:szCs w:val="24"/>
          <w:lang w:val="en-GB" w:eastAsia="en-GB"/>
        </w:rPr>
        <w:t xml:space="preserve">which are invested for longer than 365 days, detailed in the Treasury Indicators in Annex C; </w:t>
      </w:r>
    </w:p>
    <w:p w14:paraId="615D0876" w14:textId="77777777" w:rsidR="000729CF" w:rsidRPr="000729CF" w:rsidRDefault="000729CF" w:rsidP="00CE70A3">
      <w:pPr>
        <w:numPr>
          <w:ilvl w:val="1"/>
          <w:numId w:val="75"/>
        </w:numPr>
        <w:autoSpaceDE w:val="0"/>
        <w:autoSpaceDN w:val="0"/>
        <w:adjustRightInd w:val="0"/>
        <w:spacing w:after="120" w:line="276" w:lineRule="auto"/>
        <w:ind w:left="1843" w:hanging="567"/>
        <w:rPr>
          <w:rFonts w:ascii="Arial" w:eastAsia="Calibri" w:hAnsi="Arial" w:cs="Arial"/>
          <w:bCs/>
          <w:color w:val="000000"/>
          <w:sz w:val="24"/>
          <w:szCs w:val="24"/>
          <w:lang w:val="en-GB" w:eastAsia="en-GB"/>
        </w:rPr>
      </w:pPr>
      <w:r w:rsidRPr="000729CF">
        <w:rPr>
          <w:rFonts w:ascii="Arial" w:eastAsia="Calibri" w:hAnsi="Arial" w:cs="Arial"/>
          <w:bCs/>
          <w:color w:val="000000"/>
          <w:sz w:val="24"/>
          <w:szCs w:val="24"/>
          <w:lang w:val="en-GB" w:eastAsia="en-GB"/>
        </w:rPr>
        <w:t>which are invested in any one sector (paragraph 4.5);</w:t>
      </w:r>
    </w:p>
    <w:p w14:paraId="491A7DAB" w14:textId="77777777" w:rsidR="000729CF" w:rsidRPr="000729CF" w:rsidRDefault="000729CF" w:rsidP="00CE70A3">
      <w:pPr>
        <w:numPr>
          <w:ilvl w:val="1"/>
          <w:numId w:val="75"/>
        </w:numPr>
        <w:autoSpaceDE w:val="0"/>
        <w:autoSpaceDN w:val="0"/>
        <w:adjustRightInd w:val="0"/>
        <w:spacing w:after="120" w:line="276" w:lineRule="auto"/>
        <w:ind w:left="1843" w:hanging="567"/>
        <w:rPr>
          <w:rFonts w:ascii="Arial" w:eastAsia="Calibri" w:hAnsi="Arial" w:cs="Arial"/>
          <w:bCs/>
          <w:color w:val="000000"/>
          <w:sz w:val="24"/>
          <w:szCs w:val="24"/>
          <w:lang w:val="en-GB" w:eastAsia="en-GB"/>
        </w:rPr>
      </w:pPr>
      <w:r w:rsidRPr="000729CF">
        <w:rPr>
          <w:rFonts w:ascii="Arial" w:eastAsia="Calibri" w:hAnsi="Arial" w:cs="Arial"/>
          <w:bCs/>
          <w:color w:val="000000"/>
          <w:sz w:val="24"/>
          <w:szCs w:val="24"/>
          <w:lang w:val="en-GB" w:eastAsia="en-GB"/>
        </w:rPr>
        <w:t>which are invested in any one counterparty within its relevant sector (paragraph 4.5).</w:t>
      </w:r>
    </w:p>
    <w:p w14:paraId="1853EB0E" w14:textId="77777777" w:rsidR="000729CF" w:rsidRPr="000729CF" w:rsidRDefault="000729CF" w:rsidP="00CE70A3">
      <w:pPr>
        <w:numPr>
          <w:ilvl w:val="0"/>
          <w:numId w:val="75"/>
        </w:numPr>
        <w:autoSpaceDE w:val="0"/>
        <w:autoSpaceDN w:val="0"/>
        <w:adjustRightInd w:val="0"/>
        <w:spacing w:after="120" w:line="276" w:lineRule="auto"/>
        <w:ind w:left="1276" w:hanging="567"/>
        <w:rPr>
          <w:rFonts w:ascii="Arial" w:eastAsia="Calibri" w:hAnsi="Arial" w:cs="Arial"/>
          <w:bCs/>
          <w:color w:val="000000"/>
          <w:sz w:val="24"/>
          <w:szCs w:val="24"/>
          <w:lang w:val="en-GB" w:eastAsia="en-GB"/>
        </w:rPr>
      </w:pPr>
      <w:r w:rsidRPr="000729CF">
        <w:rPr>
          <w:rFonts w:ascii="Arial" w:eastAsia="Calibri" w:hAnsi="Arial" w:cs="Arial"/>
          <w:bCs/>
          <w:color w:val="000000"/>
          <w:sz w:val="24"/>
          <w:szCs w:val="24"/>
          <w:lang w:val="en-GB" w:eastAsia="en-GB"/>
        </w:rPr>
        <w:t>Investments in Non-UK Banks will only be placed with counterparties from countries with a specified minimum sovereign rating of AA (paragraph 4.3).</w:t>
      </w:r>
    </w:p>
    <w:p w14:paraId="666D3B12" w14:textId="77777777" w:rsidR="000729CF" w:rsidRPr="000729CF" w:rsidRDefault="000729CF" w:rsidP="00CE70A3">
      <w:pPr>
        <w:numPr>
          <w:ilvl w:val="0"/>
          <w:numId w:val="75"/>
        </w:numPr>
        <w:autoSpaceDE w:val="0"/>
        <w:autoSpaceDN w:val="0"/>
        <w:adjustRightInd w:val="0"/>
        <w:spacing w:after="120" w:line="276" w:lineRule="auto"/>
        <w:ind w:left="1276" w:hanging="567"/>
        <w:rPr>
          <w:rFonts w:ascii="Arial" w:eastAsia="Calibri" w:hAnsi="Arial" w:cs="Arial"/>
          <w:bCs/>
          <w:color w:val="000000"/>
          <w:sz w:val="24"/>
          <w:szCs w:val="24"/>
          <w:lang w:val="en-GB" w:eastAsia="en-GB"/>
        </w:rPr>
      </w:pPr>
      <w:r w:rsidRPr="000729CF">
        <w:rPr>
          <w:rFonts w:ascii="Arial" w:eastAsia="Calibri" w:hAnsi="Arial" w:cs="Arial"/>
          <w:bCs/>
          <w:color w:val="000000"/>
          <w:sz w:val="24"/>
          <w:szCs w:val="24"/>
          <w:lang w:val="en-GB" w:eastAsia="en-GB"/>
        </w:rPr>
        <w:t>Investments in UK banks will only be placed with counterparties with a minimum credit rating of BBB.</w:t>
      </w:r>
    </w:p>
    <w:p w14:paraId="07800A38" w14:textId="77777777" w:rsidR="000729CF" w:rsidRPr="000729CF" w:rsidRDefault="000729CF" w:rsidP="00CE70A3">
      <w:pPr>
        <w:numPr>
          <w:ilvl w:val="0"/>
          <w:numId w:val="75"/>
        </w:numPr>
        <w:autoSpaceDE w:val="0"/>
        <w:autoSpaceDN w:val="0"/>
        <w:adjustRightInd w:val="0"/>
        <w:spacing w:after="120" w:line="276" w:lineRule="auto"/>
        <w:ind w:left="1276" w:hanging="567"/>
        <w:rPr>
          <w:rFonts w:ascii="Arial" w:eastAsia="Calibri" w:hAnsi="Arial" w:cs="Arial"/>
          <w:bCs/>
          <w:color w:val="000000"/>
          <w:sz w:val="24"/>
          <w:szCs w:val="24"/>
          <w:lang w:val="en-GB" w:eastAsia="en-GB"/>
        </w:rPr>
      </w:pPr>
      <w:r w:rsidRPr="000729CF">
        <w:rPr>
          <w:rFonts w:ascii="Arial" w:eastAsia="Calibri" w:hAnsi="Arial" w:cs="Arial"/>
          <w:bCs/>
          <w:color w:val="000000"/>
          <w:sz w:val="24"/>
          <w:szCs w:val="24"/>
          <w:lang w:val="en-GB" w:eastAsia="en-GB"/>
        </w:rPr>
        <w:t xml:space="preserve">This authority has engaged external consultants, (see paragraph </w:t>
      </w:r>
      <w:r w:rsidRPr="000729CF">
        <w:rPr>
          <w:rFonts w:ascii="Arial" w:eastAsia="Calibri" w:hAnsi="Arial" w:cs="Arial"/>
          <w:bCs/>
          <w:color w:val="000000"/>
          <w:sz w:val="24"/>
          <w:szCs w:val="24"/>
          <w:lang w:val="en-GB" w:eastAsia="en-GB"/>
        </w:rPr>
        <w:fldChar w:fldCharType="begin"/>
      </w:r>
      <w:r w:rsidRPr="000729CF">
        <w:rPr>
          <w:rFonts w:ascii="Arial" w:eastAsia="Calibri" w:hAnsi="Arial" w:cs="Arial"/>
          <w:bCs/>
          <w:color w:val="000000"/>
          <w:sz w:val="24"/>
          <w:szCs w:val="24"/>
          <w:lang w:val="en-GB" w:eastAsia="en-GB"/>
        </w:rPr>
        <w:instrText xml:space="preserve"> REF _Ref94637235 \r \h </w:instrText>
      </w:r>
      <w:r w:rsidRPr="000729CF">
        <w:rPr>
          <w:rFonts w:ascii="Arial" w:eastAsia="Calibri" w:hAnsi="Arial" w:cs="Arial"/>
          <w:bCs/>
          <w:color w:val="000000"/>
          <w:sz w:val="24"/>
          <w:szCs w:val="24"/>
          <w:lang w:val="en-GB" w:eastAsia="en-GB"/>
        </w:rPr>
      </w:r>
      <w:r w:rsidRPr="000729CF">
        <w:rPr>
          <w:rFonts w:ascii="Arial" w:eastAsia="Calibri" w:hAnsi="Arial" w:cs="Arial"/>
          <w:bCs/>
          <w:color w:val="000000"/>
          <w:sz w:val="24"/>
          <w:szCs w:val="24"/>
          <w:lang w:val="en-GB" w:eastAsia="en-GB"/>
        </w:rPr>
        <w:fldChar w:fldCharType="separate"/>
      </w:r>
      <w:r w:rsidRPr="000729CF">
        <w:rPr>
          <w:rFonts w:ascii="Arial" w:eastAsia="Calibri" w:hAnsi="Arial" w:cs="Arial"/>
          <w:bCs/>
          <w:color w:val="000000"/>
          <w:sz w:val="24"/>
          <w:szCs w:val="24"/>
          <w:lang w:val="en-GB" w:eastAsia="en-GB"/>
        </w:rPr>
        <w:t>5.3</w:t>
      </w:r>
      <w:r w:rsidRPr="000729CF">
        <w:rPr>
          <w:rFonts w:ascii="Arial" w:eastAsia="Calibri" w:hAnsi="Arial" w:cs="Arial"/>
          <w:bCs/>
          <w:color w:val="000000"/>
          <w:sz w:val="24"/>
          <w:szCs w:val="24"/>
          <w:lang w:val="en-GB" w:eastAsia="en-GB"/>
        </w:rPr>
        <w:fldChar w:fldCharType="end"/>
      </w:r>
      <w:r w:rsidRPr="000729CF">
        <w:rPr>
          <w:rFonts w:ascii="Arial" w:eastAsia="Calibri" w:hAnsi="Arial" w:cs="Arial"/>
          <w:bCs/>
          <w:color w:val="000000"/>
          <w:sz w:val="24"/>
          <w:szCs w:val="24"/>
          <w:lang w:val="en-GB" w:eastAsia="en-GB"/>
        </w:rPr>
        <w:t>), to provide expert advice on how to optimise an appropriate balance of security, liquidity and yield, given the risk appetite of this authority in the context of the expected level of cash balances and need for liquidity throughout the year.</w:t>
      </w:r>
    </w:p>
    <w:p w14:paraId="5614B04D" w14:textId="77777777" w:rsidR="000729CF" w:rsidRPr="000729CF" w:rsidRDefault="000729CF" w:rsidP="00CE70A3">
      <w:pPr>
        <w:numPr>
          <w:ilvl w:val="0"/>
          <w:numId w:val="75"/>
        </w:numPr>
        <w:autoSpaceDE w:val="0"/>
        <w:autoSpaceDN w:val="0"/>
        <w:adjustRightInd w:val="0"/>
        <w:spacing w:after="120" w:line="276" w:lineRule="auto"/>
        <w:ind w:left="1276" w:hanging="567"/>
        <w:rPr>
          <w:rFonts w:ascii="Arial" w:eastAsia="Calibri" w:hAnsi="Arial" w:cs="Arial"/>
          <w:bCs/>
          <w:color w:val="000000"/>
          <w:sz w:val="24"/>
          <w:szCs w:val="24"/>
          <w:lang w:val="en-GB" w:eastAsia="en-GB"/>
        </w:rPr>
      </w:pPr>
      <w:r w:rsidRPr="000729CF">
        <w:rPr>
          <w:rFonts w:ascii="Arial" w:eastAsia="Calibri" w:hAnsi="Arial" w:cs="Arial"/>
          <w:bCs/>
          <w:color w:val="000000"/>
          <w:sz w:val="24"/>
          <w:szCs w:val="24"/>
          <w:lang w:val="en-GB" w:eastAsia="en-GB"/>
        </w:rPr>
        <w:t>All investments will be denominated in sterling.</w:t>
      </w:r>
    </w:p>
    <w:p w14:paraId="72BC6F62" w14:textId="77777777" w:rsidR="000729CF" w:rsidRPr="000729CF" w:rsidRDefault="000729CF" w:rsidP="00CE70A3">
      <w:pPr>
        <w:numPr>
          <w:ilvl w:val="0"/>
          <w:numId w:val="75"/>
        </w:numPr>
        <w:autoSpaceDE w:val="0"/>
        <w:autoSpaceDN w:val="0"/>
        <w:adjustRightInd w:val="0"/>
        <w:spacing w:after="120" w:line="276" w:lineRule="auto"/>
        <w:ind w:left="1276" w:hanging="567"/>
        <w:rPr>
          <w:rFonts w:ascii="Arial" w:eastAsia="Calibri" w:hAnsi="Arial" w:cs="Arial"/>
          <w:bCs/>
          <w:color w:val="000000"/>
          <w:sz w:val="24"/>
          <w:szCs w:val="24"/>
          <w:lang w:val="en-GB" w:eastAsia="en-GB"/>
        </w:rPr>
      </w:pPr>
      <w:r w:rsidRPr="000729CF">
        <w:rPr>
          <w:rFonts w:ascii="Arial" w:eastAsia="Calibri" w:hAnsi="Arial" w:cs="Arial"/>
          <w:bCs/>
          <w:color w:val="000000"/>
          <w:sz w:val="24"/>
          <w:szCs w:val="24"/>
          <w:lang w:val="en-GB" w:eastAsia="en-GB"/>
        </w:rPr>
        <w:t>As a result of the change in accounting standards under IFRS 9, this Authority will consider the implications of investment instruments which could result in an adverse movement in the value of the amount invested and resultant charges at the end of the year to the General Fund (see paragraph 5.6).</w:t>
      </w:r>
    </w:p>
    <w:p w14:paraId="4209F4A5" w14:textId="77777777" w:rsidR="000729CF" w:rsidRPr="000729CF" w:rsidRDefault="000729CF" w:rsidP="00CE70A3">
      <w:pPr>
        <w:numPr>
          <w:ilvl w:val="0"/>
          <w:numId w:val="75"/>
        </w:numPr>
        <w:autoSpaceDE w:val="0"/>
        <w:autoSpaceDN w:val="0"/>
        <w:adjustRightInd w:val="0"/>
        <w:spacing w:after="240" w:line="276" w:lineRule="auto"/>
        <w:ind w:left="1276" w:hanging="567"/>
        <w:rPr>
          <w:rFonts w:ascii="Arial" w:eastAsia="Calibri" w:hAnsi="Arial" w:cs="Arial"/>
          <w:bCs/>
          <w:color w:val="000000"/>
          <w:sz w:val="24"/>
          <w:szCs w:val="24"/>
          <w:lang w:val="en-GB" w:eastAsia="en-GB"/>
        </w:rPr>
      </w:pPr>
      <w:r w:rsidRPr="000729CF">
        <w:rPr>
          <w:rFonts w:ascii="Arial" w:eastAsia="Calibri" w:hAnsi="Arial" w:cs="Arial"/>
          <w:bCs/>
          <w:color w:val="000000"/>
          <w:sz w:val="24"/>
          <w:szCs w:val="24"/>
          <w:lang w:val="en-GB" w:eastAsia="en-GB"/>
        </w:rPr>
        <w:t xml:space="preserve">The application of a risk benchmark (paragraph 4.7) to monitor the expected potential loss within the investment portfolio on an ongoing basis. </w:t>
      </w:r>
    </w:p>
    <w:p w14:paraId="12FB231A" w14:textId="77777777" w:rsidR="000729CF" w:rsidRPr="000729CF" w:rsidRDefault="000729CF" w:rsidP="000729CF">
      <w:pPr>
        <w:spacing w:after="200"/>
        <w:ind w:left="709"/>
        <w:rPr>
          <w:rFonts w:ascii="Arial" w:eastAsia="Calibri" w:hAnsi="Arial" w:cs="Arial"/>
          <w:bCs/>
          <w:color w:val="000000"/>
          <w:sz w:val="24"/>
          <w:szCs w:val="24"/>
          <w:lang w:val="en-GB" w:eastAsia="en-GB"/>
        </w:rPr>
      </w:pPr>
      <w:bookmarkStart w:id="62" w:name="_Hlk121311935"/>
      <w:r w:rsidRPr="000729CF">
        <w:rPr>
          <w:rFonts w:ascii="Arial" w:eastAsia="Calibri" w:hAnsi="Arial" w:cs="Arial"/>
          <w:bCs/>
          <w:color w:val="000000"/>
          <w:sz w:val="24"/>
          <w:szCs w:val="24"/>
          <w:lang w:val="en-GB" w:eastAsia="en-GB"/>
        </w:rPr>
        <w:t xml:space="preserve">However, this authority will also pursue value for money in treasury management and will monitor the yield from investment income against appropriate benchmarks for investment performance (see paragraph </w:t>
      </w:r>
      <w:r w:rsidRPr="000729CF">
        <w:rPr>
          <w:rFonts w:ascii="Arial" w:eastAsia="Calibri" w:hAnsi="Arial" w:cs="Arial"/>
          <w:bCs/>
          <w:color w:val="000000"/>
          <w:sz w:val="24"/>
          <w:szCs w:val="24"/>
          <w:lang w:val="en-GB" w:eastAsia="en-GB"/>
        </w:rPr>
        <w:fldChar w:fldCharType="begin"/>
      </w:r>
      <w:r w:rsidRPr="000729CF">
        <w:rPr>
          <w:rFonts w:ascii="Arial" w:eastAsia="Calibri" w:hAnsi="Arial" w:cs="Arial"/>
          <w:bCs/>
          <w:color w:val="000000"/>
          <w:sz w:val="24"/>
          <w:szCs w:val="24"/>
          <w:lang w:val="en-GB" w:eastAsia="en-GB"/>
        </w:rPr>
        <w:instrText xml:space="preserve"> REF _Ref94637259 \r \h </w:instrText>
      </w:r>
      <w:r w:rsidRPr="000729CF">
        <w:rPr>
          <w:rFonts w:ascii="Arial" w:eastAsia="Calibri" w:hAnsi="Arial" w:cs="Arial"/>
          <w:bCs/>
          <w:color w:val="000000"/>
          <w:sz w:val="24"/>
          <w:szCs w:val="24"/>
          <w:lang w:val="en-GB" w:eastAsia="en-GB"/>
        </w:rPr>
      </w:r>
      <w:r w:rsidRPr="000729CF">
        <w:rPr>
          <w:rFonts w:ascii="Arial" w:eastAsia="Calibri" w:hAnsi="Arial" w:cs="Arial"/>
          <w:bCs/>
          <w:color w:val="000000"/>
          <w:sz w:val="24"/>
          <w:szCs w:val="24"/>
          <w:lang w:val="en-GB" w:eastAsia="en-GB"/>
        </w:rPr>
        <w:fldChar w:fldCharType="separate"/>
      </w:r>
      <w:r w:rsidRPr="000729CF">
        <w:rPr>
          <w:rFonts w:ascii="Arial" w:eastAsia="Calibri" w:hAnsi="Arial" w:cs="Arial"/>
          <w:bCs/>
          <w:color w:val="000000"/>
          <w:sz w:val="24"/>
          <w:szCs w:val="24"/>
          <w:lang w:val="en-GB" w:eastAsia="en-GB"/>
        </w:rPr>
        <w:t>4.</w:t>
      </w:r>
      <w:r w:rsidRPr="000729CF">
        <w:rPr>
          <w:rFonts w:ascii="Arial" w:eastAsia="Calibri" w:hAnsi="Arial" w:cs="Arial"/>
          <w:bCs/>
          <w:color w:val="000000"/>
          <w:sz w:val="24"/>
          <w:szCs w:val="24"/>
          <w:lang w:val="en-GB" w:eastAsia="en-GB"/>
        </w:rPr>
        <w:fldChar w:fldCharType="end"/>
      </w:r>
      <w:r w:rsidRPr="000729CF">
        <w:rPr>
          <w:rFonts w:ascii="Arial" w:eastAsia="Calibri" w:hAnsi="Arial" w:cs="Arial"/>
          <w:bCs/>
          <w:color w:val="000000"/>
          <w:sz w:val="24"/>
          <w:szCs w:val="24"/>
          <w:lang w:val="en-GB" w:eastAsia="en-GB"/>
        </w:rPr>
        <w:t>8). Regular monitoring of investment performance will be carried out during the year.</w:t>
      </w:r>
    </w:p>
    <w:bookmarkEnd w:id="62"/>
    <w:p w14:paraId="477E6906" w14:textId="77777777" w:rsidR="000729CF" w:rsidRPr="000729CF" w:rsidRDefault="000729CF" w:rsidP="00CE70A3">
      <w:pPr>
        <w:keepNext/>
        <w:numPr>
          <w:ilvl w:val="1"/>
          <w:numId w:val="67"/>
        </w:numPr>
        <w:spacing w:before="120" w:after="120" w:line="276" w:lineRule="auto"/>
        <w:ind w:left="709" w:hanging="709"/>
        <w:outlineLvl w:val="1"/>
        <w:rPr>
          <w:rFonts w:ascii="Arial" w:hAnsi="Arial" w:cs="Arial"/>
          <w:b/>
          <w:bCs/>
          <w:i/>
          <w:iCs/>
          <w:sz w:val="24"/>
          <w:szCs w:val="24"/>
          <w:lang w:val="en-GB"/>
        </w:rPr>
      </w:pPr>
      <w:r w:rsidRPr="000729CF">
        <w:rPr>
          <w:rFonts w:ascii="Arial" w:hAnsi="Arial" w:cs="Arial"/>
          <w:b/>
          <w:bCs/>
          <w:i/>
          <w:iCs/>
          <w:sz w:val="24"/>
          <w:szCs w:val="24"/>
          <w:lang w:val="en-GB"/>
        </w:rPr>
        <w:tab/>
        <w:t>Sovereign Credit Ratings</w:t>
      </w:r>
    </w:p>
    <w:p w14:paraId="578FD715" w14:textId="77777777" w:rsidR="000729CF" w:rsidRPr="000729CF" w:rsidRDefault="000729CF" w:rsidP="000729CF">
      <w:pPr>
        <w:spacing w:after="120"/>
        <w:ind w:left="709"/>
        <w:rPr>
          <w:rFonts w:ascii="Arial" w:eastAsia="Calibri" w:hAnsi="Arial" w:cs="Arial"/>
          <w:sz w:val="24"/>
          <w:szCs w:val="24"/>
          <w:lang w:val="en-GB"/>
        </w:rPr>
      </w:pPr>
      <w:r w:rsidRPr="000729CF">
        <w:rPr>
          <w:rFonts w:ascii="Arial" w:eastAsia="Calibri" w:hAnsi="Arial" w:cs="Arial"/>
          <w:sz w:val="24"/>
          <w:szCs w:val="24"/>
          <w:lang w:val="en-GB"/>
        </w:rPr>
        <w:t>For 2024/25 it is recommended to maintain the policy of lending to sovereign nations and their banks which hold at least an AA- credit rating. The list of countries that qualify using this credit criteria (as at the date of this report) are shown below:</w:t>
      </w:r>
    </w:p>
    <w:p w14:paraId="443B1A8B" w14:textId="77777777" w:rsidR="000729CF" w:rsidRPr="000729CF" w:rsidRDefault="000729CF" w:rsidP="000729CF">
      <w:pPr>
        <w:autoSpaceDE w:val="0"/>
        <w:autoSpaceDN w:val="0"/>
        <w:adjustRightInd w:val="0"/>
        <w:ind w:left="1429" w:hanging="720"/>
        <w:rPr>
          <w:rFonts w:ascii="Arial" w:eastAsia="Calibri" w:hAnsi="Arial" w:cs="Arial"/>
          <w:color w:val="000000"/>
          <w:sz w:val="24"/>
          <w:szCs w:val="24"/>
          <w:lang w:val="en-GB" w:eastAsia="en-GB"/>
        </w:rPr>
      </w:pPr>
      <w:r w:rsidRPr="000729CF">
        <w:rPr>
          <w:rFonts w:ascii="Arial" w:eastAsia="Calibri" w:hAnsi="Arial" w:cs="Arial"/>
          <w:b/>
          <w:color w:val="000000"/>
          <w:sz w:val="24"/>
          <w:szCs w:val="24"/>
          <w:lang w:val="en-GB" w:eastAsia="en-GB"/>
        </w:rPr>
        <w:t>AAA</w:t>
      </w:r>
      <w:r w:rsidRPr="000729CF">
        <w:rPr>
          <w:rFonts w:ascii="Arial" w:eastAsia="Calibri" w:hAnsi="Arial" w:cs="Arial"/>
          <w:b/>
          <w:color w:val="000000"/>
          <w:sz w:val="24"/>
          <w:szCs w:val="24"/>
          <w:lang w:val="en-GB" w:eastAsia="en-GB"/>
        </w:rPr>
        <w:tab/>
      </w:r>
      <w:r w:rsidRPr="000729CF">
        <w:rPr>
          <w:rFonts w:ascii="Arial" w:eastAsia="Calibri" w:hAnsi="Arial" w:cs="Arial"/>
          <w:color w:val="000000"/>
          <w:sz w:val="24"/>
          <w:szCs w:val="24"/>
          <w:lang w:val="en-GB" w:eastAsia="en-GB"/>
        </w:rPr>
        <w:t>Australia, Denmark, Germany, Netherlands, Singapore, Sweden &amp; Switzerland</w:t>
      </w:r>
    </w:p>
    <w:p w14:paraId="2A761F23" w14:textId="77777777" w:rsidR="000729CF" w:rsidRPr="000729CF" w:rsidRDefault="000729CF" w:rsidP="000729CF">
      <w:pPr>
        <w:autoSpaceDE w:val="0"/>
        <w:autoSpaceDN w:val="0"/>
        <w:adjustRightInd w:val="0"/>
        <w:ind w:left="709"/>
        <w:rPr>
          <w:rFonts w:ascii="Arial" w:eastAsia="Calibri" w:hAnsi="Arial" w:cs="Arial"/>
          <w:color w:val="000000"/>
          <w:sz w:val="24"/>
          <w:szCs w:val="24"/>
          <w:lang w:val="en-GB" w:eastAsia="en-GB"/>
        </w:rPr>
      </w:pPr>
      <w:r w:rsidRPr="000729CF">
        <w:rPr>
          <w:rFonts w:ascii="Arial" w:eastAsia="Calibri" w:hAnsi="Arial" w:cs="Arial"/>
          <w:b/>
          <w:color w:val="000000"/>
          <w:sz w:val="24"/>
          <w:szCs w:val="24"/>
          <w:lang w:val="en-GB" w:eastAsia="en-GB"/>
        </w:rPr>
        <w:t>AA+</w:t>
      </w:r>
      <w:r w:rsidRPr="000729CF">
        <w:rPr>
          <w:rFonts w:ascii="Arial" w:eastAsia="Calibri" w:hAnsi="Arial" w:cs="Arial"/>
          <w:color w:val="000000"/>
          <w:sz w:val="24"/>
          <w:szCs w:val="24"/>
          <w:lang w:val="en-GB" w:eastAsia="en-GB"/>
        </w:rPr>
        <w:t xml:space="preserve"> </w:t>
      </w:r>
      <w:r w:rsidRPr="000729CF">
        <w:rPr>
          <w:rFonts w:ascii="Arial" w:eastAsia="Calibri" w:hAnsi="Arial" w:cs="Arial"/>
          <w:color w:val="000000"/>
          <w:sz w:val="24"/>
          <w:szCs w:val="24"/>
          <w:lang w:val="en-GB" w:eastAsia="en-GB"/>
        </w:rPr>
        <w:tab/>
        <w:t>Finland, Canada &amp; United States,</w:t>
      </w:r>
    </w:p>
    <w:p w14:paraId="109556FD" w14:textId="77777777" w:rsidR="000729CF" w:rsidRPr="000729CF" w:rsidRDefault="000729CF" w:rsidP="000729CF">
      <w:pPr>
        <w:autoSpaceDE w:val="0"/>
        <w:autoSpaceDN w:val="0"/>
        <w:adjustRightInd w:val="0"/>
        <w:spacing w:after="200"/>
        <w:ind w:left="709"/>
        <w:rPr>
          <w:rFonts w:ascii="Arial" w:eastAsia="Calibri" w:hAnsi="Arial" w:cs="Arial"/>
          <w:color w:val="000000"/>
          <w:sz w:val="24"/>
          <w:szCs w:val="24"/>
          <w:lang w:val="en-GB" w:eastAsia="en-GB"/>
        </w:rPr>
      </w:pPr>
      <w:r w:rsidRPr="000729CF">
        <w:rPr>
          <w:rFonts w:ascii="Arial" w:eastAsia="Calibri" w:hAnsi="Arial" w:cs="Arial"/>
          <w:b/>
          <w:color w:val="000000"/>
          <w:sz w:val="24"/>
          <w:szCs w:val="24"/>
          <w:lang w:val="en-GB" w:eastAsia="en-GB"/>
        </w:rPr>
        <w:t>AA</w:t>
      </w:r>
      <w:r w:rsidRPr="000729CF">
        <w:rPr>
          <w:rFonts w:ascii="Arial" w:eastAsia="Calibri" w:hAnsi="Arial" w:cs="Arial"/>
          <w:color w:val="000000"/>
          <w:sz w:val="24"/>
          <w:szCs w:val="24"/>
          <w:lang w:val="en-GB" w:eastAsia="en-GB"/>
        </w:rPr>
        <w:tab/>
        <w:t>France &amp; United Arab Emirates</w:t>
      </w:r>
    </w:p>
    <w:p w14:paraId="4C36D025" w14:textId="77777777" w:rsidR="000729CF" w:rsidRPr="000729CF" w:rsidRDefault="000729CF" w:rsidP="00CE70A3">
      <w:pPr>
        <w:keepNext/>
        <w:numPr>
          <w:ilvl w:val="1"/>
          <w:numId w:val="67"/>
        </w:numPr>
        <w:spacing w:before="120" w:after="120" w:line="276" w:lineRule="auto"/>
        <w:ind w:left="709" w:hanging="709"/>
        <w:outlineLvl w:val="1"/>
        <w:rPr>
          <w:rFonts w:ascii="Arial" w:hAnsi="Arial" w:cs="Arial"/>
          <w:b/>
          <w:bCs/>
          <w:i/>
          <w:iCs/>
          <w:sz w:val="24"/>
          <w:szCs w:val="24"/>
          <w:lang w:val="en-GB"/>
        </w:rPr>
      </w:pPr>
      <w:r w:rsidRPr="000729CF">
        <w:rPr>
          <w:rFonts w:ascii="Arial" w:hAnsi="Arial" w:cs="Arial"/>
          <w:b/>
          <w:bCs/>
          <w:i/>
          <w:iCs/>
          <w:sz w:val="24"/>
          <w:szCs w:val="24"/>
          <w:lang w:val="en-GB"/>
        </w:rPr>
        <w:tab/>
        <w:t>Creditworthiness Policy</w:t>
      </w:r>
    </w:p>
    <w:p w14:paraId="6DDC0A08" w14:textId="77777777" w:rsidR="000729CF" w:rsidRPr="000729CF" w:rsidRDefault="000729CF" w:rsidP="000729CF">
      <w:pPr>
        <w:spacing w:after="120"/>
        <w:ind w:left="709"/>
        <w:rPr>
          <w:rFonts w:ascii="Arial" w:eastAsia="Calibri" w:hAnsi="Arial" w:cs="Arial"/>
          <w:sz w:val="24"/>
          <w:szCs w:val="24"/>
          <w:lang w:val="en-GB"/>
        </w:rPr>
      </w:pPr>
      <w:r w:rsidRPr="000729CF">
        <w:rPr>
          <w:rFonts w:ascii="Arial" w:eastAsia="Calibri" w:hAnsi="Arial" w:cs="Arial"/>
          <w:sz w:val="24"/>
          <w:szCs w:val="24"/>
          <w:lang w:val="en-GB"/>
        </w:rPr>
        <w:t>Each counterparty included on the council’s approved lending list must meet the criteria set out below. Without the prior approval of the Council, no investment will be made in an instrument that falls outside the list below.</w:t>
      </w:r>
    </w:p>
    <w:p w14:paraId="2D79D902" w14:textId="77777777" w:rsidR="000729CF" w:rsidRPr="000729CF" w:rsidRDefault="000729CF" w:rsidP="000729CF">
      <w:pPr>
        <w:spacing w:after="120"/>
        <w:ind w:left="709"/>
        <w:rPr>
          <w:rFonts w:ascii="Arial" w:eastAsia="Calibri" w:hAnsi="Arial" w:cs="Arial"/>
          <w:sz w:val="24"/>
          <w:szCs w:val="24"/>
          <w:lang w:val="en-GB"/>
        </w:rPr>
      </w:pPr>
      <w:r w:rsidRPr="000729CF">
        <w:rPr>
          <w:rFonts w:ascii="Arial" w:eastAsia="Calibri" w:hAnsi="Arial" w:cs="Arial"/>
          <w:b/>
          <w:sz w:val="24"/>
          <w:szCs w:val="24"/>
          <w:lang w:val="en-GB"/>
        </w:rPr>
        <w:t>Table 6</w:t>
      </w:r>
      <w:r w:rsidRPr="000729CF">
        <w:rPr>
          <w:rFonts w:ascii="Arial" w:eastAsia="Calibri" w:hAnsi="Arial" w:cs="Arial"/>
          <w:sz w:val="24"/>
          <w:szCs w:val="24"/>
          <w:lang w:val="en-GB"/>
        </w:rPr>
        <w:t xml:space="preserve"> below summarises the types of specified investment counterparties available to the council, and the maximum amount and maturity periods placed on each of these.  A full list of the council’s counterparties and the current limits for 2024/25 are appended at Annex A.</w:t>
      </w:r>
    </w:p>
    <w:p w14:paraId="3686DE32" w14:textId="77777777" w:rsidR="000729CF" w:rsidRPr="000729CF" w:rsidRDefault="000729CF" w:rsidP="000729CF">
      <w:pPr>
        <w:spacing w:after="200"/>
        <w:ind w:left="709"/>
        <w:rPr>
          <w:rFonts w:ascii="Arial" w:eastAsia="Calibri" w:hAnsi="Arial" w:cs="Arial"/>
          <w:sz w:val="24"/>
          <w:szCs w:val="24"/>
          <w:lang w:val="en-GB"/>
        </w:rPr>
      </w:pPr>
      <w:r w:rsidRPr="000729CF">
        <w:rPr>
          <w:rFonts w:ascii="Arial" w:eastAsia="Calibri" w:hAnsi="Arial" w:cs="Arial"/>
          <w:sz w:val="24"/>
          <w:szCs w:val="24"/>
          <w:lang w:val="en-GB"/>
        </w:rPr>
        <w:t>When assessing credit ratings to ascertain limits for each counterparty, the lowest short and long-term ratings from each of the three ratings agencies is applied. For simplicity, the ratings for Standard &amp; Poor’s are used in the tables below.</w:t>
      </w:r>
    </w:p>
    <w:p w14:paraId="6F06EE0A" w14:textId="77777777" w:rsidR="000729CF" w:rsidRPr="000729CF" w:rsidRDefault="000729CF" w:rsidP="00CE70A3">
      <w:pPr>
        <w:keepNext/>
        <w:numPr>
          <w:ilvl w:val="2"/>
          <w:numId w:val="67"/>
        </w:numPr>
        <w:spacing w:before="120" w:after="120" w:line="276" w:lineRule="auto"/>
        <w:outlineLvl w:val="2"/>
        <w:rPr>
          <w:rFonts w:ascii="Arial" w:hAnsi="Arial" w:cs="Arial"/>
          <w:b/>
          <w:bCs/>
          <w:i/>
          <w:iCs/>
          <w:sz w:val="24"/>
          <w:szCs w:val="24"/>
          <w:lang w:val="en-GB"/>
        </w:rPr>
      </w:pPr>
      <w:r w:rsidRPr="000729CF">
        <w:rPr>
          <w:rFonts w:ascii="Arial" w:hAnsi="Arial" w:cs="Arial"/>
          <w:b/>
          <w:bCs/>
          <w:i/>
          <w:iCs/>
          <w:sz w:val="24"/>
          <w:szCs w:val="24"/>
          <w:lang w:val="en-GB"/>
        </w:rPr>
        <w:t>Criteria for Specified Investments</w:t>
      </w:r>
    </w:p>
    <w:p w14:paraId="77E6F994" w14:textId="77777777" w:rsidR="000729CF" w:rsidRPr="000729CF" w:rsidRDefault="000729CF" w:rsidP="000729CF">
      <w:pPr>
        <w:spacing w:after="120"/>
        <w:ind w:left="720"/>
        <w:contextualSpacing/>
        <w:rPr>
          <w:rFonts w:ascii="Arial" w:eastAsia="Calibri" w:hAnsi="Arial" w:cs="Arial"/>
          <w:bCs/>
          <w:sz w:val="24"/>
          <w:szCs w:val="24"/>
          <w:lang w:val="en-GB"/>
        </w:rPr>
      </w:pPr>
      <w:r w:rsidRPr="000729CF">
        <w:rPr>
          <w:rFonts w:ascii="Arial" w:eastAsia="Calibri" w:hAnsi="Arial" w:cs="Arial"/>
          <w:bCs/>
          <w:sz w:val="24"/>
          <w:szCs w:val="24"/>
          <w:lang w:val="en-GB"/>
        </w:rPr>
        <w:t>All specified investments will be sterling denominated, with maturities up to a maximum of 1 year, meeting the minimum ‘high’ rating criteria where applicable:</w:t>
      </w:r>
    </w:p>
    <w:tbl>
      <w:tblPr>
        <w:tblW w:w="9214" w:type="dxa"/>
        <w:tblInd w:w="704" w:type="dxa"/>
        <w:tblBorders>
          <w:top w:val="single" w:sz="4" w:space="0" w:color="747678"/>
          <w:left w:val="single" w:sz="4" w:space="0" w:color="747678"/>
          <w:bottom w:val="single" w:sz="4" w:space="0" w:color="747678"/>
          <w:right w:val="single" w:sz="4" w:space="0" w:color="747678"/>
          <w:insideH w:val="single" w:sz="4" w:space="0" w:color="747678"/>
          <w:insideV w:val="single" w:sz="4" w:space="0" w:color="747678"/>
        </w:tblBorders>
        <w:tblCellMar>
          <w:left w:w="57" w:type="dxa"/>
          <w:right w:w="57" w:type="dxa"/>
        </w:tblCellMar>
        <w:tblLook w:val="01E0" w:firstRow="1" w:lastRow="1" w:firstColumn="1" w:lastColumn="1" w:noHBand="0" w:noVBand="0"/>
      </w:tblPr>
      <w:tblGrid>
        <w:gridCol w:w="2219"/>
        <w:gridCol w:w="1155"/>
        <w:gridCol w:w="1607"/>
        <w:gridCol w:w="1249"/>
        <w:gridCol w:w="1283"/>
        <w:gridCol w:w="1701"/>
      </w:tblGrid>
      <w:tr w:rsidR="000729CF" w:rsidRPr="000729CF" w14:paraId="51FCB0D0" w14:textId="77777777" w:rsidTr="00BC26AB">
        <w:trPr>
          <w:tblHeader/>
        </w:trPr>
        <w:tc>
          <w:tcPr>
            <w:tcW w:w="2219" w:type="dxa"/>
            <w:shd w:val="clear" w:color="auto" w:fill="17365D"/>
            <w:vAlign w:val="center"/>
          </w:tcPr>
          <w:p w14:paraId="73019E05" w14:textId="77777777" w:rsidR="000729CF" w:rsidRPr="000729CF" w:rsidRDefault="000729CF" w:rsidP="000729CF">
            <w:pPr>
              <w:keepNext/>
              <w:widowControl w:val="0"/>
              <w:numPr>
                <w:ilvl w:val="12"/>
                <w:numId w:val="0"/>
              </w:numPr>
              <w:tabs>
                <w:tab w:val="left" w:pos="360"/>
              </w:tabs>
              <w:rPr>
                <w:rFonts w:ascii="Arial" w:eastAsia="Calibri" w:hAnsi="Arial" w:cs="Arial"/>
                <w:b/>
                <w:noProof/>
                <w:sz w:val="24"/>
                <w:szCs w:val="24"/>
                <w:lang w:val="en-GB"/>
              </w:rPr>
            </w:pPr>
            <w:bookmarkStart w:id="63" w:name="_Hlk94006410"/>
            <w:r w:rsidRPr="000729CF">
              <w:rPr>
                <w:rFonts w:ascii="Arial" w:eastAsia="Calibri" w:hAnsi="Arial" w:cs="Arial"/>
                <w:b/>
                <w:noProof/>
                <w:sz w:val="24"/>
                <w:szCs w:val="24"/>
                <w:lang w:val="en-GB"/>
              </w:rPr>
              <w:t>Table 6</w:t>
            </w:r>
          </w:p>
        </w:tc>
        <w:tc>
          <w:tcPr>
            <w:tcW w:w="1155" w:type="dxa"/>
            <w:shd w:val="clear" w:color="auto" w:fill="17365D"/>
            <w:vAlign w:val="center"/>
          </w:tcPr>
          <w:p w14:paraId="20181E61" w14:textId="77777777" w:rsidR="000729CF" w:rsidRPr="000729CF" w:rsidRDefault="000729CF" w:rsidP="000729CF">
            <w:pPr>
              <w:keepNext/>
              <w:widowControl w:val="0"/>
              <w:numPr>
                <w:ilvl w:val="12"/>
                <w:numId w:val="0"/>
              </w:numPr>
              <w:tabs>
                <w:tab w:val="left" w:pos="360"/>
              </w:tabs>
              <w:jc w:val="center"/>
              <w:rPr>
                <w:rFonts w:ascii="Arial" w:eastAsia="Calibri" w:hAnsi="Arial" w:cs="Arial"/>
                <w:b/>
                <w:noProof/>
                <w:sz w:val="24"/>
                <w:szCs w:val="24"/>
                <w:lang w:val="en-GB"/>
              </w:rPr>
            </w:pPr>
            <w:r w:rsidRPr="000729CF">
              <w:rPr>
                <w:rFonts w:ascii="Arial" w:eastAsia="Calibri" w:hAnsi="Arial" w:cs="Arial"/>
                <w:b/>
                <w:noProof/>
                <w:sz w:val="24"/>
                <w:szCs w:val="24"/>
                <w:lang w:val="en-GB"/>
              </w:rPr>
              <w:t>Country/</w:t>
            </w:r>
          </w:p>
          <w:p w14:paraId="58522CC1" w14:textId="77777777" w:rsidR="000729CF" w:rsidRPr="000729CF" w:rsidRDefault="000729CF" w:rsidP="000729CF">
            <w:pPr>
              <w:keepNext/>
              <w:widowControl w:val="0"/>
              <w:numPr>
                <w:ilvl w:val="12"/>
                <w:numId w:val="0"/>
              </w:numPr>
              <w:tabs>
                <w:tab w:val="left" w:pos="360"/>
              </w:tabs>
              <w:jc w:val="center"/>
              <w:rPr>
                <w:rFonts w:ascii="Arial" w:eastAsia="Calibri" w:hAnsi="Arial" w:cs="Arial"/>
                <w:b/>
                <w:noProof/>
                <w:sz w:val="24"/>
                <w:szCs w:val="24"/>
                <w:lang w:val="en-GB"/>
              </w:rPr>
            </w:pPr>
            <w:r w:rsidRPr="000729CF">
              <w:rPr>
                <w:rFonts w:ascii="Arial" w:eastAsia="Calibri" w:hAnsi="Arial" w:cs="Arial"/>
                <w:b/>
                <w:noProof/>
                <w:sz w:val="24"/>
                <w:szCs w:val="24"/>
                <w:lang w:val="en-GB"/>
              </w:rPr>
              <w:t>Domicile</w:t>
            </w:r>
          </w:p>
        </w:tc>
        <w:tc>
          <w:tcPr>
            <w:tcW w:w="1607" w:type="dxa"/>
            <w:shd w:val="clear" w:color="auto" w:fill="17365D"/>
            <w:vAlign w:val="center"/>
          </w:tcPr>
          <w:p w14:paraId="638BC6D2" w14:textId="77777777" w:rsidR="000729CF" w:rsidRPr="000729CF" w:rsidRDefault="000729CF" w:rsidP="000729CF">
            <w:pPr>
              <w:keepNext/>
              <w:widowControl w:val="0"/>
              <w:numPr>
                <w:ilvl w:val="12"/>
                <w:numId w:val="0"/>
              </w:numPr>
              <w:tabs>
                <w:tab w:val="left" w:pos="360"/>
              </w:tabs>
              <w:jc w:val="center"/>
              <w:rPr>
                <w:rFonts w:ascii="Arial" w:eastAsia="Calibri" w:hAnsi="Arial" w:cs="Arial"/>
                <w:b/>
                <w:noProof/>
                <w:sz w:val="24"/>
                <w:szCs w:val="24"/>
                <w:lang w:val="en-GB"/>
              </w:rPr>
            </w:pPr>
            <w:r w:rsidRPr="000729CF">
              <w:rPr>
                <w:rFonts w:ascii="Arial" w:eastAsia="Calibri" w:hAnsi="Arial" w:cs="Arial"/>
                <w:b/>
                <w:noProof/>
                <w:sz w:val="24"/>
                <w:szCs w:val="24"/>
                <w:lang w:val="en-GB"/>
              </w:rPr>
              <w:t>Minimum Capital Require-ments</w:t>
            </w:r>
          </w:p>
        </w:tc>
        <w:tc>
          <w:tcPr>
            <w:tcW w:w="1249" w:type="dxa"/>
            <w:shd w:val="clear" w:color="auto" w:fill="17365D"/>
            <w:vAlign w:val="center"/>
          </w:tcPr>
          <w:p w14:paraId="045756E9" w14:textId="77777777" w:rsidR="000729CF" w:rsidRPr="000729CF" w:rsidRDefault="000729CF" w:rsidP="000729CF">
            <w:pPr>
              <w:keepNext/>
              <w:widowControl w:val="0"/>
              <w:numPr>
                <w:ilvl w:val="12"/>
                <w:numId w:val="0"/>
              </w:numPr>
              <w:tabs>
                <w:tab w:val="left" w:pos="360"/>
              </w:tabs>
              <w:jc w:val="center"/>
              <w:rPr>
                <w:rFonts w:ascii="Arial" w:eastAsia="Calibri" w:hAnsi="Arial" w:cs="Arial"/>
                <w:b/>
                <w:noProof/>
                <w:sz w:val="24"/>
                <w:szCs w:val="24"/>
                <w:lang w:val="en-GB"/>
              </w:rPr>
            </w:pPr>
            <w:r w:rsidRPr="000729CF">
              <w:rPr>
                <w:rFonts w:ascii="Arial" w:eastAsia="Calibri" w:hAnsi="Arial" w:cs="Arial"/>
                <w:b/>
                <w:noProof/>
                <w:sz w:val="24"/>
                <w:szCs w:val="24"/>
                <w:lang w:val="en-GB"/>
              </w:rPr>
              <w:t>Min. Credit Criteria</w:t>
            </w:r>
          </w:p>
          <w:p w14:paraId="25ADDC59" w14:textId="77777777" w:rsidR="000729CF" w:rsidRPr="000729CF" w:rsidRDefault="000729CF" w:rsidP="000729CF">
            <w:pPr>
              <w:keepNext/>
              <w:widowControl w:val="0"/>
              <w:numPr>
                <w:ilvl w:val="12"/>
                <w:numId w:val="0"/>
              </w:numPr>
              <w:tabs>
                <w:tab w:val="left" w:pos="360"/>
              </w:tabs>
              <w:jc w:val="center"/>
              <w:rPr>
                <w:rFonts w:ascii="Arial" w:eastAsia="Calibri" w:hAnsi="Arial" w:cs="Arial"/>
                <w:b/>
                <w:noProof/>
                <w:sz w:val="24"/>
                <w:szCs w:val="24"/>
                <w:lang w:val="en-GB"/>
              </w:rPr>
            </w:pPr>
            <w:r w:rsidRPr="000729CF">
              <w:rPr>
                <w:rFonts w:ascii="Arial" w:eastAsia="Calibri" w:hAnsi="Arial" w:cs="Arial"/>
                <w:b/>
                <w:noProof/>
                <w:sz w:val="24"/>
                <w:szCs w:val="24"/>
                <w:lang w:val="en-GB"/>
              </w:rPr>
              <w:t>(L/term / S/term)</w:t>
            </w:r>
          </w:p>
        </w:tc>
        <w:tc>
          <w:tcPr>
            <w:tcW w:w="1283" w:type="dxa"/>
            <w:shd w:val="clear" w:color="auto" w:fill="17365D"/>
          </w:tcPr>
          <w:p w14:paraId="19EB028C" w14:textId="77777777" w:rsidR="000729CF" w:rsidRPr="000729CF" w:rsidRDefault="000729CF" w:rsidP="000729CF">
            <w:pPr>
              <w:keepNext/>
              <w:widowControl w:val="0"/>
              <w:numPr>
                <w:ilvl w:val="12"/>
                <w:numId w:val="0"/>
              </w:numPr>
              <w:tabs>
                <w:tab w:val="left" w:pos="360"/>
              </w:tabs>
              <w:jc w:val="center"/>
              <w:rPr>
                <w:rFonts w:ascii="Arial" w:eastAsia="Calibri" w:hAnsi="Arial" w:cs="Arial"/>
                <w:b/>
                <w:noProof/>
                <w:sz w:val="24"/>
                <w:szCs w:val="24"/>
                <w:lang w:val="en-GB"/>
              </w:rPr>
            </w:pPr>
            <w:r w:rsidRPr="000729CF">
              <w:rPr>
                <w:rFonts w:ascii="Arial" w:eastAsia="Calibri" w:hAnsi="Arial" w:cs="Arial"/>
                <w:b/>
                <w:noProof/>
                <w:sz w:val="24"/>
                <w:szCs w:val="24"/>
                <w:lang w:val="en-GB"/>
              </w:rPr>
              <w:t xml:space="preserve">Max Amount </w:t>
            </w:r>
          </w:p>
        </w:tc>
        <w:tc>
          <w:tcPr>
            <w:tcW w:w="1701" w:type="dxa"/>
            <w:shd w:val="clear" w:color="auto" w:fill="17365D"/>
            <w:vAlign w:val="center"/>
          </w:tcPr>
          <w:p w14:paraId="67CD81E2" w14:textId="77777777" w:rsidR="000729CF" w:rsidRPr="000729CF" w:rsidRDefault="000729CF" w:rsidP="000729CF">
            <w:pPr>
              <w:keepNext/>
              <w:widowControl w:val="0"/>
              <w:numPr>
                <w:ilvl w:val="12"/>
                <w:numId w:val="0"/>
              </w:numPr>
              <w:tabs>
                <w:tab w:val="left" w:pos="360"/>
              </w:tabs>
              <w:jc w:val="center"/>
              <w:rPr>
                <w:rFonts w:ascii="Arial" w:eastAsia="Calibri" w:hAnsi="Arial" w:cs="Arial"/>
                <w:b/>
                <w:noProof/>
                <w:sz w:val="24"/>
                <w:szCs w:val="24"/>
                <w:lang w:val="en-GB"/>
              </w:rPr>
            </w:pPr>
            <w:r w:rsidRPr="000729CF">
              <w:rPr>
                <w:rFonts w:ascii="Arial" w:eastAsia="Calibri" w:hAnsi="Arial" w:cs="Arial"/>
                <w:b/>
                <w:noProof/>
                <w:sz w:val="24"/>
                <w:szCs w:val="24"/>
                <w:lang w:val="en-GB"/>
              </w:rPr>
              <w:t>Max. maturity period</w:t>
            </w:r>
          </w:p>
        </w:tc>
      </w:tr>
      <w:tr w:rsidR="000729CF" w:rsidRPr="000729CF" w14:paraId="29EBCB50" w14:textId="77777777" w:rsidTr="00BC26AB">
        <w:trPr>
          <w:trHeight w:val="497"/>
        </w:trPr>
        <w:tc>
          <w:tcPr>
            <w:tcW w:w="2219" w:type="dxa"/>
            <w:vAlign w:val="center"/>
          </w:tcPr>
          <w:p w14:paraId="6618031D" w14:textId="77777777" w:rsidR="000729CF" w:rsidRPr="000729CF" w:rsidRDefault="000729CF" w:rsidP="000729CF">
            <w:pPr>
              <w:keepNext/>
              <w:widowControl w:val="0"/>
              <w:numPr>
                <w:ilvl w:val="12"/>
                <w:numId w:val="0"/>
              </w:numPr>
              <w:tabs>
                <w:tab w:val="left" w:pos="360"/>
              </w:tabs>
              <w:rPr>
                <w:rFonts w:ascii="Arial" w:eastAsia="Calibri" w:hAnsi="Arial" w:cs="Arial"/>
                <w:noProof/>
                <w:sz w:val="24"/>
                <w:szCs w:val="24"/>
                <w:lang w:val="en-GB"/>
              </w:rPr>
            </w:pPr>
            <w:r w:rsidRPr="000729CF">
              <w:rPr>
                <w:rFonts w:ascii="Arial" w:eastAsia="Calibri" w:hAnsi="Arial" w:cs="Arial"/>
                <w:noProof/>
                <w:sz w:val="24"/>
                <w:szCs w:val="24"/>
                <w:lang w:val="en-GB"/>
              </w:rPr>
              <w:t>Debt Management and Deposit Facilities (DMADF)</w:t>
            </w:r>
          </w:p>
        </w:tc>
        <w:tc>
          <w:tcPr>
            <w:tcW w:w="1155" w:type="dxa"/>
            <w:vAlign w:val="center"/>
          </w:tcPr>
          <w:p w14:paraId="423C4A6C" w14:textId="77777777" w:rsidR="000729CF" w:rsidRPr="000729CF" w:rsidRDefault="000729CF" w:rsidP="000729CF">
            <w:pPr>
              <w:keepNext/>
              <w:widowControl w:val="0"/>
              <w:numPr>
                <w:ilvl w:val="12"/>
                <w:numId w:val="0"/>
              </w:numPr>
              <w:tabs>
                <w:tab w:val="left" w:pos="360"/>
              </w:tabs>
              <w:jc w:val="center"/>
              <w:rPr>
                <w:rFonts w:ascii="Arial" w:eastAsia="Calibri" w:hAnsi="Arial" w:cs="Arial"/>
                <w:noProof/>
                <w:sz w:val="24"/>
                <w:szCs w:val="24"/>
                <w:lang w:val="en-GB"/>
              </w:rPr>
            </w:pPr>
            <w:r w:rsidRPr="000729CF">
              <w:rPr>
                <w:rFonts w:ascii="Arial" w:eastAsia="Calibri" w:hAnsi="Arial" w:cs="Arial"/>
                <w:noProof/>
                <w:sz w:val="24"/>
                <w:szCs w:val="24"/>
                <w:lang w:val="en-GB"/>
              </w:rPr>
              <w:t>UK</w:t>
            </w:r>
          </w:p>
        </w:tc>
        <w:tc>
          <w:tcPr>
            <w:tcW w:w="1607" w:type="dxa"/>
            <w:vAlign w:val="center"/>
          </w:tcPr>
          <w:p w14:paraId="1DFFF7BD" w14:textId="77777777" w:rsidR="000729CF" w:rsidRPr="000729CF" w:rsidRDefault="000729CF" w:rsidP="000729CF">
            <w:pPr>
              <w:keepNext/>
              <w:widowControl w:val="0"/>
              <w:numPr>
                <w:ilvl w:val="12"/>
                <w:numId w:val="0"/>
              </w:numPr>
              <w:tabs>
                <w:tab w:val="left" w:pos="360"/>
              </w:tabs>
              <w:jc w:val="center"/>
              <w:rPr>
                <w:rFonts w:ascii="Arial" w:eastAsia="Calibri" w:hAnsi="Arial" w:cs="Arial"/>
                <w:noProof/>
                <w:sz w:val="24"/>
                <w:szCs w:val="24"/>
                <w:lang w:val="en-GB"/>
              </w:rPr>
            </w:pPr>
            <w:r w:rsidRPr="000729CF">
              <w:rPr>
                <w:rFonts w:ascii="Arial" w:eastAsia="Calibri" w:hAnsi="Arial" w:cs="Arial"/>
                <w:noProof/>
                <w:sz w:val="24"/>
                <w:szCs w:val="24"/>
                <w:lang w:val="en-GB"/>
              </w:rPr>
              <w:t>N/A</w:t>
            </w:r>
          </w:p>
        </w:tc>
        <w:tc>
          <w:tcPr>
            <w:tcW w:w="1249" w:type="dxa"/>
            <w:vAlign w:val="center"/>
          </w:tcPr>
          <w:p w14:paraId="7FCFD3B7" w14:textId="77777777" w:rsidR="000729CF" w:rsidRPr="000729CF" w:rsidRDefault="000729CF" w:rsidP="000729CF">
            <w:pPr>
              <w:keepNext/>
              <w:widowControl w:val="0"/>
              <w:numPr>
                <w:ilvl w:val="12"/>
                <w:numId w:val="0"/>
              </w:numPr>
              <w:tabs>
                <w:tab w:val="left" w:pos="360"/>
              </w:tabs>
              <w:jc w:val="center"/>
              <w:rPr>
                <w:rFonts w:ascii="Arial" w:eastAsia="Calibri" w:hAnsi="Arial" w:cs="Arial"/>
                <w:noProof/>
                <w:sz w:val="24"/>
                <w:szCs w:val="24"/>
                <w:lang w:val="en-GB"/>
              </w:rPr>
            </w:pPr>
            <w:r w:rsidRPr="000729CF">
              <w:rPr>
                <w:rFonts w:ascii="Arial" w:eastAsia="Calibri" w:hAnsi="Arial" w:cs="Arial"/>
                <w:noProof/>
                <w:sz w:val="24"/>
                <w:szCs w:val="24"/>
                <w:lang w:val="en-GB"/>
              </w:rPr>
              <w:t>N/A</w:t>
            </w:r>
          </w:p>
        </w:tc>
        <w:tc>
          <w:tcPr>
            <w:tcW w:w="1283" w:type="dxa"/>
            <w:vAlign w:val="center"/>
          </w:tcPr>
          <w:p w14:paraId="62FA0D50" w14:textId="77777777" w:rsidR="000729CF" w:rsidRPr="000729CF" w:rsidRDefault="000729CF" w:rsidP="000729CF">
            <w:pPr>
              <w:keepNext/>
              <w:widowControl w:val="0"/>
              <w:numPr>
                <w:ilvl w:val="12"/>
                <w:numId w:val="0"/>
              </w:numPr>
              <w:tabs>
                <w:tab w:val="left" w:pos="33"/>
              </w:tabs>
              <w:jc w:val="center"/>
              <w:rPr>
                <w:rFonts w:ascii="Arial" w:eastAsia="Calibri" w:hAnsi="Arial" w:cs="Arial"/>
                <w:noProof/>
                <w:sz w:val="24"/>
                <w:szCs w:val="24"/>
                <w:lang w:val="en-GB"/>
              </w:rPr>
            </w:pPr>
            <w:r w:rsidRPr="000729CF">
              <w:rPr>
                <w:rFonts w:ascii="Arial" w:eastAsia="Calibri" w:hAnsi="Arial" w:cs="Arial"/>
                <w:noProof/>
                <w:sz w:val="24"/>
                <w:szCs w:val="24"/>
                <w:lang w:val="en-GB"/>
              </w:rPr>
              <w:t>unlimited</w:t>
            </w:r>
          </w:p>
        </w:tc>
        <w:tc>
          <w:tcPr>
            <w:tcW w:w="1701" w:type="dxa"/>
            <w:vAlign w:val="center"/>
          </w:tcPr>
          <w:p w14:paraId="2DDD9D64" w14:textId="77777777" w:rsidR="000729CF" w:rsidRPr="000729CF" w:rsidRDefault="000729CF" w:rsidP="000729CF">
            <w:pPr>
              <w:keepNext/>
              <w:widowControl w:val="0"/>
              <w:numPr>
                <w:ilvl w:val="12"/>
                <w:numId w:val="0"/>
              </w:numPr>
              <w:tabs>
                <w:tab w:val="left" w:pos="33"/>
              </w:tabs>
              <w:jc w:val="center"/>
              <w:rPr>
                <w:rFonts w:ascii="Arial" w:eastAsia="Calibri" w:hAnsi="Arial" w:cs="Arial"/>
                <w:noProof/>
                <w:sz w:val="24"/>
                <w:szCs w:val="24"/>
                <w:lang w:val="en-GB"/>
              </w:rPr>
            </w:pPr>
            <w:r w:rsidRPr="000729CF">
              <w:rPr>
                <w:rFonts w:ascii="Arial" w:eastAsia="Calibri" w:hAnsi="Arial" w:cs="Arial"/>
                <w:noProof/>
                <w:sz w:val="24"/>
                <w:szCs w:val="24"/>
                <w:lang w:val="en-GB"/>
              </w:rPr>
              <w:t>6 months</w:t>
            </w:r>
          </w:p>
        </w:tc>
      </w:tr>
      <w:tr w:rsidR="000729CF" w:rsidRPr="000729CF" w14:paraId="35FA9418" w14:textId="77777777" w:rsidTr="00BC26AB">
        <w:trPr>
          <w:trHeight w:val="412"/>
        </w:trPr>
        <w:tc>
          <w:tcPr>
            <w:tcW w:w="2219" w:type="dxa"/>
            <w:shd w:val="clear" w:color="auto" w:fill="C6D9F1"/>
            <w:vAlign w:val="center"/>
          </w:tcPr>
          <w:p w14:paraId="55E38890" w14:textId="77777777" w:rsidR="000729CF" w:rsidRPr="000729CF" w:rsidRDefault="000729CF" w:rsidP="000729CF">
            <w:pPr>
              <w:numPr>
                <w:ilvl w:val="12"/>
                <w:numId w:val="0"/>
              </w:numPr>
              <w:tabs>
                <w:tab w:val="left" w:pos="360"/>
              </w:tabs>
              <w:rPr>
                <w:rFonts w:ascii="Arial" w:eastAsia="Calibri" w:hAnsi="Arial" w:cs="Arial"/>
                <w:noProof/>
                <w:sz w:val="24"/>
                <w:szCs w:val="24"/>
                <w:lang w:val="en-GB"/>
              </w:rPr>
            </w:pPr>
            <w:r w:rsidRPr="000729CF">
              <w:rPr>
                <w:rFonts w:ascii="Arial" w:eastAsia="Calibri" w:hAnsi="Arial" w:cs="Arial"/>
                <w:noProof/>
                <w:sz w:val="24"/>
                <w:szCs w:val="24"/>
                <w:lang w:val="en-GB"/>
              </w:rPr>
              <w:t>UK Local Authorities</w:t>
            </w:r>
          </w:p>
        </w:tc>
        <w:tc>
          <w:tcPr>
            <w:tcW w:w="1155" w:type="dxa"/>
            <w:shd w:val="clear" w:color="auto" w:fill="C6D9F1"/>
            <w:vAlign w:val="center"/>
          </w:tcPr>
          <w:p w14:paraId="14FAE79D" w14:textId="77777777" w:rsidR="000729CF" w:rsidRPr="000729CF" w:rsidRDefault="000729CF" w:rsidP="000729CF">
            <w:pPr>
              <w:jc w:val="center"/>
              <w:rPr>
                <w:rFonts w:ascii="Arial" w:eastAsia="Calibri" w:hAnsi="Arial" w:cs="Arial"/>
                <w:sz w:val="24"/>
                <w:szCs w:val="24"/>
                <w:lang w:val="en-GB"/>
              </w:rPr>
            </w:pPr>
            <w:r w:rsidRPr="000729CF">
              <w:rPr>
                <w:rFonts w:ascii="Arial" w:eastAsia="Calibri" w:hAnsi="Arial" w:cs="Arial"/>
                <w:noProof/>
                <w:sz w:val="24"/>
                <w:szCs w:val="24"/>
                <w:lang w:val="en-GB"/>
              </w:rPr>
              <w:t>UK</w:t>
            </w:r>
          </w:p>
        </w:tc>
        <w:tc>
          <w:tcPr>
            <w:tcW w:w="1607" w:type="dxa"/>
            <w:shd w:val="clear" w:color="auto" w:fill="C6D9F1"/>
            <w:vAlign w:val="center"/>
          </w:tcPr>
          <w:p w14:paraId="789429B4" w14:textId="77777777" w:rsidR="000729CF" w:rsidRPr="000729CF" w:rsidRDefault="000729CF" w:rsidP="000729CF">
            <w:pPr>
              <w:jc w:val="center"/>
              <w:rPr>
                <w:rFonts w:ascii="Arial" w:eastAsia="Calibri" w:hAnsi="Arial" w:cs="Arial"/>
                <w:sz w:val="24"/>
                <w:szCs w:val="24"/>
                <w:lang w:val="en-GB"/>
              </w:rPr>
            </w:pPr>
            <w:r w:rsidRPr="000729CF">
              <w:rPr>
                <w:rFonts w:ascii="Arial" w:eastAsia="Calibri" w:hAnsi="Arial" w:cs="Arial"/>
                <w:noProof/>
                <w:sz w:val="24"/>
                <w:szCs w:val="24"/>
                <w:lang w:val="en-GB"/>
              </w:rPr>
              <w:t>N/A</w:t>
            </w:r>
          </w:p>
        </w:tc>
        <w:tc>
          <w:tcPr>
            <w:tcW w:w="1249" w:type="dxa"/>
            <w:shd w:val="clear" w:color="auto" w:fill="C6D9F1"/>
            <w:vAlign w:val="center"/>
          </w:tcPr>
          <w:p w14:paraId="6710DD04" w14:textId="77777777" w:rsidR="000729CF" w:rsidRPr="000729CF" w:rsidRDefault="000729CF" w:rsidP="000729CF">
            <w:pPr>
              <w:numPr>
                <w:ilvl w:val="12"/>
                <w:numId w:val="0"/>
              </w:numPr>
              <w:tabs>
                <w:tab w:val="left" w:pos="360"/>
              </w:tabs>
              <w:jc w:val="center"/>
              <w:rPr>
                <w:rFonts w:ascii="Arial" w:eastAsia="Calibri" w:hAnsi="Arial" w:cs="Arial"/>
                <w:noProof/>
                <w:sz w:val="24"/>
                <w:szCs w:val="24"/>
                <w:lang w:val="en-GB"/>
              </w:rPr>
            </w:pPr>
            <w:r w:rsidRPr="000729CF">
              <w:rPr>
                <w:rFonts w:ascii="Arial" w:eastAsia="Calibri" w:hAnsi="Arial" w:cs="Arial"/>
                <w:noProof/>
                <w:sz w:val="24"/>
                <w:szCs w:val="24"/>
                <w:lang w:val="en-GB"/>
              </w:rPr>
              <w:t>UK Sovereign Rating</w:t>
            </w:r>
          </w:p>
        </w:tc>
        <w:tc>
          <w:tcPr>
            <w:tcW w:w="1283" w:type="dxa"/>
            <w:shd w:val="clear" w:color="auto" w:fill="C6D9F1"/>
            <w:vAlign w:val="center"/>
          </w:tcPr>
          <w:p w14:paraId="0CFBE1C2" w14:textId="77777777" w:rsidR="000729CF" w:rsidRPr="000729CF" w:rsidRDefault="000729CF" w:rsidP="000729CF">
            <w:pPr>
              <w:numPr>
                <w:ilvl w:val="12"/>
                <w:numId w:val="0"/>
              </w:numPr>
              <w:tabs>
                <w:tab w:val="left" w:pos="360"/>
              </w:tabs>
              <w:jc w:val="center"/>
              <w:rPr>
                <w:rFonts w:ascii="Arial" w:eastAsia="Calibri" w:hAnsi="Arial" w:cs="Arial"/>
                <w:noProof/>
                <w:sz w:val="24"/>
                <w:szCs w:val="24"/>
                <w:lang w:val="en-GB"/>
              </w:rPr>
            </w:pPr>
            <w:r w:rsidRPr="000729CF">
              <w:rPr>
                <w:rFonts w:ascii="Arial" w:eastAsia="Calibri" w:hAnsi="Arial" w:cs="Arial"/>
                <w:noProof/>
                <w:sz w:val="24"/>
                <w:szCs w:val="24"/>
                <w:lang w:val="en-GB"/>
              </w:rPr>
              <w:t>£20m per LA</w:t>
            </w:r>
          </w:p>
        </w:tc>
        <w:tc>
          <w:tcPr>
            <w:tcW w:w="1701" w:type="dxa"/>
            <w:shd w:val="clear" w:color="auto" w:fill="C6D9F1"/>
            <w:vAlign w:val="center"/>
          </w:tcPr>
          <w:p w14:paraId="36109A42" w14:textId="77777777" w:rsidR="000729CF" w:rsidRPr="000729CF" w:rsidRDefault="000729CF" w:rsidP="000729CF">
            <w:pPr>
              <w:numPr>
                <w:ilvl w:val="12"/>
                <w:numId w:val="0"/>
              </w:numPr>
              <w:tabs>
                <w:tab w:val="left" w:pos="360"/>
              </w:tabs>
              <w:jc w:val="center"/>
              <w:rPr>
                <w:rFonts w:ascii="Arial" w:eastAsia="Calibri" w:hAnsi="Arial" w:cs="Arial"/>
                <w:noProof/>
                <w:sz w:val="24"/>
                <w:szCs w:val="24"/>
                <w:lang w:val="en-GB"/>
              </w:rPr>
            </w:pPr>
            <w:r w:rsidRPr="000729CF">
              <w:rPr>
                <w:rFonts w:ascii="Arial" w:eastAsia="Calibri" w:hAnsi="Arial" w:cs="Arial"/>
                <w:noProof/>
                <w:sz w:val="24"/>
                <w:szCs w:val="24"/>
                <w:lang w:val="en-GB"/>
              </w:rPr>
              <w:t>12 months</w:t>
            </w:r>
          </w:p>
        </w:tc>
      </w:tr>
      <w:tr w:rsidR="000729CF" w:rsidRPr="000729CF" w14:paraId="089A2B01" w14:textId="77777777" w:rsidTr="00BC26AB">
        <w:trPr>
          <w:trHeight w:val="412"/>
        </w:trPr>
        <w:tc>
          <w:tcPr>
            <w:tcW w:w="2219" w:type="dxa"/>
            <w:vAlign w:val="center"/>
          </w:tcPr>
          <w:p w14:paraId="69102672" w14:textId="77777777" w:rsidR="000729CF" w:rsidRPr="000729CF" w:rsidRDefault="000729CF" w:rsidP="000729CF">
            <w:pPr>
              <w:numPr>
                <w:ilvl w:val="12"/>
                <w:numId w:val="0"/>
              </w:numPr>
              <w:tabs>
                <w:tab w:val="left" w:pos="360"/>
              </w:tabs>
              <w:rPr>
                <w:rFonts w:ascii="Arial" w:eastAsia="Calibri" w:hAnsi="Arial" w:cs="Arial"/>
                <w:noProof/>
                <w:sz w:val="24"/>
                <w:szCs w:val="24"/>
                <w:lang w:val="en-GB"/>
              </w:rPr>
            </w:pPr>
            <w:r w:rsidRPr="000729CF">
              <w:rPr>
                <w:rFonts w:ascii="Arial" w:eastAsia="Calibri" w:hAnsi="Arial" w:cs="Arial"/>
                <w:noProof/>
                <w:sz w:val="24"/>
                <w:szCs w:val="24"/>
                <w:lang w:val="en-GB"/>
              </w:rPr>
              <w:t>UK Banks – part nationalised*</w:t>
            </w:r>
          </w:p>
        </w:tc>
        <w:tc>
          <w:tcPr>
            <w:tcW w:w="1155" w:type="dxa"/>
            <w:vAlign w:val="center"/>
          </w:tcPr>
          <w:p w14:paraId="2B9FD96D" w14:textId="77777777" w:rsidR="000729CF" w:rsidRPr="000729CF" w:rsidRDefault="000729CF" w:rsidP="000729CF">
            <w:pPr>
              <w:jc w:val="center"/>
              <w:rPr>
                <w:rFonts w:ascii="Arial" w:eastAsia="Calibri" w:hAnsi="Arial" w:cs="Arial"/>
                <w:noProof/>
                <w:sz w:val="24"/>
                <w:szCs w:val="24"/>
                <w:lang w:val="en-GB"/>
              </w:rPr>
            </w:pPr>
            <w:r w:rsidRPr="000729CF">
              <w:rPr>
                <w:rFonts w:ascii="Arial" w:eastAsia="Calibri" w:hAnsi="Arial" w:cs="Arial"/>
                <w:noProof/>
                <w:sz w:val="24"/>
                <w:szCs w:val="24"/>
                <w:lang w:val="en-GB"/>
              </w:rPr>
              <w:t>UK</w:t>
            </w:r>
          </w:p>
        </w:tc>
        <w:tc>
          <w:tcPr>
            <w:tcW w:w="1607" w:type="dxa"/>
            <w:vAlign w:val="center"/>
          </w:tcPr>
          <w:p w14:paraId="2E6507A9" w14:textId="77777777" w:rsidR="000729CF" w:rsidRPr="000729CF" w:rsidRDefault="000729CF" w:rsidP="000729CF">
            <w:pPr>
              <w:tabs>
                <w:tab w:val="left" w:pos="177"/>
              </w:tabs>
              <w:jc w:val="center"/>
              <w:rPr>
                <w:rFonts w:ascii="Arial" w:eastAsia="Calibri" w:hAnsi="Arial" w:cs="Arial"/>
                <w:noProof/>
                <w:sz w:val="24"/>
                <w:szCs w:val="24"/>
                <w:lang w:val="en-GB"/>
              </w:rPr>
            </w:pPr>
            <w:r w:rsidRPr="000729CF">
              <w:rPr>
                <w:rFonts w:ascii="Arial" w:eastAsia="Calibri" w:hAnsi="Arial" w:cs="Arial"/>
                <w:noProof/>
                <w:sz w:val="24"/>
                <w:szCs w:val="24"/>
                <w:lang w:val="en-GB"/>
              </w:rPr>
              <w:t>UK government must own majority shareholding</w:t>
            </w:r>
          </w:p>
        </w:tc>
        <w:tc>
          <w:tcPr>
            <w:tcW w:w="1249" w:type="dxa"/>
            <w:vAlign w:val="center"/>
          </w:tcPr>
          <w:p w14:paraId="74E3A8CC" w14:textId="77777777" w:rsidR="000729CF" w:rsidRPr="000729CF" w:rsidRDefault="000729CF" w:rsidP="000729CF">
            <w:pPr>
              <w:numPr>
                <w:ilvl w:val="12"/>
                <w:numId w:val="0"/>
              </w:numPr>
              <w:tabs>
                <w:tab w:val="left" w:pos="360"/>
              </w:tabs>
              <w:jc w:val="center"/>
              <w:rPr>
                <w:rFonts w:ascii="Arial" w:eastAsia="Calibri" w:hAnsi="Arial" w:cs="Arial"/>
                <w:noProof/>
                <w:sz w:val="24"/>
                <w:szCs w:val="24"/>
                <w:lang w:val="en-GB"/>
              </w:rPr>
            </w:pPr>
            <w:r w:rsidRPr="000729CF">
              <w:rPr>
                <w:rFonts w:ascii="Arial" w:eastAsia="Calibri" w:hAnsi="Arial" w:cs="Arial"/>
                <w:noProof/>
                <w:sz w:val="24"/>
                <w:szCs w:val="24"/>
                <w:lang w:val="en-GB"/>
              </w:rPr>
              <w:t>N/A</w:t>
            </w:r>
          </w:p>
        </w:tc>
        <w:tc>
          <w:tcPr>
            <w:tcW w:w="1283" w:type="dxa"/>
            <w:vAlign w:val="center"/>
          </w:tcPr>
          <w:p w14:paraId="5CCF821C" w14:textId="77777777" w:rsidR="000729CF" w:rsidRPr="000729CF" w:rsidRDefault="000729CF" w:rsidP="000729CF">
            <w:pPr>
              <w:numPr>
                <w:ilvl w:val="12"/>
                <w:numId w:val="0"/>
              </w:numPr>
              <w:tabs>
                <w:tab w:val="left" w:pos="360"/>
              </w:tabs>
              <w:jc w:val="center"/>
              <w:rPr>
                <w:rFonts w:ascii="Arial" w:eastAsia="Calibri" w:hAnsi="Arial" w:cs="Arial"/>
                <w:noProof/>
                <w:sz w:val="24"/>
                <w:szCs w:val="24"/>
                <w:lang w:val="en-GB"/>
              </w:rPr>
            </w:pPr>
            <w:r w:rsidRPr="000729CF">
              <w:rPr>
                <w:rFonts w:ascii="Arial" w:eastAsia="Calibri" w:hAnsi="Arial" w:cs="Arial"/>
                <w:noProof/>
                <w:sz w:val="24"/>
                <w:szCs w:val="24"/>
                <w:lang w:val="en-GB"/>
              </w:rPr>
              <w:t>£30m</w:t>
            </w:r>
          </w:p>
        </w:tc>
        <w:tc>
          <w:tcPr>
            <w:tcW w:w="1701" w:type="dxa"/>
            <w:vAlign w:val="center"/>
          </w:tcPr>
          <w:p w14:paraId="1FBF4A82" w14:textId="77777777" w:rsidR="000729CF" w:rsidRPr="000729CF" w:rsidRDefault="000729CF" w:rsidP="000729CF">
            <w:pPr>
              <w:numPr>
                <w:ilvl w:val="12"/>
                <w:numId w:val="0"/>
              </w:numPr>
              <w:tabs>
                <w:tab w:val="left" w:pos="360"/>
              </w:tabs>
              <w:jc w:val="center"/>
              <w:rPr>
                <w:rFonts w:ascii="Arial" w:eastAsia="Calibri" w:hAnsi="Arial" w:cs="Arial"/>
                <w:noProof/>
                <w:sz w:val="24"/>
                <w:szCs w:val="24"/>
                <w:lang w:val="en-GB"/>
              </w:rPr>
            </w:pPr>
            <w:r w:rsidRPr="000729CF">
              <w:rPr>
                <w:rFonts w:ascii="Arial" w:eastAsia="Calibri" w:hAnsi="Arial" w:cs="Arial"/>
                <w:noProof/>
                <w:sz w:val="24"/>
                <w:szCs w:val="24"/>
                <w:lang w:val="en-GB"/>
              </w:rPr>
              <w:t>12 months</w:t>
            </w:r>
          </w:p>
        </w:tc>
      </w:tr>
      <w:tr w:rsidR="000729CF" w:rsidRPr="000729CF" w14:paraId="70AA2C9D" w14:textId="77777777" w:rsidTr="00BC26AB">
        <w:trPr>
          <w:trHeight w:val="255"/>
        </w:trPr>
        <w:tc>
          <w:tcPr>
            <w:tcW w:w="2219" w:type="dxa"/>
            <w:vMerge w:val="restart"/>
            <w:shd w:val="clear" w:color="auto" w:fill="C6D9F1"/>
            <w:vAlign w:val="center"/>
          </w:tcPr>
          <w:p w14:paraId="1D708DAC" w14:textId="77777777" w:rsidR="000729CF" w:rsidRPr="000729CF" w:rsidRDefault="000729CF" w:rsidP="000729CF">
            <w:pPr>
              <w:numPr>
                <w:ilvl w:val="12"/>
                <w:numId w:val="0"/>
              </w:numPr>
              <w:tabs>
                <w:tab w:val="left" w:pos="360"/>
              </w:tabs>
              <w:rPr>
                <w:rFonts w:ascii="Arial" w:eastAsia="Calibri" w:hAnsi="Arial" w:cs="Arial"/>
                <w:noProof/>
                <w:sz w:val="24"/>
                <w:szCs w:val="24"/>
                <w:lang w:val="en-GB"/>
              </w:rPr>
            </w:pPr>
            <w:r w:rsidRPr="000729CF">
              <w:rPr>
                <w:rFonts w:ascii="Arial" w:eastAsia="Calibri" w:hAnsi="Arial" w:cs="Arial"/>
                <w:sz w:val="24"/>
                <w:szCs w:val="24"/>
                <w:lang w:val="en-GB"/>
              </w:rPr>
              <w:t>UK Banks &amp; credit rated Building Societies</w:t>
            </w:r>
          </w:p>
        </w:tc>
        <w:tc>
          <w:tcPr>
            <w:tcW w:w="1155" w:type="dxa"/>
            <w:vMerge w:val="restart"/>
            <w:shd w:val="clear" w:color="auto" w:fill="C6D9F1"/>
            <w:vAlign w:val="center"/>
          </w:tcPr>
          <w:p w14:paraId="01F7BDD4" w14:textId="77777777" w:rsidR="000729CF" w:rsidRPr="000729CF" w:rsidRDefault="000729CF" w:rsidP="000729CF">
            <w:pPr>
              <w:jc w:val="center"/>
              <w:rPr>
                <w:rFonts w:ascii="Arial" w:eastAsia="Calibri" w:hAnsi="Arial" w:cs="Arial"/>
                <w:noProof/>
                <w:sz w:val="24"/>
                <w:szCs w:val="24"/>
                <w:lang w:val="en-GB"/>
              </w:rPr>
            </w:pPr>
            <w:r w:rsidRPr="000729CF">
              <w:rPr>
                <w:rFonts w:ascii="Arial" w:eastAsia="Calibri" w:hAnsi="Arial" w:cs="Arial"/>
                <w:noProof/>
                <w:sz w:val="24"/>
                <w:szCs w:val="24"/>
                <w:lang w:val="en-GB"/>
              </w:rPr>
              <w:t>UK</w:t>
            </w:r>
          </w:p>
        </w:tc>
        <w:tc>
          <w:tcPr>
            <w:tcW w:w="1607" w:type="dxa"/>
            <w:vMerge w:val="restart"/>
            <w:shd w:val="clear" w:color="auto" w:fill="C6D9F1"/>
            <w:vAlign w:val="center"/>
          </w:tcPr>
          <w:p w14:paraId="183A264A" w14:textId="77777777" w:rsidR="000729CF" w:rsidRPr="000729CF" w:rsidRDefault="000729CF" w:rsidP="000729CF">
            <w:pPr>
              <w:tabs>
                <w:tab w:val="left" w:pos="177"/>
              </w:tabs>
              <w:jc w:val="center"/>
              <w:rPr>
                <w:rFonts w:ascii="Arial" w:eastAsia="Calibri" w:hAnsi="Arial" w:cs="Arial"/>
                <w:noProof/>
                <w:sz w:val="24"/>
                <w:szCs w:val="24"/>
                <w:lang w:val="en-GB"/>
              </w:rPr>
            </w:pPr>
            <w:r w:rsidRPr="000729CF">
              <w:rPr>
                <w:rFonts w:ascii="Arial" w:eastAsia="Calibri" w:hAnsi="Arial" w:cs="Arial"/>
                <w:noProof/>
                <w:sz w:val="24"/>
                <w:szCs w:val="24"/>
                <w:lang w:val="en-GB"/>
              </w:rPr>
              <w:t>Must meet minimum credit criteria</w:t>
            </w:r>
          </w:p>
        </w:tc>
        <w:tc>
          <w:tcPr>
            <w:tcW w:w="1249" w:type="dxa"/>
            <w:shd w:val="clear" w:color="auto" w:fill="C6D9F1"/>
            <w:vAlign w:val="center"/>
          </w:tcPr>
          <w:p w14:paraId="09DBA82D" w14:textId="77777777" w:rsidR="000729CF" w:rsidRPr="000729CF" w:rsidRDefault="000729CF" w:rsidP="000729CF">
            <w:pPr>
              <w:numPr>
                <w:ilvl w:val="12"/>
                <w:numId w:val="0"/>
              </w:numPr>
              <w:tabs>
                <w:tab w:val="left" w:pos="360"/>
              </w:tabs>
              <w:jc w:val="center"/>
              <w:rPr>
                <w:rFonts w:ascii="Arial" w:eastAsia="Calibri" w:hAnsi="Arial" w:cs="Arial"/>
                <w:noProof/>
                <w:sz w:val="24"/>
                <w:szCs w:val="24"/>
                <w:lang w:val="en-GB"/>
              </w:rPr>
            </w:pPr>
            <w:r w:rsidRPr="000729CF">
              <w:rPr>
                <w:rFonts w:ascii="Arial" w:eastAsia="Calibri" w:hAnsi="Arial" w:cs="Arial"/>
                <w:noProof/>
                <w:sz w:val="24"/>
                <w:szCs w:val="24"/>
                <w:lang w:val="en-GB"/>
              </w:rPr>
              <w:t>AA- / A-1+</w:t>
            </w:r>
          </w:p>
        </w:tc>
        <w:tc>
          <w:tcPr>
            <w:tcW w:w="1283" w:type="dxa"/>
            <w:shd w:val="clear" w:color="auto" w:fill="C6D9F1"/>
            <w:vAlign w:val="center"/>
          </w:tcPr>
          <w:p w14:paraId="4ACF6ECF" w14:textId="77777777" w:rsidR="000729CF" w:rsidRPr="000729CF" w:rsidRDefault="000729CF" w:rsidP="000729CF">
            <w:pPr>
              <w:numPr>
                <w:ilvl w:val="12"/>
                <w:numId w:val="0"/>
              </w:numPr>
              <w:tabs>
                <w:tab w:val="left" w:pos="360"/>
              </w:tabs>
              <w:jc w:val="center"/>
              <w:rPr>
                <w:rFonts w:ascii="Arial" w:eastAsia="Calibri" w:hAnsi="Arial" w:cs="Arial"/>
                <w:noProof/>
                <w:sz w:val="24"/>
                <w:szCs w:val="24"/>
                <w:lang w:val="en-GB"/>
              </w:rPr>
            </w:pPr>
            <w:r w:rsidRPr="000729CF">
              <w:rPr>
                <w:rFonts w:ascii="Arial" w:eastAsia="Calibri" w:hAnsi="Arial" w:cs="Arial"/>
                <w:noProof/>
                <w:sz w:val="24"/>
                <w:szCs w:val="24"/>
                <w:lang w:val="en-GB"/>
              </w:rPr>
              <w:t>£30m</w:t>
            </w:r>
          </w:p>
        </w:tc>
        <w:tc>
          <w:tcPr>
            <w:tcW w:w="1701" w:type="dxa"/>
            <w:shd w:val="clear" w:color="auto" w:fill="C6D9F1"/>
            <w:vAlign w:val="center"/>
          </w:tcPr>
          <w:p w14:paraId="12DAD857" w14:textId="77777777" w:rsidR="000729CF" w:rsidRPr="000729CF" w:rsidRDefault="000729CF" w:rsidP="000729CF">
            <w:pPr>
              <w:numPr>
                <w:ilvl w:val="12"/>
                <w:numId w:val="0"/>
              </w:numPr>
              <w:tabs>
                <w:tab w:val="left" w:pos="360"/>
              </w:tabs>
              <w:jc w:val="center"/>
              <w:rPr>
                <w:rFonts w:ascii="Arial" w:eastAsia="Calibri" w:hAnsi="Arial" w:cs="Arial"/>
                <w:noProof/>
                <w:sz w:val="24"/>
                <w:szCs w:val="24"/>
                <w:lang w:val="en-GB"/>
              </w:rPr>
            </w:pPr>
            <w:r w:rsidRPr="000729CF">
              <w:rPr>
                <w:rFonts w:ascii="Arial" w:eastAsia="Calibri" w:hAnsi="Arial" w:cs="Arial"/>
                <w:noProof/>
                <w:sz w:val="24"/>
                <w:szCs w:val="24"/>
                <w:lang w:val="en-GB"/>
              </w:rPr>
              <w:t>12 months</w:t>
            </w:r>
          </w:p>
        </w:tc>
      </w:tr>
      <w:tr w:rsidR="000729CF" w:rsidRPr="000729CF" w14:paraId="2C42F1BA" w14:textId="77777777" w:rsidTr="00BC26AB">
        <w:trPr>
          <w:trHeight w:val="255"/>
        </w:trPr>
        <w:tc>
          <w:tcPr>
            <w:tcW w:w="2219" w:type="dxa"/>
            <w:vMerge/>
            <w:shd w:val="clear" w:color="auto" w:fill="C6D9F1"/>
            <w:vAlign w:val="center"/>
          </w:tcPr>
          <w:p w14:paraId="4B7E66EA" w14:textId="77777777" w:rsidR="000729CF" w:rsidRPr="000729CF" w:rsidRDefault="000729CF" w:rsidP="000729CF">
            <w:pPr>
              <w:numPr>
                <w:ilvl w:val="12"/>
                <w:numId w:val="0"/>
              </w:numPr>
              <w:tabs>
                <w:tab w:val="left" w:pos="360"/>
              </w:tabs>
              <w:rPr>
                <w:rFonts w:ascii="Arial" w:eastAsia="Calibri" w:hAnsi="Arial" w:cs="Arial"/>
                <w:sz w:val="24"/>
                <w:szCs w:val="24"/>
                <w:lang w:val="en-GB"/>
              </w:rPr>
            </w:pPr>
          </w:p>
        </w:tc>
        <w:tc>
          <w:tcPr>
            <w:tcW w:w="1155" w:type="dxa"/>
            <w:vMerge/>
            <w:shd w:val="clear" w:color="auto" w:fill="C6D9F1"/>
            <w:vAlign w:val="center"/>
          </w:tcPr>
          <w:p w14:paraId="4B3EFDCB" w14:textId="77777777" w:rsidR="000729CF" w:rsidRPr="000729CF" w:rsidRDefault="000729CF" w:rsidP="000729CF">
            <w:pPr>
              <w:jc w:val="center"/>
              <w:rPr>
                <w:rFonts w:ascii="Arial" w:eastAsia="Calibri" w:hAnsi="Arial" w:cs="Arial"/>
                <w:noProof/>
                <w:sz w:val="24"/>
                <w:szCs w:val="24"/>
                <w:lang w:val="en-GB"/>
              </w:rPr>
            </w:pPr>
          </w:p>
        </w:tc>
        <w:tc>
          <w:tcPr>
            <w:tcW w:w="1607" w:type="dxa"/>
            <w:vMerge/>
            <w:shd w:val="clear" w:color="auto" w:fill="C6D9F1"/>
            <w:vAlign w:val="center"/>
          </w:tcPr>
          <w:p w14:paraId="4A9B25F8" w14:textId="77777777" w:rsidR="000729CF" w:rsidRPr="000729CF" w:rsidRDefault="000729CF" w:rsidP="000729CF">
            <w:pPr>
              <w:tabs>
                <w:tab w:val="left" w:pos="177"/>
              </w:tabs>
              <w:rPr>
                <w:rFonts w:ascii="Arial" w:eastAsia="Calibri" w:hAnsi="Arial" w:cs="Arial"/>
                <w:noProof/>
                <w:sz w:val="24"/>
                <w:szCs w:val="24"/>
                <w:lang w:val="en-GB"/>
              </w:rPr>
            </w:pPr>
          </w:p>
        </w:tc>
        <w:tc>
          <w:tcPr>
            <w:tcW w:w="1249" w:type="dxa"/>
            <w:shd w:val="clear" w:color="auto" w:fill="C6D9F1"/>
            <w:vAlign w:val="center"/>
          </w:tcPr>
          <w:p w14:paraId="3D0C7109" w14:textId="77777777" w:rsidR="000729CF" w:rsidRPr="000729CF" w:rsidRDefault="000729CF" w:rsidP="000729CF">
            <w:pPr>
              <w:numPr>
                <w:ilvl w:val="12"/>
                <w:numId w:val="0"/>
              </w:numPr>
              <w:tabs>
                <w:tab w:val="left" w:pos="360"/>
              </w:tabs>
              <w:jc w:val="center"/>
              <w:rPr>
                <w:rFonts w:ascii="Arial" w:eastAsia="Calibri" w:hAnsi="Arial" w:cs="Arial"/>
                <w:noProof/>
                <w:sz w:val="24"/>
                <w:szCs w:val="24"/>
                <w:lang w:val="en-GB"/>
              </w:rPr>
            </w:pPr>
            <w:r w:rsidRPr="000729CF">
              <w:rPr>
                <w:rFonts w:ascii="Arial" w:eastAsia="Calibri" w:hAnsi="Arial" w:cs="Arial"/>
                <w:noProof/>
                <w:sz w:val="24"/>
                <w:szCs w:val="24"/>
                <w:lang w:val="en-GB"/>
              </w:rPr>
              <w:t>A / A-1</w:t>
            </w:r>
          </w:p>
        </w:tc>
        <w:tc>
          <w:tcPr>
            <w:tcW w:w="1283" w:type="dxa"/>
            <w:shd w:val="clear" w:color="auto" w:fill="C6D9F1"/>
            <w:vAlign w:val="center"/>
          </w:tcPr>
          <w:p w14:paraId="21594D39" w14:textId="77777777" w:rsidR="000729CF" w:rsidRPr="000729CF" w:rsidRDefault="000729CF" w:rsidP="000729CF">
            <w:pPr>
              <w:numPr>
                <w:ilvl w:val="12"/>
                <w:numId w:val="0"/>
              </w:numPr>
              <w:tabs>
                <w:tab w:val="left" w:pos="360"/>
              </w:tabs>
              <w:jc w:val="center"/>
              <w:rPr>
                <w:rFonts w:ascii="Arial" w:eastAsia="Calibri" w:hAnsi="Arial" w:cs="Arial"/>
                <w:noProof/>
                <w:sz w:val="24"/>
                <w:szCs w:val="24"/>
                <w:lang w:val="en-GB"/>
              </w:rPr>
            </w:pPr>
            <w:r w:rsidRPr="000729CF">
              <w:rPr>
                <w:rFonts w:ascii="Arial" w:eastAsia="Calibri" w:hAnsi="Arial" w:cs="Arial"/>
                <w:noProof/>
                <w:sz w:val="24"/>
                <w:szCs w:val="24"/>
                <w:lang w:val="en-GB"/>
              </w:rPr>
              <w:t>£20m</w:t>
            </w:r>
          </w:p>
        </w:tc>
        <w:tc>
          <w:tcPr>
            <w:tcW w:w="1701" w:type="dxa"/>
            <w:shd w:val="clear" w:color="auto" w:fill="C6D9F1"/>
            <w:vAlign w:val="center"/>
          </w:tcPr>
          <w:p w14:paraId="79F44D35" w14:textId="77777777" w:rsidR="000729CF" w:rsidRPr="000729CF" w:rsidRDefault="000729CF" w:rsidP="000729CF">
            <w:pPr>
              <w:numPr>
                <w:ilvl w:val="12"/>
                <w:numId w:val="0"/>
              </w:numPr>
              <w:tabs>
                <w:tab w:val="left" w:pos="360"/>
              </w:tabs>
              <w:jc w:val="center"/>
              <w:rPr>
                <w:rFonts w:ascii="Arial" w:eastAsia="Calibri" w:hAnsi="Arial" w:cs="Arial"/>
                <w:noProof/>
                <w:sz w:val="24"/>
                <w:szCs w:val="24"/>
                <w:lang w:val="en-GB"/>
              </w:rPr>
            </w:pPr>
            <w:r w:rsidRPr="000729CF">
              <w:rPr>
                <w:rFonts w:ascii="Arial" w:eastAsia="Calibri" w:hAnsi="Arial" w:cs="Arial"/>
                <w:noProof/>
                <w:sz w:val="24"/>
                <w:szCs w:val="24"/>
                <w:lang w:val="en-GB"/>
              </w:rPr>
              <w:t>12 months</w:t>
            </w:r>
          </w:p>
        </w:tc>
      </w:tr>
      <w:tr w:rsidR="000729CF" w:rsidRPr="000729CF" w14:paraId="7BCAC3A2" w14:textId="77777777" w:rsidTr="00BC26AB">
        <w:trPr>
          <w:trHeight w:val="410"/>
        </w:trPr>
        <w:tc>
          <w:tcPr>
            <w:tcW w:w="2219" w:type="dxa"/>
            <w:vMerge/>
            <w:shd w:val="clear" w:color="auto" w:fill="C6D9F1"/>
            <w:vAlign w:val="center"/>
          </w:tcPr>
          <w:p w14:paraId="1F402FA2" w14:textId="77777777" w:rsidR="000729CF" w:rsidRPr="000729CF" w:rsidRDefault="000729CF" w:rsidP="000729CF">
            <w:pPr>
              <w:numPr>
                <w:ilvl w:val="12"/>
                <w:numId w:val="0"/>
              </w:numPr>
              <w:tabs>
                <w:tab w:val="left" w:pos="360"/>
              </w:tabs>
              <w:rPr>
                <w:rFonts w:ascii="Arial" w:eastAsia="Calibri" w:hAnsi="Arial" w:cs="Arial"/>
                <w:noProof/>
                <w:sz w:val="24"/>
                <w:szCs w:val="24"/>
                <w:lang w:val="en-GB"/>
              </w:rPr>
            </w:pPr>
          </w:p>
        </w:tc>
        <w:tc>
          <w:tcPr>
            <w:tcW w:w="1155" w:type="dxa"/>
            <w:vMerge/>
            <w:shd w:val="clear" w:color="auto" w:fill="C6D9F1"/>
            <w:vAlign w:val="center"/>
          </w:tcPr>
          <w:p w14:paraId="7C702321" w14:textId="77777777" w:rsidR="000729CF" w:rsidRPr="000729CF" w:rsidRDefault="000729CF" w:rsidP="000729CF">
            <w:pPr>
              <w:jc w:val="center"/>
              <w:rPr>
                <w:rFonts w:ascii="Arial" w:eastAsia="Calibri" w:hAnsi="Arial" w:cs="Arial"/>
                <w:noProof/>
                <w:sz w:val="24"/>
                <w:szCs w:val="24"/>
                <w:lang w:val="en-GB"/>
              </w:rPr>
            </w:pPr>
          </w:p>
        </w:tc>
        <w:tc>
          <w:tcPr>
            <w:tcW w:w="1607" w:type="dxa"/>
            <w:vMerge/>
            <w:shd w:val="clear" w:color="auto" w:fill="C6D9F1"/>
            <w:vAlign w:val="center"/>
          </w:tcPr>
          <w:p w14:paraId="75009B8D" w14:textId="77777777" w:rsidR="000729CF" w:rsidRPr="000729CF" w:rsidRDefault="000729CF" w:rsidP="000729CF">
            <w:pPr>
              <w:jc w:val="center"/>
              <w:rPr>
                <w:rFonts w:ascii="Arial" w:eastAsia="Calibri" w:hAnsi="Arial" w:cs="Arial"/>
                <w:noProof/>
                <w:sz w:val="24"/>
                <w:szCs w:val="24"/>
                <w:lang w:val="en-GB"/>
              </w:rPr>
            </w:pPr>
          </w:p>
        </w:tc>
        <w:tc>
          <w:tcPr>
            <w:tcW w:w="1249" w:type="dxa"/>
            <w:shd w:val="clear" w:color="auto" w:fill="C6D9F1"/>
            <w:vAlign w:val="center"/>
          </w:tcPr>
          <w:p w14:paraId="335C6616" w14:textId="77777777" w:rsidR="000729CF" w:rsidRPr="000729CF" w:rsidRDefault="000729CF" w:rsidP="000729CF">
            <w:pPr>
              <w:numPr>
                <w:ilvl w:val="12"/>
                <w:numId w:val="0"/>
              </w:numPr>
              <w:tabs>
                <w:tab w:val="left" w:pos="360"/>
              </w:tabs>
              <w:rPr>
                <w:rFonts w:ascii="Arial" w:eastAsia="Calibri" w:hAnsi="Arial" w:cs="Arial"/>
                <w:noProof/>
                <w:sz w:val="24"/>
                <w:szCs w:val="24"/>
                <w:lang w:val="en-GB"/>
              </w:rPr>
            </w:pPr>
            <w:r w:rsidRPr="000729CF">
              <w:rPr>
                <w:rFonts w:ascii="Arial" w:eastAsia="Calibri" w:hAnsi="Arial" w:cs="Arial"/>
                <w:noProof/>
                <w:sz w:val="24"/>
                <w:szCs w:val="24"/>
                <w:lang w:val="en-GB"/>
              </w:rPr>
              <w:t>BBB  / A-2</w:t>
            </w:r>
          </w:p>
        </w:tc>
        <w:tc>
          <w:tcPr>
            <w:tcW w:w="1283" w:type="dxa"/>
            <w:shd w:val="clear" w:color="auto" w:fill="C6D9F1"/>
            <w:vAlign w:val="center"/>
          </w:tcPr>
          <w:p w14:paraId="7AC52930" w14:textId="77777777" w:rsidR="000729CF" w:rsidRPr="000729CF" w:rsidRDefault="000729CF" w:rsidP="000729CF">
            <w:pPr>
              <w:numPr>
                <w:ilvl w:val="12"/>
                <w:numId w:val="0"/>
              </w:numPr>
              <w:tabs>
                <w:tab w:val="left" w:pos="360"/>
              </w:tabs>
              <w:jc w:val="center"/>
              <w:rPr>
                <w:rFonts w:ascii="Arial" w:eastAsia="Calibri" w:hAnsi="Arial" w:cs="Arial"/>
                <w:noProof/>
                <w:sz w:val="24"/>
                <w:szCs w:val="24"/>
                <w:lang w:val="en-GB"/>
              </w:rPr>
            </w:pPr>
            <w:r w:rsidRPr="000729CF">
              <w:rPr>
                <w:rFonts w:ascii="Arial" w:eastAsia="Calibri" w:hAnsi="Arial" w:cs="Arial"/>
                <w:noProof/>
                <w:sz w:val="24"/>
                <w:szCs w:val="24"/>
                <w:lang w:val="en-GB"/>
              </w:rPr>
              <w:t>£15m</w:t>
            </w:r>
          </w:p>
        </w:tc>
        <w:tc>
          <w:tcPr>
            <w:tcW w:w="1701" w:type="dxa"/>
            <w:shd w:val="clear" w:color="auto" w:fill="C6D9F1"/>
            <w:vAlign w:val="center"/>
          </w:tcPr>
          <w:p w14:paraId="78CA1669" w14:textId="77777777" w:rsidR="000729CF" w:rsidRPr="000729CF" w:rsidRDefault="000729CF" w:rsidP="000729CF">
            <w:pPr>
              <w:numPr>
                <w:ilvl w:val="12"/>
                <w:numId w:val="0"/>
              </w:numPr>
              <w:tabs>
                <w:tab w:val="left" w:pos="360"/>
              </w:tabs>
              <w:jc w:val="center"/>
              <w:rPr>
                <w:rFonts w:ascii="Arial" w:eastAsia="Calibri" w:hAnsi="Arial" w:cs="Arial"/>
                <w:noProof/>
                <w:sz w:val="24"/>
                <w:szCs w:val="24"/>
                <w:lang w:val="en-GB"/>
              </w:rPr>
            </w:pPr>
            <w:r w:rsidRPr="000729CF">
              <w:rPr>
                <w:rFonts w:ascii="Arial" w:eastAsia="Calibri" w:hAnsi="Arial" w:cs="Arial"/>
                <w:noProof/>
                <w:sz w:val="24"/>
                <w:szCs w:val="24"/>
                <w:lang w:val="en-GB"/>
              </w:rPr>
              <w:t>6 months</w:t>
            </w:r>
          </w:p>
        </w:tc>
      </w:tr>
      <w:tr w:rsidR="000729CF" w:rsidRPr="000729CF" w14:paraId="5702465B" w14:textId="77777777" w:rsidTr="00BC26AB">
        <w:trPr>
          <w:trHeight w:val="1348"/>
        </w:trPr>
        <w:tc>
          <w:tcPr>
            <w:tcW w:w="2219" w:type="dxa"/>
            <w:shd w:val="clear" w:color="auto" w:fill="FFFFFF"/>
            <w:vAlign w:val="center"/>
          </w:tcPr>
          <w:p w14:paraId="2CC02A0B" w14:textId="77777777" w:rsidR="000729CF" w:rsidRPr="000729CF" w:rsidRDefault="000729CF" w:rsidP="000729CF">
            <w:pPr>
              <w:numPr>
                <w:ilvl w:val="12"/>
                <w:numId w:val="0"/>
              </w:numPr>
              <w:tabs>
                <w:tab w:val="left" w:pos="360"/>
              </w:tabs>
              <w:rPr>
                <w:rFonts w:ascii="Arial" w:eastAsia="Calibri" w:hAnsi="Arial" w:cs="Arial"/>
                <w:sz w:val="24"/>
                <w:szCs w:val="24"/>
                <w:lang w:val="en-GB"/>
              </w:rPr>
            </w:pPr>
            <w:r w:rsidRPr="000729CF">
              <w:rPr>
                <w:rFonts w:ascii="Arial" w:eastAsia="Calibri" w:hAnsi="Arial" w:cs="Arial"/>
                <w:sz w:val="24"/>
                <w:szCs w:val="24"/>
                <w:lang w:val="en-GB"/>
              </w:rPr>
              <w:t>Banks – Non-UK</w:t>
            </w:r>
          </w:p>
        </w:tc>
        <w:tc>
          <w:tcPr>
            <w:tcW w:w="1155" w:type="dxa"/>
            <w:shd w:val="clear" w:color="auto" w:fill="FFFFFF"/>
            <w:vAlign w:val="center"/>
          </w:tcPr>
          <w:p w14:paraId="6319BC24" w14:textId="77777777" w:rsidR="000729CF" w:rsidRPr="000729CF" w:rsidRDefault="000729CF" w:rsidP="000729CF">
            <w:pPr>
              <w:jc w:val="center"/>
              <w:rPr>
                <w:rFonts w:ascii="Arial" w:eastAsia="Calibri" w:hAnsi="Arial" w:cs="Arial"/>
                <w:noProof/>
                <w:sz w:val="24"/>
                <w:szCs w:val="24"/>
                <w:lang w:val="en-GB"/>
              </w:rPr>
            </w:pPr>
            <w:r w:rsidRPr="000729CF">
              <w:rPr>
                <w:rFonts w:ascii="Arial" w:eastAsia="Calibri" w:hAnsi="Arial" w:cs="Arial"/>
                <w:noProof/>
                <w:sz w:val="24"/>
                <w:szCs w:val="24"/>
                <w:lang w:val="en-GB"/>
              </w:rPr>
              <w:t>Those with sovereign rating of at least AA*</w:t>
            </w:r>
          </w:p>
        </w:tc>
        <w:tc>
          <w:tcPr>
            <w:tcW w:w="1607" w:type="dxa"/>
            <w:shd w:val="clear" w:color="auto" w:fill="FFFFFF"/>
            <w:vAlign w:val="center"/>
          </w:tcPr>
          <w:p w14:paraId="6D538A3E" w14:textId="77777777" w:rsidR="000729CF" w:rsidRPr="000729CF" w:rsidRDefault="000729CF" w:rsidP="000729CF">
            <w:pPr>
              <w:tabs>
                <w:tab w:val="left" w:pos="177"/>
              </w:tabs>
              <w:jc w:val="center"/>
              <w:rPr>
                <w:rFonts w:ascii="Arial" w:eastAsia="Calibri" w:hAnsi="Arial" w:cs="Arial"/>
                <w:noProof/>
                <w:sz w:val="24"/>
                <w:szCs w:val="24"/>
                <w:lang w:val="en-GB"/>
              </w:rPr>
            </w:pPr>
            <w:r w:rsidRPr="000729CF">
              <w:rPr>
                <w:rFonts w:ascii="Arial" w:eastAsia="Calibri" w:hAnsi="Arial" w:cs="Arial"/>
                <w:noProof/>
                <w:sz w:val="24"/>
                <w:szCs w:val="24"/>
                <w:lang w:val="en-GB"/>
              </w:rPr>
              <w:t>Must meet minimum credit criteria</w:t>
            </w:r>
          </w:p>
        </w:tc>
        <w:tc>
          <w:tcPr>
            <w:tcW w:w="1249" w:type="dxa"/>
            <w:shd w:val="clear" w:color="auto" w:fill="FFFFFF"/>
            <w:vAlign w:val="center"/>
          </w:tcPr>
          <w:p w14:paraId="38EB4C35" w14:textId="77777777" w:rsidR="000729CF" w:rsidRPr="000729CF" w:rsidRDefault="000729CF" w:rsidP="000729CF">
            <w:pPr>
              <w:numPr>
                <w:ilvl w:val="12"/>
                <w:numId w:val="0"/>
              </w:numPr>
              <w:tabs>
                <w:tab w:val="left" w:pos="360"/>
              </w:tabs>
              <w:jc w:val="center"/>
              <w:rPr>
                <w:rFonts w:ascii="Arial" w:eastAsia="Calibri" w:hAnsi="Arial" w:cs="Arial"/>
                <w:noProof/>
                <w:sz w:val="24"/>
                <w:szCs w:val="24"/>
                <w:lang w:val="en-GB"/>
              </w:rPr>
            </w:pPr>
            <w:r w:rsidRPr="000729CF">
              <w:rPr>
                <w:rFonts w:ascii="Arial" w:eastAsia="Calibri" w:hAnsi="Arial" w:cs="Arial"/>
                <w:noProof/>
                <w:sz w:val="24"/>
                <w:szCs w:val="24"/>
                <w:lang w:val="en-GB"/>
              </w:rPr>
              <w:t>AA- / A-1+</w:t>
            </w:r>
          </w:p>
          <w:p w14:paraId="35D76572" w14:textId="77777777" w:rsidR="000729CF" w:rsidRPr="000729CF" w:rsidRDefault="000729CF" w:rsidP="000729CF">
            <w:pPr>
              <w:numPr>
                <w:ilvl w:val="12"/>
                <w:numId w:val="0"/>
              </w:numPr>
              <w:tabs>
                <w:tab w:val="left" w:pos="360"/>
              </w:tabs>
              <w:rPr>
                <w:rFonts w:ascii="Arial" w:eastAsia="Calibri" w:hAnsi="Arial" w:cs="Arial"/>
                <w:noProof/>
                <w:sz w:val="24"/>
                <w:szCs w:val="24"/>
                <w:lang w:val="en-GB"/>
              </w:rPr>
            </w:pPr>
          </w:p>
        </w:tc>
        <w:tc>
          <w:tcPr>
            <w:tcW w:w="1283" w:type="dxa"/>
            <w:shd w:val="clear" w:color="auto" w:fill="FFFFFF"/>
            <w:vAlign w:val="center"/>
          </w:tcPr>
          <w:p w14:paraId="235B983D" w14:textId="77777777" w:rsidR="000729CF" w:rsidRPr="000729CF" w:rsidRDefault="000729CF" w:rsidP="000729CF">
            <w:pPr>
              <w:numPr>
                <w:ilvl w:val="12"/>
                <w:numId w:val="0"/>
              </w:numPr>
              <w:tabs>
                <w:tab w:val="left" w:pos="360"/>
              </w:tabs>
              <w:jc w:val="center"/>
              <w:rPr>
                <w:rFonts w:ascii="Arial" w:eastAsia="Calibri" w:hAnsi="Arial" w:cs="Arial"/>
                <w:noProof/>
                <w:sz w:val="24"/>
                <w:szCs w:val="24"/>
                <w:lang w:val="en-GB"/>
              </w:rPr>
            </w:pPr>
            <w:r w:rsidRPr="000729CF">
              <w:rPr>
                <w:rFonts w:ascii="Arial" w:eastAsia="Calibri" w:hAnsi="Arial" w:cs="Arial"/>
                <w:noProof/>
                <w:sz w:val="24"/>
                <w:szCs w:val="24"/>
                <w:lang w:val="en-GB"/>
              </w:rPr>
              <w:t>£30m</w:t>
            </w:r>
          </w:p>
          <w:p w14:paraId="0BEC1D20" w14:textId="77777777" w:rsidR="000729CF" w:rsidRPr="000729CF" w:rsidRDefault="000729CF" w:rsidP="000729CF">
            <w:pPr>
              <w:numPr>
                <w:ilvl w:val="12"/>
                <w:numId w:val="0"/>
              </w:numPr>
              <w:tabs>
                <w:tab w:val="left" w:pos="360"/>
              </w:tabs>
              <w:jc w:val="center"/>
              <w:rPr>
                <w:rFonts w:ascii="Arial" w:eastAsia="Calibri" w:hAnsi="Arial" w:cs="Arial"/>
                <w:noProof/>
                <w:sz w:val="24"/>
                <w:szCs w:val="24"/>
                <w:lang w:val="en-GB"/>
              </w:rPr>
            </w:pPr>
          </w:p>
        </w:tc>
        <w:tc>
          <w:tcPr>
            <w:tcW w:w="1701" w:type="dxa"/>
            <w:shd w:val="clear" w:color="auto" w:fill="FFFFFF"/>
            <w:vAlign w:val="center"/>
          </w:tcPr>
          <w:p w14:paraId="7C261A9B" w14:textId="77777777" w:rsidR="000729CF" w:rsidRPr="000729CF" w:rsidRDefault="000729CF" w:rsidP="000729CF">
            <w:pPr>
              <w:numPr>
                <w:ilvl w:val="12"/>
                <w:numId w:val="0"/>
              </w:numPr>
              <w:tabs>
                <w:tab w:val="left" w:pos="360"/>
              </w:tabs>
              <w:jc w:val="center"/>
              <w:rPr>
                <w:rFonts w:ascii="Arial" w:eastAsia="Calibri" w:hAnsi="Arial" w:cs="Arial"/>
                <w:noProof/>
                <w:sz w:val="24"/>
                <w:szCs w:val="24"/>
                <w:lang w:val="en-GB"/>
              </w:rPr>
            </w:pPr>
            <w:r w:rsidRPr="000729CF">
              <w:rPr>
                <w:rFonts w:ascii="Arial" w:eastAsia="Calibri" w:hAnsi="Arial" w:cs="Arial"/>
                <w:noProof/>
                <w:sz w:val="24"/>
                <w:szCs w:val="24"/>
                <w:lang w:val="en-GB"/>
              </w:rPr>
              <w:t>12 months</w:t>
            </w:r>
          </w:p>
          <w:p w14:paraId="5CD79F2C" w14:textId="77777777" w:rsidR="000729CF" w:rsidRPr="000729CF" w:rsidRDefault="000729CF" w:rsidP="000729CF">
            <w:pPr>
              <w:numPr>
                <w:ilvl w:val="12"/>
                <w:numId w:val="0"/>
              </w:numPr>
              <w:tabs>
                <w:tab w:val="left" w:pos="360"/>
              </w:tabs>
              <w:jc w:val="center"/>
              <w:rPr>
                <w:rFonts w:ascii="Arial" w:eastAsia="Calibri" w:hAnsi="Arial" w:cs="Arial"/>
                <w:noProof/>
                <w:sz w:val="24"/>
                <w:szCs w:val="24"/>
                <w:lang w:val="en-GB"/>
              </w:rPr>
            </w:pPr>
          </w:p>
        </w:tc>
      </w:tr>
      <w:tr w:rsidR="000729CF" w:rsidRPr="000729CF" w14:paraId="7C3FAFB8" w14:textId="77777777" w:rsidTr="00BC26AB">
        <w:trPr>
          <w:trHeight w:val="1064"/>
        </w:trPr>
        <w:tc>
          <w:tcPr>
            <w:tcW w:w="2219" w:type="dxa"/>
            <w:shd w:val="clear" w:color="auto" w:fill="C6D9F1"/>
            <w:vAlign w:val="center"/>
          </w:tcPr>
          <w:p w14:paraId="0D51F611" w14:textId="77777777" w:rsidR="000729CF" w:rsidRPr="000729CF" w:rsidRDefault="000729CF" w:rsidP="000729CF">
            <w:pPr>
              <w:numPr>
                <w:ilvl w:val="12"/>
                <w:numId w:val="0"/>
              </w:numPr>
              <w:tabs>
                <w:tab w:val="left" w:pos="360"/>
              </w:tabs>
              <w:rPr>
                <w:rFonts w:ascii="Arial" w:eastAsia="Calibri" w:hAnsi="Arial" w:cs="Arial"/>
                <w:noProof/>
                <w:sz w:val="24"/>
                <w:szCs w:val="24"/>
                <w:lang w:val="en-GB"/>
              </w:rPr>
            </w:pPr>
            <w:r w:rsidRPr="000729CF">
              <w:rPr>
                <w:rFonts w:ascii="Arial" w:eastAsia="Calibri" w:hAnsi="Arial" w:cs="Arial"/>
                <w:sz w:val="24"/>
                <w:szCs w:val="24"/>
                <w:lang w:val="en-GB"/>
              </w:rPr>
              <w:t>Non-rated Building Societies</w:t>
            </w:r>
          </w:p>
        </w:tc>
        <w:tc>
          <w:tcPr>
            <w:tcW w:w="1155" w:type="dxa"/>
            <w:shd w:val="clear" w:color="auto" w:fill="C6D9F1"/>
            <w:vAlign w:val="center"/>
          </w:tcPr>
          <w:p w14:paraId="1C5997F6" w14:textId="77777777" w:rsidR="000729CF" w:rsidRPr="000729CF" w:rsidRDefault="000729CF" w:rsidP="000729CF">
            <w:pPr>
              <w:jc w:val="center"/>
              <w:rPr>
                <w:rFonts w:ascii="Arial" w:eastAsia="Calibri" w:hAnsi="Arial" w:cs="Arial"/>
                <w:noProof/>
                <w:sz w:val="24"/>
                <w:szCs w:val="24"/>
                <w:lang w:val="en-GB"/>
              </w:rPr>
            </w:pPr>
            <w:r w:rsidRPr="000729CF">
              <w:rPr>
                <w:rFonts w:ascii="Arial" w:eastAsia="Calibri" w:hAnsi="Arial" w:cs="Arial"/>
                <w:noProof/>
                <w:sz w:val="24"/>
                <w:szCs w:val="24"/>
                <w:lang w:val="en-GB"/>
              </w:rPr>
              <w:t>UK</w:t>
            </w:r>
          </w:p>
        </w:tc>
        <w:tc>
          <w:tcPr>
            <w:tcW w:w="1607" w:type="dxa"/>
            <w:shd w:val="clear" w:color="auto" w:fill="C6D9F1"/>
            <w:vAlign w:val="center"/>
          </w:tcPr>
          <w:p w14:paraId="34276B2B" w14:textId="77777777" w:rsidR="000729CF" w:rsidRPr="000729CF" w:rsidRDefault="000729CF" w:rsidP="000729CF">
            <w:pPr>
              <w:tabs>
                <w:tab w:val="left" w:pos="177"/>
              </w:tabs>
              <w:jc w:val="center"/>
              <w:rPr>
                <w:rFonts w:ascii="Arial" w:eastAsia="Calibri" w:hAnsi="Arial" w:cs="Arial"/>
                <w:noProof/>
                <w:sz w:val="24"/>
                <w:szCs w:val="24"/>
                <w:lang w:val="en-GB"/>
              </w:rPr>
            </w:pPr>
            <w:r w:rsidRPr="000729CF">
              <w:rPr>
                <w:rFonts w:ascii="Arial" w:eastAsia="Calibri" w:hAnsi="Arial" w:cs="Arial"/>
                <w:noProof/>
                <w:sz w:val="24"/>
                <w:szCs w:val="24"/>
                <w:lang w:val="en-GB"/>
              </w:rPr>
              <w:t>Must have an asset base of at least £5bn at the time of investment</w:t>
            </w:r>
          </w:p>
        </w:tc>
        <w:tc>
          <w:tcPr>
            <w:tcW w:w="1249" w:type="dxa"/>
            <w:shd w:val="clear" w:color="auto" w:fill="C6D9F1"/>
            <w:vAlign w:val="center"/>
          </w:tcPr>
          <w:p w14:paraId="6747304D" w14:textId="77777777" w:rsidR="000729CF" w:rsidRPr="000729CF" w:rsidRDefault="000729CF" w:rsidP="000729CF">
            <w:pPr>
              <w:numPr>
                <w:ilvl w:val="12"/>
                <w:numId w:val="0"/>
              </w:numPr>
              <w:tabs>
                <w:tab w:val="left" w:pos="360"/>
              </w:tabs>
              <w:jc w:val="center"/>
              <w:rPr>
                <w:rFonts w:ascii="Arial" w:eastAsia="Calibri" w:hAnsi="Arial" w:cs="Arial"/>
                <w:noProof/>
                <w:sz w:val="24"/>
                <w:szCs w:val="24"/>
                <w:lang w:val="en-GB"/>
              </w:rPr>
            </w:pPr>
            <w:r w:rsidRPr="000729CF">
              <w:rPr>
                <w:rFonts w:ascii="Arial" w:eastAsia="Calibri" w:hAnsi="Arial" w:cs="Arial"/>
                <w:noProof/>
                <w:sz w:val="24"/>
                <w:szCs w:val="24"/>
                <w:lang w:val="en-GB"/>
              </w:rPr>
              <w:t>N/A</w:t>
            </w:r>
          </w:p>
        </w:tc>
        <w:tc>
          <w:tcPr>
            <w:tcW w:w="1283" w:type="dxa"/>
            <w:shd w:val="clear" w:color="auto" w:fill="C6D9F1"/>
            <w:vAlign w:val="center"/>
          </w:tcPr>
          <w:p w14:paraId="3114F874" w14:textId="77777777" w:rsidR="000729CF" w:rsidRPr="000729CF" w:rsidRDefault="000729CF" w:rsidP="000729CF">
            <w:pPr>
              <w:numPr>
                <w:ilvl w:val="12"/>
                <w:numId w:val="0"/>
              </w:numPr>
              <w:tabs>
                <w:tab w:val="left" w:pos="360"/>
              </w:tabs>
              <w:jc w:val="center"/>
              <w:rPr>
                <w:rFonts w:ascii="Arial" w:eastAsia="Calibri" w:hAnsi="Arial" w:cs="Arial"/>
                <w:noProof/>
                <w:sz w:val="24"/>
                <w:szCs w:val="24"/>
                <w:lang w:val="en-GB"/>
              </w:rPr>
            </w:pPr>
            <w:r w:rsidRPr="000729CF">
              <w:rPr>
                <w:rFonts w:ascii="Arial" w:eastAsia="Calibri" w:hAnsi="Arial" w:cs="Arial"/>
                <w:noProof/>
                <w:sz w:val="24"/>
                <w:szCs w:val="24"/>
                <w:lang w:val="en-GB"/>
              </w:rPr>
              <w:t>£5m</w:t>
            </w:r>
          </w:p>
        </w:tc>
        <w:tc>
          <w:tcPr>
            <w:tcW w:w="1701" w:type="dxa"/>
            <w:shd w:val="clear" w:color="auto" w:fill="C6D9F1"/>
            <w:vAlign w:val="center"/>
          </w:tcPr>
          <w:p w14:paraId="0C8C44FF" w14:textId="77777777" w:rsidR="000729CF" w:rsidRPr="000729CF" w:rsidRDefault="000729CF" w:rsidP="000729CF">
            <w:pPr>
              <w:numPr>
                <w:ilvl w:val="12"/>
                <w:numId w:val="0"/>
              </w:numPr>
              <w:tabs>
                <w:tab w:val="left" w:pos="360"/>
              </w:tabs>
              <w:jc w:val="center"/>
              <w:rPr>
                <w:rFonts w:ascii="Arial" w:eastAsia="Calibri" w:hAnsi="Arial" w:cs="Arial"/>
                <w:noProof/>
                <w:sz w:val="24"/>
                <w:szCs w:val="24"/>
                <w:lang w:val="en-GB"/>
              </w:rPr>
            </w:pPr>
            <w:r w:rsidRPr="000729CF">
              <w:rPr>
                <w:rFonts w:ascii="Arial" w:eastAsia="Calibri" w:hAnsi="Arial" w:cs="Arial"/>
                <w:noProof/>
                <w:sz w:val="24"/>
                <w:szCs w:val="24"/>
                <w:lang w:val="en-GB"/>
              </w:rPr>
              <w:t>6 months</w:t>
            </w:r>
          </w:p>
        </w:tc>
      </w:tr>
      <w:tr w:rsidR="000729CF" w:rsidRPr="000729CF" w14:paraId="103D18A0" w14:textId="77777777" w:rsidTr="00BC26AB">
        <w:trPr>
          <w:trHeight w:val="412"/>
        </w:trPr>
        <w:tc>
          <w:tcPr>
            <w:tcW w:w="2219" w:type="dxa"/>
            <w:shd w:val="clear" w:color="auto" w:fill="auto"/>
            <w:vAlign w:val="center"/>
          </w:tcPr>
          <w:p w14:paraId="324511D1" w14:textId="77777777" w:rsidR="000729CF" w:rsidRPr="000729CF" w:rsidRDefault="000729CF" w:rsidP="000729CF">
            <w:pPr>
              <w:numPr>
                <w:ilvl w:val="12"/>
                <w:numId w:val="0"/>
              </w:numPr>
              <w:tabs>
                <w:tab w:val="left" w:pos="34"/>
              </w:tabs>
              <w:rPr>
                <w:rFonts w:ascii="Arial" w:eastAsia="Calibri" w:hAnsi="Arial" w:cs="Arial"/>
                <w:noProof/>
                <w:sz w:val="24"/>
                <w:szCs w:val="24"/>
                <w:lang w:val="en-GB"/>
              </w:rPr>
            </w:pPr>
            <w:r w:rsidRPr="000729CF">
              <w:rPr>
                <w:rFonts w:ascii="Arial" w:eastAsia="Calibri" w:hAnsi="Arial" w:cs="Arial"/>
                <w:noProof/>
                <w:sz w:val="24"/>
                <w:szCs w:val="24"/>
                <w:lang w:val="en-GB"/>
              </w:rPr>
              <w:t>Money Market Funds (CNAV and LVNAV)</w:t>
            </w:r>
          </w:p>
        </w:tc>
        <w:tc>
          <w:tcPr>
            <w:tcW w:w="1155" w:type="dxa"/>
            <w:shd w:val="clear" w:color="auto" w:fill="auto"/>
            <w:vAlign w:val="center"/>
          </w:tcPr>
          <w:p w14:paraId="1EC94F07" w14:textId="77777777" w:rsidR="000729CF" w:rsidRPr="000729CF" w:rsidRDefault="000729CF" w:rsidP="000729CF">
            <w:pPr>
              <w:jc w:val="center"/>
              <w:rPr>
                <w:rFonts w:ascii="Arial" w:eastAsia="Calibri" w:hAnsi="Arial" w:cs="Arial"/>
                <w:noProof/>
                <w:sz w:val="24"/>
                <w:szCs w:val="24"/>
                <w:lang w:val="en-GB"/>
              </w:rPr>
            </w:pPr>
            <w:r w:rsidRPr="000729CF">
              <w:rPr>
                <w:rFonts w:ascii="Arial" w:eastAsia="Calibri" w:hAnsi="Arial" w:cs="Arial"/>
                <w:noProof/>
                <w:sz w:val="24"/>
                <w:szCs w:val="24"/>
                <w:lang w:val="en-GB"/>
              </w:rPr>
              <w:t>UK / Ireland / EU domiciled</w:t>
            </w:r>
          </w:p>
        </w:tc>
        <w:tc>
          <w:tcPr>
            <w:tcW w:w="1607" w:type="dxa"/>
            <w:shd w:val="clear" w:color="auto" w:fill="auto"/>
            <w:vAlign w:val="center"/>
          </w:tcPr>
          <w:p w14:paraId="2BE979B0" w14:textId="77777777" w:rsidR="000729CF" w:rsidRPr="000729CF" w:rsidRDefault="000729CF" w:rsidP="000729CF">
            <w:pPr>
              <w:jc w:val="center"/>
              <w:rPr>
                <w:rFonts w:ascii="Arial" w:eastAsia="Calibri" w:hAnsi="Arial" w:cs="Arial"/>
                <w:noProof/>
                <w:sz w:val="24"/>
                <w:szCs w:val="24"/>
                <w:lang w:val="en-GB"/>
              </w:rPr>
            </w:pPr>
            <w:r w:rsidRPr="000729CF">
              <w:rPr>
                <w:rFonts w:ascii="Arial" w:eastAsia="Calibri" w:hAnsi="Arial" w:cs="Arial"/>
                <w:noProof/>
                <w:sz w:val="24"/>
                <w:szCs w:val="24"/>
                <w:lang w:val="en-GB"/>
              </w:rPr>
              <w:t>Must meet minimum credit criteria</w:t>
            </w:r>
          </w:p>
        </w:tc>
        <w:tc>
          <w:tcPr>
            <w:tcW w:w="1249" w:type="dxa"/>
            <w:shd w:val="clear" w:color="auto" w:fill="auto"/>
            <w:vAlign w:val="center"/>
          </w:tcPr>
          <w:p w14:paraId="36EE2CFB" w14:textId="77777777" w:rsidR="000729CF" w:rsidRPr="000729CF" w:rsidRDefault="000729CF" w:rsidP="000729CF">
            <w:pPr>
              <w:numPr>
                <w:ilvl w:val="12"/>
                <w:numId w:val="0"/>
              </w:numPr>
              <w:tabs>
                <w:tab w:val="left" w:pos="360"/>
              </w:tabs>
              <w:jc w:val="center"/>
              <w:rPr>
                <w:rFonts w:ascii="Arial" w:eastAsia="Calibri" w:hAnsi="Arial" w:cs="Arial"/>
                <w:noProof/>
                <w:sz w:val="24"/>
                <w:szCs w:val="24"/>
                <w:lang w:val="en-GB"/>
              </w:rPr>
            </w:pPr>
            <w:r w:rsidRPr="000729CF">
              <w:rPr>
                <w:rFonts w:ascii="Arial" w:eastAsia="Calibri" w:hAnsi="Arial" w:cs="Arial"/>
                <w:noProof/>
                <w:sz w:val="24"/>
                <w:szCs w:val="24"/>
                <w:lang w:val="en-GB"/>
              </w:rPr>
              <w:t>AAA</w:t>
            </w:r>
          </w:p>
        </w:tc>
        <w:tc>
          <w:tcPr>
            <w:tcW w:w="1283" w:type="dxa"/>
            <w:vAlign w:val="center"/>
          </w:tcPr>
          <w:p w14:paraId="6A405D11" w14:textId="77777777" w:rsidR="000729CF" w:rsidRPr="000729CF" w:rsidRDefault="000729CF" w:rsidP="000729CF">
            <w:pPr>
              <w:numPr>
                <w:ilvl w:val="12"/>
                <w:numId w:val="0"/>
              </w:numPr>
              <w:tabs>
                <w:tab w:val="left" w:pos="360"/>
              </w:tabs>
              <w:jc w:val="center"/>
              <w:rPr>
                <w:rFonts w:ascii="Arial" w:eastAsia="Calibri" w:hAnsi="Arial" w:cs="Arial"/>
                <w:noProof/>
                <w:sz w:val="24"/>
                <w:szCs w:val="24"/>
                <w:lang w:val="en-GB"/>
              </w:rPr>
            </w:pPr>
            <w:r w:rsidRPr="000729CF">
              <w:rPr>
                <w:rFonts w:ascii="Arial" w:eastAsia="Calibri" w:hAnsi="Arial" w:cs="Arial"/>
                <w:noProof/>
                <w:sz w:val="24"/>
                <w:szCs w:val="24"/>
                <w:lang w:val="en-GB"/>
              </w:rPr>
              <w:t>£20m per fund</w:t>
            </w:r>
          </w:p>
        </w:tc>
        <w:tc>
          <w:tcPr>
            <w:tcW w:w="1701" w:type="dxa"/>
            <w:shd w:val="clear" w:color="auto" w:fill="auto"/>
            <w:vAlign w:val="center"/>
          </w:tcPr>
          <w:p w14:paraId="423F44BF" w14:textId="77777777" w:rsidR="000729CF" w:rsidRPr="000729CF" w:rsidRDefault="000729CF" w:rsidP="000729CF">
            <w:pPr>
              <w:numPr>
                <w:ilvl w:val="12"/>
                <w:numId w:val="0"/>
              </w:numPr>
              <w:tabs>
                <w:tab w:val="left" w:pos="360"/>
              </w:tabs>
              <w:jc w:val="center"/>
              <w:rPr>
                <w:rFonts w:ascii="Arial" w:eastAsia="Calibri" w:hAnsi="Arial" w:cs="Arial"/>
                <w:noProof/>
                <w:sz w:val="24"/>
                <w:szCs w:val="24"/>
                <w:lang w:val="en-GB"/>
              </w:rPr>
            </w:pPr>
            <w:r w:rsidRPr="000729CF">
              <w:rPr>
                <w:rFonts w:ascii="Arial" w:eastAsia="Calibri" w:hAnsi="Arial" w:cs="Arial"/>
                <w:noProof/>
                <w:sz w:val="24"/>
                <w:szCs w:val="24"/>
                <w:lang w:val="en-GB"/>
              </w:rPr>
              <w:t>Liquid</w:t>
            </w:r>
          </w:p>
        </w:tc>
      </w:tr>
      <w:tr w:rsidR="000729CF" w:rsidRPr="000729CF" w14:paraId="5513074F" w14:textId="77777777" w:rsidTr="00BC26AB">
        <w:trPr>
          <w:trHeight w:val="412"/>
        </w:trPr>
        <w:tc>
          <w:tcPr>
            <w:tcW w:w="2219" w:type="dxa"/>
            <w:shd w:val="clear" w:color="auto" w:fill="C6D9F1"/>
            <w:vAlign w:val="center"/>
          </w:tcPr>
          <w:p w14:paraId="12E65F4F" w14:textId="77777777" w:rsidR="000729CF" w:rsidRPr="000729CF" w:rsidRDefault="000729CF" w:rsidP="000729CF">
            <w:pPr>
              <w:numPr>
                <w:ilvl w:val="12"/>
                <w:numId w:val="0"/>
              </w:numPr>
              <w:tabs>
                <w:tab w:val="left" w:pos="360"/>
              </w:tabs>
              <w:rPr>
                <w:rFonts w:ascii="Arial" w:eastAsia="Calibri" w:hAnsi="Arial" w:cs="Arial"/>
                <w:noProof/>
                <w:sz w:val="24"/>
                <w:szCs w:val="24"/>
                <w:lang w:val="en-GB"/>
              </w:rPr>
            </w:pPr>
            <w:r w:rsidRPr="000729CF">
              <w:rPr>
                <w:rFonts w:ascii="Arial" w:eastAsia="Calibri" w:hAnsi="Arial" w:cs="Arial"/>
                <w:iCs/>
                <w:sz w:val="24"/>
                <w:szCs w:val="24"/>
                <w:lang w:val="en-GB"/>
              </w:rPr>
              <w:t>Ultra Short Dated Bond Funds</w:t>
            </w:r>
          </w:p>
        </w:tc>
        <w:tc>
          <w:tcPr>
            <w:tcW w:w="1155" w:type="dxa"/>
            <w:shd w:val="clear" w:color="auto" w:fill="C6D9F1"/>
            <w:vAlign w:val="center"/>
          </w:tcPr>
          <w:p w14:paraId="2AE3217B" w14:textId="77777777" w:rsidR="000729CF" w:rsidRPr="000729CF" w:rsidRDefault="000729CF" w:rsidP="000729CF">
            <w:pPr>
              <w:autoSpaceDE w:val="0"/>
              <w:autoSpaceDN w:val="0"/>
              <w:adjustRightInd w:val="0"/>
              <w:jc w:val="center"/>
              <w:rPr>
                <w:rFonts w:ascii="Arial" w:eastAsia="Calibri" w:hAnsi="Arial" w:cs="Arial"/>
                <w:sz w:val="24"/>
                <w:szCs w:val="24"/>
                <w:lang w:val="en-GB"/>
              </w:rPr>
            </w:pPr>
            <w:r w:rsidRPr="000729CF">
              <w:rPr>
                <w:rFonts w:ascii="Arial" w:eastAsia="Calibri" w:hAnsi="Arial" w:cs="Arial"/>
                <w:sz w:val="24"/>
                <w:szCs w:val="24"/>
                <w:lang w:val="en-GB"/>
              </w:rPr>
              <w:t>UK / Ireland / EU domiciled</w:t>
            </w:r>
          </w:p>
        </w:tc>
        <w:tc>
          <w:tcPr>
            <w:tcW w:w="1607" w:type="dxa"/>
            <w:shd w:val="clear" w:color="auto" w:fill="C6D9F1"/>
            <w:vAlign w:val="center"/>
          </w:tcPr>
          <w:p w14:paraId="668845F8" w14:textId="77777777" w:rsidR="000729CF" w:rsidRPr="000729CF" w:rsidRDefault="000729CF" w:rsidP="000729CF">
            <w:pPr>
              <w:tabs>
                <w:tab w:val="left" w:pos="177"/>
              </w:tabs>
              <w:jc w:val="center"/>
              <w:rPr>
                <w:rFonts w:ascii="Arial" w:eastAsia="Calibri" w:hAnsi="Arial" w:cs="Arial"/>
                <w:noProof/>
                <w:sz w:val="24"/>
                <w:szCs w:val="24"/>
                <w:lang w:val="en-GB"/>
              </w:rPr>
            </w:pPr>
            <w:r w:rsidRPr="000729CF">
              <w:rPr>
                <w:rFonts w:ascii="Arial" w:eastAsia="Calibri" w:hAnsi="Arial" w:cs="Arial"/>
                <w:noProof/>
                <w:sz w:val="24"/>
                <w:szCs w:val="24"/>
                <w:lang w:val="en-GB"/>
              </w:rPr>
              <w:t>Must meet minimum credit criteria</w:t>
            </w:r>
          </w:p>
        </w:tc>
        <w:tc>
          <w:tcPr>
            <w:tcW w:w="1249" w:type="dxa"/>
            <w:shd w:val="clear" w:color="auto" w:fill="C6D9F1"/>
            <w:vAlign w:val="center"/>
          </w:tcPr>
          <w:p w14:paraId="14F13694" w14:textId="77777777" w:rsidR="000729CF" w:rsidRPr="000729CF" w:rsidRDefault="000729CF" w:rsidP="000729CF">
            <w:pPr>
              <w:numPr>
                <w:ilvl w:val="12"/>
                <w:numId w:val="0"/>
              </w:numPr>
              <w:tabs>
                <w:tab w:val="left" w:pos="360"/>
              </w:tabs>
              <w:jc w:val="center"/>
              <w:rPr>
                <w:rFonts w:ascii="Arial" w:eastAsia="Calibri" w:hAnsi="Arial" w:cs="Arial"/>
                <w:b/>
                <w:i/>
                <w:noProof/>
                <w:sz w:val="24"/>
                <w:szCs w:val="24"/>
                <w:lang w:val="en-GB"/>
              </w:rPr>
            </w:pPr>
            <w:r w:rsidRPr="000729CF">
              <w:rPr>
                <w:rFonts w:ascii="Arial" w:eastAsia="Calibri" w:hAnsi="Arial" w:cs="Arial"/>
                <w:noProof/>
                <w:sz w:val="24"/>
                <w:szCs w:val="24"/>
                <w:lang w:val="en-GB"/>
              </w:rPr>
              <w:t>AA</w:t>
            </w:r>
          </w:p>
        </w:tc>
        <w:tc>
          <w:tcPr>
            <w:tcW w:w="1283" w:type="dxa"/>
            <w:shd w:val="clear" w:color="auto" w:fill="C6D9F1"/>
            <w:vAlign w:val="center"/>
          </w:tcPr>
          <w:p w14:paraId="04C78C6F" w14:textId="77777777" w:rsidR="000729CF" w:rsidRPr="000729CF" w:rsidRDefault="000729CF" w:rsidP="000729CF">
            <w:pPr>
              <w:numPr>
                <w:ilvl w:val="12"/>
                <w:numId w:val="0"/>
              </w:numPr>
              <w:tabs>
                <w:tab w:val="left" w:pos="360"/>
              </w:tabs>
              <w:jc w:val="center"/>
              <w:rPr>
                <w:rFonts w:ascii="Arial" w:eastAsia="Calibri" w:hAnsi="Arial" w:cs="Arial"/>
                <w:noProof/>
                <w:sz w:val="24"/>
                <w:szCs w:val="24"/>
                <w:lang w:val="en-GB"/>
              </w:rPr>
            </w:pPr>
            <w:r w:rsidRPr="000729CF">
              <w:rPr>
                <w:rFonts w:ascii="Arial" w:eastAsia="Calibri" w:hAnsi="Arial" w:cs="Arial"/>
                <w:noProof/>
                <w:sz w:val="24"/>
                <w:szCs w:val="24"/>
                <w:lang w:val="en-GB"/>
              </w:rPr>
              <w:t>£20m per fund</w:t>
            </w:r>
          </w:p>
        </w:tc>
        <w:tc>
          <w:tcPr>
            <w:tcW w:w="1701" w:type="dxa"/>
            <w:shd w:val="clear" w:color="auto" w:fill="C6D9F1"/>
            <w:vAlign w:val="center"/>
          </w:tcPr>
          <w:p w14:paraId="7663286E" w14:textId="77777777" w:rsidR="000729CF" w:rsidRPr="000729CF" w:rsidRDefault="000729CF" w:rsidP="000729CF">
            <w:pPr>
              <w:numPr>
                <w:ilvl w:val="12"/>
                <w:numId w:val="0"/>
              </w:numPr>
              <w:tabs>
                <w:tab w:val="left" w:pos="360"/>
              </w:tabs>
              <w:jc w:val="center"/>
              <w:rPr>
                <w:rFonts w:ascii="Arial" w:eastAsia="Calibri" w:hAnsi="Arial" w:cs="Arial"/>
                <w:noProof/>
                <w:sz w:val="24"/>
                <w:szCs w:val="24"/>
                <w:lang w:val="en-GB"/>
              </w:rPr>
            </w:pPr>
            <w:r w:rsidRPr="000729CF">
              <w:rPr>
                <w:rFonts w:ascii="Arial" w:eastAsia="Calibri" w:hAnsi="Arial" w:cs="Arial"/>
                <w:noProof/>
                <w:sz w:val="24"/>
                <w:szCs w:val="24"/>
                <w:lang w:val="en-GB"/>
              </w:rPr>
              <w:t>Liquid</w:t>
            </w:r>
          </w:p>
        </w:tc>
      </w:tr>
    </w:tbl>
    <w:bookmarkEnd w:id="63"/>
    <w:p w14:paraId="560C4B92" w14:textId="77777777" w:rsidR="000729CF" w:rsidRPr="000729CF" w:rsidRDefault="000729CF" w:rsidP="000729CF">
      <w:pPr>
        <w:spacing w:after="200" w:line="276" w:lineRule="auto"/>
        <w:ind w:left="720"/>
        <w:rPr>
          <w:rFonts w:ascii="Arial" w:eastAsia="Calibri" w:hAnsi="Arial" w:cs="Arial"/>
          <w:sz w:val="24"/>
          <w:szCs w:val="24"/>
          <w:lang w:val="en-GB"/>
        </w:rPr>
      </w:pPr>
      <w:r w:rsidRPr="000729CF">
        <w:rPr>
          <w:rFonts w:ascii="Arial" w:eastAsia="Calibri" w:hAnsi="Arial" w:cs="Arial"/>
          <w:sz w:val="24"/>
          <w:szCs w:val="24"/>
          <w:lang w:val="en-GB"/>
        </w:rPr>
        <w:t>*See Paragraph 4.3 for full list of countries that meet these criteria</w:t>
      </w:r>
    </w:p>
    <w:p w14:paraId="30BC1321" w14:textId="77777777" w:rsidR="000729CF" w:rsidRPr="000729CF" w:rsidRDefault="000729CF" w:rsidP="00CE70A3">
      <w:pPr>
        <w:numPr>
          <w:ilvl w:val="2"/>
          <w:numId w:val="67"/>
        </w:numPr>
        <w:spacing w:before="120" w:after="120" w:line="276" w:lineRule="auto"/>
        <w:outlineLvl w:val="2"/>
        <w:rPr>
          <w:rFonts w:ascii="Arial" w:hAnsi="Arial" w:cs="Arial"/>
          <w:b/>
          <w:bCs/>
          <w:i/>
          <w:iCs/>
          <w:sz w:val="24"/>
          <w:szCs w:val="24"/>
          <w:lang w:val="en-GB"/>
        </w:rPr>
      </w:pPr>
      <w:r w:rsidRPr="000729CF">
        <w:rPr>
          <w:rFonts w:ascii="Arial" w:hAnsi="Arial" w:cs="Arial"/>
          <w:b/>
          <w:bCs/>
          <w:i/>
          <w:iCs/>
          <w:sz w:val="24"/>
          <w:szCs w:val="24"/>
          <w:lang w:val="en-GB"/>
        </w:rPr>
        <w:t>Lending to the council’s operational banking service provider</w:t>
      </w:r>
    </w:p>
    <w:p w14:paraId="3A36B2D4" w14:textId="77777777" w:rsidR="000729CF" w:rsidRPr="000729CF" w:rsidRDefault="000729CF" w:rsidP="000729CF">
      <w:pPr>
        <w:spacing w:after="200"/>
        <w:ind w:left="720"/>
        <w:rPr>
          <w:rFonts w:ascii="Arial" w:eastAsia="Calibri" w:hAnsi="Arial" w:cs="Arial"/>
          <w:sz w:val="24"/>
          <w:szCs w:val="24"/>
          <w:lang w:val="en-GB"/>
        </w:rPr>
      </w:pPr>
      <w:r w:rsidRPr="000729CF">
        <w:rPr>
          <w:rFonts w:ascii="Arial" w:eastAsia="Calibri" w:hAnsi="Arial" w:cs="Arial"/>
          <w:sz w:val="24"/>
          <w:szCs w:val="24"/>
          <w:lang w:val="en-GB"/>
        </w:rPr>
        <w:t>An additional operating limit of £2m and an additional investment limit of £5m will be provided for the council’s provider of transactional banking services (currently Lloyds Bank plc). It is unavoidable that the £2m operational limit will be breached from time to time, however, officers will endeavour to keep this to an absolute minimum.</w:t>
      </w:r>
    </w:p>
    <w:p w14:paraId="5F7740B0" w14:textId="77777777" w:rsidR="000729CF" w:rsidRPr="000729CF" w:rsidRDefault="000729CF" w:rsidP="00CE70A3">
      <w:pPr>
        <w:numPr>
          <w:ilvl w:val="2"/>
          <w:numId w:val="67"/>
        </w:numPr>
        <w:spacing w:before="120" w:after="120" w:line="276" w:lineRule="auto"/>
        <w:outlineLvl w:val="2"/>
        <w:rPr>
          <w:rFonts w:ascii="Arial" w:hAnsi="Arial" w:cs="Arial"/>
          <w:b/>
          <w:bCs/>
          <w:i/>
          <w:iCs/>
          <w:sz w:val="24"/>
          <w:szCs w:val="24"/>
          <w:lang w:val="en-GB"/>
        </w:rPr>
      </w:pPr>
      <w:r w:rsidRPr="000729CF">
        <w:rPr>
          <w:rFonts w:ascii="Arial" w:hAnsi="Arial" w:cs="Arial"/>
          <w:b/>
          <w:bCs/>
          <w:i/>
          <w:iCs/>
          <w:sz w:val="24"/>
          <w:szCs w:val="24"/>
          <w:lang w:val="en-GB"/>
        </w:rPr>
        <w:t>Part-Nationalised Banks</w:t>
      </w:r>
    </w:p>
    <w:p w14:paraId="7CF97953" w14:textId="77777777" w:rsidR="000729CF" w:rsidRPr="000729CF" w:rsidRDefault="000729CF" w:rsidP="000729CF">
      <w:pPr>
        <w:spacing w:afterLines="60" w:after="144"/>
        <w:ind w:left="720"/>
        <w:rPr>
          <w:rFonts w:ascii="Arial" w:eastAsia="Calibri" w:hAnsi="Arial" w:cs="Arial"/>
          <w:sz w:val="24"/>
          <w:szCs w:val="24"/>
          <w:lang w:val="en-GB"/>
        </w:rPr>
      </w:pPr>
      <w:r w:rsidRPr="000729CF">
        <w:rPr>
          <w:rFonts w:ascii="Arial" w:eastAsia="Calibri" w:hAnsi="Arial" w:cs="Arial"/>
          <w:sz w:val="24"/>
          <w:szCs w:val="24"/>
          <w:lang w:val="en-GB"/>
        </w:rPr>
        <w:t>The council can lend up to £30m for up to 12 months to any bank in which the UK Government holds a majority shareholding regardless of the credit rating due to the implied government support of those entities. The Royal Bank of Scotland PLC &amp; National Westminster Bank PLC are the two entities currently treated as part-nationalised.</w:t>
      </w:r>
    </w:p>
    <w:p w14:paraId="09B059BF" w14:textId="77777777" w:rsidR="000729CF" w:rsidRPr="000729CF" w:rsidRDefault="000729CF" w:rsidP="00CE70A3">
      <w:pPr>
        <w:numPr>
          <w:ilvl w:val="2"/>
          <w:numId w:val="67"/>
        </w:numPr>
        <w:spacing w:before="120" w:after="120" w:line="276" w:lineRule="auto"/>
        <w:outlineLvl w:val="2"/>
        <w:rPr>
          <w:rFonts w:ascii="Arial" w:hAnsi="Arial" w:cs="Arial"/>
          <w:b/>
          <w:bCs/>
          <w:i/>
          <w:iCs/>
          <w:sz w:val="24"/>
          <w:szCs w:val="24"/>
          <w:lang w:val="en-GB"/>
        </w:rPr>
      </w:pPr>
      <w:r w:rsidRPr="000729CF">
        <w:rPr>
          <w:rFonts w:ascii="Arial" w:hAnsi="Arial" w:cs="Arial"/>
          <w:b/>
          <w:bCs/>
          <w:i/>
          <w:iCs/>
          <w:sz w:val="24"/>
          <w:szCs w:val="24"/>
          <w:lang w:val="en-GB"/>
        </w:rPr>
        <w:t>Non-Specified investments</w:t>
      </w:r>
    </w:p>
    <w:p w14:paraId="4D6F99C7" w14:textId="77777777" w:rsidR="000729CF" w:rsidRPr="000729CF" w:rsidRDefault="000729CF" w:rsidP="000729CF">
      <w:pPr>
        <w:spacing w:afterLines="60" w:after="144"/>
        <w:ind w:left="720"/>
        <w:rPr>
          <w:rFonts w:ascii="Arial" w:eastAsia="Calibri" w:hAnsi="Arial" w:cs="Arial"/>
          <w:sz w:val="24"/>
          <w:szCs w:val="24"/>
          <w:lang w:val="en-GB"/>
        </w:rPr>
      </w:pPr>
      <w:r w:rsidRPr="000729CF">
        <w:rPr>
          <w:rFonts w:ascii="Arial" w:eastAsia="Calibri" w:hAnsi="Arial" w:cs="Arial"/>
          <w:sz w:val="24"/>
          <w:szCs w:val="24"/>
          <w:lang w:val="en-GB"/>
        </w:rPr>
        <w:t xml:space="preserve">These are any other types of investment that are not defined as specified. </w:t>
      </w:r>
    </w:p>
    <w:tbl>
      <w:tblPr>
        <w:tblW w:w="0" w:type="auto"/>
        <w:tblInd w:w="704" w:type="dxa"/>
        <w:tblBorders>
          <w:top w:val="single" w:sz="4" w:space="0" w:color="747678"/>
          <w:left w:val="single" w:sz="4" w:space="0" w:color="747678"/>
          <w:bottom w:val="single" w:sz="4" w:space="0" w:color="747678"/>
          <w:right w:val="single" w:sz="4" w:space="0" w:color="747678"/>
          <w:insideH w:val="single" w:sz="4" w:space="0" w:color="747678"/>
          <w:insideV w:val="single" w:sz="4" w:space="0" w:color="747678"/>
        </w:tblBorders>
        <w:tblLook w:val="01E0" w:firstRow="1" w:lastRow="1" w:firstColumn="1" w:lastColumn="1" w:noHBand="0" w:noVBand="0"/>
      </w:tblPr>
      <w:tblGrid>
        <w:gridCol w:w="1517"/>
        <w:gridCol w:w="1652"/>
        <w:gridCol w:w="3268"/>
        <w:gridCol w:w="1457"/>
        <w:gridCol w:w="1030"/>
      </w:tblGrid>
      <w:tr w:rsidR="000729CF" w:rsidRPr="000729CF" w14:paraId="5CE327FD" w14:textId="77777777" w:rsidTr="00BC26AB">
        <w:tc>
          <w:tcPr>
            <w:tcW w:w="0" w:type="auto"/>
            <w:shd w:val="clear" w:color="auto" w:fill="17365D"/>
            <w:vAlign w:val="center"/>
          </w:tcPr>
          <w:p w14:paraId="4D6B3345" w14:textId="77777777" w:rsidR="000729CF" w:rsidRPr="000729CF" w:rsidRDefault="000729CF" w:rsidP="000729CF">
            <w:pPr>
              <w:keepNext/>
              <w:widowControl w:val="0"/>
              <w:numPr>
                <w:ilvl w:val="12"/>
                <w:numId w:val="0"/>
              </w:numPr>
              <w:tabs>
                <w:tab w:val="left" w:pos="360"/>
              </w:tabs>
              <w:rPr>
                <w:rFonts w:ascii="Arial" w:eastAsia="Calibri" w:hAnsi="Arial" w:cs="Arial"/>
                <w:b/>
                <w:noProof/>
                <w:sz w:val="24"/>
                <w:szCs w:val="24"/>
                <w:lang w:val="en-GB"/>
              </w:rPr>
            </w:pPr>
            <w:bookmarkStart w:id="64" w:name="_Hlk94006432"/>
            <w:r w:rsidRPr="000729CF">
              <w:rPr>
                <w:rFonts w:ascii="Arial" w:eastAsia="Calibri" w:hAnsi="Arial" w:cs="Arial"/>
                <w:b/>
                <w:noProof/>
                <w:sz w:val="24"/>
                <w:szCs w:val="24"/>
                <w:lang w:val="en-GB"/>
              </w:rPr>
              <w:t>Table 7</w:t>
            </w:r>
          </w:p>
        </w:tc>
        <w:tc>
          <w:tcPr>
            <w:tcW w:w="0" w:type="auto"/>
            <w:shd w:val="clear" w:color="auto" w:fill="17365D"/>
            <w:vAlign w:val="center"/>
          </w:tcPr>
          <w:p w14:paraId="249ABEF3" w14:textId="77777777" w:rsidR="000729CF" w:rsidRPr="000729CF" w:rsidRDefault="000729CF" w:rsidP="000729CF">
            <w:pPr>
              <w:keepNext/>
              <w:widowControl w:val="0"/>
              <w:numPr>
                <w:ilvl w:val="12"/>
                <w:numId w:val="0"/>
              </w:numPr>
              <w:tabs>
                <w:tab w:val="left" w:pos="360"/>
              </w:tabs>
              <w:jc w:val="center"/>
              <w:rPr>
                <w:rFonts w:ascii="Arial" w:eastAsia="Calibri" w:hAnsi="Arial" w:cs="Arial"/>
                <w:b/>
                <w:noProof/>
                <w:sz w:val="24"/>
                <w:szCs w:val="24"/>
                <w:lang w:val="en-GB"/>
              </w:rPr>
            </w:pPr>
            <w:r w:rsidRPr="000729CF">
              <w:rPr>
                <w:rFonts w:ascii="Arial" w:eastAsia="Calibri" w:hAnsi="Arial" w:cs="Arial"/>
                <w:b/>
                <w:noProof/>
                <w:sz w:val="24"/>
                <w:szCs w:val="24"/>
                <w:lang w:val="en-GB"/>
              </w:rPr>
              <w:t>Instrument Type</w:t>
            </w:r>
          </w:p>
        </w:tc>
        <w:tc>
          <w:tcPr>
            <w:tcW w:w="0" w:type="auto"/>
            <w:shd w:val="clear" w:color="auto" w:fill="17365D"/>
            <w:vAlign w:val="center"/>
          </w:tcPr>
          <w:p w14:paraId="5F9C44CB" w14:textId="77777777" w:rsidR="000729CF" w:rsidRPr="000729CF" w:rsidRDefault="000729CF" w:rsidP="000729CF">
            <w:pPr>
              <w:keepNext/>
              <w:widowControl w:val="0"/>
              <w:numPr>
                <w:ilvl w:val="12"/>
                <w:numId w:val="0"/>
              </w:numPr>
              <w:tabs>
                <w:tab w:val="left" w:pos="360"/>
              </w:tabs>
              <w:jc w:val="center"/>
              <w:rPr>
                <w:rFonts w:ascii="Arial" w:eastAsia="Calibri" w:hAnsi="Arial" w:cs="Arial"/>
                <w:b/>
                <w:noProof/>
                <w:sz w:val="24"/>
                <w:szCs w:val="24"/>
                <w:lang w:val="en-GB"/>
              </w:rPr>
            </w:pPr>
            <w:r w:rsidRPr="000729CF">
              <w:rPr>
                <w:rFonts w:ascii="Arial" w:eastAsia="Calibri" w:hAnsi="Arial" w:cs="Arial"/>
                <w:b/>
                <w:noProof/>
                <w:sz w:val="24"/>
                <w:szCs w:val="24"/>
                <w:lang w:val="en-GB"/>
              </w:rPr>
              <w:t>Minimum credit criteria (L/term / S/term)</w:t>
            </w:r>
          </w:p>
        </w:tc>
        <w:tc>
          <w:tcPr>
            <w:tcW w:w="0" w:type="auto"/>
            <w:shd w:val="clear" w:color="auto" w:fill="17365D"/>
            <w:vAlign w:val="center"/>
          </w:tcPr>
          <w:p w14:paraId="09081BC2" w14:textId="77777777" w:rsidR="000729CF" w:rsidRPr="000729CF" w:rsidRDefault="000729CF" w:rsidP="000729CF">
            <w:pPr>
              <w:keepNext/>
              <w:widowControl w:val="0"/>
              <w:numPr>
                <w:ilvl w:val="12"/>
                <w:numId w:val="0"/>
              </w:numPr>
              <w:tabs>
                <w:tab w:val="left" w:pos="360"/>
              </w:tabs>
              <w:jc w:val="center"/>
              <w:rPr>
                <w:rFonts w:ascii="Arial" w:eastAsia="Calibri" w:hAnsi="Arial" w:cs="Arial"/>
                <w:b/>
                <w:noProof/>
                <w:sz w:val="24"/>
                <w:szCs w:val="24"/>
                <w:lang w:val="en-GB"/>
              </w:rPr>
            </w:pPr>
            <w:r w:rsidRPr="000729CF">
              <w:rPr>
                <w:rFonts w:ascii="Arial" w:eastAsia="Calibri" w:hAnsi="Arial" w:cs="Arial"/>
                <w:b/>
                <w:noProof/>
                <w:sz w:val="24"/>
                <w:szCs w:val="24"/>
                <w:lang w:val="en-GB"/>
              </w:rPr>
              <w:t>Maxixum Amount 2024/25</w:t>
            </w:r>
          </w:p>
        </w:tc>
        <w:tc>
          <w:tcPr>
            <w:tcW w:w="0" w:type="auto"/>
            <w:shd w:val="clear" w:color="auto" w:fill="17365D"/>
            <w:vAlign w:val="center"/>
          </w:tcPr>
          <w:p w14:paraId="171D8632" w14:textId="77777777" w:rsidR="000729CF" w:rsidRPr="000729CF" w:rsidRDefault="000729CF" w:rsidP="000729CF">
            <w:pPr>
              <w:keepNext/>
              <w:widowControl w:val="0"/>
              <w:numPr>
                <w:ilvl w:val="12"/>
                <w:numId w:val="0"/>
              </w:numPr>
              <w:tabs>
                <w:tab w:val="left" w:pos="360"/>
              </w:tabs>
              <w:jc w:val="center"/>
              <w:rPr>
                <w:rFonts w:ascii="Arial" w:eastAsia="Calibri" w:hAnsi="Arial" w:cs="Arial"/>
                <w:b/>
                <w:noProof/>
                <w:sz w:val="24"/>
                <w:szCs w:val="24"/>
                <w:lang w:val="en-GB"/>
              </w:rPr>
            </w:pPr>
            <w:r w:rsidRPr="000729CF">
              <w:rPr>
                <w:rFonts w:ascii="Arial" w:eastAsia="Calibri" w:hAnsi="Arial" w:cs="Arial"/>
                <w:b/>
                <w:noProof/>
                <w:sz w:val="24"/>
                <w:szCs w:val="24"/>
                <w:lang w:val="en-GB"/>
              </w:rPr>
              <w:t>Period</w:t>
            </w:r>
          </w:p>
          <w:p w14:paraId="62B1DFCA" w14:textId="77777777" w:rsidR="000729CF" w:rsidRPr="000729CF" w:rsidRDefault="000729CF" w:rsidP="000729CF">
            <w:pPr>
              <w:keepNext/>
              <w:widowControl w:val="0"/>
              <w:numPr>
                <w:ilvl w:val="12"/>
                <w:numId w:val="0"/>
              </w:numPr>
              <w:tabs>
                <w:tab w:val="left" w:pos="360"/>
              </w:tabs>
              <w:jc w:val="center"/>
              <w:rPr>
                <w:rFonts w:ascii="Arial" w:eastAsia="Calibri" w:hAnsi="Arial" w:cs="Arial"/>
                <w:b/>
                <w:noProof/>
                <w:sz w:val="24"/>
                <w:szCs w:val="24"/>
                <w:lang w:val="en-GB"/>
              </w:rPr>
            </w:pPr>
            <w:r w:rsidRPr="000729CF">
              <w:rPr>
                <w:rFonts w:ascii="Arial" w:eastAsia="Calibri" w:hAnsi="Arial" w:cs="Arial"/>
                <w:b/>
                <w:noProof/>
                <w:sz w:val="24"/>
                <w:szCs w:val="24"/>
                <w:lang w:val="en-GB"/>
              </w:rPr>
              <w:t>(Years)</w:t>
            </w:r>
          </w:p>
        </w:tc>
      </w:tr>
      <w:tr w:rsidR="000729CF" w:rsidRPr="000729CF" w14:paraId="02AA7BB6" w14:textId="77777777" w:rsidTr="00BC26AB">
        <w:trPr>
          <w:trHeight w:val="412"/>
        </w:trPr>
        <w:tc>
          <w:tcPr>
            <w:tcW w:w="0" w:type="auto"/>
            <w:vAlign w:val="center"/>
          </w:tcPr>
          <w:p w14:paraId="11820C6D" w14:textId="77777777" w:rsidR="000729CF" w:rsidRPr="000729CF" w:rsidRDefault="000729CF" w:rsidP="000729CF">
            <w:pPr>
              <w:numPr>
                <w:ilvl w:val="12"/>
                <w:numId w:val="0"/>
              </w:numPr>
              <w:tabs>
                <w:tab w:val="left" w:pos="360"/>
              </w:tabs>
              <w:rPr>
                <w:rFonts w:ascii="Arial" w:eastAsia="Calibri" w:hAnsi="Arial" w:cs="Arial"/>
                <w:noProof/>
                <w:sz w:val="24"/>
                <w:szCs w:val="24"/>
                <w:lang w:val="en-GB"/>
              </w:rPr>
            </w:pPr>
            <w:r w:rsidRPr="000729CF">
              <w:rPr>
                <w:rFonts w:ascii="Arial" w:eastAsia="Calibri" w:hAnsi="Arial" w:cs="Arial"/>
                <w:noProof/>
                <w:sz w:val="24"/>
                <w:szCs w:val="24"/>
                <w:lang w:val="en-GB"/>
              </w:rPr>
              <w:t>UK Local Authorities</w:t>
            </w:r>
          </w:p>
        </w:tc>
        <w:tc>
          <w:tcPr>
            <w:tcW w:w="0" w:type="auto"/>
            <w:vAlign w:val="center"/>
          </w:tcPr>
          <w:p w14:paraId="45235A35" w14:textId="77777777" w:rsidR="000729CF" w:rsidRPr="000729CF" w:rsidRDefault="000729CF" w:rsidP="000729CF">
            <w:pPr>
              <w:numPr>
                <w:ilvl w:val="12"/>
                <w:numId w:val="0"/>
              </w:numPr>
              <w:tabs>
                <w:tab w:val="left" w:pos="360"/>
              </w:tabs>
              <w:jc w:val="center"/>
              <w:rPr>
                <w:rFonts w:ascii="Arial" w:eastAsia="Calibri" w:hAnsi="Arial" w:cs="Arial"/>
                <w:noProof/>
                <w:sz w:val="24"/>
                <w:szCs w:val="24"/>
                <w:lang w:val="en-GB"/>
              </w:rPr>
            </w:pPr>
            <w:r w:rsidRPr="000729CF">
              <w:rPr>
                <w:rFonts w:ascii="Arial" w:eastAsia="Calibri" w:hAnsi="Arial" w:cs="Arial"/>
                <w:noProof/>
                <w:sz w:val="24"/>
                <w:szCs w:val="24"/>
                <w:lang w:val="en-GB"/>
              </w:rPr>
              <w:t>N/A</w:t>
            </w:r>
          </w:p>
        </w:tc>
        <w:tc>
          <w:tcPr>
            <w:tcW w:w="0" w:type="auto"/>
            <w:vAlign w:val="center"/>
          </w:tcPr>
          <w:p w14:paraId="78488E53" w14:textId="77777777" w:rsidR="000729CF" w:rsidRPr="000729CF" w:rsidRDefault="000729CF" w:rsidP="000729CF">
            <w:pPr>
              <w:numPr>
                <w:ilvl w:val="12"/>
                <w:numId w:val="0"/>
              </w:numPr>
              <w:tabs>
                <w:tab w:val="left" w:pos="360"/>
              </w:tabs>
              <w:jc w:val="center"/>
              <w:rPr>
                <w:rFonts w:ascii="Arial" w:eastAsia="Calibri" w:hAnsi="Arial" w:cs="Arial"/>
                <w:noProof/>
                <w:sz w:val="24"/>
                <w:szCs w:val="24"/>
                <w:lang w:val="en-GB"/>
              </w:rPr>
            </w:pPr>
            <w:r w:rsidRPr="000729CF">
              <w:rPr>
                <w:rFonts w:ascii="Arial" w:eastAsia="Calibri" w:hAnsi="Arial" w:cs="Arial"/>
                <w:noProof/>
                <w:sz w:val="24"/>
                <w:szCs w:val="24"/>
                <w:lang w:val="en-GB"/>
              </w:rPr>
              <w:t>N/A</w:t>
            </w:r>
          </w:p>
        </w:tc>
        <w:tc>
          <w:tcPr>
            <w:tcW w:w="0" w:type="auto"/>
            <w:vAlign w:val="center"/>
          </w:tcPr>
          <w:p w14:paraId="1288F5A6" w14:textId="77777777" w:rsidR="000729CF" w:rsidRPr="000729CF" w:rsidRDefault="000729CF" w:rsidP="000729CF">
            <w:pPr>
              <w:numPr>
                <w:ilvl w:val="12"/>
                <w:numId w:val="0"/>
              </w:numPr>
              <w:tabs>
                <w:tab w:val="left" w:pos="360"/>
              </w:tabs>
              <w:jc w:val="center"/>
              <w:rPr>
                <w:rFonts w:ascii="Arial" w:eastAsia="Calibri" w:hAnsi="Arial" w:cs="Arial"/>
                <w:noProof/>
                <w:sz w:val="24"/>
                <w:szCs w:val="24"/>
                <w:lang w:val="en-GB"/>
              </w:rPr>
            </w:pPr>
            <w:r w:rsidRPr="000729CF">
              <w:rPr>
                <w:rFonts w:ascii="Arial" w:eastAsia="Calibri" w:hAnsi="Arial" w:cs="Arial"/>
                <w:noProof/>
                <w:sz w:val="24"/>
                <w:szCs w:val="24"/>
                <w:lang w:val="en-GB"/>
              </w:rPr>
              <w:t>£20m per LA</w:t>
            </w:r>
          </w:p>
        </w:tc>
        <w:tc>
          <w:tcPr>
            <w:tcW w:w="0" w:type="auto"/>
            <w:vAlign w:val="center"/>
          </w:tcPr>
          <w:p w14:paraId="2B449F92" w14:textId="77777777" w:rsidR="000729CF" w:rsidRPr="000729CF" w:rsidRDefault="000729CF" w:rsidP="000729CF">
            <w:pPr>
              <w:numPr>
                <w:ilvl w:val="12"/>
                <w:numId w:val="0"/>
              </w:numPr>
              <w:tabs>
                <w:tab w:val="left" w:pos="360"/>
              </w:tabs>
              <w:jc w:val="center"/>
              <w:rPr>
                <w:rFonts w:ascii="Arial" w:eastAsia="Calibri" w:hAnsi="Arial" w:cs="Arial"/>
                <w:noProof/>
                <w:sz w:val="24"/>
                <w:szCs w:val="24"/>
                <w:lang w:val="en-GB"/>
              </w:rPr>
            </w:pPr>
            <w:r w:rsidRPr="000729CF">
              <w:rPr>
                <w:rFonts w:ascii="Arial" w:eastAsia="Calibri" w:hAnsi="Arial" w:cs="Arial"/>
                <w:noProof/>
                <w:sz w:val="24"/>
                <w:szCs w:val="24"/>
                <w:lang w:val="en-GB"/>
              </w:rPr>
              <w:t>5</w:t>
            </w:r>
          </w:p>
        </w:tc>
      </w:tr>
      <w:tr w:rsidR="000729CF" w:rsidRPr="000729CF" w14:paraId="34866165" w14:textId="77777777" w:rsidTr="00BC26AB">
        <w:trPr>
          <w:trHeight w:val="128"/>
        </w:trPr>
        <w:tc>
          <w:tcPr>
            <w:tcW w:w="0" w:type="auto"/>
            <w:vMerge w:val="restart"/>
            <w:shd w:val="clear" w:color="auto" w:fill="C6D9F1"/>
            <w:vAlign w:val="center"/>
          </w:tcPr>
          <w:p w14:paraId="61589629" w14:textId="77777777" w:rsidR="000729CF" w:rsidRPr="000729CF" w:rsidRDefault="000729CF" w:rsidP="000729CF">
            <w:pPr>
              <w:numPr>
                <w:ilvl w:val="12"/>
                <w:numId w:val="0"/>
              </w:numPr>
              <w:tabs>
                <w:tab w:val="left" w:pos="360"/>
              </w:tabs>
              <w:rPr>
                <w:rFonts w:ascii="Arial" w:eastAsia="Calibri" w:hAnsi="Arial" w:cs="Arial"/>
                <w:noProof/>
                <w:sz w:val="24"/>
                <w:szCs w:val="24"/>
                <w:lang w:val="en-GB"/>
              </w:rPr>
            </w:pPr>
            <w:r w:rsidRPr="000729CF">
              <w:rPr>
                <w:rFonts w:ascii="Arial" w:eastAsia="Calibri" w:hAnsi="Arial" w:cs="Arial"/>
                <w:noProof/>
                <w:sz w:val="24"/>
                <w:szCs w:val="24"/>
                <w:lang w:val="en-GB"/>
              </w:rPr>
              <w:t>UK Banks &amp;</w:t>
            </w:r>
          </w:p>
          <w:p w14:paraId="1E8580B6" w14:textId="77777777" w:rsidR="000729CF" w:rsidRPr="000729CF" w:rsidRDefault="000729CF" w:rsidP="000729CF">
            <w:pPr>
              <w:numPr>
                <w:ilvl w:val="12"/>
                <w:numId w:val="0"/>
              </w:numPr>
              <w:tabs>
                <w:tab w:val="left" w:pos="360"/>
              </w:tabs>
              <w:rPr>
                <w:rFonts w:ascii="Arial" w:eastAsia="Calibri" w:hAnsi="Arial" w:cs="Arial"/>
                <w:noProof/>
                <w:sz w:val="24"/>
                <w:szCs w:val="24"/>
                <w:lang w:val="en-GB"/>
              </w:rPr>
            </w:pPr>
            <w:r w:rsidRPr="000729CF">
              <w:rPr>
                <w:rFonts w:ascii="Arial" w:eastAsia="Calibri" w:hAnsi="Arial" w:cs="Arial"/>
                <w:noProof/>
                <w:sz w:val="24"/>
                <w:szCs w:val="24"/>
                <w:lang w:val="en-GB"/>
              </w:rPr>
              <w:t>Non UK Banks</w:t>
            </w:r>
          </w:p>
          <w:p w14:paraId="02A77A1F" w14:textId="77777777" w:rsidR="000729CF" w:rsidRPr="000729CF" w:rsidRDefault="000729CF" w:rsidP="000729CF">
            <w:pPr>
              <w:numPr>
                <w:ilvl w:val="12"/>
                <w:numId w:val="0"/>
              </w:numPr>
              <w:tabs>
                <w:tab w:val="left" w:pos="360"/>
              </w:tabs>
              <w:rPr>
                <w:rFonts w:ascii="Arial" w:eastAsia="Calibri" w:hAnsi="Arial" w:cs="Arial"/>
                <w:noProof/>
                <w:sz w:val="24"/>
                <w:szCs w:val="24"/>
                <w:lang w:val="en-GB"/>
              </w:rPr>
            </w:pPr>
          </w:p>
        </w:tc>
        <w:tc>
          <w:tcPr>
            <w:tcW w:w="0" w:type="auto"/>
            <w:vMerge w:val="restart"/>
            <w:shd w:val="clear" w:color="auto" w:fill="C6D9F1"/>
            <w:vAlign w:val="center"/>
          </w:tcPr>
          <w:p w14:paraId="6E04ACFC" w14:textId="77777777" w:rsidR="000729CF" w:rsidRPr="000729CF" w:rsidRDefault="000729CF" w:rsidP="000729CF">
            <w:pPr>
              <w:numPr>
                <w:ilvl w:val="12"/>
                <w:numId w:val="0"/>
              </w:numPr>
              <w:tabs>
                <w:tab w:val="left" w:pos="360"/>
              </w:tabs>
              <w:jc w:val="center"/>
              <w:rPr>
                <w:rFonts w:ascii="Arial" w:eastAsia="Calibri" w:hAnsi="Arial" w:cs="Arial"/>
                <w:noProof/>
                <w:sz w:val="24"/>
                <w:szCs w:val="24"/>
                <w:lang w:val="en-GB"/>
              </w:rPr>
            </w:pPr>
            <w:r w:rsidRPr="000729CF">
              <w:rPr>
                <w:rFonts w:ascii="Arial" w:eastAsia="Calibri" w:hAnsi="Arial" w:cs="Arial"/>
                <w:noProof/>
                <w:sz w:val="24"/>
                <w:szCs w:val="24"/>
                <w:lang w:val="en-GB"/>
              </w:rPr>
              <w:t>Fixed Deposits</w:t>
            </w:r>
          </w:p>
        </w:tc>
        <w:tc>
          <w:tcPr>
            <w:tcW w:w="0" w:type="auto"/>
            <w:shd w:val="clear" w:color="auto" w:fill="C6D9F1"/>
            <w:vAlign w:val="center"/>
          </w:tcPr>
          <w:p w14:paraId="446D2274" w14:textId="77777777" w:rsidR="000729CF" w:rsidRPr="000729CF" w:rsidRDefault="000729CF" w:rsidP="000729CF">
            <w:pPr>
              <w:numPr>
                <w:ilvl w:val="12"/>
                <w:numId w:val="0"/>
              </w:numPr>
              <w:tabs>
                <w:tab w:val="left" w:pos="360"/>
              </w:tabs>
              <w:jc w:val="center"/>
              <w:rPr>
                <w:rFonts w:ascii="Arial" w:eastAsia="Calibri" w:hAnsi="Arial" w:cs="Arial"/>
                <w:noProof/>
                <w:sz w:val="24"/>
                <w:szCs w:val="24"/>
                <w:lang w:val="en-GB"/>
              </w:rPr>
            </w:pPr>
            <w:r w:rsidRPr="000729CF">
              <w:rPr>
                <w:rFonts w:ascii="Arial" w:eastAsia="Calibri" w:hAnsi="Arial" w:cs="Arial"/>
                <w:noProof/>
                <w:sz w:val="24"/>
                <w:szCs w:val="24"/>
                <w:lang w:val="en-GB"/>
              </w:rPr>
              <w:t>AA+ / A-1+</w:t>
            </w:r>
          </w:p>
        </w:tc>
        <w:tc>
          <w:tcPr>
            <w:tcW w:w="0" w:type="auto"/>
            <w:shd w:val="clear" w:color="auto" w:fill="C6D9F1"/>
            <w:vAlign w:val="center"/>
          </w:tcPr>
          <w:p w14:paraId="29CFA411" w14:textId="77777777" w:rsidR="000729CF" w:rsidRPr="000729CF" w:rsidRDefault="000729CF" w:rsidP="000729CF">
            <w:pPr>
              <w:numPr>
                <w:ilvl w:val="12"/>
                <w:numId w:val="0"/>
              </w:numPr>
              <w:tabs>
                <w:tab w:val="left" w:pos="360"/>
              </w:tabs>
              <w:jc w:val="center"/>
              <w:rPr>
                <w:rFonts w:ascii="Arial" w:eastAsia="Calibri" w:hAnsi="Arial" w:cs="Arial"/>
                <w:noProof/>
                <w:sz w:val="24"/>
                <w:szCs w:val="24"/>
                <w:lang w:val="en-GB"/>
              </w:rPr>
            </w:pPr>
            <w:r w:rsidRPr="000729CF">
              <w:rPr>
                <w:rFonts w:ascii="Arial" w:eastAsia="Calibri" w:hAnsi="Arial" w:cs="Arial"/>
                <w:noProof/>
                <w:sz w:val="24"/>
                <w:szCs w:val="24"/>
                <w:lang w:val="en-GB"/>
              </w:rPr>
              <w:t>£30m</w:t>
            </w:r>
          </w:p>
        </w:tc>
        <w:tc>
          <w:tcPr>
            <w:tcW w:w="0" w:type="auto"/>
            <w:shd w:val="clear" w:color="auto" w:fill="C6D9F1"/>
            <w:vAlign w:val="center"/>
          </w:tcPr>
          <w:p w14:paraId="1DD5F78B" w14:textId="77777777" w:rsidR="000729CF" w:rsidRPr="000729CF" w:rsidRDefault="000729CF" w:rsidP="000729CF">
            <w:pPr>
              <w:numPr>
                <w:ilvl w:val="12"/>
                <w:numId w:val="0"/>
              </w:numPr>
              <w:tabs>
                <w:tab w:val="left" w:pos="360"/>
              </w:tabs>
              <w:jc w:val="center"/>
              <w:rPr>
                <w:rFonts w:ascii="Arial" w:eastAsia="Calibri" w:hAnsi="Arial" w:cs="Arial"/>
                <w:noProof/>
                <w:sz w:val="24"/>
                <w:szCs w:val="24"/>
                <w:lang w:val="en-GB"/>
              </w:rPr>
            </w:pPr>
            <w:r w:rsidRPr="000729CF">
              <w:rPr>
                <w:rFonts w:ascii="Arial" w:eastAsia="Calibri" w:hAnsi="Arial" w:cs="Arial"/>
                <w:noProof/>
                <w:sz w:val="24"/>
                <w:szCs w:val="24"/>
                <w:lang w:val="en-GB"/>
              </w:rPr>
              <w:t>3</w:t>
            </w:r>
          </w:p>
        </w:tc>
      </w:tr>
      <w:tr w:rsidR="000729CF" w:rsidRPr="000729CF" w14:paraId="2A2C750E" w14:textId="77777777" w:rsidTr="00BC26AB">
        <w:trPr>
          <w:trHeight w:val="127"/>
        </w:trPr>
        <w:tc>
          <w:tcPr>
            <w:tcW w:w="0" w:type="auto"/>
            <w:vMerge/>
            <w:shd w:val="clear" w:color="auto" w:fill="C6D9F1"/>
            <w:vAlign w:val="center"/>
          </w:tcPr>
          <w:p w14:paraId="225327A0" w14:textId="77777777" w:rsidR="000729CF" w:rsidRPr="000729CF" w:rsidRDefault="000729CF" w:rsidP="000729CF">
            <w:pPr>
              <w:numPr>
                <w:ilvl w:val="12"/>
                <w:numId w:val="0"/>
              </w:numPr>
              <w:tabs>
                <w:tab w:val="left" w:pos="360"/>
              </w:tabs>
              <w:rPr>
                <w:rFonts w:ascii="Arial" w:eastAsia="Calibri" w:hAnsi="Arial" w:cs="Arial"/>
                <w:noProof/>
                <w:sz w:val="24"/>
                <w:szCs w:val="24"/>
                <w:lang w:val="en-GB"/>
              </w:rPr>
            </w:pPr>
          </w:p>
        </w:tc>
        <w:tc>
          <w:tcPr>
            <w:tcW w:w="0" w:type="auto"/>
            <w:vMerge/>
            <w:shd w:val="clear" w:color="auto" w:fill="C6D9F1"/>
            <w:vAlign w:val="center"/>
          </w:tcPr>
          <w:p w14:paraId="6B23E6FC" w14:textId="77777777" w:rsidR="000729CF" w:rsidRPr="000729CF" w:rsidRDefault="000729CF" w:rsidP="000729CF">
            <w:pPr>
              <w:numPr>
                <w:ilvl w:val="12"/>
                <w:numId w:val="0"/>
              </w:numPr>
              <w:tabs>
                <w:tab w:val="left" w:pos="360"/>
              </w:tabs>
              <w:jc w:val="center"/>
              <w:rPr>
                <w:rFonts w:ascii="Arial" w:eastAsia="Calibri" w:hAnsi="Arial" w:cs="Arial"/>
                <w:noProof/>
                <w:sz w:val="24"/>
                <w:szCs w:val="24"/>
                <w:lang w:val="en-GB"/>
              </w:rPr>
            </w:pPr>
          </w:p>
        </w:tc>
        <w:tc>
          <w:tcPr>
            <w:tcW w:w="0" w:type="auto"/>
            <w:shd w:val="clear" w:color="auto" w:fill="C6D9F1"/>
            <w:vAlign w:val="center"/>
          </w:tcPr>
          <w:p w14:paraId="5B6144C9" w14:textId="77777777" w:rsidR="000729CF" w:rsidRPr="000729CF" w:rsidRDefault="000729CF" w:rsidP="000729CF">
            <w:pPr>
              <w:numPr>
                <w:ilvl w:val="12"/>
                <w:numId w:val="0"/>
              </w:numPr>
              <w:tabs>
                <w:tab w:val="left" w:pos="360"/>
              </w:tabs>
              <w:jc w:val="center"/>
              <w:rPr>
                <w:rFonts w:ascii="Arial" w:eastAsia="Calibri" w:hAnsi="Arial" w:cs="Arial"/>
                <w:noProof/>
                <w:sz w:val="24"/>
                <w:szCs w:val="24"/>
                <w:lang w:val="en-GB"/>
              </w:rPr>
            </w:pPr>
            <w:r w:rsidRPr="000729CF">
              <w:rPr>
                <w:rFonts w:ascii="Arial" w:eastAsia="Calibri" w:hAnsi="Arial" w:cs="Arial"/>
                <w:noProof/>
                <w:sz w:val="24"/>
                <w:szCs w:val="24"/>
                <w:lang w:val="en-GB"/>
              </w:rPr>
              <w:t>AA- / A-1+</w:t>
            </w:r>
          </w:p>
        </w:tc>
        <w:tc>
          <w:tcPr>
            <w:tcW w:w="0" w:type="auto"/>
            <w:shd w:val="clear" w:color="auto" w:fill="C6D9F1"/>
            <w:vAlign w:val="center"/>
          </w:tcPr>
          <w:p w14:paraId="3D98BAF2" w14:textId="77777777" w:rsidR="000729CF" w:rsidRPr="000729CF" w:rsidRDefault="000729CF" w:rsidP="000729CF">
            <w:pPr>
              <w:numPr>
                <w:ilvl w:val="12"/>
                <w:numId w:val="0"/>
              </w:numPr>
              <w:tabs>
                <w:tab w:val="left" w:pos="360"/>
              </w:tabs>
              <w:jc w:val="center"/>
              <w:rPr>
                <w:rFonts w:ascii="Arial" w:eastAsia="Calibri" w:hAnsi="Arial" w:cs="Arial"/>
                <w:noProof/>
                <w:sz w:val="24"/>
                <w:szCs w:val="24"/>
                <w:lang w:val="en-GB"/>
              </w:rPr>
            </w:pPr>
            <w:r w:rsidRPr="000729CF">
              <w:rPr>
                <w:rFonts w:ascii="Arial" w:eastAsia="Calibri" w:hAnsi="Arial" w:cs="Arial"/>
                <w:noProof/>
                <w:sz w:val="24"/>
                <w:szCs w:val="24"/>
                <w:lang w:val="en-GB"/>
              </w:rPr>
              <w:t>£30m</w:t>
            </w:r>
          </w:p>
        </w:tc>
        <w:tc>
          <w:tcPr>
            <w:tcW w:w="0" w:type="auto"/>
            <w:shd w:val="clear" w:color="auto" w:fill="C6D9F1"/>
            <w:vAlign w:val="center"/>
          </w:tcPr>
          <w:p w14:paraId="2748AD48" w14:textId="77777777" w:rsidR="000729CF" w:rsidRPr="000729CF" w:rsidRDefault="000729CF" w:rsidP="000729CF">
            <w:pPr>
              <w:numPr>
                <w:ilvl w:val="12"/>
                <w:numId w:val="0"/>
              </w:numPr>
              <w:tabs>
                <w:tab w:val="left" w:pos="360"/>
              </w:tabs>
              <w:jc w:val="center"/>
              <w:rPr>
                <w:rFonts w:ascii="Arial" w:eastAsia="Calibri" w:hAnsi="Arial" w:cs="Arial"/>
                <w:noProof/>
                <w:sz w:val="24"/>
                <w:szCs w:val="24"/>
                <w:lang w:val="en-GB"/>
              </w:rPr>
            </w:pPr>
            <w:r w:rsidRPr="000729CF">
              <w:rPr>
                <w:rFonts w:ascii="Arial" w:eastAsia="Calibri" w:hAnsi="Arial" w:cs="Arial"/>
                <w:noProof/>
                <w:sz w:val="24"/>
                <w:szCs w:val="24"/>
                <w:lang w:val="en-GB"/>
              </w:rPr>
              <w:t>2</w:t>
            </w:r>
          </w:p>
        </w:tc>
      </w:tr>
      <w:tr w:rsidR="000729CF" w:rsidRPr="000729CF" w14:paraId="1D9DDCC7" w14:textId="77777777" w:rsidTr="00BC26AB">
        <w:trPr>
          <w:trHeight w:val="520"/>
        </w:trPr>
        <w:tc>
          <w:tcPr>
            <w:tcW w:w="0" w:type="auto"/>
            <w:vMerge/>
            <w:shd w:val="clear" w:color="auto" w:fill="C6D9F1"/>
            <w:vAlign w:val="center"/>
          </w:tcPr>
          <w:p w14:paraId="06936205" w14:textId="77777777" w:rsidR="000729CF" w:rsidRPr="000729CF" w:rsidRDefault="000729CF" w:rsidP="000729CF">
            <w:pPr>
              <w:numPr>
                <w:ilvl w:val="12"/>
                <w:numId w:val="0"/>
              </w:numPr>
              <w:tabs>
                <w:tab w:val="left" w:pos="360"/>
              </w:tabs>
              <w:rPr>
                <w:rFonts w:ascii="Arial" w:eastAsia="Calibri" w:hAnsi="Arial" w:cs="Arial"/>
                <w:noProof/>
                <w:sz w:val="24"/>
                <w:szCs w:val="24"/>
                <w:lang w:val="en-GB"/>
              </w:rPr>
            </w:pPr>
          </w:p>
        </w:tc>
        <w:tc>
          <w:tcPr>
            <w:tcW w:w="0" w:type="auto"/>
            <w:shd w:val="clear" w:color="auto" w:fill="C6D9F1"/>
            <w:vAlign w:val="center"/>
          </w:tcPr>
          <w:p w14:paraId="5F241BAD" w14:textId="77777777" w:rsidR="000729CF" w:rsidRPr="000729CF" w:rsidRDefault="000729CF" w:rsidP="000729CF">
            <w:pPr>
              <w:numPr>
                <w:ilvl w:val="12"/>
                <w:numId w:val="0"/>
              </w:numPr>
              <w:tabs>
                <w:tab w:val="left" w:pos="360"/>
              </w:tabs>
              <w:jc w:val="center"/>
              <w:rPr>
                <w:rFonts w:ascii="Arial" w:eastAsia="Calibri" w:hAnsi="Arial" w:cs="Arial"/>
                <w:noProof/>
                <w:sz w:val="24"/>
                <w:szCs w:val="24"/>
                <w:lang w:val="en-GB"/>
              </w:rPr>
            </w:pPr>
            <w:r w:rsidRPr="000729CF">
              <w:rPr>
                <w:rFonts w:ascii="Arial" w:eastAsia="Calibri" w:hAnsi="Arial" w:cs="Arial"/>
                <w:noProof/>
                <w:sz w:val="24"/>
                <w:szCs w:val="24"/>
                <w:lang w:val="en-GB"/>
              </w:rPr>
              <w:t>Negotiable Instruments</w:t>
            </w:r>
          </w:p>
        </w:tc>
        <w:tc>
          <w:tcPr>
            <w:tcW w:w="0" w:type="auto"/>
            <w:shd w:val="clear" w:color="auto" w:fill="C6D9F1"/>
            <w:vAlign w:val="center"/>
          </w:tcPr>
          <w:p w14:paraId="0746AF17" w14:textId="77777777" w:rsidR="000729CF" w:rsidRPr="000729CF" w:rsidRDefault="000729CF" w:rsidP="000729CF">
            <w:pPr>
              <w:numPr>
                <w:ilvl w:val="12"/>
                <w:numId w:val="0"/>
              </w:numPr>
              <w:tabs>
                <w:tab w:val="left" w:pos="360"/>
              </w:tabs>
              <w:jc w:val="center"/>
              <w:rPr>
                <w:rFonts w:ascii="Arial" w:eastAsia="Calibri" w:hAnsi="Arial" w:cs="Arial"/>
                <w:noProof/>
                <w:sz w:val="24"/>
                <w:szCs w:val="24"/>
                <w:lang w:val="en-GB"/>
              </w:rPr>
            </w:pPr>
            <w:r w:rsidRPr="000729CF">
              <w:rPr>
                <w:rFonts w:ascii="Arial" w:eastAsia="Calibri" w:hAnsi="Arial" w:cs="Arial"/>
                <w:noProof/>
                <w:sz w:val="24"/>
                <w:szCs w:val="24"/>
                <w:lang w:val="en-GB"/>
              </w:rPr>
              <w:t>AA- / A-1+</w:t>
            </w:r>
          </w:p>
        </w:tc>
        <w:tc>
          <w:tcPr>
            <w:tcW w:w="0" w:type="auto"/>
            <w:shd w:val="clear" w:color="auto" w:fill="C6D9F1"/>
            <w:vAlign w:val="center"/>
          </w:tcPr>
          <w:p w14:paraId="3DB7C6C5" w14:textId="77777777" w:rsidR="000729CF" w:rsidRPr="000729CF" w:rsidRDefault="000729CF" w:rsidP="000729CF">
            <w:pPr>
              <w:numPr>
                <w:ilvl w:val="12"/>
                <w:numId w:val="0"/>
              </w:numPr>
              <w:tabs>
                <w:tab w:val="left" w:pos="360"/>
              </w:tabs>
              <w:jc w:val="center"/>
              <w:rPr>
                <w:rFonts w:ascii="Arial" w:eastAsia="Calibri" w:hAnsi="Arial" w:cs="Arial"/>
                <w:noProof/>
                <w:sz w:val="24"/>
                <w:szCs w:val="24"/>
                <w:lang w:val="en-GB"/>
              </w:rPr>
            </w:pPr>
            <w:r w:rsidRPr="000729CF">
              <w:rPr>
                <w:rFonts w:ascii="Arial" w:eastAsia="Calibri" w:hAnsi="Arial" w:cs="Arial"/>
                <w:noProof/>
                <w:sz w:val="24"/>
                <w:szCs w:val="24"/>
                <w:lang w:val="en-GB"/>
              </w:rPr>
              <w:t>£30m</w:t>
            </w:r>
          </w:p>
        </w:tc>
        <w:tc>
          <w:tcPr>
            <w:tcW w:w="0" w:type="auto"/>
            <w:shd w:val="clear" w:color="auto" w:fill="C6D9F1"/>
            <w:vAlign w:val="center"/>
          </w:tcPr>
          <w:p w14:paraId="4E513CFF" w14:textId="77777777" w:rsidR="000729CF" w:rsidRPr="000729CF" w:rsidRDefault="000729CF" w:rsidP="000729CF">
            <w:pPr>
              <w:numPr>
                <w:ilvl w:val="12"/>
                <w:numId w:val="0"/>
              </w:numPr>
              <w:tabs>
                <w:tab w:val="left" w:pos="360"/>
              </w:tabs>
              <w:jc w:val="center"/>
              <w:rPr>
                <w:rFonts w:ascii="Arial" w:eastAsia="Calibri" w:hAnsi="Arial" w:cs="Arial"/>
                <w:noProof/>
                <w:sz w:val="24"/>
                <w:szCs w:val="24"/>
                <w:lang w:val="en-GB"/>
              </w:rPr>
            </w:pPr>
            <w:r w:rsidRPr="000729CF">
              <w:rPr>
                <w:rFonts w:ascii="Arial" w:eastAsia="Calibri" w:hAnsi="Arial" w:cs="Arial"/>
                <w:noProof/>
                <w:sz w:val="24"/>
                <w:szCs w:val="24"/>
                <w:lang w:val="en-GB"/>
              </w:rPr>
              <w:t>5</w:t>
            </w:r>
          </w:p>
        </w:tc>
      </w:tr>
      <w:tr w:rsidR="000729CF" w:rsidRPr="000729CF" w14:paraId="0315B0C8" w14:textId="77777777" w:rsidTr="00BC26AB">
        <w:trPr>
          <w:trHeight w:val="520"/>
        </w:trPr>
        <w:tc>
          <w:tcPr>
            <w:tcW w:w="0" w:type="auto"/>
            <w:shd w:val="clear" w:color="auto" w:fill="auto"/>
            <w:vAlign w:val="center"/>
          </w:tcPr>
          <w:p w14:paraId="4C2B8579" w14:textId="77777777" w:rsidR="000729CF" w:rsidRPr="000729CF" w:rsidRDefault="000729CF" w:rsidP="000729CF">
            <w:pPr>
              <w:numPr>
                <w:ilvl w:val="12"/>
                <w:numId w:val="0"/>
              </w:numPr>
              <w:tabs>
                <w:tab w:val="left" w:pos="360"/>
              </w:tabs>
              <w:rPr>
                <w:rFonts w:ascii="Arial" w:eastAsia="Calibri" w:hAnsi="Arial" w:cs="Arial"/>
                <w:noProof/>
                <w:sz w:val="24"/>
                <w:szCs w:val="24"/>
                <w:lang w:val="en-GB"/>
              </w:rPr>
            </w:pPr>
            <w:r w:rsidRPr="000729CF">
              <w:rPr>
                <w:rFonts w:ascii="Arial" w:eastAsia="Calibri" w:hAnsi="Arial" w:cs="Arial"/>
                <w:sz w:val="24"/>
                <w:szCs w:val="24"/>
                <w:lang w:val="en-GB"/>
              </w:rPr>
              <w:t>Short Dated Bond Funds</w:t>
            </w:r>
          </w:p>
        </w:tc>
        <w:tc>
          <w:tcPr>
            <w:tcW w:w="0" w:type="auto"/>
            <w:shd w:val="clear" w:color="auto" w:fill="auto"/>
            <w:vAlign w:val="center"/>
          </w:tcPr>
          <w:p w14:paraId="3CAC623A" w14:textId="77777777" w:rsidR="000729CF" w:rsidRPr="000729CF" w:rsidRDefault="000729CF" w:rsidP="000729CF">
            <w:pPr>
              <w:jc w:val="center"/>
              <w:rPr>
                <w:rFonts w:ascii="Arial" w:eastAsia="Calibri" w:hAnsi="Arial" w:cs="Arial"/>
                <w:noProof/>
                <w:sz w:val="24"/>
                <w:szCs w:val="24"/>
                <w:lang w:val="en-GB"/>
              </w:rPr>
            </w:pPr>
            <w:r w:rsidRPr="000729CF">
              <w:rPr>
                <w:rFonts w:ascii="Arial" w:eastAsia="Calibri" w:hAnsi="Arial" w:cs="Arial"/>
                <w:sz w:val="24"/>
                <w:szCs w:val="24"/>
                <w:lang w:val="en-GB"/>
              </w:rPr>
              <w:t>UK / Ireland / EU domiciled</w:t>
            </w:r>
          </w:p>
        </w:tc>
        <w:tc>
          <w:tcPr>
            <w:tcW w:w="0" w:type="auto"/>
            <w:shd w:val="clear" w:color="auto" w:fill="auto"/>
            <w:vAlign w:val="center"/>
          </w:tcPr>
          <w:p w14:paraId="3C411ACB" w14:textId="77777777" w:rsidR="000729CF" w:rsidRPr="000729CF" w:rsidRDefault="000729CF" w:rsidP="000729CF">
            <w:pPr>
              <w:tabs>
                <w:tab w:val="left" w:pos="177"/>
              </w:tabs>
              <w:jc w:val="center"/>
              <w:rPr>
                <w:rFonts w:ascii="Arial" w:eastAsia="Calibri" w:hAnsi="Arial" w:cs="Arial"/>
                <w:noProof/>
                <w:sz w:val="24"/>
                <w:szCs w:val="24"/>
                <w:lang w:val="en-GB"/>
              </w:rPr>
            </w:pPr>
            <w:r w:rsidRPr="000729CF">
              <w:rPr>
                <w:rFonts w:ascii="Arial" w:eastAsia="Calibri" w:hAnsi="Arial" w:cs="Arial"/>
                <w:noProof/>
                <w:sz w:val="24"/>
                <w:szCs w:val="24"/>
                <w:lang w:val="en-GB"/>
              </w:rPr>
              <w:t>Short Dated bond funds are not rated. A selection process will evaluate relative risks &amp; returns. Security of the council’s money and fund volatility will be key measures of suitability</w:t>
            </w:r>
          </w:p>
        </w:tc>
        <w:tc>
          <w:tcPr>
            <w:tcW w:w="0" w:type="auto"/>
            <w:vAlign w:val="center"/>
          </w:tcPr>
          <w:p w14:paraId="28ADC1C7" w14:textId="77777777" w:rsidR="000729CF" w:rsidRPr="000729CF" w:rsidRDefault="000729CF" w:rsidP="000729CF">
            <w:pPr>
              <w:numPr>
                <w:ilvl w:val="12"/>
                <w:numId w:val="0"/>
              </w:numPr>
              <w:tabs>
                <w:tab w:val="left" w:pos="360"/>
              </w:tabs>
              <w:jc w:val="center"/>
              <w:rPr>
                <w:rFonts w:ascii="Arial" w:eastAsia="Calibri" w:hAnsi="Arial" w:cs="Arial"/>
                <w:noProof/>
                <w:sz w:val="24"/>
                <w:szCs w:val="24"/>
                <w:lang w:val="en-GB"/>
              </w:rPr>
            </w:pPr>
            <w:r w:rsidRPr="000729CF">
              <w:rPr>
                <w:rFonts w:ascii="Arial" w:eastAsia="Calibri" w:hAnsi="Arial" w:cs="Arial"/>
                <w:noProof/>
                <w:sz w:val="24"/>
                <w:szCs w:val="24"/>
                <w:lang w:val="en-GB"/>
              </w:rPr>
              <w:t>£15m per fund</w:t>
            </w:r>
          </w:p>
        </w:tc>
        <w:tc>
          <w:tcPr>
            <w:tcW w:w="0" w:type="auto"/>
            <w:shd w:val="clear" w:color="auto" w:fill="auto"/>
            <w:vAlign w:val="center"/>
          </w:tcPr>
          <w:p w14:paraId="2CEFB594" w14:textId="77777777" w:rsidR="000729CF" w:rsidRPr="000729CF" w:rsidRDefault="000729CF" w:rsidP="000729CF">
            <w:pPr>
              <w:numPr>
                <w:ilvl w:val="12"/>
                <w:numId w:val="0"/>
              </w:numPr>
              <w:tabs>
                <w:tab w:val="left" w:pos="360"/>
              </w:tabs>
              <w:jc w:val="center"/>
              <w:rPr>
                <w:rFonts w:ascii="Arial" w:eastAsia="Calibri" w:hAnsi="Arial" w:cs="Arial"/>
                <w:noProof/>
                <w:sz w:val="24"/>
                <w:szCs w:val="24"/>
                <w:lang w:val="en-GB"/>
              </w:rPr>
            </w:pPr>
            <w:r w:rsidRPr="000729CF">
              <w:rPr>
                <w:rFonts w:ascii="Arial" w:eastAsia="Calibri" w:hAnsi="Arial" w:cs="Arial"/>
                <w:noProof/>
                <w:sz w:val="24"/>
                <w:szCs w:val="24"/>
                <w:lang w:val="en-GB"/>
              </w:rPr>
              <w:t>Liquid</w:t>
            </w:r>
          </w:p>
        </w:tc>
      </w:tr>
    </w:tbl>
    <w:bookmarkEnd w:id="64"/>
    <w:p w14:paraId="722B9D1A" w14:textId="77777777" w:rsidR="000729CF" w:rsidRPr="000729CF" w:rsidRDefault="000729CF" w:rsidP="000729CF">
      <w:pPr>
        <w:autoSpaceDE w:val="0"/>
        <w:autoSpaceDN w:val="0"/>
        <w:adjustRightInd w:val="0"/>
        <w:spacing w:before="120" w:after="240"/>
        <w:ind w:left="709"/>
        <w:rPr>
          <w:rFonts w:ascii="Arial" w:eastAsia="Calibri" w:hAnsi="Arial" w:cs="Arial"/>
          <w:bCs/>
          <w:color w:val="000000"/>
          <w:sz w:val="24"/>
          <w:szCs w:val="24"/>
          <w:lang w:val="en-GB" w:eastAsia="en-GB"/>
        </w:rPr>
      </w:pPr>
      <w:r w:rsidRPr="000729CF">
        <w:rPr>
          <w:rFonts w:ascii="Arial" w:eastAsia="Calibri" w:hAnsi="Arial" w:cs="Arial"/>
          <w:bCs/>
          <w:color w:val="000000"/>
          <w:sz w:val="24"/>
          <w:szCs w:val="24"/>
          <w:lang w:val="en-GB" w:eastAsia="en-GB"/>
        </w:rPr>
        <w:t>A full list of counterparties that meet the council’s criteria for both specified and non-specified investments are listed in Annex A.</w:t>
      </w:r>
    </w:p>
    <w:p w14:paraId="0E36F459" w14:textId="77777777" w:rsidR="000729CF" w:rsidRPr="000729CF" w:rsidRDefault="000729CF" w:rsidP="00CE70A3">
      <w:pPr>
        <w:keepNext/>
        <w:numPr>
          <w:ilvl w:val="1"/>
          <w:numId w:val="67"/>
        </w:numPr>
        <w:spacing w:before="120" w:after="120" w:line="276" w:lineRule="auto"/>
        <w:ind w:left="709" w:hanging="709"/>
        <w:outlineLvl w:val="1"/>
        <w:rPr>
          <w:rFonts w:ascii="Arial" w:hAnsi="Arial" w:cs="Arial"/>
          <w:b/>
          <w:bCs/>
          <w:i/>
          <w:iCs/>
          <w:sz w:val="24"/>
          <w:szCs w:val="24"/>
          <w:lang w:val="en-GB"/>
        </w:rPr>
      </w:pPr>
      <w:r w:rsidRPr="000729CF">
        <w:rPr>
          <w:rFonts w:ascii="Arial" w:hAnsi="Arial" w:cs="Arial"/>
          <w:b/>
          <w:bCs/>
          <w:i/>
          <w:iCs/>
          <w:sz w:val="24"/>
          <w:szCs w:val="24"/>
          <w:lang w:val="en-GB"/>
        </w:rPr>
        <w:t>Other Limits</w:t>
      </w:r>
    </w:p>
    <w:p w14:paraId="6D48B526" w14:textId="77777777" w:rsidR="000729CF" w:rsidRPr="000729CF" w:rsidRDefault="000729CF" w:rsidP="000729CF">
      <w:pPr>
        <w:autoSpaceDE w:val="0"/>
        <w:autoSpaceDN w:val="0"/>
        <w:adjustRightInd w:val="0"/>
        <w:spacing w:before="120" w:after="120"/>
        <w:ind w:left="709"/>
        <w:rPr>
          <w:rFonts w:ascii="Arial" w:eastAsia="Calibri" w:hAnsi="Arial" w:cs="Arial"/>
          <w:bCs/>
          <w:color w:val="000000"/>
          <w:sz w:val="24"/>
          <w:szCs w:val="24"/>
          <w:lang w:val="en-GB" w:eastAsia="en-GB"/>
        </w:rPr>
      </w:pPr>
      <w:r w:rsidRPr="000729CF">
        <w:rPr>
          <w:rFonts w:ascii="Arial" w:eastAsia="Calibri" w:hAnsi="Arial" w:cs="Arial"/>
          <w:bCs/>
          <w:color w:val="000000"/>
          <w:sz w:val="24"/>
          <w:szCs w:val="24"/>
          <w:lang w:val="en-GB" w:eastAsia="en-GB"/>
        </w:rPr>
        <w:t xml:space="preserve">In order to mitigate concentration risk, there are a number of other limits imposed within the investment strategy. </w:t>
      </w:r>
      <w:r w:rsidRPr="000729CF">
        <w:rPr>
          <w:rFonts w:ascii="Arial" w:eastAsia="Calibri" w:hAnsi="Arial" w:cs="Arial"/>
          <w:b/>
          <w:bCs/>
          <w:color w:val="000000"/>
          <w:sz w:val="24"/>
          <w:szCs w:val="24"/>
          <w:lang w:val="en-GB" w:eastAsia="en-GB"/>
        </w:rPr>
        <w:t>Table 8</w:t>
      </w:r>
      <w:r w:rsidRPr="000729CF">
        <w:rPr>
          <w:rFonts w:ascii="Arial" w:eastAsia="Calibri" w:hAnsi="Arial" w:cs="Arial"/>
          <w:bCs/>
          <w:color w:val="000000"/>
          <w:sz w:val="24"/>
          <w:szCs w:val="24"/>
          <w:lang w:val="en-GB" w:eastAsia="en-GB"/>
        </w:rPr>
        <w:t xml:space="preserve"> sets out the maximum permitted investment for each sector at the time of investment:</w:t>
      </w:r>
    </w:p>
    <w:tbl>
      <w:tblPr>
        <w:tblW w:w="4632"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1"/>
        <w:gridCol w:w="1768"/>
      </w:tblGrid>
      <w:tr w:rsidR="000729CF" w:rsidRPr="000729CF" w14:paraId="3B9C60B0" w14:textId="77777777" w:rsidTr="00BC26AB">
        <w:tc>
          <w:tcPr>
            <w:tcW w:w="5000" w:type="pct"/>
            <w:gridSpan w:val="2"/>
            <w:shd w:val="clear" w:color="auto" w:fill="002060"/>
          </w:tcPr>
          <w:p w14:paraId="195A6333" w14:textId="77777777" w:rsidR="000729CF" w:rsidRPr="000729CF" w:rsidRDefault="000729CF" w:rsidP="000729CF">
            <w:pPr>
              <w:autoSpaceDE w:val="0"/>
              <w:autoSpaceDN w:val="0"/>
              <w:adjustRightInd w:val="0"/>
              <w:spacing w:before="120"/>
              <w:jc w:val="both"/>
              <w:rPr>
                <w:rFonts w:ascii="Arial" w:eastAsia="Calibri" w:hAnsi="Arial" w:cs="Arial"/>
                <w:b/>
                <w:bCs/>
                <w:color w:val="FFFFFF"/>
                <w:sz w:val="24"/>
                <w:szCs w:val="24"/>
                <w:lang w:val="en-GB" w:eastAsia="en-GB"/>
              </w:rPr>
            </w:pPr>
            <w:r w:rsidRPr="000729CF">
              <w:rPr>
                <w:rFonts w:ascii="Arial" w:eastAsia="Calibri" w:hAnsi="Arial" w:cs="Arial"/>
                <w:b/>
                <w:bCs/>
                <w:color w:val="FFFFFF"/>
                <w:sz w:val="24"/>
                <w:szCs w:val="24"/>
                <w:lang w:val="en-GB" w:eastAsia="en-GB"/>
              </w:rPr>
              <w:t>Table 8 – Other Limits</w:t>
            </w:r>
          </w:p>
        </w:tc>
      </w:tr>
      <w:tr w:rsidR="000729CF" w:rsidRPr="000729CF" w14:paraId="52207E8C" w14:textId="77777777" w:rsidTr="00BC26AB">
        <w:tc>
          <w:tcPr>
            <w:tcW w:w="4009" w:type="pct"/>
            <w:shd w:val="clear" w:color="auto" w:fill="002060"/>
          </w:tcPr>
          <w:p w14:paraId="79360C83" w14:textId="77777777" w:rsidR="000729CF" w:rsidRPr="000729CF" w:rsidRDefault="000729CF" w:rsidP="000729CF">
            <w:pPr>
              <w:autoSpaceDE w:val="0"/>
              <w:autoSpaceDN w:val="0"/>
              <w:adjustRightInd w:val="0"/>
              <w:spacing w:before="120"/>
              <w:rPr>
                <w:rFonts w:ascii="Arial" w:eastAsia="Calibri" w:hAnsi="Arial" w:cs="Arial"/>
                <w:b/>
                <w:bCs/>
                <w:color w:val="FFFFFF"/>
                <w:sz w:val="24"/>
                <w:szCs w:val="24"/>
                <w:lang w:val="en-GB" w:eastAsia="en-GB"/>
              </w:rPr>
            </w:pPr>
            <w:r w:rsidRPr="000729CF">
              <w:rPr>
                <w:rFonts w:ascii="Arial" w:eastAsia="Calibri" w:hAnsi="Arial" w:cs="Arial"/>
                <w:b/>
                <w:bCs/>
                <w:color w:val="FFFFFF"/>
                <w:sz w:val="24"/>
                <w:szCs w:val="24"/>
                <w:lang w:val="en-GB" w:eastAsia="en-GB"/>
              </w:rPr>
              <w:t>Sector</w:t>
            </w:r>
          </w:p>
        </w:tc>
        <w:tc>
          <w:tcPr>
            <w:tcW w:w="991" w:type="pct"/>
            <w:shd w:val="clear" w:color="auto" w:fill="002060"/>
          </w:tcPr>
          <w:p w14:paraId="298AEFDB" w14:textId="77777777" w:rsidR="000729CF" w:rsidRPr="000729CF" w:rsidRDefault="000729CF" w:rsidP="000729CF">
            <w:pPr>
              <w:autoSpaceDE w:val="0"/>
              <w:autoSpaceDN w:val="0"/>
              <w:adjustRightInd w:val="0"/>
              <w:spacing w:before="120"/>
              <w:jc w:val="center"/>
              <w:rPr>
                <w:rFonts w:ascii="Arial" w:eastAsia="Calibri" w:hAnsi="Arial" w:cs="Arial"/>
                <w:b/>
                <w:bCs/>
                <w:color w:val="FFFFFF"/>
                <w:sz w:val="24"/>
                <w:szCs w:val="24"/>
                <w:lang w:val="en-GB" w:eastAsia="en-GB"/>
              </w:rPr>
            </w:pPr>
            <w:r w:rsidRPr="000729CF">
              <w:rPr>
                <w:rFonts w:ascii="Arial" w:eastAsia="Calibri" w:hAnsi="Arial" w:cs="Arial"/>
                <w:b/>
                <w:bCs/>
                <w:color w:val="FFFFFF"/>
                <w:sz w:val="24"/>
                <w:szCs w:val="24"/>
                <w:lang w:val="en-GB" w:eastAsia="en-GB"/>
              </w:rPr>
              <w:t>Max total of portfolio</w:t>
            </w:r>
          </w:p>
        </w:tc>
      </w:tr>
      <w:tr w:rsidR="000729CF" w:rsidRPr="000729CF" w14:paraId="503A03FF" w14:textId="77777777" w:rsidTr="00BC26AB">
        <w:tc>
          <w:tcPr>
            <w:tcW w:w="4009" w:type="pct"/>
            <w:shd w:val="clear" w:color="auto" w:fill="auto"/>
            <w:vAlign w:val="center"/>
          </w:tcPr>
          <w:p w14:paraId="43A3A078" w14:textId="77777777" w:rsidR="000729CF" w:rsidRPr="000729CF" w:rsidRDefault="000729CF" w:rsidP="000729CF">
            <w:pPr>
              <w:autoSpaceDE w:val="0"/>
              <w:autoSpaceDN w:val="0"/>
              <w:adjustRightInd w:val="0"/>
              <w:spacing w:after="60"/>
              <w:rPr>
                <w:rFonts w:ascii="Arial" w:eastAsia="Calibri" w:hAnsi="Arial" w:cs="Arial"/>
                <w:bCs/>
                <w:color w:val="000000"/>
                <w:sz w:val="24"/>
                <w:szCs w:val="24"/>
                <w:lang w:val="en-GB" w:eastAsia="en-GB"/>
              </w:rPr>
            </w:pPr>
            <w:r w:rsidRPr="000729CF">
              <w:rPr>
                <w:rFonts w:ascii="Arial" w:eastAsia="Calibri" w:hAnsi="Arial" w:cs="Arial"/>
                <w:bCs/>
                <w:color w:val="000000"/>
                <w:sz w:val="24"/>
                <w:szCs w:val="24"/>
                <w:lang w:val="en-GB" w:eastAsia="en-GB"/>
              </w:rPr>
              <w:t>Banking sector</w:t>
            </w:r>
          </w:p>
        </w:tc>
        <w:tc>
          <w:tcPr>
            <w:tcW w:w="991" w:type="pct"/>
            <w:shd w:val="clear" w:color="auto" w:fill="auto"/>
            <w:vAlign w:val="center"/>
          </w:tcPr>
          <w:p w14:paraId="774FECBD" w14:textId="77777777" w:rsidR="000729CF" w:rsidRPr="000729CF" w:rsidRDefault="000729CF" w:rsidP="000729CF">
            <w:pPr>
              <w:autoSpaceDE w:val="0"/>
              <w:autoSpaceDN w:val="0"/>
              <w:adjustRightInd w:val="0"/>
              <w:spacing w:after="60"/>
              <w:jc w:val="center"/>
              <w:rPr>
                <w:rFonts w:ascii="Arial" w:eastAsia="Calibri" w:hAnsi="Arial" w:cs="Arial"/>
                <w:bCs/>
                <w:color w:val="000000"/>
                <w:sz w:val="24"/>
                <w:szCs w:val="24"/>
                <w:lang w:val="en-GB" w:eastAsia="en-GB"/>
              </w:rPr>
            </w:pPr>
            <w:r w:rsidRPr="000729CF">
              <w:rPr>
                <w:rFonts w:ascii="Arial" w:eastAsia="Calibri" w:hAnsi="Arial" w:cs="Arial"/>
                <w:bCs/>
                <w:color w:val="000000"/>
                <w:sz w:val="24"/>
                <w:szCs w:val="24"/>
                <w:lang w:val="en-GB" w:eastAsia="en-GB"/>
              </w:rPr>
              <w:t>100%</w:t>
            </w:r>
          </w:p>
        </w:tc>
      </w:tr>
      <w:tr w:rsidR="000729CF" w:rsidRPr="000729CF" w14:paraId="5D66944C" w14:textId="77777777" w:rsidTr="00BC26AB">
        <w:tc>
          <w:tcPr>
            <w:tcW w:w="4009" w:type="pct"/>
            <w:shd w:val="clear" w:color="auto" w:fill="auto"/>
            <w:vAlign w:val="center"/>
          </w:tcPr>
          <w:p w14:paraId="5CB838DC" w14:textId="77777777" w:rsidR="000729CF" w:rsidRPr="000729CF" w:rsidRDefault="000729CF" w:rsidP="000729CF">
            <w:pPr>
              <w:autoSpaceDE w:val="0"/>
              <w:autoSpaceDN w:val="0"/>
              <w:adjustRightInd w:val="0"/>
              <w:spacing w:after="60"/>
              <w:rPr>
                <w:rFonts w:ascii="Arial" w:eastAsia="Calibri" w:hAnsi="Arial" w:cs="Arial"/>
                <w:bCs/>
                <w:color w:val="000000"/>
                <w:sz w:val="24"/>
                <w:szCs w:val="24"/>
                <w:lang w:val="en-GB" w:eastAsia="en-GB"/>
              </w:rPr>
            </w:pPr>
            <w:r w:rsidRPr="000729CF">
              <w:rPr>
                <w:rFonts w:ascii="Arial" w:eastAsia="Calibri" w:hAnsi="Arial" w:cs="Arial"/>
                <w:bCs/>
                <w:color w:val="000000"/>
                <w:sz w:val="24"/>
                <w:szCs w:val="24"/>
                <w:lang w:val="en-GB" w:eastAsia="en-GB"/>
              </w:rPr>
              <w:t>Building Society Sector</w:t>
            </w:r>
          </w:p>
        </w:tc>
        <w:tc>
          <w:tcPr>
            <w:tcW w:w="991" w:type="pct"/>
            <w:shd w:val="clear" w:color="auto" w:fill="auto"/>
            <w:vAlign w:val="center"/>
          </w:tcPr>
          <w:p w14:paraId="226A26FE" w14:textId="77777777" w:rsidR="000729CF" w:rsidRPr="000729CF" w:rsidRDefault="000729CF" w:rsidP="000729CF">
            <w:pPr>
              <w:autoSpaceDE w:val="0"/>
              <w:autoSpaceDN w:val="0"/>
              <w:adjustRightInd w:val="0"/>
              <w:spacing w:after="60"/>
              <w:jc w:val="center"/>
              <w:rPr>
                <w:rFonts w:ascii="Arial" w:eastAsia="Calibri" w:hAnsi="Arial" w:cs="Arial"/>
                <w:bCs/>
                <w:color w:val="000000"/>
                <w:sz w:val="24"/>
                <w:szCs w:val="24"/>
                <w:lang w:val="en-GB" w:eastAsia="en-GB"/>
              </w:rPr>
            </w:pPr>
            <w:r w:rsidRPr="000729CF">
              <w:rPr>
                <w:rFonts w:ascii="Arial" w:eastAsia="Calibri" w:hAnsi="Arial" w:cs="Arial"/>
                <w:bCs/>
                <w:color w:val="000000"/>
                <w:sz w:val="24"/>
                <w:szCs w:val="24"/>
                <w:lang w:val="en-GB" w:eastAsia="en-GB"/>
              </w:rPr>
              <w:t>75%</w:t>
            </w:r>
          </w:p>
        </w:tc>
      </w:tr>
      <w:tr w:rsidR="000729CF" w:rsidRPr="000729CF" w14:paraId="5C6EBB3E" w14:textId="77777777" w:rsidTr="00BC26AB">
        <w:tc>
          <w:tcPr>
            <w:tcW w:w="4009" w:type="pct"/>
            <w:shd w:val="clear" w:color="auto" w:fill="auto"/>
            <w:vAlign w:val="center"/>
          </w:tcPr>
          <w:p w14:paraId="43540006" w14:textId="77777777" w:rsidR="000729CF" w:rsidRPr="000729CF" w:rsidRDefault="000729CF" w:rsidP="000729CF">
            <w:pPr>
              <w:autoSpaceDE w:val="0"/>
              <w:autoSpaceDN w:val="0"/>
              <w:adjustRightInd w:val="0"/>
              <w:spacing w:after="60"/>
              <w:rPr>
                <w:rFonts w:ascii="Arial" w:eastAsia="Calibri" w:hAnsi="Arial" w:cs="Arial"/>
                <w:bCs/>
                <w:color w:val="000000"/>
                <w:sz w:val="24"/>
                <w:szCs w:val="24"/>
                <w:lang w:val="en-GB" w:eastAsia="en-GB"/>
              </w:rPr>
            </w:pPr>
            <w:r w:rsidRPr="000729CF">
              <w:rPr>
                <w:rFonts w:ascii="Arial" w:eastAsia="Calibri" w:hAnsi="Arial" w:cs="Arial"/>
                <w:bCs/>
                <w:color w:val="000000"/>
                <w:sz w:val="24"/>
                <w:szCs w:val="24"/>
                <w:lang w:val="en-GB" w:eastAsia="en-GB"/>
              </w:rPr>
              <w:t>Local Authority Sector</w:t>
            </w:r>
          </w:p>
        </w:tc>
        <w:tc>
          <w:tcPr>
            <w:tcW w:w="991" w:type="pct"/>
            <w:shd w:val="clear" w:color="auto" w:fill="auto"/>
            <w:vAlign w:val="center"/>
          </w:tcPr>
          <w:p w14:paraId="0891CCE9" w14:textId="77777777" w:rsidR="000729CF" w:rsidRPr="000729CF" w:rsidRDefault="000729CF" w:rsidP="000729CF">
            <w:pPr>
              <w:autoSpaceDE w:val="0"/>
              <w:autoSpaceDN w:val="0"/>
              <w:adjustRightInd w:val="0"/>
              <w:spacing w:after="60"/>
              <w:jc w:val="center"/>
              <w:rPr>
                <w:rFonts w:ascii="Arial" w:eastAsia="Calibri" w:hAnsi="Arial" w:cs="Arial"/>
                <w:bCs/>
                <w:color w:val="000000"/>
                <w:sz w:val="24"/>
                <w:szCs w:val="24"/>
                <w:lang w:val="en-GB" w:eastAsia="en-GB"/>
              </w:rPr>
            </w:pPr>
            <w:r w:rsidRPr="000729CF">
              <w:rPr>
                <w:rFonts w:ascii="Arial" w:eastAsia="Calibri" w:hAnsi="Arial" w:cs="Arial"/>
                <w:bCs/>
                <w:color w:val="000000"/>
                <w:sz w:val="24"/>
                <w:szCs w:val="24"/>
                <w:lang w:val="en-GB" w:eastAsia="en-GB"/>
              </w:rPr>
              <w:t>100%</w:t>
            </w:r>
          </w:p>
        </w:tc>
      </w:tr>
      <w:tr w:rsidR="000729CF" w:rsidRPr="000729CF" w14:paraId="32C4C940" w14:textId="77777777" w:rsidTr="00BC26AB">
        <w:tc>
          <w:tcPr>
            <w:tcW w:w="4009" w:type="pct"/>
            <w:shd w:val="clear" w:color="auto" w:fill="auto"/>
            <w:vAlign w:val="center"/>
          </w:tcPr>
          <w:p w14:paraId="1F1226FF" w14:textId="77777777" w:rsidR="000729CF" w:rsidRPr="000729CF" w:rsidRDefault="000729CF" w:rsidP="000729CF">
            <w:pPr>
              <w:autoSpaceDE w:val="0"/>
              <w:autoSpaceDN w:val="0"/>
              <w:adjustRightInd w:val="0"/>
              <w:spacing w:after="60"/>
              <w:rPr>
                <w:rFonts w:ascii="Arial" w:eastAsia="Calibri" w:hAnsi="Arial" w:cs="Arial"/>
                <w:bCs/>
                <w:color w:val="000000"/>
                <w:sz w:val="24"/>
                <w:szCs w:val="24"/>
                <w:lang w:val="en-GB" w:eastAsia="en-GB"/>
              </w:rPr>
            </w:pPr>
            <w:r w:rsidRPr="000729CF">
              <w:rPr>
                <w:rFonts w:ascii="Arial" w:eastAsia="Calibri" w:hAnsi="Arial" w:cs="Arial"/>
                <w:bCs/>
                <w:color w:val="000000"/>
                <w:sz w:val="24"/>
                <w:szCs w:val="24"/>
                <w:lang w:val="en-GB" w:eastAsia="en-GB"/>
              </w:rPr>
              <w:t>Money Market Funds (MMF)</w:t>
            </w:r>
          </w:p>
        </w:tc>
        <w:tc>
          <w:tcPr>
            <w:tcW w:w="991" w:type="pct"/>
            <w:shd w:val="clear" w:color="auto" w:fill="auto"/>
            <w:vAlign w:val="center"/>
          </w:tcPr>
          <w:p w14:paraId="166EC694" w14:textId="77777777" w:rsidR="000729CF" w:rsidRPr="000729CF" w:rsidRDefault="000729CF" w:rsidP="000729CF">
            <w:pPr>
              <w:autoSpaceDE w:val="0"/>
              <w:autoSpaceDN w:val="0"/>
              <w:adjustRightInd w:val="0"/>
              <w:spacing w:after="60"/>
              <w:jc w:val="center"/>
              <w:rPr>
                <w:rFonts w:ascii="Arial" w:eastAsia="Calibri" w:hAnsi="Arial" w:cs="Arial"/>
                <w:bCs/>
                <w:color w:val="000000"/>
                <w:sz w:val="24"/>
                <w:szCs w:val="24"/>
                <w:lang w:val="en-GB" w:eastAsia="en-GB"/>
              </w:rPr>
            </w:pPr>
            <w:r w:rsidRPr="000729CF">
              <w:rPr>
                <w:rFonts w:ascii="Arial" w:eastAsia="Calibri" w:hAnsi="Arial" w:cs="Arial"/>
                <w:bCs/>
                <w:color w:val="000000"/>
                <w:sz w:val="24"/>
                <w:szCs w:val="24"/>
                <w:lang w:val="en-GB" w:eastAsia="en-GB"/>
              </w:rPr>
              <w:t>100%</w:t>
            </w:r>
          </w:p>
        </w:tc>
      </w:tr>
      <w:tr w:rsidR="000729CF" w:rsidRPr="000729CF" w14:paraId="462EA797" w14:textId="77777777" w:rsidTr="00BC26AB">
        <w:tc>
          <w:tcPr>
            <w:tcW w:w="4009" w:type="pct"/>
            <w:shd w:val="clear" w:color="auto" w:fill="auto"/>
            <w:vAlign w:val="center"/>
          </w:tcPr>
          <w:p w14:paraId="4269598B" w14:textId="77777777" w:rsidR="000729CF" w:rsidRPr="000729CF" w:rsidRDefault="000729CF" w:rsidP="000729CF">
            <w:pPr>
              <w:autoSpaceDE w:val="0"/>
              <w:autoSpaceDN w:val="0"/>
              <w:adjustRightInd w:val="0"/>
              <w:spacing w:after="60"/>
              <w:rPr>
                <w:rFonts w:ascii="Arial" w:eastAsia="Calibri" w:hAnsi="Arial" w:cs="Arial"/>
                <w:bCs/>
                <w:color w:val="000000"/>
                <w:sz w:val="24"/>
                <w:szCs w:val="24"/>
                <w:lang w:val="en-GB" w:eastAsia="en-GB"/>
              </w:rPr>
            </w:pPr>
            <w:r w:rsidRPr="000729CF">
              <w:rPr>
                <w:rFonts w:ascii="Arial" w:eastAsia="Calibri" w:hAnsi="Arial" w:cs="Arial"/>
                <w:bCs/>
                <w:color w:val="000000"/>
                <w:sz w:val="24"/>
                <w:szCs w:val="24"/>
                <w:lang w:val="en-GB" w:eastAsia="en-GB"/>
              </w:rPr>
              <w:t>Short Dated &amp; Ultra Short Dated Bond Funds</w:t>
            </w:r>
          </w:p>
        </w:tc>
        <w:tc>
          <w:tcPr>
            <w:tcW w:w="991" w:type="pct"/>
            <w:shd w:val="clear" w:color="auto" w:fill="auto"/>
            <w:vAlign w:val="center"/>
          </w:tcPr>
          <w:p w14:paraId="5E9CF34D" w14:textId="77777777" w:rsidR="000729CF" w:rsidRPr="000729CF" w:rsidRDefault="000729CF" w:rsidP="000729CF">
            <w:pPr>
              <w:autoSpaceDE w:val="0"/>
              <w:autoSpaceDN w:val="0"/>
              <w:adjustRightInd w:val="0"/>
              <w:spacing w:after="60"/>
              <w:jc w:val="center"/>
              <w:rPr>
                <w:rFonts w:ascii="Arial" w:eastAsia="Calibri" w:hAnsi="Arial" w:cs="Arial"/>
                <w:bCs/>
                <w:color w:val="000000"/>
                <w:sz w:val="24"/>
                <w:szCs w:val="24"/>
                <w:lang w:val="en-GB" w:eastAsia="en-GB"/>
              </w:rPr>
            </w:pPr>
            <w:r w:rsidRPr="000729CF">
              <w:rPr>
                <w:rFonts w:ascii="Arial" w:eastAsia="Calibri" w:hAnsi="Arial" w:cs="Arial"/>
                <w:bCs/>
                <w:color w:val="000000"/>
                <w:sz w:val="24"/>
                <w:szCs w:val="24"/>
                <w:lang w:val="en-GB" w:eastAsia="en-GB"/>
              </w:rPr>
              <w:t>50%</w:t>
            </w:r>
          </w:p>
        </w:tc>
      </w:tr>
      <w:tr w:rsidR="000729CF" w:rsidRPr="000729CF" w14:paraId="262798F2" w14:textId="77777777" w:rsidTr="00BC26AB">
        <w:tc>
          <w:tcPr>
            <w:tcW w:w="4009" w:type="pct"/>
            <w:shd w:val="clear" w:color="auto" w:fill="auto"/>
            <w:vAlign w:val="center"/>
          </w:tcPr>
          <w:p w14:paraId="06E024CD" w14:textId="77777777" w:rsidR="000729CF" w:rsidRPr="000729CF" w:rsidRDefault="000729CF" w:rsidP="000729CF">
            <w:pPr>
              <w:autoSpaceDE w:val="0"/>
              <w:autoSpaceDN w:val="0"/>
              <w:adjustRightInd w:val="0"/>
              <w:spacing w:after="60"/>
              <w:rPr>
                <w:rFonts w:ascii="Arial" w:eastAsia="Calibri" w:hAnsi="Arial" w:cs="Arial"/>
                <w:bCs/>
                <w:color w:val="000000"/>
                <w:sz w:val="24"/>
                <w:szCs w:val="24"/>
                <w:lang w:val="en-GB" w:eastAsia="en-GB"/>
              </w:rPr>
            </w:pPr>
            <w:r w:rsidRPr="000729CF">
              <w:rPr>
                <w:rFonts w:ascii="Arial" w:eastAsia="Calibri" w:hAnsi="Arial" w:cs="Arial"/>
                <w:bCs/>
                <w:color w:val="000000"/>
                <w:sz w:val="24"/>
                <w:szCs w:val="24"/>
                <w:lang w:val="en-GB" w:eastAsia="en-GB"/>
              </w:rPr>
              <w:t>Debt Management Account Deposit Facility (DMADF)</w:t>
            </w:r>
          </w:p>
        </w:tc>
        <w:tc>
          <w:tcPr>
            <w:tcW w:w="991" w:type="pct"/>
            <w:shd w:val="clear" w:color="auto" w:fill="auto"/>
            <w:vAlign w:val="center"/>
          </w:tcPr>
          <w:p w14:paraId="5FF070E3" w14:textId="77777777" w:rsidR="000729CF" w:rsidRPr="000729CF" w:rsidRDefault="000729CF" w:rsidP="000729CF">
            <w:pPr>
              <w:autoSpaceDE w:val="0"/>
              <w:autoSpaceDN w:val="0"/>
              <w:adjustRightInd w:val="0"/>
              <w:spacing w:after="60"/>
              <w:jc w:val="center"/>
              <w:rPr>
                <w:rFonts w:ascii="Arial" w:eastAsia="Calibri" w:hAnsi="Arial" w:cs="Arial"/>
                <w:bCs/>
                <w:color w:val="000000"/>
                <w:sz w:val="24"/>
                <w:szCs w:val="24"/>
                <w:lang w:val="en-GB" w:eastAsia="en-GB"/>
              </w:rPr>
            </w:pPr>
            <w:r w:rsidRPr="000729CF">
              <w:rPr>
                <w:rFonts w:ascii="Arial" w:eastAsia="Calibri" w:hAnsi="Arial" w:cs="Arial"/>
                <w:bCs/>
                <w:color w:val="000000"/>
                <w:sz w:val="24"/>
                <w:szCs w:val="24"/>
                <w:lang w:val="en-GB" w:eastAsia="en-GB"/>
              </w:rPr>
              <w:t>100%</w:t>
            </w:r>
          </w:p>
        </w:tc>
      </w:tr>
    </w:tbl>
    <w:p w14:paraId="582345A4" w14:textId="77777777" w:rsidR="000729CF" w:rsidRPr="000729CF" w:rsidRDefault="000729CF" w:rsidP="000729CF">
      <w:pPr>
        <w:autoSpaceDE w:val="0"/>
        <w:autoSpaceDN w:val="0"/>
        <w:adjustRightInd w:val="0"/>
        <w:spacing w:before="120"/>
        <w:ind w:left="720"/>
        <w:rPr>
          <w:rFonts w:ascii="Arial" w:eastAsia="Calibri" w:hAnsi="Arial" w:cs="Arial"/>
          <w:bCs/>
          <w:color w:val="000000"/>
          <w:sz w:val="24"/>
          <w:szCs w:val="24"/>
          <w:lang w:val="en-GB" w:eastAsia="en-GB"/>
        </w:rPr>
      </w:pPr>
      <w:r w:rsidRPr="000729CF">
        <w:rPr>
          <w:rFonts w:ascii="Arial" w:eastAsia="Calibri" w:hAnsi="Arial" w:cs="Arial"/>
          <w:bCs/>
          <w:color w:val="000000"/>
          <w:sz w:val="24"/>
          <w:szCs w:val="24"/>
          <w:lang w:val="en-GB" w:eastAsia="en-GB"/>
        </w:rPr>
        <w:t>In addition to these limits:</w:t>
      </w:r>
    </w:p>
    <w:p w14:paraId="5C339A97" w14:textId="77777777" w:rsidR="000729CF" w:rsidRPr="000729CF" w:rsidRDefault="000729CF" w:rsidP="00CE70A3">
      <w:pPr>
        <w:numPr>
          <w:ilvl w:val="0"/>
          <w:numId w:val="79"/>
        </w:numPr>
        <w:autoSpaceDE w:val="0"/>
        <w:autoSpaceDN w:val="0"/>
        <w:adjustRightInd w:val="0"/>
        <w:spacing w:before="120" w:after="200" w:line="276" w:lineRule="auto"/>
        <w:ind w:left="1134" w:hanging="425"/>
        <w:rPr>
          <w:rFonts w:ascii="Arial" w:eastAsia="Calibri" w:hAnsi="Arial" w:cs="Arial"/>
          <w:bCs/>
          <w:color w:val="000000"/>
          <w:sz w:val="24"/>
          <w:szCs w:val="24"/>
          <w:lang w:val="en-GB" w:eastAsia="en-GB"/>
        </w:rPr>
      </w:pPr>
      <w:r w:rsidRPr="000729CF">
        <w:rPr>
          <w:rFonts w:ascii="Arial" w:eastAsia="Calibri" w:hAnsi="Arial" w:cs="Arial"/>
          <w:bCs/>
          <w:color w:val="000000"/>
          <w:sz w:val="24"/>
          <w:szCs w:val="24"/>
          <w:lang w:val="en-GB" w:eastAsia="en-GB"/>
        </w:rPr>
        <w:t>no more than 25% of the portfolio can be invested for more than 1 year; and</w:t>
      </w:r>
    </w:p>
    <w:p w14:paraId="42BE6FEB" w14:textId="77777777" w:rsidR="000729CF" w:rsidRPr="000729CF" w:rsidRDefault="000729CF" w:rsidP="00CE70A3">
      <w:pPr>
        <w:numPr>
          <w:ilvl w:val="0"/>
          <w:numId w:val="79"/>
        </w:numPr>
        <w:autoSpaceDE w:val="0"/>
        <w:autoSpaceDN w:val="0"/>
        <w:adjustRightInd w:val="0"/>
        <w:spacing w:before="120" w:after="240" w:line="276" w:lineRule="auto"/>
        <w:ind w:left="1134" w:hanging="425"/>
        <w:rPr>
          <w:rFonts w:ascii="Arial" w:eastAsia="Calibri" w:hAnsi="Arial" w:cs="Arial"/>
          <w:bCs/>
          <w:color w:val="000000"/>
          <w:sz w:val="24"/>
          <w:szCs w:val="24"/>
          <w:lang w:val="en-GB" w:eastAsia="en-GB"/>
        </w:rPr>
      </w:pPr>
      <w:r w:rsidRPr="000729CF">
        <w:rPr>
          <w:rFonts w:ascii="Arial" w:eastAsia="Calibri" w:hAnsi="Arial" w:cs="Arial"/>
          <w:bCs/>
          <w:color w:val="000000"/>
          <w:sz w:val="24"/>
          <w:szCs w:val="24"/>
          <w:lang w:val="en-GB" w:eastAsia="en-GB"/>
        </w:rPr>
        <w:t>with the exception of MMF &amp; the DMADF, no one counterparty may have more than 25% of the relevant sector maximum at the time the investment is made.</w:t>
      </w:r>
    </w:p>
    <w:p w14:paraId="1ED854C7" w14:textId="77777777" w:rsidR="000729CF" w:rsidRPr="000729CF" w:rsidRDefault="000729CF" w:rsidP="00CE70A3">
      <w:pPr>
        <w:keepNext/>
        <w:numPr>
          <w:ilvl w:val="1"/>
          <w:numId w:val="67"/>
        </w:numPr>
        <w:spacing w:before="120" w:after="120" w:line="276" w:lineRule="auto"/>
        <w:ind w:left="709" w:hanging="709"/>
        <w:outlineLvl w:val="1"/>
        <w:rPr>
          <w:rFonts w:ascii="Arial" w:hAnsi="Arial" w:cs="Arial"/>
          <w:b/>
          <w:bCs/>
          <w:i/>
          <w:iCs/>
          <w:sz w:val="24"/>
          <w:szCs w:val="24"/>
          <w:lang w:val="en-GB"/>
        </w:rPr>
      </w:pPr>
      <w:r w:rsidRPr="000729CF">
        <w:rPr>
          <w:rFonts w:ascii="Arial" w:hAnsi="Arial" w:cs="Arial"/>
          <w:b/>
          <w:bCs/>
          <w:i/>
          <w:iCs/>
          <w:sz w:val="24"/>
          <w:szCs w:val="24"/>
          <w:lang w:val="en-GB"/>
        </w:rPr>
        <w:t>Approved Methodology for adding and removing counterparties</w:t>
      </w:r>
    </w:p>
    <w:p w14:paraId="6C3917EE" w14:textId="77777777" w:rsidR="000729CF" w:rsidRPr="000729CF" w:rsidRDefault="000729CF" w:rsidP="000729CF">
      <w:pPr>
        <w:spacing w:before="120" w:after="120"/>
        <w:ind w:left="709"/>
        <w:rPr>
          <w:rFonts w:ascii="Arial" w:eastAsia="Calibri" w:hAnsi="Arial" w:cs="Arial"/>
          <w:snapToGrid w:val="0"/>
          <w:color w:val="000000"/>
          <w:sz w:val="24"/>
          <w:szCs w:val="24"/>
          <w:lang w:val="en-GB"/>
        </w:rPr>
      </w:pPr>
      <w:r w:rsidRPr="000729CF">
        <w:rPr>
          <w:rFonts w:ascii="Arial" w:eastAsia="Calibri" w:hAnsi="Arial" w:cs="Arial"/>
          <w:snapToGrid w:val="0"/>
          <w:color w:val="000000"/>
          <w:sz w:val="24"/>
          <w:szCs w:val="24"/>
          <w:lang w:val="en-GB"/>
        </w:rPr>
        <w:t>A counterparty shall be removed from the council’s list where a change in their credit rating results in a failure to meet the criteria set out above.</w:t>
      </w:r>
    </w:p>
    <w:p w14:paraId="6557E3CB" w14:textId="77777777" w:rsidR="000729CF" w:rsidRPr="000729CF" w:rsidRDefault="000729CF" w:rsidP="000729CF">
      <w:pPr>
        <w:spacing w:before="120" w:after="120"/>
        <w:ind w:left="709"/>
        <w:rPr>
          <w:rFonts w:ascii="Arial" w:eastAsia="Calibri" w:hAnsi="Arial" w:cs="Arial"/>
          <w:snapToGrid w:val="0"/>
          <w:color w:val="000000"/>
          <w:sz w:val="24"/>
          <w:szCs w:val="24"/>
          <w:lang w:val="en-GB"/>
        </w:rPr>
      </w:pPr>
      <w:r w:rsidRPr="000729CF">
        <w:rPr>
          <w:rFonts w:ascii="Arial" w:eastAsia="Calibri" w:hAnsi="Arial" w:cs="Arial"/>
          <w:snapToGrid w:val="0"/>
          <w:color w:val="000000"/>
          <w:sz w:val="24"/>
          <w:szCs w:val="24"/>
          <w:lang w:val="en-GB"/>
        </w:rPr>
        <w:t>A new counterparty may only be added to the list with the written prior approval of the Chief Finance Officer and only where the counterparty meets the minimum criteria set out above.</w:t>
      </w:r>
    </w:p>
    <w:p w14:paraId="77CAD6F5" w14:textId="77777777" w:rsidR="000729CF" w:rsidRPr="000729CF" w:rsidRDefault="000729CF" w:rsidP="000729CF">
      <w:pPr>
        <w:spacing w:before="120" w:after="120"/>
        <w:ind w:left="709"/>
        <w:rPr>
          <w:rFonts w:ascii="Arial" w:eastAsia="Calibri" w:hAnsi="Arial" w:cs="Arial"/>
          <w:snapToGrid w:val="0"/>
          <w:color w:val="000000"/>
          <w:sz w:val="24"/>
          <w:szCs w:val="24"/>
          <w:lang w:val="en-GB"/>
        </w:rPr>
      </w:pPr>
      <w:r w:rsidRPr="000729CF">
        <w:rPr>
          <w:rFonts w:ascii="Arial" w:eastAsia="Calibri" w:hAnsi="Arial" w:cs="Arial"/>
          <w:snapToGrid w:val="0"/>
          <w:color w:val="000000"/>
          <w:sz w:val="24"/>
          <w:szCs w:val="24"/>
          <w:lang w:val="en-GB"/>
        </w:rPr>
        <w:t>A counterparty’s exposure limit will be reviewed (and changed where necessary) following notification of a change in that counterparty’s credit rating or a view expressed by the credit rating agency warrants a change.</w:t>
      </w:r>
    </w:p>
    <w:p w14:paraId="3BA56AA4" w14:textId="77777777" w:rsidR="000729CF" w:rsidRPr="000729CF" w:rsidRDefault="000729CF" w:rsidP="000729CF">
      <w:pPr>
        <w:spacing w:before="120" w:after="240"/>
        <w:ind w:left="709"/>
        <w:rPr>
          <w:rFonts w:ascii="Arial" w:eastAsia="Calibri" w:hAnsi="Arial" w:cs="Arial"/>
          <w:snapToGrid w:val="0"/>
          <w:color w:val="000000"/>
          <w:sz w:val="24"/>
          <w:szCs w:val="24"/>
          <w:lang w:val="en-GB"/>
        </w:rPr>
      </w:pPr>
      <w:r w:rsidRPr="000729CF">
        <w:rPr>
          <w:rFonts w:ascii="Arial" w:eastAsia="Calibri" w:hAnsi="Arial" w:cs="Arial"/>
          <w:snapToGrid w:val="0"/>
          <w:color w:val="000000"/>
          <w:sz w:val="24"/>
          <w:szCs w:val="24"/>
          <w:lang w:val="en-GB"/>
        </w:rPr>
        <w:t>A counterparty’s exposure limit will also be reviewed where information contained in the financial press or other similar publications indicates a possible worsening in credit worth of a counterparty. The review may lead to the suspension of any counterparty where it is considered appropriate to do so by the Chief Finance Officer.</w:t>
      </w:r>
    </w:p>
    <w:p w14:paraId="53F8F64F" w14:textId="77777777" w:rsidR="000729CF" w:rsidRPr="000729CF" w:rsidRDefault="000729CF" w:rsidP="00CE70A3">
      <w:pPr>
        <w:keepNext/>
        <w:numPr>
          <w:ilvl w:val="1"/>
          <w:numId w:val="67"/>
        </w:numPr>
        <w:spacing w:before="120" w:after="120" w:line="276" w:lineRule="auto"/>
        <w:ind w:left="709" w:hanging="709"/>
        <w:outlineLvl w:val="1"/>
        <w:rPr>
          <w:rFonts w:ascii="Arial" w:hAnsi="Arial" w:cs="Arial"/>
          <w:b/>
          <w:bCs/>
          <w:i/>
          <w:iCs/>
          <w:snapToGrid w:val="0"/>
          <w:sz w:val="24"/>
          <w:szCs w:val="24"/>
          <w:lang w:val="en-GB"/>
        </w:rPr>
      </w:pPr>
      <w:r w:rsidRPr="000729CF">
        <w:rPr>
          <w:rFonts w:ascii="Arial" w:hAnsi="Arial" w:cs="Arial"/>
          <w:b/>
          <w:bCs/>
          <w:i/>
          <w:iCs/>
          <w:snapToGrid w:val="0"/>
          <w:sz w:val="24"/>
          <w:szCs w:val="24"/>
          <w:lang w:val="en-GB"/>
        </w:rPr>
        <w:t>Investment Risk Benchmarking</w:t>
      </w:r>
    </w:p>
    <w:p w14:paraId="110E21A6" w14:textId="77777777" w:rsidR="000729CF" w:rsidRPr="000729CF" w:rsidRDefault="000729CF" w:rsidP="000729CF">
      <w:pPr>
        <w:spacing w:before="120" w:after="120"/>
        <w:ind w:left="709"/>
        <w:rPr>
          <w:rFonts w:ascii="Arial" w:eastAsia="Calibri" w:hAnsi="Arial" w:cs="Arial"/>
          <w:snapToGrid w:val="0"/>
          <w:color w:val="000000"/>
          <w:sz w:val="24"/>
          <w:szCs w:val="24"/>
          <w:lang w:val="en-GB"/>
        </w:rPr>
      </w:pPr>
      <w:bookmarkStart w:id="65" w:name="_Hlk121313607"/>
      <w:r w:rsidRPr="000729CF">
        <w:rPr>
          <w:rFonts w:ascii="Arial" w:eastAsia="Calibri" w:hAnsi="Arial" w:cs="Arial"/>
          <w:snapToGrid w:val="0"/>
          <w:color w:val="000000"/>
          <w:sz w:val="24"/>
          <w:szCs w:val="24"/>
          <w:lang w:val="en-GB"/>
        </w:rPr>
        <w:t>The weighted average benchmark risk factor for 2024/25 is recommended to be 0.05%. This is unchanged from 2023/24. This is a measure of the percentage of the portfolio deemed to be at risk of loss by reference to the maturity date, value of investment, and credit rating of the individual investments within the portfolio compared to the historic default data for those credit ratings.</w:t>
      </w:r>
    </w:p>
    <w:p w14:paraId="662D94D3" w14:textId="77777777" w:rsidR="000729CF" w:rsidRPr="000729CF" w:rsidRDefault="000729CF" w:rsidP="000729CF">
      <w:pPr>
        <w:spacing w:before="120" w:after="120"/>
        <w:ind w:left="709"/>
        <w:rPr>
          <w:rFonts w:ascii="Arial" w:eastAsia="Calibri" w:hAnsi="Arial" w:cs="Arial"/>
          <w:snapToGrid w:val="0"/>
          <w:color w:val="000000"/>
          <w:sz w:val="24"/>
          <w:szCs w:val="24"/>
          <w:lang w:val="en-GB"/>
        </w:rPr>
      </w:pPr>
      <w:r w:rsidRPr="000729CF">
        <w:rPr>
          <w:rFonts w:ascii="Arial" w:eastAsia="Calibri" w:hAnsi="Arial" w:cs="Arial"/>
          <w:snapToGrid w:val="0"/>
          <w:color w:val="000000"/>
          <w:sz w:val="24"/>
          <w:szCs w:val="24"/>
          <w:lang w:val="en-GB"/>
        </w:rPr>
        <w:t>This benchmark is a simple target (not limit) to measure investment risk and so may be breached from time to time, depending on movements in interest rates and counterparty criteria. The purpose of the benchmark is that the in-house treasury team can monitor the current and trend position and amend the operational strategy depending on any changes. Any breach of the benchmarks will be reported with supporting reasons in the mid-year or end-of-year reviews.</w:t>
      </w:r>
    </w:p>
    <w:p w14:paraId="7DB35357" w14:textId="77777777" w:rsidR="000729CF" w:rsidRPr="000729CF" w:rsidRDefault="000729CF" w:rsidP="000729CF">
      <w:pPr>
        <w:spacing w:before="120" w:after="120"/>
        <w:ind w:left="709"/>
        <w:rPr>
          <w:rFonts w:ascii="Arial" w:eastAsia="Calibri" w:hAnsi="Arial" w:cs="Arial"/>
          <w:snapToGrid w:val="0"/>
          <w:color w:val="000000"/>
          <w:sz w:val="24"/>
          <w:szCs w:val="24"/>
          <w:lang w:val="en-GB"/>
        </w:rPr>
      </w:pPr>
      <w:r w:rsidRPr="000729CF">
        <w:rPr>
          <w:rFonts w:ascii="Arial" w:eastAsia="Calibri" w:hAnsi="Arial" w:cs="Arial"/>
          <w:snapToGrid w:val="0"/>
          <w:color w:val="000000"/>
          <w:sz w:val="24"/>
          <w:szCs w:val="24"/>
          <w:lang w:val="en-GB"/>
        </w:rPr>
        <w:t>This matrix will only cover internally managed investments, excluding externally managed cash that has been subject to an individual selection process. It also excludes funds lend to other Local Authorities, consistent with the CIPFA Accounting Code.</w:t>
      </w:r>
    </w:p>
    <w:p w14:paraId="63913800" w14:textId="77777777" w:rsidR="000729CF" w:rsidRPr="000729CF" w:rsidRDefault="000729CF" w:rsidP="000729CF">
      <w:pPr>
        <w:spacing w:before="120" w:after="240"/>
        <w:ind w:left="709"/>
        <w:rPr>
          <w:rFonts w:ascii="Arial" w:eastAsia="Calibri" w:hAnsi="Arial" w:cs="Arial"/>
          <w:snapToGrid w:val="0"/>
          <w:color w:val="000000"/>
          <w:sz w:val="24"/>
          <w:szCs w:val="24"/>
          <w:lang w:val="en-GB"/>
        </w:rPr>
      </w:pPr>
      <w:r w:rsidRPr="000729CF">
        <w:rPr>
          <w:rFonts w:ascii="Arial" w:eastAsia="Calibri" w:hAnsi="Arial" w:cs="Arial"/>
          <w:snapToGrid w:val="0"/>
          <w:color w:val="000000"/>
          <w:sz w:val="24"/>
          <w:szCs w:val="24"/>
          <w:lang w:val="en-GB"/>
        </w:rPr>
        <w:t>For any investment where there is a direct and legal offset against an existing financial liability, the investment will be assumed to have a benchmark risk of 0.00%.</w:t>
      </w:r>
    </w:p>
    <w:bookmarkEnd w:id="65"/>
    <w:p w14:paraId="551E3A88" w14:textId="77777777" w:rsidR="000729CF" w:rsidRPr="000729CF" w:rsidRDefault="000729CF" w:rsidP="00CE70A3">
      <w:pPr>
        <w:keepNext/>
        <w:numPr>
          <w:ilvl w:val="1"/>
          <w:numId w:val="67"/>
        </w:numPr>
        <w:spacing w:before="120" w:after="120" w:line="276" w:lineRule="auto"/>
        <w:ind w:left="709" w:hanging="709"/>
        <w:outlineLvl w:val="1"/>
        <w:rPr>
          <w:rFonts w:ascii="Arial" w:hAnsi="Arial" w:cs="Arial"/>
          <w:b/>
          <w:bCs/>
          <w:i/>
          <w:iCs/>
          <w:snapToGrid w:val="0"/>
          <w:sz w:val="24"/>
          <w:szCs w:val="24"/>
          <w:lang w:val="en-GB"/>
        </w:rPr>
      </w:pPr>
      <w:r w:rsidRPr="000729CF">
        <w:rPr>
          <w:rFonts w:ascii="Arial" w:hAnsi="Arial" w:cs="Arial"/>
          <w:b/>
          <w:bCs/>
          <w:i/>
          <w:iCs/>
          <w:snapToGrid w:val="0"/>
          <w:sz w:val="24"/>
          <w:szCs w:val="24"/>
          <w:lang w:val="en-GB"/>
        </w:rPr>
        <w:t>Investment Performance Benchmarking</w:t>
      </w:r>
    </w:p>
    <w:p w14:paraId="03B847C8" w14:textId="77777777" w:rsidR="000729CF" w:rsidRPr="000729CF" w:rsidRDefault="000729CF" w:rsidP="000729CF">
      <w:pPr>
        <w:spacing w:before="120" w:after="240"/>
        <w:ind w:left="709"/>
        <w:rPr>
          <w:rFonts w:ascii="Arial" w:eastAsia="Calibri" w:hAnsi="Arial" w:cs="Arial"/>
          <w:snapToGrid w:val="0"/>
          <w:color w:val="000000"/>
          <w:sz w:val="24"/>
          <w:szCs w:val="24"/>
          <w:lang w:val="en-GB"/>
        </w:rPr>
      </w:pPr>
      <w:bookmarkStart w:id="66" w:name="_Hlk121313663"/>
      <w:r w:rsidRPr="000729CF">
        <w:rPr>
          <w:rFonts w:ascii="Arial" w:eastAsia="Calibri" w:hAnsi="Arial" w:cs="Arial"/>
          <w:snapToGrid w:val="0"/>
          <w:color w:val="000000"/>
          <w:sz w:val="24"/>
          <w:szCs w:val="24"/>
          <w:lang w:val="en-GB"/>
        </w:rPr>
        <w:t>The performance of the Council’s investment portfolio will be measured against the overnight SONIA Rate, an industry standard benchmark.</w:t>
      </w:r>
      <w:bookmarkEnd w:id="66"/>
    </w:p>
    <w:p w14:paraId="4FA66500" w14:textId="77777777" w:rsidR="000729CF" w:rsidRPr="000729CF" w:rsidRDefault="000729CF" w:rsidP="00CE70A3">
      <w:pPr>
        <w:keepNext/>
        <w:numPr>
          <w:ilvl w:val="0"/>
          <w:numId w:val="67"/>
        </w:numPr>
        <w:spacing w:before="240" w:after="120" w:line="276" w:lineRule="auto"/>
        <w:ind w:left="709" w:hanging="709"/>
        <w:outlineLvl w:val="0"/>
        <w:rPr>
          <w:rFonts w:ascii="Arial" w:hAnsi="Arial" w:cs="Arial"/>
          <w:b/>
          <w:bCs/>
          <w:kern w:val="32"/>
          <w:sz w:val="24"/>
          <w:szCs w:val="24"/>
          <w:lang w:val="en-GB"/>
        </w:rPr>
      </w:pPr>
      <w:r w:rsidRPr="000729CF">
        <w:rPr>
          <w:rFonts w:ascii="Arial" w:hAnsi="Arial" w:cs="Arial"/>
          <w:b/>
          <w:bCs/>
          <w:kern w:val="32"/>
          <w:sz w:val="24"/>
          <w:szCs w:val="24"/>
          <w:lang w:val="en-GB"/>
        </w:rPr>
        <w:t xml:space="preserve">OTHER TREASURY MATTERS </w:t>
      </w:r>
    </w:p>
    <w:p w14:paraId="3D7D8452" w14:textId="77777777" w:rsidR="000729CF" w:rsidRPr="000729CF" w:rsidRDefault="000729CF" w:rsidP="00CE70A3">
      <w:pPr>
        <w:keepNext/>
        <w:numPr>
          <w:ilvl w:val="1"/>
          <w:numId w:val="67"/>
        </w:numPr>
        <w:spacing w:before="120" w:after="120" w:line="276" w:lineRule="auto"/>
        <w:ind w:left="709" w:hanging="709"/>
        <w:outlineLvl w:val="1"/>
        <w:rPr>
          <w:rFonts w:ascii="Arial" w:hAnsi="Arial" w:cs="Arial"/>
          <w:b/>
          <w:bCs/>
          <w:i/>
          <w:iCs/>
          <w:sz w:val="24"/>
          <w:szCs w:val="24"/>
          <w:lang w:val="en-GB"/>
        </w:rPr>
      </w:pPr>
      <w:r w:rsidRPr="000729CF">
        <w:rPr>
          <w:rFonts w:ascii="Arial" w:hAnsi="Arial" w:cs="Arial"/>
          <w:b/>
          <w:bCs/>
          <w:i/>
          <w:iCs/>
          <w:sz w:val="24"/>
          <w:szCs w:val="24"/>
          <w:lang w:val="en-GB"/>
        </w:rPr>
        <w:tab/>
        <w:t xml:space="preserve">Banking Services </w:t>
      </w:r>
    </w:p>
    <w:p w14:paraId="134A1708" w14:textId="77777777" w:rsidR="000729CF" w:rsidRPr="000729CF" w:rsidRDefault="000729CF" w:rsidP="000729CF">
      <w:pPr>
        <w:spacing w:after="240"/>
        <w:ind w:left="709"/>
        <w:rPr>
          <w:rFonts w:ascii="Arial" w:eastAsia="Calibri" w:hAnsi="Arial" w:cs="Arial"/>
          <w:sz w:val="24"/>
          <w:szCs w:val="24"/>
          <w:lang w:val="en-GB"/>
        </w:rPr>
      </w:pPr>
      <w:r w:rsidRPr="000729CF">
        <w:rPr>
          <w:rFonts w:ascii="Arial" w:eastAsia="Calibri" w:hAnsi="Arial" w:cs="Arial"/>
          <w:sz w:val="24"/>
          <w:szCs w:val="24"/>
          <w:lang w:val="en-GB"/>
        </w:rPr>
        <w:t>Lloyds Bank plc currently provides banking services for the council.</w:t>
      </w:r>
    </w:p>
    <w:p w14:paraId="1C624E32" w14:textId="77777777" w:rsidR="000729CF" w:rsidRPr="000729CF" w:rsidRDefault="000729CF" w:rsidP="00CE70A3">
      <w:pPr>
        <w:keepNext/>
        <w:numPr>
          <w:ilvl w:val="1"/>
          <w:numId w:val="67"/>
        </w:numPr>
        <w:spacing w:before="120" w:after="120" w:line="276" w:lineRule="auto"/>
        <w:ind w:left="709" w:hanging="709"/>
        <w:outlineLvl w:val="1"/>
        <w:rPr>
          <w:rFonts w:ascii="Arial" w:hAnsi="Arial" w:cs="Arial"/>
          <w:b/>
          <w:bCs/>
          <w:i/>
          <w:iCs/>
          <w:sz w:val="24"/>
          <w:szCs w:val="24"/>
          <w:lang w:val="en-GB"/>
        </w:rPr>
      </w:pPr>
      <w:r w:rsidRPr="000729CF">
        <w:rPr>
          <w:rFonts w:ascii="Arial" w:hAnsi="Arial" w:cs="Arial"/>
          <w:b/>
          <w:bCs/>
          <w:i/>
          <w:iCs/>
          <w:sz w:val="24"/>
          <w:szCs w:val="24"/>
          <w:lang w:val="en-GB"/>
        </w:rPr>
        <w:t>Training</w:t>
      </w:r>
    </w:p>
    <w:p w14:paraId="025EA82A" w14:textId="77777777" w:rsidR="000729CF" w:rsidRPr="000729CF" w:rsidRDefault="000729CF" w:rsidP="000729CF">
      <w:pPr>
        <w:autoSpaceDE w:val="0"/>
        <w:autoSpaceDN w:val="0"/>
        <w:adjustRightInd w:val="0"/>
        <w:spacing w:after="120"/>
        <w:ind w:left="709"/>
        <w:rPr>
          <w:rFonts w:ascii="Arial" w:eastAsia="Calibri" w:hAnsi="Arial" w:cs="Arial"/>
          <w:color w:val="000000"/>
          <w:sz w:val="24"/>
          <w:szCs w:val="24"/>
          <w:lang w:val="en-GB" w:eastAsia="en-GB"/>
        </w:rPr>
      </w:pPr>
      <w:bookmarkStart w:id="67" w:name="_Hlk121313709"/>
      <w:r w:rsidRPr="000729CF">
        <w:rPr>
          <w:rFonts w:ascii="Arial" w:eastAsia="Calibri" w:hAnsi="Arial" w:cs="Arial"/>
          <w:color w:val="000000"/>
          <w:sz w:val="24"/>
          <w:szCs w:val="24"/>
          <w:lang w:val="en-GB" w:eastAsia="en-GB"/>
        </w:rPr>
        <w:t xml:space="preserve">The CIPFA Treasury Management Code requires the responsible officer to ensure that members with responsibility for treasury management receive adequate training in treasury management.  This especially applies to members responsible for scrutiny.  </w:t>
      </w:r>
    </w:p>
    <w:p w14:paraId="0465F820" w14:textId="77777777" w:rsidR="000729CF" w:rsidRPr="000729CF" w:rsidRDefault="000729CF" w:rsidP="000729CF">
      <w:pPr>
        <w:autoSpaceDE w:val="0"/>
        <w:autoSpaceDN w:val="0"/>
        <w:adjustRightInd w:val="0"/>
        <w:spacing w:after="120"/>
        <w:ind w:left="709"/>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 xml:space="preserve">The scale and nature of this will depend on the size and complexity of the organisation’s treasury management needs.  Organisations should consider how to assess whether treasury management staff and board / council members have the required knowledge and skills to undertake their roles and whether they have been able to maintain those skills and keep them up to date. </w:t>
      </w:r>
    </w:p>
    <w:p w14:paraId="56ECA530" w14:textId="77777777" w:rsidR="000729CF" w:rsidRPr="000729CF" w:rsidRDefault="000729CF" w:rsidP="000729CF">
      <w:pPr>
        <w:autoSpaceDE w:val="0"/>
        <w:autoSpaceDN w:val="0"/>
        <w:adjustRightInd w:val="0"/>
        <w:spacing w:after="120"/>
        <w:ind w:left="709"/>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 xml:space="preserve">As a minimum, authorities should carry out the following to monitor and review knowledge and skills: </w:t>
      </w:r>
    </w:p>
    <w:p w14:paraId="4F8A10CC" w14:textId="77777777" w:rsidR="000729CF" w:rsidRPr="000729CF" w:rsidRDefault="000729CF" w:rsidP="00CE70A3">
      <w:pPr>
        <w:numPr>
          <w:ilvl w:val="0"/>
          <w:numId w:val="84"/>
        </w:numPr>
        <w:autoSpaceDE w:val="0"/>
        <w:autoSpaceDN w:val="0"/>
        <w:adjustRightInd w:val="0"/>
        <w:spacing w:after="120" w:line="276" w:lineRule="auto"/>
        <w:ind w:left="993" w:hanging="284"/>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 xml:space="preserve">Record attendance at training and ensure action is taken where poor attendance is identified. </w:t>
      </w:r>
    </w:p>
    <w:p w14:paraId="7EB34204" w14:textId="77777777" w:rsidR="000729CF" w:rsidRPr="000729CF" w:rsidRDefault="000729CF" w:rsidP="00CE70A3">
      <w:pPr>
        <w:numPr>
          <w:ilvl w:val="0"/>
          <w:numId w:val="84"/>
        </w:numPr>
        <w:autoSpaceDE w:val="0"/>
        <w:autoSpaceDN w:val="0"/>
        <w:adjustRightInd w:val="0"/>
        <w:spacing w:after="120" w:line="276" w:lineRule="auto"/>
        <w:ind w:left="993" w:hanging="284"/>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 xml:space="preserve">Prepare tailored learning plans for treasury management officers and board/council members. </w:t>
      </w:r>
    </w:p>
    <w:p w14:paraId="3DF88079" w14:textId="77777777" w:rsidR="000729CF" w:rsidRPr="000729CF" w:rsidRDefault="000729CF" w:rsidP="00CE70A3">
      <w:pPr>
        <w:numPr>
          <w:ilvl w:val="0"/>
          <w:numId w:val="84"/>
        </w:numPr>
        <w:autoSpaceDE w:val="0"/>
        <w:autoSpaceDN w:val="0"/>
        <w:adjustRightInd w:val="0"/>
        <w:spacing w:after="120" w:line="276" w:lineRule="auto"/>
        <w:ind w:left="993" w:hanging="284"/>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 xml:space="preserve">Require treasury management officers and board/council members to undertake self-assessment against the required competencies. </w:t>
      </w:r>
    </w:p>
    <w:p w14:paraId="016586E4" w14:textId="77777777" w:rsidR="000729CF" w:rsidRPr="000729CF" w:rsidRDefault="000729CF" w:rsidP="00CE70A3">
      <w:pPr>
        <w:numPr>
          <w:ilvl w:val="0"/>
          <w:numId w:val="84"/>
        </w:numPr>
        <w:autoSpaceDE w:val="0"/>
        <w:autoSpaceDN w:val="0"/>
        <w:adjustRightInd w:val="0"/>
        <w:spacing w:after="120" w:line="276" w:lineRule="auto"/>
        <w:ind w:left="993" w:hanging="284"/>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Have regular communication with officers and board/council members, encouraging them to highlight training needs on an ongoing basis.”</w:t>
      </w:r>
    </w:p>
    <w:p w14:paraId="2EF47FA4" w14:textId="77777777" w:rsidR="000729CF" w:rsidRPr="000729CF" w:rsidRDefault="000729CF" w:rsidP="000729CF">
      <w:pPr>
        <w:autoSpaceDE w:val="0"/>
        <w:autoSpaceDN w:val="0"/>
        <w:adjustRightInd w:val="0"/>
        <w:spacing w:after="120"/>
        <w:ind w:left="709"/>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In further support of the revised training requirements, CIPFA’s Better Governance Forum and Treasury Management Network have produced a ‘self-assessment by members responsible for the scrutiny of treasury management’, which is available from the CIPFA website to download.</w:t>
      </w:r>
    </w:p>
    <w:p w14:paraId="74D193DD" w14:textId="77777777" w:rsidR="000729CF" w:rsidRPr="000729CF" w:rsidRDefault="000729CF" w:rsidP="000729CF">
      <w:pPr>
        <w:autoSpaceDE w:val="0"/>
        <w:autoSpaceDN w:val="0"/>
        <w:adjustRightInd w:val="0"/>
        <w:spacing w:after="120"/>
        <w:ind w:left="709"/>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 xml:space="preserve">Training was last provided and offered to all members on 19 January 2024. </w:t>
      </w:r>
    </w:p>
    <w:p w14:paraId="27227019" w14:textId="77777777" w:rsidR="000729CF" w:rsidRPr="000729CF" w:rsidRDefault="000729CF" w:rsidP="000729CF">
      <w:pPr>
        <w:autoSpaceDE w:val="0"/>
        <w:autoSpaceDN w:val="0"/>
        <w:adjustRightInd w:val="0"/>
        <w:spacing w:after="120"/>
        <w:ind w:left="709"/>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 xml:space="preserve">The training needs of treasury management officers are periodically reviewed. </w:t>
      </w:r>
    </w:p>
    <w:p w14:paraId="6F33330A" w14:textId="77777777" w:rsidR="000729CF" w:rsidRPr="000729CF" w:rsidRDefault="000729CF" w:rsidP="000729CF">
      <w:pPr>
        <w:autoSpaceDE w:val="0"/>
        <w:autoSpaceDN w:val="0"/>
        <w:adjustRightInd w:val="0"/>
        <w:spacing w:after="120"/>
        <w:ind w:left="709"/>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 xml:space="preserve">A formal record of the training received by officers central to the Treasury function and members who are responsible for decision making and scrutiny of the Treasury function is maintained by the Principal Accountant -Treasury. </w:t>
      </w:r>
    </w:p>
    <w:p w14:paraId="1A39FD2C" w14:textId="77777777" w:rsidR="000729CF" w:rsidRPr="000729CF" w:rsidRDefault="000729CF" w:rsidP="000729CF">
      <w:pPr>
        <w:autoSpaceDE w:val="0"/>
        <w:autoSpaceDN w:val="0"/>
        <w:adjustRightInd w:val="0"/>
        <w:spacing w:after="120"/>
        <w:ind w:left="709"/>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A monthly Treasury Management Bulletin is provided to lead Finance members of the main political groups.</w:t>
      </w:r>
    </w:p>
    <w:bookmarkEnd w:id="67"/>
    <w:p w14:paraId="3DB2423F" w14:textId="77777777" w:rsidR="000729CF" w:rsidRPr="000729CF" w:rsidRDefault="000729CF" w:rsidP="00CE70A3">
      <w:pPr>
        <w:keepNext/>
        <w:numPr>
          <w:ilvl w:val="1"/>
          <w:numId w:val="67"/>
        </w:numPr>
        <w:spacing w:before="120" w:after="120" w:line="276" w:lineRule="auto"/>
        <w:ind w:left="709" w:hanging="709"/>
        <w:outlineLvl w:val="1"/>
        <w:rPr>
          <w:rFonts w:ascii="Arial" w:hAnsi="Arial" w:cs="Arial"/>
          <w:b/>
          <w:bCs/>
          <w:i/>
          <w:iCs/>
          <w:sz w:val="24"/>
          <w:szCs w:val="24"/>
          <w:lang w:val="en-GB"/>
        </w:rPr>
      </w:pPr>
      <w:r w:rsidRPr="000729CF">
        <w:rPr>
          <w:rFonts w:ascii="Arial" w:hAnsi="Arial" w:cs="Arial"/>
          <w:b/>
          <w:bCs/>
          <w:i/>
          <w:iCs/>
          <w:sz w:val="24"/>
          <w:szCs w:val="24"/>
          <w:lang w:val="en-GB"/>
        </w:rPr>
        <w:t xml:space="preserve">Policy on the use of External Service Providers </w:t>
      </w:r>
    </w:p>
    <w:p w14:paraId="7AA44CBD" w14:textId="77777777" w:rsidR="000729CF" w:rsidRPr="000729CF" w:rsidRDefault="000729CF" w:rsidP="000729CF">
      <w:pPr>
        <w:spacing w:after="120"/>
        <w:ind w:left="709"/>
        <w:rPr>
          <w:rFonts w:ascii="Arial" w:eastAsia="Calibri" w:hAnsi="Arial" w:cs="Arial"/>
          <w:sz w:val="24"/>
          <w:szCs w:val="24"/>
          <w:lang w:val="en-GB"/>
        </w:rPr>
      </w:pPr>
      <w:r w:rsidRPr="000729CF">
        <w:rPr>
          <w:rFonts w:ascii="Arial" w:eastAsia="Calibri" w:hAnsi="Arial" w:cs="Arial"/>
          <w:sz w:val="24"/>
          <w:szCs w:val="24"/>
          <w:lang w:val="en-GB"/>
        </w:rPr>
        <w:t>The council uses Link</w:t>
      </w:r>
      <w:r w:rsidRPr="000729CF">
        <w:rPr>
          <w:rFonts w:ascii="Arial" w:eastAsia="Calibri" w:hAnsi="Arial" w:cs="Arial"/>
          <w:noProof/>
          <w:sz w:val="24"/>
          <w:szCs w:val="24"/>
          <w:lang w:val="en-GB"/>
        </w:rPr>
        <w:t xml:space="preserve"> Asset Services </w:t>
      </w:r>
      <w:r w:rsidRPr="000729CF">
        <w:rPr>
          <w:rFonts w:ascii="Arial" w:eastAsia="Calibri" w:hAnsi="Arial" w:cs="Arial"/>
          <w:sz w:val="24"/>
          <w:szCs w:val="24"/>
          <w:lang w:val="en-GB"/>
        </w:rPr>
        <w:t xml:space="preserve">as its external treasury management advisors. </w:t>
      </w:r>
    </w:p>
    <w:p w14:paraId="0C20F768" w14:textId="77777777" w:rsidR="000729CF" w:rsidRPr="000729CF" w:rsidRDefault="000729CF" w:rsidP="000729CF">
      <w:pPr>
        <w:spacing w:after="240"/>
        <w:ind w:left="709"/>
        <w:rPr>
          <w:rFonts w:ascii="Arial" w:eastAsia="Calibri" w:hAnsi="Arial" w:cs="Arial"/>
          <w:sz w:val="24"/>
          <w:szCs w:val="24"/>
          <w:lang w:val="en-GB"/>
        </w:rPr>
      </w:pPr>
      <w:r w:rsidRPr="000729CF">
        <w:rPr>
          <w:rFonts w:ascii="Arial" w:eastAsia="Calibri" w:hAnsi="Arial" w:cs="Arial"/>
          <w:sz w:val="24"/>
          <w:szCs w:val="24"/>
          <w:lang w:val="en-GB"/>
        </w:rPr>
        <w:t xml:space="preserve">The council recognises that responsibility for treasury management decisions remains with the council at all times and will ensure that undue reliance is not placed upon our external service providers. It also recognises that there is value in employing external providers of treasury management services in order to acquire access to specialist skills and resources. The council will ensure that the terms of their appointment and the methods by which their value will be assessed are properly agreed and documented, and subject to regular review. </w:t>
      </w:r>
    </w:p>
    <w:p w14:paraId="67C01749" w14:textId="77777777" w:rsidR="000729CF" w:rsidRPr="000729CF" w:rsidRDefault="000729CF" w:rsidP="00CE70A3">
      <w:pPr>
        <w:keepNext/>
        <w:numPr>
          <w:ilvl w:val="1"/>
          <w:numId w:val="67"/>
        </w:numPr>
        <w:spacing w:before="120" w:after="120" w:line="276" w:lineRule="auto"/>
        <w:ind w:left="709" w:hanging="709"/>
        <w:outlineLvl w:val="1"/>
        <w:rPr>
          <w:rFonts w:ascii="Arial" w:hAnsi="Arial" w:cs="Arial"/>
          <w:b/>
          <w:bCs/>
          <w:i/>
          <w:iCs/>
          <w:sz w:val="24"/>
          <w:szCs w:val="24"/>
          <w:lang w:val="en-GB"/>
        </w:rPr>
      </w:pPr>
      <w:r w:rsidRPr="000729CF">
        <w:rPr>
          <w:rFonts w:ascii="Arial" w:hAnsi="Arial" w:cs="Arial"/>
          <w:b/>
          <w:bCs/>
          <w:i/>
          <w:iCs/>
          <w:sz w:val="24"/>
          <w:szCs w:val="24"/>
          <w:lang w:val="en-GB"/>
        </w:rPr>
        <w:t xml:space="preserve">Lending to Third Parties </w:t>
      </w:r>
    </w:p>
    <w:p w14:paraId="4F4A48CD" w14:textId="77777777" w:rsidR="000729CF" w:rsidRPr="000729CF" w:rsidRDefault="000729CF" w:rsidP="000729CF">
      <w:pPr>
        <w:spacing w:after="240"/>
        <w:ind w:left="709"/>
        <w:contextualSpacing/>
        <w:rPr>
          <w:rFonts w:ascii="Arial" w:eastAsia="Calibri" w:hAnsi="Arial" w:cs="Arial"/>
          <w:sz w:val="24"/>
          <w:szCs w:val="24"/>
          <w:lang w:val="en-GB"/>
        </w:rPr>
      </w:pPr>
      <w:r w:rsidRPr="000729CF">
        <w:rPr>
          <w:rFonts w:ascii="Arial" w:eastAsia="Calibri" w:hAnsi="Arial" w:cs="Arial"/>
          <w:sz w:val="24"/>
          <w:szCs w:val="24"/>
          <w:lang w:val="en-GB"/>
        </w:rPr>
        <w:t>The council has the power to lend monies to third parties subject to a number of criteria. These are not treasury investments, rather they are policy investments. Any activity will only take place after relevant due diligence has been undertaken, as described in the Capital Strategy (Appendix 2 to the budget report).</w:t>
      </w:r>
    </w:p>
    <w:p w14:paraId="6FD7AEEC" w14:textId="77777777" w:rsidR="000729CF" w:rsidRPr="000729CF" w:rsidRDefault="000729CF" w:rsidP="00CE70A3">
      <w:pPr>
        <w:keepNext/>
        <w:numPr>
          <w:ilvl w:val="1"/>
          <w:numId w:val="67"/>
        </w:numPr>
        <w:spacing w:before="120" w:after="120" w:line="276" w:lineRule="auto"/>
        <w:ind w:left="709" w:hanging="709"/>
        <w:outlineLvl w:val="1"/>
        <w:rPr>
          <w:rFonts w:ascii="Arial" w:hAnsi="Arial" w:cs="Arial"/>
          <w:b/>
          <w:bCs/>
          <w:i/>
          <w:iCs/>
          <w:sz w:val="24"/>
          <w:szCs w:val="24"/>
          <w:lang w:val="en-GB"/>
        </w:rPr>
      </w:pPr>
      <w:r w:rsidRPr="000729CF">
        <w:rPr>
          <w:rFonts w:ascii="Arial" w:hAnsi="Arial" w:cs="Arial"/>
          <w:b/>
          <w:bCs/>
          <w:i/>
          <w:iCs/>
          <w:sz w:val="24"/>
          <w:szCs w:val="24"/>
          <w:lang w:val="en-GB"/>
        </w:rPr>
        <w:t>Updates to the Codes of Practice 2021</w:t>
      </w:r>
    </w:p>
    <w:p w14:paraId="405E7464" w14:textId="77777777" w:rsidR="000729CF" w:rsidRPr="000729CF" w:rsidRDefault="000729CF" w:rsidP="000729CF">
      <w:pPr>
        <w:autoSpaceDE w:val="0"/>
        <w:autoSpaceDN w:val="0"/>
        <w:adjustRightInd w:val="0"/>
        <w:spacing w:after="240"/>
        <w:ind w:left="709"/>
        <w:jc w:val="both"/>
        <w:rPr>
          <w:rFonts w:ascii="Arial" w:eastAsia="Calibri" w:hAnsi="Arial" w:cs="Arial"/>
          <w:sz w:val="24"/>
          <w:szCs w:val="24"/>
          <w:lang w:val="en-GB"/>
        </w:rPr>
      </w:pPr>
      <w:r w:rsidRPr="000729CF">
        <w:rPr>
          <w:rFonts w:ascii="Arial" w:eastAsia="Calibri" w:hAnsi="Arial" w:cs="Arial"/>
          <w:sz w:val="24"/>
          <w:szCs w:val="24"/>
          <w:lang w:val="en-GB"/>
        </w:rPr>
        <w:t>CIPFA published the revised Treasury and Prudential codes in 2021. Full adoption of the new Codes was fully incorporated within the strategy from 2023/24.</w:t>
      </w:r>
    </w:p>
    <w:p w14:paraId="02A40676" w14:textId="77777777" w:rsidR="000729CF" w:rsidRPr="000729CF" w:rsidRDefault="000729CF" w:rsidP="00CE70A3">
      <w:pPr>
        <w:keepNext/>
        <w:numPr>
          <w:ilvl w:val="1"/>
          <w:numId w:val="67"/>
        </w:numPr>
        <w:spacing w:before="120" w:after="120" w:line="276" w:lineRule="auto"/>
        <w:ind w:left="709" w:hanging="709"/>
        <w:outlineLvl w:val="1"/>
        <w:rPr>
          <w:rFonts w:ascii="Arial" w:hAnsi="Arial" w:cs="Arial"/>
          <w:b/>
          <w:bCs/>
          <w:i/>
          <w:iCs/>
          <w:sz w:val="24"/>
          <w:szCs w:val="24"/>
          <w:lang w:val="en-GB"/>
        </w:rPr>
      </w:pPr>
      <w:r w:rsidRPr="000729CF">
        <w:rPr>
          <w:rFonts w:ascii="Arial" w:hAnsi="Arial" w:cs="Arial"/>
          <w:b/>
          <w:bCs/>
          <w:i/>
          <w:iCs/>
          <w:sz w:val="24"/>
          <w:szCs w:val="24"/>
          <w:lang w:val="en-GB"/>
        </w:rPr>
        <w:t>Updates to Accounting Requirements</w:t>
      </w:r>
    </w:p>
    <w:p w14:paraId="69988015" w14:textId="77777777" w:rsidR="000729CF" w:rsidRPr="000729CF" w:rsidRDefault="000729CF" w:rsidP="000729CF">
      <w:pPr>
        <w:spacing w:before="120" w:after="120"/>
        <w:ind w:left="720"/>
        <w:outlineLvl w:val="2"/>
        <w:rPr>
          <w:rFonts w:ascii="Arial" w:hAnsi="Arial" w:cs="Arial"/>
          <w:b/>
          <w:bCs/>
          <w:i/>
          <w:iCs/>
          <w:sz w:val="24"/>
          <w:szCs w:val="24"/>
          <w:lang w:val="en-GB"/>
        </w:rPr>
      </w:pPr>
      <w:r w:rsidRPr="000729CF">
        <w:rPr>
          <w:rFonts w:ascii="Arial" w:hAnsi="Arial" w:cs="Arial"/>
          <w:b/>
          <w:bCs/>
          <w:i/>
          <w:iCs/>
          <w:sz w:val="24"/>
          <w:szCs w:val="24"/>
          <w:lang w:val="en-GB"/>
        </w:rPr>
        <w:t>IFRS 9 – local authority override – English local authorities</w:t>
      </w:r>
    </w:p>
    <w:p w14:paraId="1A768DB6" w14:textId="77777777" w:rsidR="000729CF" w:rsidRPr="000729CF" w:rsidRDefault="000729CF" w:rsidP="000729CF">
      <w:pPr>
        <w:spacing w:before="120" w:after="120"/>
        <w:ind w:left="720" w:hanging="11"/>
        <w:outlineLvl w:val="2"/>
        <w:rPr>
          <w:rFonts w:ascii="Arial" w:eastAsia="Calibri" w:hAnsi="Arial" w:cs="Arial"/>
          <w:sz w:val="24"/>
          <w:szCs w:val="22"/>
          <w:lang w:val="en-GB"/>
        </w:rPr>
      </w:pPr>
      <w:r w:rsidRPr="000729CF">
        <w:rPr>
          <w:rFonts w:ascii="Arial" w:eastAsia="Calibri" w:hAnsi="Arial" w:cs="Arial"/>
          <w:sz w:val="24"/>
          <w:szCs w:val="22"/>
          <w:lang w:val="en-GB"/>
        </w:rPr>
        <w:t>The MHCLG (DLUHC) initially enacted a statutory over-ride from 1 April 2018 for a five-year period until 31 March 2023 following the introduction of International Financial Reporting Standard (IFRS) 9 in respect of the requirement for any unrealised capital gains or losses on marketable pooled funds to be chargeable in year. This has now been extended to 31 March 2025 and has the effect of allowing any unrealised capital gains or losses arising from qualifying investments to be held on the balance sheet until 31 March 2025: this is intended to allow authorities to initiate an orderly withdrawal of funds if required. In addition, IFRS 9 impacts on the write-down in the valuation of impaired loans.</w:t>
      </w:r>
    </w:p>
    <w:p w14:paraId="51272EB2" w14:textId="77777777" w:rsidR="000729CF" w:rsidRPr="000729CF" w:rsidRDefault="000729CF" w:rsidP="000729CF">
      <w:pPr>
        <w:spacing w:before="120" w:after="120"/>
        <w:ind w:left="720" w:hanging="11"/>
        <w:outlineLvl w:val="2"/>
        <w:rPr>
          <w:rFonts w:ascii="Arial" w:eastAsia="Calibri" w:hAnsi="Arial" w:cs="Arial"/>
          <w:sz w:val="24"/>
          <w:szCs w:val="22"/>
          <w:lang w:val="en-GB"/>
        </w:rPr>
      </w:pPr>
      <w:r w:rsidRPr="000729CF">
        <w:rPr>
          <w:rFonts w:ascii="Arial" w:hAnsi="Arial" w:cs="Arial"/>
          <w:b/>
          <w:bCs/>
          <w:i/>
          <w:iCs/>
          <w:sz w:val="24"/>
          <w:szCs w:val="24"/>
          <w:lang w:val="en-GB"/>
        </w:rPr>
        <w:t>IFRS 16 – Leasing</w:t>
      </w:r>
    </w:p>
    <w:p w14:paraId="6737499D" w14:textId="77777777" w:rsidR="000729CF" w:rsidRPr="000729CF" w:rsidRDefault="000729CF" w:rsidP="000729CF">
      <w:pPr>
        <w:keepNext/>
        <w:spacing w:before="120" w:after="120"/>
        <w:ind w:left="709"/>
        <w:outlineLvl w:val="1"/>
        <w:rPr>
          <w:rFonts w:ascii="Arial" w:eastAsia="Calibri" w:hAnsi="Arial" w:cs="Arial"/>
          <w:sz w:val="24"/>
          <w:szCs w:val="22"/>
          <w:lang w:val="en-GB"/>
        </w:rPr>
      </w:pPr>
      <w:r w:rsidRPr="000729CF">
        <w:rPr>
          <w:rFonts w:ascii="Arial" w:eastAsia="Calibri" w:hAnsi="Arial" w:cs="Arial"/>
          <w:sz w:val="24"/>
          <w:szCs w:val="22"/>
          <w:lang w:val="en-GB"/>
        </w:rPr>
        <w:t>The CIPFA LAASAC Local Authority Accounting Code Board has deferred implementation of IFRS 16 until 1 April 2024, the 2024/25 financial year. Once implemented, this has the following impact on the Treasury Management Strategy:</w:t>
      </w:r>
    </w:p>
    <w:p w14:paraId="4F0FFBE7" w14:textId="77777777" w:rsidR="000729CF" w:rsidRPr="000729CF" w:rsidRDefault="000729CF" w:rsidP="00CE70A3">
      <w:pPr>
        <w:keepNext/>
        <w:numPr>
          <w:ilvl w:val="0"/>
          <w:numId w:val="86"/>
        </w:numPr>
        <w:spacing w:before="120" w:after="120" w:line="276" w:lineRule="auto"/>
        <w:ind w:left="993" w:hanging="284"/>
        <w:outlineLvl w:val="1"/>
        <w:rPr>
          <w:rFonts w:ascii="Arial" w:eastAsia="Calibri" w:hAnsi="Arial" w:cs="Arial"/>
          <w:sz w:val="24"/>
          <w:szCs w:val="22"/>
          <w:lang w:val="en-GB"/>
        </w:rPr>
      </w:pPr>
      <w:r w:rsidRPr="000729CF">
        <w:rPr>
          <w:rFonts w:ascii="Arial" w:eastAsia="Calibri" w:hAnsi="Arial" w:cs="Arial"/>
          <w:sz w:val="24"/>
          <w:szCs w:val="22"/>
          <w:lang w:val="en-GB"/>
        </w:rPr>
        <w:t>The MRP Policy sets out how MRP will be applied for leases bought onto the balance sheet;</w:t>
      </w:r>
    </w:p>
    <w:p w14:paraId="333FAE07" w14:textId="77777777" w:rsidR="000729CF" w:rsidRPr="000729CF" w:rsidRDefault="000729CF" w:rsidP="00CE70A3">
      <w:pPr>
        <w:keepNext/>
        <w:numPr>
          <w:ilvl w:val="0"/>
          <w:numId w:val="86"/>
        </w:numPr>
        <w:spacing w:before="120" w:after="120" w:line="276" w:lineRule="auto"/>
        <w:ind w:left="993" w:hanging="284"/>
        <w:outlineLvl w:val="1"/>
        <w:rPr>
          <w:rFonts w:ascii="Arial" w:eastAsia="Calibri" w:hAnsi="Arial" w:cs="Arial"/>
          <w:sz w:val="24"/>
          <w:szCs w:val="22"/>
          <w:lang w:val="en-GB"/>
        </w:rPr>
      </w:pPr>
      <w:r w:rsidRPr="000729CF">
        <w:rPr>
          <w:rFonts w:ascii="Arial" w:eastAsia="Calibri" w:hAnsi="Arial" w:cs="Arial"/>
          <w:sz w:val="24"/>
          <w:szCs w:val="22"/>
          <w:lang w:val="en-GB"/>
        </w:rPr>
        <w:t xml:space="preserve">The Council’s Capital Financing Requirement authorised limit and operational boundary expectations for 2024/25 onwards have been increased to reflect the estimated effect of this change. </w:t>
      </w:r>
    </w:p>
    <w:p w14:paraId="2D04059B" w14:textId="77777777" w:rsidR="000729CF" w:rsidRPr="000729CF" w:rsidRDefault="000729CF" w:rsidP="000729CF">
      <w:pPr>
        <w:rPr>
          <w:rFonts w:ascii="Arial" w:eastAsia="Calibri" w:hAnsi="Arial" w:cs="Arial"/>
          <w:sz w:val="24"/>
          <w:szCs w:val="22"/>
          <w:lang w:val="en-GB"/>
        </w:rPr>
      </w:pPr>
      <w:r w:rsidRPr="000729CF">
        <w:rPr>
          <w:rFonts w:ascii="Calibri" w:eastAsia="Calibri" w:hAnsi="Calibri"/>
          <w:b/>
          <w:bCs/>
          <w:i/>
          <w:iCs/>
          <w:sz w:val="22"/>
          <w:szCs w:val="22"/>
          <w:lang w:val="en-GB"/>
        </w:rPr>
        <w:br w:type="page"/>
      </w:r>
    </w:p>
    <w:p w14:paraId="0E57D498" w14:textId="77777777" w:rsidR="000729CF" w:rsidRPr="000729CF" w:rsidRDefault="000729CF" w:rsidP="000729CF">
      <w:pPr>
        <w:spacing w:after="200" w:line="276" w:lineRule="auto"/>
        <w:ind w:left="-851"/>
        <w:rPr>
          <w:rFonts w:ascii="Arial" w:eastAsia="Calibri" w:hAnsi="Arial" w:cs="Arial"/>
          <w:b/>
          <w:snapToGrid w:val="0"/>
          <w:color w:val="000000"/>
          <w:sz w:val="24"/>
          <w:szCs w:val="24"/>
          <w:lang w:val="en-GB"/>
        </w:rPr>
      </w:pPr>
      <w:r w:rsidRPr="000729CF">
        <w:rPr>
          <w:rFonts w:ascii="Arial" w:eastAsia="Calibri" w:hAnsi="Arial" w:cs="Arial"/>
          <w:b/>
          <w:snapToGrid w:val="0"/>
          <w:color w:val="000000"/>
          <w:sz w:val="24"/>
          <w:szCs w:val="24"/>
          <w:lang w:val="en-GB"/>
        </w:rPr>
        <w:t xml:space="preserve">ANNEX A - Approved List of Counterparties 2024/25                                                                                                </w:t>
      </w:r>
    </w:p>
    <w:tbl>
      <w:tblPr>
        <w:tblW w:w="11483" w:type="dxa"/>
        <w:tblInd w:w="-885" w:type="dxa"/>
        <w:tblLayout w:type="fixed"/>
        <w:tblCellMar>
          <w:left w:w="28" w:type="dxa"/>
          <w:right w:w="28" w:type="dxa"/>
        </w:tblCellMar>
        <w:tblLook w:val="0000" w:firstRow="0" w:lastRow="0" w:firstColumn="0" w:lastColumn="0" w:noHBand="0" w:noVBand="0"/>
      </w:tblPr>
      <w:tblGrid>
        <w:gridCol w:w="3403"/>
        <w:gridCol w:w="1196"/>
        <w:gridCol w:w="80"/>
        <w:gridCol w:w="709"/>
        <w:gridCol w:w="567"/>
        <w:gridCol w:w="709"/>
        <w:gridCol w:w="153"/>
        <w:gridCol w:w="698"/>
        <w:gridCol w:w="850"/>
        <w:gridCol w:w="850"/>
        <w:gridCol w:w="1134"/>
        <w:gridCol w:w="1134"/>
      </w:tblGrid>
      <w:tr w:rsidR="000729CF" w:rsidRPr="000729CF" w14:paraId="06A0BBB9" w14:textId="77777777" w:rsidTr="00BC26AB">
        <w:trPr>
          <w:cantSplit/>
          <w:trHeight w:val="352"/>
          <w:tblHeader/>
        </w:trPr>
        <w:tc>
          <w:tcPr>
            <w:tcW w:w="3403" w:type="dxa"/>
            <w:vMerge w:val="restart"/>
            <w:tcBorders>
              <w:top w:val="single" w:sz="4" w:space="0" w:color="auto"/>
              <w:left w:val="single" w:sz="4" w:space="0" w:color="auto"/>
              <w:right w:val="single" w:sz="4" w:space="0" w:color="auto"/>
            </w:tcBorders>
            <w:shd w:val="clear" w:color="auto" w:fill="4F81BD"/>
            <w:vAlign w:val="bottom"/>
          </w:tcPr>
          <w:p w14:paraId="5A83710E" w14:textId="77777777" w:rsidR="000729CF" w:rsidRPr="000729CF" w:rsidRDefault="000729CF" w:rsidP="000729CF">
            <w:pPr>
              <w:spacing w:line="276" w:lineRule="auto"/>
              <w:jc w:val="center"/>
              <w:rPr>
                <w:rFonts w:ascii="Arial" w:eastAsia="Calibri" w:hAnsi="Arial" w:cs="Arial"/>
                <w:b/>
                <w:snapToGrid w:val="0"/>
                <w:color w:val="FFFFFF"/>
                <w:sz w:val="24"/>
                <w:szCs w:val="24"/>
                <w:lang w:val="en-GB"/>
              </w:rPr>
            </w:pPr>
            <w:r w:rsidRPr="000729CF">
              <w:rPr>
                <w:rFonts w:ascii="Arial" w:eastAsia="Calibri" w:hAnsi="Arial" w:cs="Arial"/>
                <w:b/>
                <w:snapToGrid w:val="0"/>
                <w:color w:val="FFFFFF"/>
                <w:sz w:val="24"/>
                <w:szCs w:val="24"/>
                <w:lang w:val="en-GB"/>
              </w:rPr>
              <w:t>Counterparty</w:t>
            </w:r>
          </w:p>
        </w:tc>
        <w:tc>
          <w:tcPr>
            <w:tcW w:w="1276" w:type="dxa"/>
            <w:gridSpan w:val="2"/>
            <w:vMerge w:val="restart"/>
            <w:tcBorders>
              <w:top w:val="single" w:sz="4" w:space="0" w:color="auto"/>
              <w:left w:val="single" w:sz="4" w:space="0" w:color="auto"/>
              <w:right w:val="single" w:sz="4" w:space="0" w:color="auto"/>
            </w:tcBorders>
            <w:shd w:val="clear" w:color="auto" w:fill="4F81BD"/>
            <w:vAlign w:val="bottom"/>
          </w:tcPr>
          <w:p w14:paraId="7F951BDF" w14:textId="77777777" w:rsidR="000729CF" w:rsidRPr="000729CF" w:rsidRDefault="000729CF" w:rsidP="000729CF">
            <w:pPr>
              <w:spacing w:line="276" w:lineRule="auto"/>
              <w:jc w:val="center"/>
              <w:rPr>
                <w:rFonts w:ascii="Arial" w:eastAsia="Calibri" w:hAnsi="Arial" w:cs="Arial"/>
                <w:b/>
                <w:snapToGrid w:val="0"/>
                <w:color w:val="FFFFFF"/>
                <w:sz w:val="24"/>
                <w:szCs w:val="24"/>
                <w:lang w:val="en-GB"/>
              </w:rPr>
            </w:pPr>
            <w:r w:rsidRPr="000729CF">
              <w:rPr>
                <w:rFonts w:ascii="Arial" w:eastAsia="Calibri" w:hAnsi="Arial" w:cs="Arial"/>
                <w:b/>
                <w:snapToGrid w:val="0"/>
                <w:color w:val="FFFFFF"/>
                <w:sz w:val="24"/>
                <w:szCs w:val="24"/>
                <w:lang w:val="en-GB"/>
              </w:rPr>
              <w:t>Specified /Non-specified</w:t>
            </w:r>
          </w:p>
        </w:tc>
        <w:tc>
          <w:tcPr>
            <w:tcW w:w="2138" w:type="dxa"/>
            <w:gridSpan w:val="4"/>
            <w:tcBorders>
              <w:top w:val="single" w:sz="4" w:space="0" w:color="auto"/>
              <w:left w:val="single" w:sz="4" w:space="0" w:color="auto"/>
              <w:bottom w:val="single" w:sz="4" w:space="0" w:color="auto"/>
              <w:right w:val="single" w:sz="4" w:space="0" w:color="auto"/>
            </w:tcBorders>
            <w:shd w:val="clear" w:color="auto" w:fill="4F81BD"/>
            <w:vAlign w:val="center"/>
          </w:tcPr>
          <w:p w14:paraId="165B2889" w14:textId="77777777" w:rsidR="000729CF" w:rsidRPr="000729CF" w:rsidRDefault="000729CF" w:rsidP="000729CF">
            <w:pPr>
              <w:spacing w:line="276" w:lineRule="auto"/>
              <w:jc w:val="center"/>
              <w:rPr>
                <w:rFonts w:ascii="Arial" w:eastAsia="Calibri" w:hAnsi="Arial" w:cs="Arial"/>
                <w:b/>
                <w:snapToGrid w:val="0"/>
                <w:color w:val="FFFFFF"/>
                <w:sz w:val="24"/>
                <w:szCs w:val="24"/>
                <w:lang w:val="en-GB"/>
              </w:rPr>
            </w:pPr>
            <w:r w:rsidRPr="000729CF">
              <w:rPr>
                <w:rFonts w:ascii="Arial" w:eastAsia="Calibri" w:hAnsi="Arial" w:cs="Arial"/>
                <w:b/>
                <w:snapToGrid w:val="0"/>
                <w:color w:val="FFFFFF"/>
                <w:sz w:val="24"/>
                <w:szCs w:val="24"/>
                <w:lang w:val="en-GB"/>
              </w:rPr>
              <w:t>Short-term</w:t>
            </w:r>
          </w:p>
        </w:tc>
        <w:tc>
          <w:tcPr>
            <w:tcW w:w="2398" w:type="dxa"/>
            <w:gridSpan w:val="3"/>
            <w:tcBorders>
              <w:top w:val="single" w:sz="4" w:space="0" w:color="auto"/>
              <w:left w:val="single" w:sz="4" w:space="0" w:color="auto"/>
              <w:right w:val="single" w:sz="4" w:space="0" w:color="auto"/>
            </w:tcBorders>
            <w:shd w:val="clear" w:color="auto" w:fill="4F81BD"/>
            <w:vAlign w:val="center"/>
          </w:tcPr>
          <w:p w14:paraId="422EC040" w14:textId="77777777" w:rsidR="000729CF" w:rsidRPr="000729CF" w:rsidRDefault="000729CF" w:rsidP="000729CF">
            <w:pPr>
              <w:spacing w:line="276" w:lineRule="auto"/>
              <w:jc w:val="center"/>
              <w:rPr>
                <w:rFonts w:ascii="Arial" w:eastAsia="Calibri" w:hAnsi="Arial" w:cs="Arial"/>
                <w:b/>
                <w:snapToGrid w:val="0"/>
                <w:color w:val="FFFFFF"/>
                <w:sz w:val="24"/>
                <w:szCs w:val="24"/>
                <w:lang w:val="en-GB"/>
              </w:rPr>
            </w:pPr>
            <w:r w:rsidRPr="000729CF">
              <w:rPr>
                <w:rFonts w:ascii="Arial" w:eastAsia="Calibri" w:hAnsi="Arial" w:cs="Arial"/>
                <w:b/>
                <w:snapToGrid w:val="0"/>
                <w:color w:val="FFFFFF"/>
                <w:sz w:val="24"/>
                <w:szCs w:val="24"/>
                <w:lang w:val="en-GB"/>
              </w:rPr>
              <w:t>Long-term</w:t>
            </w:r>
          </w:p>
        </w:tc>
        <w:tc>
          <w:tcPr>
            <w:tcW w:w="1134" w:type="dxa"/>
            <w:vMerge w:val="restart"/>
            <w:tcBorders>
              <w:top w:val="single" w:sz="4" w:space="0" w:color="auto"/>
              <w:left w:val="single" w:sz="4" w:space="0" w:color="auto"/>
              <w:right w:val="single" w:sz="4" w:space="0" w:color="auto"/>
            </w:tcBorders>
            <w:shd w:val="clear" w:color="auto" w:fill="4F81BD"/>
            <w:vAlign w:val="bottom"/>
          </w:tcPr>
          <w:p w14:paraId="16921EBC" w14:textId="77777777" w:rsidR="000729CF" w:rsidRPr="000729CF" w:rsidRDefault="000729CF" w:rsidP="000729CF">
            <w:pPr>
              <w:spacing w:line="276" w:lineRule="auto"/>
              <w:jc w:val="center"/>
              <w:rPr>
                <w:rFonts w:ascii="Arial" w:eastAsia="Calibri" w:hAnsi="Arial" w:cs="Arial"/>
                <w:b/>
                <w:snapToGrid w:val="0"/>
                <w:color w:val="FFFFFF"/>
                <w:sz w:val="24"/>
                <w:szCs w:val="24"/>
                <w:lang w:val="en-GB"/>
              </w:rPr>
            </w:pPr>
            <w:r w:rsidRPr="000729CF">
              <w:rPr>
                <w:rFonts w:ascii="Arial" w:eastAsia="Calibri" w:hAnsi="Arial" w:cs="Arial"/>
                <w:b/>
                <w:snapToGrid w:val="0"/>
                <w:color w:val="FFFFFF"/>
                <w:sz w:val="24"/>
                <w:szCs w:val="24"/>
                <w:lang w:val="en-GB"/>
              </w:rPr>
              <w:t>Lending Limit</w:t>
            </w:r>
          </w:p>
        </w:tc>
        <w:tc>
          <w:tcPr>
            <w:tcW w:w="1134" w:type="dxa"/>
            <w:vMerge w:val="restart"/>
            <w:tcBorders>
              <w:top w:val="single" w:sz="4" w:space="0" w:color="auto"/>
              <w:left w:val="single" w:sz="4" w:space="0" w:color="auto"/>
              <w:right w:val="single" w:sz="4" w:space="0" w:color="auto"/>
            </w:tcBorders>
            <w:shd w:val="clear" w:color="auto" w:fill="4F81BD"/>
            <w:vAlign w:val="bottom"/>
          </w:tcPr>
          <w:p w14:paraId="7EB1D0B5" w14:textId="77777777" w:rsidR="000729CF" w:rsidRPr="000729CF" w:rsidRDefault="000729CF" w:rsidP="000729CF">
            <w:pPr>
              <w:spacing w:line="276" w:lineRule="auto"/>
              <w:jc w:val="center"/>
              <w:rPr>
                <w:rFonts w:ascii="Arial" w:eastAsia="Calibri" w:hAnsi="Arial" w:cs="Arial"/>
                <w:b/>
                <w:snapToGrid w:val="0"/>
                <w:color w:val="FFFFFF"/>
                <w:sz w:val="24"/>
                <w:szCs w:val="24"/>
                <w:lang w:val="en-GB"/>
              </w:rPr>
            </w:pPr>
            <w:r w:rsidRPr="000729CF">
              <w:rPr>
                <w:rFonts w:ascii="Arial" w:eastAsia="Calibri" w:hAnsi="Arial" w:cs="Arial"/>
                <w:b/>
                <w:snapToGrid w:val="0"/>
                <w:color w:val="FFFFFF"/>
                <w:sz w:val="24"/>
                <w:szCs w:val="24"/>
                <w:lang w:val="en-GB"/>
              </w:rPr>
              <w:t>Fixed deposit duration limit (months)</w:t>
            </w:r>
          </w:p>
        </w:tc>
      </w:tr>
      <w:tr w:rsidR="000729CF" w:rsidRPr="000729CF" w14:paraId="027E1F6D" w14:textId="77777777" w:rsidTr="00BC26AB">
        <w:trPr>
          <w:cantSplit/>
          <w:trHeight w:val="209"/>
          <w:tblHeader/>
        </w:trPr>
        <w:tc>
          <w:tcPr>
            <w:tcW w:w="3403" w:type="dxa"/>
            <w:vMerge/>
            <w:tcBorders>
              <w:left w:val="single" w:sz="4" w:space="0" w:color="auto"/>
              <w:right w:val="single" w:sz="4" w:space="0" w:color="auto"/>
            </w:tcBorders>
            <w:shd w:val="clear" w:color="auto" w:fill="4F81BD"/>
          </w:tcPr>
          <w:p w14:paraId="5F4E675F" w14:textId="77777777" w:rsidR="000729CF" w:rsidRPr="000729CF" w:rsidRDefault="000729CF" w:rsidP="000729CF">
            <w:pPr>
              <w:spacing w:after="200" w:line="276" w:lineRule="auto"/>
              <w:jc w:val="center"/>
              <w:rPr>
                <w:rFonts w:ascii="Arial" w:eastAsia="Calibri" w:hAnsi="Arial" w:cs="Arial"/>
                <w:b/>
                <w:snapToGrid w:val="0"/>
                <w:color w:val="FFFFFF"/>
                <w:sz w:val="24"/>
                <w:szCs w:val="24"/>
                <w:u w:val="single"/>
                <w:lang w:val="en-GB"/>
              </w:rPr>
            </w:pPr>
          </w:p>
        </w:tc>
        <w:tc>
          <w:tcPr>
            <w:tcW w:w="1276" w:type="dxa"/>
            <w:gridSpan w:val="2"/>
            <w:vMerge/>
            <w:tcBorders>
              <w:left w:val="single" w:sz="4" w:space="0" w:color="auto"/>
              <w:right w:val="single" w:sz="4" w:space="0" w:color="auto"/>
            </w:tcBorders>
            <w:shd w:val="clear" w:color="auto" w:fill="4F81BD"/>
          </w:tcPr>
          <w:p w14:paraId="5DE08612" w14:textId="77777777" w:rsidR="000729CF" w:rsidRPr="000729CF" w:rsidRDefault="000729CF" w:rsidP="000729CF">
            <w:pPr>
              <w:spacing w:after="200" w:line="276" w:lineRule="auto"/>
              <w:jc w:val="center"/>
              <w:rPr>
                <w:rFonts w:ascii="Arial" w:eastAsia="Calibri" w:hAnsi="Arial" w:cs="Arial"/>
                <w:b/>
                <w:snapToGrid w:val="0"/>
                <w:color w:val="FFFFFF"/>
                <w:sz w:val="24"/>
                <w:szCs w:val="24"/>
                <w:u w:val="single"/>
                <w:lang w:val="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4F81BD"/>
          </w:tcPr>
          <w:p w14:paraId="09844339" w14:textId="77777777" w:rsidR="000729CF" w:rsidRPr="000729CF" w:rsidRDefault="000729CF" w:rsidP="000729CF">
            <w:pPr>
              <w:spacing w:line="276" w:lineRule="auto"/>
              <w:jc w:val="both"/>
              <w:rPr>
                <w:rFonts w:ascii="Arial" w:eastAsia="Calibri" w:hAnsi="Arial" w:cs="Arial"/>
                <w:b/>
                <w:snapToGrid w:val="0"/>
                <w:color w:val="FFFFFF"/>
                <w:sz w:val="24"/>
                <w:szCs w:val="24"/>
                <w:lang w:val="en-GB"/>
              </w:rPr>
            </w:pPr>
            <w:r w:rsidRPr="000729CF">
              <w:rPr>
                <w:rFonts w:ascii="Arial" w:eastAsia="Calibri" w:hAnsi="Arial" w:cs="Arial"/>
                <w:b/>
                <w:i/>
                <w:snapToGrid w:val="0"/>
                <w:color w:val="FFFFFF"/>
                <w:sz w:val="24"/>
                <w:szCs w:val="24"/>
                <w:lang w:val="en-GB"/>
              </w:rPr>
              <w:t>F=Fitch M=Moody’s SP=Standard &amp; Poor’s</w:t>
            </w:r>
          </w:p>
        </w:tc>
        <w:tc>
          <w:tcPr>
            <w:tcW w:w="1134" w:type="dxa"/>
            <w:vMerge/>
            <w:tcBorders>
              <w:left w:val="single" w:sz="4" w:space="0" w:color="auto"/>
              <w:right w:val="single" w:sz="4" w:space="0" w:color="auto"/>
            </w:tcBorders>
            <w:shd w:val="clear" w:color="auto" w:fill="4F81BD"/>
          </w:tcPr>
          <w:p w14:paraId="32139DA7" w14:textId="77777777" w:rsidR="000729CF" w:rsidRPr="000729CF" w:rsidRDefault="000729CF" w:rsidP="000729CF">
            <w:pPr>
              <w:spacing w:after="200" w:line="276" w:lineRule="auto"/>
              <w:jc w:val="center"/>
              <w:rPr>
                <w:rFonts w:ascii="Arial" w:eastAsia="Calibri" w:hAnsi="Arial" w:cs="Arial"/>
                <w:b/>
                <w:snapToGrid w:val="0"/>
                <w:color w:val="FFFFFF"/>
                <w:sz w:val="24"/>
                <w:szCs w:val="24"/>
                <w:u w:val="single"/>
                <w:lang w:val="en-GB"/>
              </w:rPr>
            </w:pPr>
          </w:p>
        </w:tc>
        <w:tc>
          <w:tcPr>
            <w:tcW w:w="1134" w:type="dxa"/>
            <w:vMerge/>
            <w:tcBorders>
              <w:left w:val="single" w:sz="4" w:space="0" w:color="auto"/>
              <w:right w:val="single" w:sz="4" w:space="0" w:color="auto"/>
            </w:tcBorders>
            <w:shd w:val="clear" w:color="auto" w:fill="4F81BD"/>
          </w:tcPr>
          <w:p w14:paraId="3593CF22" w14:textId="77777777" w:rsidR="000729CF" w:rsidRPr="000729CF" w:rsidRDefault="000729CF" w:rsidP="000729CF">
            <w:pPr>
              <w:spacing w:after="200" w:line="276" w:lineRule="auto"/>
              <w:jc w:val="center"/>
              <w:rPr>
                <w:rFonts w:ascii="Arial" w:eastAsia="Calibri" w:hAnsi="Arial" w:cs="Arial"/>
                <w:b/>
                <w:snapToGrid w:val="0"/>
                <w:color w:val="FFFFFF"/>
                <w:sz w:val="24"/>
                <w:szCs w:val="24"/>
                <w:u w:val="single"/>
                <w:lang w:val="en-GB"/>
              </w:rPr>
            </w:pPr>
          </w:p>
        </w:tc>
      </w:tr>
      <w:tr w:rsidR="000729CF" w:rsidRPr="000729CF" w14:paraId="1DBAD628" w14:textId="77777777" w:rsidTr="00BC26AB">
        <w:trPr>
          <w:cantSplit/>
          <w:trHeight w:val="258"/>
          <w:tblHeader/>
        </w:trPr>
        <w:tc>
          <w:tcPr>
            <w:tcW w:w="3403" w:type="dxa"/>
            <w:vMerge/>
            <w:tcBorders>
              <w:left w:val="single" w:sz="4" w:space="0" w:color="auto"/>
              <w:bottom w:val="single" w:sz="4" w:space="0" w:color="auto"/>
              <w:right w:val="single" w:sz="4" w:space="0" w:color="auto"/>
            </w:tcBorders>
            <w:shd w:val="clear" w:color="auto" w:fill="4F81BD"/>
          </w:tcPr>
          <w:p w14:paraId="3B88446E" w14:textId="77777777" w:rsidR="000729CF" w:rsidRPr="000729CF" w:rsidRDefault="000729CF" w:rsidP="000729CF">
            <w:pPr>
              <w:spacing w:after="200" w:line="276" w:lineRule="auto"/>
              <w:rPr>
                <w:rFonts w:ascii="Arial" w:eastAsia="Calibri" w:hAnsi="Arial" w:cs="Arial"/>
                <w:b/>
                <w:snapToGrid w:val="0"/>
                <w:color w:val="FFFFFF"/>
                <w:sz w:val="24"/>
                <w:szCs w:val="24"/>
                <w:lang w:val="en-GB"/>
              </w:rPr>
            </w:pPr>
          </w:p>
        </w:tc>
        <w:tc>
          <w:tcPr>
            <w:tcW w:w="1276" w:type="dxa"/>
            <w:gridSpan w:val="2"/>
            <w:vMerge/>
            <w:tcBorders>
              <w:left w:val="single" w:sz="4" w:space="0" w:color="auto"/>
              <w:bottom w:val="single" w:sz="4" w:space="0" w:color="auto"/>
              <w:right w:val="single" w:sz="4" w:space="0" w:color="auto"/>
            </w:tcBorders>
            <w:shd w:val="clear" w:color="auto" w:fill="4F81BD"/>
          </w:tcPr>
          <w:p w14:paraId="75B613C4" w14:textId="77777777" w:rsidR="000729CF" w:rsidRPr="000729CF" w:rsidRDefault="000729CF" w:rsidP="000729CF">
            <w:pPr>
              <w:spacing w:after="200" w:line="276" w:lineRule="auto"/>
              <w:rPr>
                <w:rFonts w:ascii="Arial" w:eastAsia="Calibri" w:hAnsi="Arial" w:cs="Arial"/>
                <w:b/>
                <w:snapToGrid w:val="0"/>
                <w:color w:val="FFFFFF"/>
                <w:sz w:val="24"/>
                <w:szCs w:val="24"/>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4F81BD"/>
            <w:vAlign w:val="center"/>
          </w:tcPr>
          <w:p w14:paraId="652134F2" w14:textId="77777777" w:rsidR="000729CF" w:rsidRPr="000729CF" w:rsidRDefault="000729CF" w:rsidP="000729CF">
            <w:pPr>
              <w:spacing w:line="276" w:lineRule="auto"/>
              <w:jc w:val="center"/>
              <w:rPr>
                <w:rFonts w:ascii="Arial" w:eastAsia="Calibri" w:hAnsi="Arial" w:cs="Arial"/>
                <w:b/>
                <w:snapToGrid w:val="0"/>
                <w:color w:val="FFFFFF"/>
                <w:sz w:val="24"/>
                <w:szCs w:val="24"/>
                <w:lang w:val="en-GB"/>
              </w:rPr>
            </w:pPr>
            <w:r w:rsidRPr="000729CF">
              <w:rPr>
                <w:rFonts w:ascii="Arial" w:eastAsia="Calibri" w:hAnsi="Arial" w:cs="Arial"/>
                <w:b/>
                <w:snapToGrid w:val="0"/>
                <w:color w:val="FFFFFF"/>
                <w:sz w:val="24"/>
                <w:szCs w:val="24"/>
                <w:lang w:val="en-GB"/>
              </w:rPr>
              <w:t>F</w:t>
            </w:r>
          </w:p>
        </w:tc>
        <w:tc>
          <w:tcPr>
            <w:tcW w:w="567" w:type="dxa"/>
            <w:tcBorders>
              <w:top w:val="single" w:sz="4" w:space="0" w:color="auto"/>
              <w:left w:val="single" w:sz="4" w:space="0" w:color="auto"/>
              <w:bottom w:val="single" w:sz="4" w:space="0" w:color="auto"/>
              <w:right w:val="single" w:sz="4" w:space="0" w:color="auto"/>
            </w:tcBorders>
            <w:shd w:val="clear" w:color="auto" w:fill="4F81BD"/>
            <w:vAlign w:val="center"/>
          </w:tcPr>
          <w:p w14:paraId="45F913BC" w14:textId="77777777" w:rsidR="000729CF" w:rsidRPr="000729CF" w:rsidRDefault="000729CF" w:rsidP="000729CF">
            <w:pPr>
              <w:spacing w:line="276" w:lineRule="auto"/>
              <w:jc w:val="center"/>
              <w:rPr>
                <w:rFonts w:ascii="Arial" w:eastAsia="Calibri" w:hAnsi="Arial" w:cs="Arial"/>
                <w:b/>
                <w:snapToGrid w:val="0"/>
                <w:color w:val="FFFFFF"/>
                <w:sz w:val="24"/>
                <w:szCs w:val="24"/>
                <w:lang w:val="en-GB"/>
              </w:rPr>
            </w:pPr>
            <w:r w:rsidRPr="000729CF">
              <w:rPr>
                <w:rFonts w:ascii="Arial" w:eastAsia="Calibri" w:hAnsi="Arial" w:cs="Arial"/>
                <w:b/>
                <w:snapToGrid w:val="0"/>
                <w:color w:val="FFFFFF"/>
                <w:sz w:val="24"/>
                <w:szCs w:val="24"/>
                <w:lang w:val="en-GB"/>
              </w:rPr>
              <w:t>M</w:t>
            </w:r>
          </w:p>
        </w:tc>
        <w:tc>
          <w:tcPr>
            <w:tcW w:w="709" w:type="dxa"/>
            <w:tcBorders>
              <w:top w:val="single" w:sz="4" w:space="0" w:color="auto"/>
              <w:left w:val="single" w:sz="4" w:space="0" w:color="auto"/>
              <w:bottom w:val="single" w:sz="4" w:space="0" w:color="auto"/>
              <w:right w:val="single" w:sz="4" w:space="0" w:color="auto"/>
            </w:tcBorders>
            <w:shd w:val="clear" w:color="auto" w:fill="4F81BD"/>
            <w:vAlign w:val="center"/>
          </w:tcPr>
          <w:p w14:paraId="7F76FBBE" w14:textId="77777777" w:rsidR="000729CF" w:rsidRPr="000729CF" w:rsidRDefault="000729CF" w:rsidP="000729CF">
            <w:pPr>
              <w:spacing w:line="276" w:lineRule="auto"/>
              <w:jc w:val="center"/>
              <w:rPr>
                <w:rFonts w:ascii="Arial" w:eastAsia="Calibri" w:hAnsi="Arial" w:cs="Arial"/>
                <w:b/>
                <w:snapToGrid w:val="0"/>
                <w:color w:val="FFFFFF"/>
                <w:sz w:val="24"/>
                <w:szCs w:val="24"/>
                <w:lang w:val="en-GB"/>
              </w:rPr>
            </w:pPr>
            <w:r w:rsidRPr="000729CF">
              <w:rPr>
                <w:rFonts w:ascii="Arial" w:eastAsia="Calibri" w:hAnsi="Arial" w:cs="Arial"/>
                <w:b/>
                <w:snapToGrid w:val="0"/>
                <w:color w:val="FFFFFF"/>
                <w:sz w:val="24"/>
                <w:szCs w:val="24"/>
                <w:lang w:val="en-GB"/>
              </w:rPr>
              <w:t>SP</w:t>
            </w:r>
          </w:p>
        </w:tc>
        <w:tc>
          <w:tcPr>
            <w:tcW w:w="851" w:type="dxa"/>
            <w:gridSpan w:val="2"/>
            <w:tcBorders>
              <w:top w:val="single" w:sz="4" w:space="0" w:color="auto"/>
              <w:left w:val="single" w:sz="4" w:space="0" w:color="auto"/>
              <w:bottom w:val="single" w:sz="4" w:space="0" w:color="auto"/>
              <w:right w:val="single" w:sz="4" w:space="0" w:color="auto"/>
            </w:tcBorders>
            <w:shd w:val="clear" w:color="auto" w:fill="4F81BD"/>
            <w:vAlign w:val="center"/>
          </w:tcPr>
          <w:p w14:paraId="12A4B02C" w14:textId="77777777" w:rsidR="000729CF" w:rsidRPr="000729CF" w:rsidRDefault="000729CF" w:rsidP="000729CF">
            <w:pPr>
              <w:spacing w:line="276" w:lineRule="auto"/>
              <w:jc w:val="center"/>
              <w:rPr>
                <w:rFonts w:ascii="Arial" w:eastAsia="Calibri" w:hAnsi="Arial" w:cs="Arial"/>
                <w:b/>
                <w:snapToGrid w:val="0"/>
                <w:color w:val="FFFFFF"/>
                <w:sz w:val="24"/>
                <w:szCs w:val="24"/>
                <w:lang w:val="en-GB"/>
              </w:rPr>
            </w:pPr>
            <w:r w:rsidRPr="000729CF">
              <w:rPr>
                <w:rFonts w:ascii="Arial" w:eastAsia="Calibri" w:hAnsi="Arial" w:cs="Arial"/>
                <w:b/>
                <w:snapToGrid w:val="0"/>
                <w:color w:val="FFFFFF"/>
                <w:sz w:val="24"/>
                <w:szCs w:val="24"/>
                <w:lang w:val="en-GB"/>
              </w:rPr>
              <w:t>F</w:t>
            </w:r>
          </w:p>
        </w:tc>
        <w:tc>
          <w:tcPr>
            <w:tcW w:w="850" w:type="dxa"/>
            <w:tcBorders>
              <w:top w:val="single" w:sz="4" w:space="0" w:color="auto"/>
              <w:left w:val="single" w:sz="4" w:space="0" w:color="auto"/>
              <w:bottom w:val="single" w:sz="4" w:space="0" w:color="auto"/>
              <w:right w:val="single" w:sz="4" w:space="0" w:color="auto"/>
            </w:tcBorders>
            <w:shd w:val="clear" w:color="auto" w:fill="4F81BD"/>
            <w:vAlign w:val="center"/>
          </w:tcPr>
          <w:p w14:paraId="53073D1C" w14:textId="77777777" w:rsidR="000729CF" w:rsidRPr="000729CF" w:rsidRDefault="000729CF" w:rsidP="000729CF">
            <w:pPr>
              <w:spacing w:line="276" w:lineRule="auto"/>
              <w:jc w:val="center"/>
              <w:rPr>
                <w:rFonts w:ascii="Arial" w:eastAsia="Calibri" w:hAnsi="Arial" w:cs="Arial"/>
                <w:b/>
                <w:snapToGrid w:val="0"/>
                <w:color w:val="FFFFFF"/>
                <w:sz w:val="24"/>
                <w:szCs w:val="24"/>
                <w:lang w:val="en-GB"/>
              </w:rPr>
            </w:pPr>
            <w:r w:rsidRPr="000729CF">
              <w:rPr>
                <w:rFonts w:ascii="Arial" w:eastAsia="Calibri" w:hAnsi="Arial" w:cs="Arial"/>
                <w:b/>
                <w:snapToGrid w:val="0"/>
                <w:color w:val="FFFFFF"/>
                <w:sz w:val="24"/>
                <w:szCs w:val="24"/>
                <w:lang w:val="en-GB"/>
              </w:rPr>
              <w:t>M</w:t>
            </w:r>
          </w:p>
        </w:tc>
        <w:tc>
          <w:tcPr>
            <w:tcW w:w="850" w:type="dxa"/>
            <w:tcBorders>
              <w:top w:val="single" w:sz="4" w:space="0" w:color="auto"/>
              <w:left w:val="single" w:sz="4" w:space="0" w:color="auto"/>
              <w:bottom w:val="single" w:sz="4" w:space="0" w:color="auto"/>
              <w:right w:val="single" w:sz="4" w:space="0" w:color="auto"/>
            </w:tcBorders>
            <w:shd w:val="clear" w:color="auto" w:fill="4F81BD"/>
            <w:vAlign w:val="center"/>
          </w:tcPr>
          <w:p w14:paraId="57C02CB1" w14:textId="77777777" w:rsidR="000729CF" w:rsidRPr="000729CF" w:rsidRDefault="000729CF" w:rsidP="000729CF">
            <w:pPr>
              <w:spacing w:line="276" w:lineRule="auto"/>
              <w:jc w:val="center"/>
              <w:rPr>
                <w:rFonts w:ascii="Arial" w:eastAsia="Calibri" w:hAnsi="Arial" w:cs="Arial"/>
                <w:b/>
                <w:snapToGrid w:val="0"/>
                <w:color w:val="FFFFFF"/>
                <w:sz w:val="24"/>
                <w:szCs w:val="24"/>
                <w:lang w:val="en-GB"/>
              </w:rPr>
            </w:pPr>
            <w:r w:rsidRPr="000729CF">
              <w:rPr>
                <w:rFonts w:ascii="Arial" w:eastAsia="Calibri" w:hAnsi="Arial" w:cs="Arial"/>
                <w:b/>
                <w:snapToGrid w:val="0"/>
                <w:color w:val="FFFFFF"/>
                <w:sz w:val="24"/>
                <w:szCs w:val="24"/>
                <w:lang w:val="en-GB"/>
              </w:rPr>
              <w:t>SP</w:t>
            </w:r>
          </w:p>
        </w:tc>
        <w:tc>
          <w:tcPr>
            <w:tcW w:w="1134" w:type="dxa"/>
            <w:vMerge/>
            <w:tcBorders>
              <w:left w:val="single" w:sz="4" w:space="0" w:color="auto"/>
              <w:bottom w:val="single" w:sz="4" w:space="0" w:color="auto"/>
              <w:right w:val="single" w:sz="4" w:space="0" w:color="auto"/>
            </w:tcBorders>
            <w:shd w:val="clear" w:color="auto" w:fill="4F81BD"/>
          </w:tcPr>
          <w:p w14:paraId="027F741F" w14:textId="77777777" w:rsidR="000729CF" w:rsidRPr="000729CF" w:rsidRDefault="000729CF" w:rsidP="000729CF">
            <w:pPr>
              <w:spacing w:after="200" w:line="276" w:lineRule="auto"/>
              <w:rPr>
                <w:rFonts w:ascii="Arial" w:eastAsia="Calibri" w:hAnsi="Arial" w:cs="Arial"/>
                <w:b/>
                <w:snapToGrid w:val="0"/>
                <w:color w:val="FFFFFF"/>
                <w:sz w:val="24"/>
                <w:szCs w:val="24"/>
                <w:lang w:val="en-GB"/>
              </w:rPr>
            </w:pPr>
          </w:p>
        </w:tc>
        <w:tc>
          <w:tcPr>
            <w:tcW w:w="1134" w:type="dxa"/>
            <w:vMerge/>
            <w:tcBorders>
              <w:left w:val="single" w:sz="4" w:space="0" w:color="auto"/>
              <w:bottom w:val="single" w:sz="4" w:space="0" w:color="auto"/>
              <w:right w:val="single" w:sz="4" w:space="0" w:color="auto"/>
            </w:tcBorders>
            <w:shd w:val="clear" w:color="auto" w:fill="4F81BD"/>
          </w:tcPr>
          <w:p w14:paraId="6E96795D" w14:textId="77777777" w:rsidR="000729CF" w:rsidRPr="000729CF" w:rsidRDefault="000729CF" w:rsidP="000729CF">
            <w:pPr>
              <w:spacing w:after="200" w:line="276" w:lineRule="auto"/>
              <w:rPr>
                <w:rFonts w:ascii="Arial" w:eastAsia="Calibri" w:hAnsi="Arial" w:cs="Arial"/>
                <w:b/>
                <w:snapToGrid w:val="0"/>
                <w:color w:val="FFFFFF"/>
                <w:sz w:val="24"/>
                <w:szCs w:val="24"/>
                <w:lang w:val="en-GB"/>
              </w:rPr>
            </w:pPr>
          </w:p>
        </w:tc>
      </w:tr>
      <w:tr w:rsidR="000729CF" w:rsidRPr="000729CF" w14:paraId="2B60B277" w14:textId="77777777" w:rsidTr="00BC26AB">
        <w:trPr>
          <w:cantSplit/>
          <w:trHeight w:val="301"/>
        </w:trPr>
        <w:tc>
          <w:tcPr>
            <w:tcW w:w="11483" w:type="dxa"/>
            <w:gridSpan w:val="12"/>
            <w:tcBorders>
              <w:top w:val="single" w:sz="4" w:space="0" w:color="auto"/>
              <w:left w:val="single" w:sz="4" w:space="0" w:color="auto"/>
              <w:right w:val="single" w:sz="4" w:space="0" w:color="auto"/>
            </w:tcBorders>
            <w:shd w:val="clear" w:color="auto" w:fill="4F81BD"/>
            <w:vAlign w:val="center"/>
          </w:tcPr>
          <w:p w14:paraId="23B68032" w14:textId="77777777" w:rsidR="000729CF" w:rsidRPr="000729CF" w:rsidRDefault="000729CF" w:rsidP="00CE70A3">
            <w:pPr>
              <w:numPr>
                <w:ilvl w:val="0"/>
                <w:numId w:val="80"/>
              </w:numPr>
              <w:spacing w:after="200" w:line="276" w:lineRule="auto"/>
              <w:rPr>
                <w:rFonts w:ascii="Arial" w:eastAsia="Calibri" w:hAnsi="Arial" w:cs="Arial"/>
                <w:b/>
                <w:snapToGrid w:val="0"/>
                <w:color w:val="FFFFFF"/>
                <w:sz w:val="24"/>
                <w:szCs w:val="24"/>
                <w:lang w:val="en-GB"/>
              </w:rPr>
            </w:pPr>
            <w:r w:rsidRPr="000729CF">
              <w:rPr>
                <w:rFonts w:ascii="Arial" w:eastAsia="Calibri" w:hAnsi="Arial" w:cs="Arial"/>
                <w:b/>
                <w:snapToGrid w:val="0"/>
                <w:color w:val="FFFFFF"/>
                <w:sz w:val="24"/>
                <w:szCs w:val="24"/>
                <w:lang w:val="en-GB"/>
              </w:rPr>
              <w:t>UK Banks</w:t>
            </w:r>
          </w:p>
        </w:tc>
      </w:tr>
      <w:tr w:rsidR="000729CF" w:rsidRPr="000729CF" w14:paraId="4248A770" w14:textId="77777777" w:rsidTr="00BC26AB">
        <w:trPr>
          <w:cantSplit/>
          <w:trHeight w:val="301"/>
        </w:trPr>
        <w:tc>
          <w:tcPr>
            <w:tcW w:w="11483" w:type="dxa"/>
            <w:gridSpan w:val="12"/>
            <w:tcBorders>
              <w:top w:val="single" w:sz="4" w:space="0" w:color="auto"/>
              <w:left w:val="single" w:sz="4" w:space="0" w:color="auto"/>
              <w:right w:val="single" w:sz="4" w:space="0" w:color="auto"/>
            </w:tcBorders>
            <w:shd w:val="clear" w:color="auto" w:fill="548DD4"/>
            <w:vAlign w:val="center"/>
          </w:tcPr>
          <w:p w14:paraId="37AB50D4" w14:textId="77777777" w:rsidR="000729CF" w:rsidRPr="000729CF" w:rsidRDefault="000729CF" w:rsidP="000729CF">
            <w:pPr>
              <w:spacing w:line="276" w:lineRule="auto"/>
              <w:rPr>
                <w:rFonts w:ascii="Arial" w:eastAsia="Calibri" w:hAnsi="Arial" w:cs="Arial"/>
                <w:snapToGrid w:val="0"/>
                <w:color w:val="FFFFFF"/>
                <w:sz w:val="24"/>
                <w:szCs w:val="24"/>
                <w:lang w:val="en-GB"/>
              </w:rPr>
            </w:pPr>
            <w:r w:rsidRPr="000729CF">
              <w:rPr>
                <w:rFonts w:ascii="Arial" w:eastAsia="Calibri" w:hAnsi="Arial" w:cs="Arial"/>
                <w:snapToGrid w:val="0"/>
                <w:color w:val="FFFFFF"/>
                <w:sz w:val="24"/>
                <w:szCs w:val="24"/>
                <w:lang w:val="en-GB"/>
              </w:rPr>
              <w:t>Lloyds Banking Group:</w:t>
            </w:r>
          </w:p>
        </w:tc>
      </w:tr>
      <w:tr w:rsidR="000729CF" w:rsidRPr="000729CF" w14:paraId="0EA59365" w14:textId="77777777" w:rsidTr="00BC26AB">
        <w:trPr>
          <w:cantSplit/>
          <w:trHeight w:val="301"/>
        </w:trPr>
        <w:tc>
          <w:tcPr>
            <w:tcW w:w="3403" w:type="dxa"/>
            <w:tcBorders>
              <w:left w:val="single" w:sz="4" w:space="0" w:color="auto"/>
              <w:right w:val="single" w:sz="4" w:space="0" w:color="auto"/>
            </w:tcBorders>
            <w:vAlign w:val="center"/>
          </w:tcPr>
          <w:p w14:paraId="784C4608" w14:textId="77777777" w:rsidR="000729CF" w:rsidRPr="000729CF" w:rsidRDefault="000729CF" w:rsidP="000729CF">
            <w:pPr>
              <w:contextualSpacing/>
              <w:rPr>
                <w:rFonts w:ascii="Arial" w:eastAsia="Calibri" w:hAnsi="Arial" w:cs="Arial"/>
                <w:snapToGrid w:val="0"/>
                <w:sz w:val="24"/>
                <w:szCs w:val="24"/>
                <w:lang w:val="en-GB"/>
              </w:rPr>
            </w:pPr>
            <w:r w:rsidRPr="000729CF">
              <w:rPr>
                <w:rFonts w:ascii="Arial" w:eastAsia="Calibri" w:hAnsi="Arial" w:cs="Arial"/>
                <w:snapToGrid w:val="0"/>
                <w:sz w:val="24"/>
                <w:szCs w:val="24"/>
                <w:lang w:val="en-GB"/>
              </w:rPr>
              <w:t>Bank of Scotland PLC (RFB)</w:t>
            </w:r>
          </w:p>
        </w:tc>
        <w:tc>
          <w:tcPr>
            <w:tcW w:w="1276" w:type="dxa"/>
            <w:gridSpan w:val="2"/>
            <w:tcBorders>
              <w:left w:val="single" w:sz="4" w:space="0" w:color="auto"/>
              <w:right w:val="single" w:sz="4" w:space="0" w:color="auto"/>
            </w:tcBorders>
            <w:vAlign w:val="center"/>
          </w:tcPr>
          <w:p w14:paraId="212792A6" w14:textId="77777777" w:rsidR="000729CF" w:rsidRPr="000729CF" w:rsidRDefault="000729CF" w:rsidP="000729CF">
            <w:pPr>
              <w:contextualSpacing/>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Specified</w:t>
            </w:r>
          </w:p>
        </w:tc>
        <w:tc>
          <w:tcPr>
            <w:tcW w:w="709" w:type="dxa"/>
            <w:tcBorders>
              <w:left w:val="single" w:sz="4" w:space="0" w:color="auto"/>
              <w:right w:val="single" w:sz="4" w:space="0" w:color="auto"/>
            </w:tcBorders>
            <w:shd w:val="clear" w:color="auto" w:fill="auto"/>
            <w:vAlign w:val="center"/>
          </w:tcPr>
          <w:p w14:paraId="0631B9F5" w14:textId="77777777" w:rsidR="000729CF" w:rsidRPr="000729CF" w:rsidRDefault="000729CF" w:rsidP="000729CF">
            <w:pPr>
              <w:contextualSpacing/>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F1</w:t>
            </w:r>
          </w:p>
        </w:tc>
        <w:tc>
          <w:tcPr>
            <w:tcW w:w="567" w:type="dxa"/>
            <w:tcBorders>
              <w:left w:val="single" w:sz="4" w:space="0" w:color="auto"/>
              <w:right w:val="single" w:sz="4" w:space="0" w:color="auto"/>
            </w:tcBorders>
            <w:shd w:val="clear" w:color="auto" w:fill="auto"/>
            <w:vAlign w:val="center"/>
          </w:tcPr>
          <w:p w14:paraId="3CB7A2B4" w14:textId="77777777" w:rsidR="000729CF" w:rsidRPr="000729CF" w:rsidRDefault="000729CF" w:rsidP="000729CF">
            <w:pPr>
              <w:contextualSpacing/>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P-1</w:t>
            </w:r>
          </w:p>
        </w:tc>
        <w:tc>
          <w:tcPr>
            <w:tcW w:w="709" w:type="dxa"/>
            <w:tcBorders>
              <w:left w:val="single" w:sz="4" w:space="0" w:color="auto"/>
              <w:right w:val="single" w:sz="4" w:space="0" w:color="auto"/>
            </w:tcBorders>
            <w:shd w:val="clear" w:color="auto" w:fill="auto"/>
            <w:vAlign w:val="center"/>
          </w:tcPr>
          <w:p w14:paraId="6BE99DCB" w14:textId="77777777" w:rsidR="000729CF" w:rsidRPr="000729CF" w:rsidRDefault="000729CF" w:rsidP="000729CF">
            <w:pPr>
              <w:contextualSpacing/>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A-1</w:t>
            </w:r>
          </w:p>
        </w:tc>
        <w:tc>
          <w:tcPr>
            <w:tcW w:w="851" w:type="dxa"/>
            <w:gridSpan w:val="2"/>
            <w:tcBorders>
              <w:left w:val="single" w:sz="4" w:space="0" w:color="auto"/>
              <w:right w:val="single" w:sz="4" w:space="0" w:color="auto"/>
            </w:tcBorders>
            <w:shd w:val="clear" w:color="auto" w:fill="auto"/>
            <w:vAlign w:val="center"/>
          </w:tcPr>
          <w:p w14:paraId="7C575CBE" w14:textId="77777777" w:rsidR="000729CF" w:rsidRPr="000729CF" w:rsidRDefault="000729CF" w:rsidP="000729CF">
            <w:pPr>
              <w:contextualSpacing/>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 xml:space="preserve">A+ </w:t>
            </w:r>
          </w:p>
        </w:tc>
        <w:tc>
          <w:tcPr>
            <w:tcW w:w="850" w:type="dxa"/>
            <w:tcBorders>
              <w:left w:val="single" w:sz="4" w:space="0" w:color="auto"/>
              <w:right w:val="single" w:sz="4" w:space="0" w:color="auto"/>
            </w:tcBorders>
            <w:shd w:val="clear" w:color="auto" w:fill="auto"/>
            <w:vAlign w:val="center"/>
          </w:tcPr>
          <w:p w14:paraId="3E8DE9B9" w14:textId="77777777" w:rsidR="000729CF" w:rsidRPr="000729CF" w:rsidRDefault="000729CF" w:rsidP="000729CF">
            <w:pPr>
              <w:contextualSpacing/>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A1</w:t>
            </w:r>
          </w:p>
        </w:tc>
        <w:tc>
          <w:tcPr>
            <w:tcW w:w="850" w:type="dxa"/>
            <w:tcBorders>
              <w:left w:val="single" w:sz="4" w:space="0" w:color="auto"/>
              <w:right w:val="single" w:sz="4" w:space="0" w:color="auto"/>
            </w:tcBorders>
            <w:shd w:val="clear" w:color="auto" w:fill="auto"/>
            <w:vAlign w:val="center"/>
          </w:tcPr>
          <w:p w14:paraId="654C2C0E" w14:textId="77777777" w:rsidR="000729CF" w:rsidRPr="000729CF" w:rsidRDefault="000729CF" w:rsidP="000729CF">
            <w:pPr>
              <w:contextualSpacing/>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w:t>
            </w:r>
          </w:p>
        </w:tc>
        <w:tc>
          <w:tcPr>
            <w:tcW w:w="1134" w:type="dxa"/>
            <w:tcBorders>
              <w:left w:val="single" w:sz="4" w:space="0" w:color="auto"/>
              <w:right w:val="single" w:sz="4" w:space="0" w:color="auto"/>
            </w:tcBorders>
            <w:shd w:val="clear" w:color="auto" w:fill="auto"/>
            <w:vAlign w:val="center"/>
          </w:tcPr>
          <w:p w14:paraId="36430AB9" w14:textId="77777777" w:rsidR="000729CF" w:rsidRPr="000729CF" w:rsidRDefault="000729CF" w:rsidP="000729CF">
            <w:pPr>
              <w:contextualSpacing/>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£25m</w:t>
            </w:r>
          </w:p>
        </w:tc>
        <w:tc>
          <w:tcPr>
            <w:tcW w:w="1134" w:type="dxa"/>
            <w:tcBorders>
              <w:left w:val="single" w:sz="4" w:space="0" w:color="auto"/>
              <w:right w:val="single" w:sz="4" w:space="0" w:color="auto"/>
            </w:tcBorders>
            <w:shd w:val="clear" w:color="auto" w:fill="auto"/>
            <w:vAlign w:val="center"/>
          </w:tcPr>
          <w:p w14:paraId="44FF3BCA" w14:textId="77777777" w:rsidR="000729CF" w:rsidRPr="000729CF" w:rsidRDefault="000729CF" w:rsidP="000729CF">
            <w:pPr>
              <w:contextualSpacing/>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12</w:t>
            </w:r>
          </w:p>
        </w:tc>
      </w:tr>
      <w:tr w:rsidR="000729CF" w:rsidRPr="000729CF" w14:paraId="14FB57D7" w14:textId="77777777" w:rsidTr="00BC26AB">
        <w:trPr>
          <w:cantSplit/>
          <w:trHeight w:val="301"/>
        </w:trPr>
        <w:tc>
          <w:tcPr>
            <w:tcW w:w="3403" w:type="dxa"/>
            <w:tcBorders>
              <w:left w:val="single" w:sz="4" w:space="0" w:color="auto"/>
              <w:right w:val="single" w:sz="4" w:space="0" w:color="auto"/>
            </w:tcBorders>
            <w:shd w:val="clear" w:color="auto" w:fill="C6D9F1"/>
            <w:vAlign w:val="center"/>
          </w:tcPr>
          <w:p w14:paraId="01144976" w14:textId="77777777" w:rsidR="000729CF" w:rsidRPr="000729CF" w:rsidRDefault="000729CF" w:rsidP="000729CF">
            <w:pPr>
              <w:spacing w:line="276" w:lineRule="auto"/>
              <w:rPr>
                <w:rFonts w:ascii="Arial" w:eastAsia="Calibri" w:hAnsi="Arial" w:cs="Arial"/>
                <w:snapToGrid w:val="0"/>
                <w:sz w:val="24"/>
                <w:szCs w:val="24"/>
                <w:lang w:val="en-GB"/>
              </w:rPr>
            </w:pPr>
            <w:r w:rsidRPr="000729CF">
              <w:rPr>
                <w:rFonts w:ascii="Arial" w:eastAsia="Calibri" w:hAnsi="Arial" w:cs="Arial"/>
                <w:snapToGrid w:val="0"/>
                <w:sz w:val="24"/>
                <w:szCs w:val="24"/>
                <w:lang w:val="en-GB"/>
              </w:rPr>
              <w:t>Lloyds Bank PLC (RFB)</w:t>
            </w:r>
          </w:p>
        </w:tc>
        <w:tc>
          <w:tcPr>
            <w:tcW w:w="1276" w:type="dxa"/>
            <w:gridSpan w:val="2"/>
            <w:tcBorders>
              <w:left w:val="single" w:sz="4" w:space="0" w:color="auto"/>
              <w:right w:val="single" w:sz="4" w:space="0" w:color="auto"/>
            </w:tcBorders>
            <w:shd w:val="clear" w:color="auto" w:fill="C6D9F1"/>
            <w:vAlign w:val="center"/>
          </w:tcPr>
          <w:p w14:paraId="0252D716"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Specified</w:t>
            </w:r>
          </w:p>
        </w:tc>
        <w:tc>
          <w:tcPr>
            <w:tcW w:w="709" w:type="dxa"/>
            <w:tcBorders>
              <w:left w:val="single" w:sz="4" w:space="0" w:color="auto"/>
              <w:right w:val="single" w:sz="4" w:space="0" w:color="auto"/>
            </w:tcBorders>
            <w:shd w:val="clear" w:color="auto" w:fill="C6D9F1"/>
            <w:vAlign w:val="center"/>
          </w:tcPr>
          <w:p w14:paraId="3F1228B5"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F1</w:t>
            </w:r>
          </w:p>
        </w:tc>
        <w:tc>
          <w:tcPr>
            <w:tcW w:w="567" w:type="dxa"/>
            <w:tcBorders>
              <w:left w:val="single" w:sz="4" w:space="0" w:color="auto"/>
              <w:right w:val="single" w:sz="4" w:space="0" w:color="auto"/>
            </w:tcBorders>
            <w:shd w:val="clear" w:color="auto" w:fill="C6D9F1"/>
            <w:vAlign w:val="center"/>
          </w:tcPr>
          <w:p w14:paraId="36B07232"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P-1</w:t>
            </w:r>
          </w:p>
        </w:tc>
        <w:tc>
          <w:tcPr>
            <w:tcW w:w="709" w:type="dxa"/>
            <w:tcBorders>
              <w:left w:val="single" w:sz="4" w:space="0" w:color="auto"/>
              <w:right w:val="single" w:sz="4" w:space="0" w:color="auto"/>
            </w:tcBorders>
            <w:shd w:val="clear" w:color="auto" w:fill="C6D9F1"/>
            <w:vAlign w:val="center"/>
          </w:tcPr>
          <w:p w14:paraId="2A19A981"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A-1</w:t>
            </w:r>
          </w:p>
        </w:tc>
        <w:tc>
          <w:tcPr>
            <w:tcW w:w="851" w:type="dxa"/>
            <w:gridSpan w:val="2"/>
            <w:tcBorders>
              <w:left w:val="single" w:sz="4" w:space="0" w:color="auto"/>
              <w:right w:val="single" w:sz="4" w:space="0" w:color="auto"/>
            </w:tcBorders>
            <w:shd w:val="clear" w:color="auto" w:fill="C6D9F1"/>
            <w:vAlign w:val="center"/>
          </w:tcPr>
          <w:p w14:paraId="35887C53"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 xml:space="preserve">A+ </w:t>
            </w:r>
          </w:p>
        </w:tc>
        <w:tc>
          <w:tcPr>
            <w:tcW w:w="850" w:type="dxa"/>
            <w:tcBorders>
              <w:left w:val="single" w:sz="4" w:space="0" w:color="auto"/>
              <w:right w:val="single" w:sz="4" w:space="0" w:color="auto"/>
            </w:tcBorders>
            <w:shd w:val="clear" w:color="auto" w:fill="C6D9F1"/>
            <w:vAlign w:val="center"/>
          </w:tcPr>
          <w:p w14:paraId="50165A69"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A1</w:t>
            </w:r>
          </w:p>
        </w:tc>
        <w:tc>
          <w:tcPr>
            <w:tcW w:w="850" w:type="dxa"/>
            <w:tcBorders>
              <w:left w:val="single" w:sz="4" w:space="0" w:color="auto"/>
              <w:right w:val="single" w:sz="4" w:space="0" w:color="auto"/>
            </w:tcBorders>
            <w:shd w:val="clear" w:color="auto" w:fill="C6D9F1"/>
            <w:vAlign w:val="center"/>
          </w:tcPr>
          <w:p w14:paraId="04975B52"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w:t>
            </w:r>
          </w:p>
        </w:tc>
        <w:tc>
          <w:tcPr>
            <w:tcW w:w="1134" w:type="dxa"/>
            <w:tcBorders>
              <w:left w:val="single" w:sz="4" w:space="0" w:color="auto"/>
              <w:right w:val="single" w:sz="4" w:space="0" w:color="auto"/>
            </w:tcBorders>
            <w:shd w:val="clear" w:color="auto" w:fill="C6D9F1"/>
            <w:vAlign w:val="center"/>
          </w:tcPr>
          <w:p w14:paraId="3D96FEDA"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£25m</w:t>
            </w:r>
          </w:p>
        </w:tc>
        <w:tc>
          <w:tcPr>
            <w:tcW w:w="1134" w:type="dxa"/>
            <w:tcBorders>
              <w:left w:val="single" w:sz="4" w:space="0" w:color="auto"/>
              <w:right w:val="single" w:sz="4" w:space="0" w:color="auto"/>
            </w:tcBorders>
            <w:shd w:val="clear" w:color="auto" w:fill="C6D9F1"/>
            <w:vAlign w:val="center"/>
          </w:tcPr>
          <w:p w14:paraId="64BBD586"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 xml:space="preserve">12 </w:t>
            </w:r>
          </w:p>
        </w:tc>
      </w:tr>
      <w:tr w:rsidR="000729CF" w:rsidRPr="000729CF" w14:paraId="064AC2AA" w14:textId="77777777" w:rsidTr="00BC26AB">
        <w:trPr>
          <w:cantSplit/>
          <w:trHeight w:val="301"/>
        </w:trPr>
        <w:tc>
          <w:tcPr>
            <w:tcW w:w="3403" w:type="dxa"/>
            <w:tcBorders>
              <w:left w:val="single" w:sz="4" w:space="0" w:color="auto"/>
              <w:right w:val="single" w:sz="4" w:space="0" w:color="auto"/>
            </w:tcBorders>
            <w:shd w:val="clear" w:color="auto" w:fill="auto"/>
            <w:vAlign w:val="center"/>
          </w:tcPr>
          <w:p w14:paraId="096584A3" w14:textId="77777777" w:rsidR="000729CF" w:rsidRPr="000729CF" w:rsidRDefault="000729CF" w:rsidP="000729CF">
            <w:pPr>
              <w:spacing w:line="276" w:lineRule="auto"/>
              <w:rPr>
                <w:rFonts w:ascii="Arial" w:eastAsia="Calibri" w:hAnsi="Arial" w:cs="Arial"/>
                <w:snapToGrid w:val="0"/>
                <w:sz w:val="24"/>
                <w:szCs w:val="24"/>
                <w:lang w:val="en-GB"/>
              </w:rPr>
            </w:pPr>
            <w:r w:rsidRPr="000729CF">
              <w:rPr>
                <w:rFonts w:ascii="Arial" w:eastAsia="Calibri" w:hAnsi="Arial" w:cs="Arial"/>
                <w:snapToGrid w:val="0"/>
                <w:sz w:val="24"/>
                <w:szCs w:val="24"/>
                <w:lang w:val="en-GB"/>
              </w:rPr>
              <w:t>Lloyds Bank Corporate Markets PLC (NRFB)</w:t>
            </w:r>
          </w:p>
        </w:tc>
        <w:tc>
          <w:tcPr>
            <w:tcW w:w="1276" w:type="dxa"/>
            <w:gridSpan w:val="2"/>
            <w:tcBorders>
              <w:left w:val="single" w:sz="4" w:space="0" w:color="auto"/>
              <w:right w:val="single" w:sz="4" w:space="0" w:color="auto"/>
            </w:tcBorders>
            <w:shd w:val="clear" w:color="auto" w:fill="auto"/>
            <w:vAlign w:val="center"/>
          </w:tcPr>
          <w:p w14:paraId="169E172B"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Specified</w:t>
            </w:r>
          </w:p>
        </w:tc>
        <w:tc>
          <w:tcPr>
            <w:tcW w:w="709" w:type="dxa"/>
            <w:tcBorders>
              <w:left w:val="single" w:sz="4" w:space="0" w:color="auto"/>
              <w:right w:val="single" w:sz="4" w:space="0" w:color="auto"/>
            </w:tcBorders>
            <w:shd w:val="clear" w:color="auto" w:fill="auto"/>
            <w:vAlign w:val="center"/>
          </w:tcPr>
          <w:p w14:paraId="49EB77B4"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F1</w:t>
            </w:r>
          </w:p>
        </w:tc>
        <w:tc>
          <w:tcPr>
            <w:tcW w:w="567" w:type="dxa"/>
            <w:tcBorders>
              <w:left w:val="single" w:sz="4" w:space="0" w:color="auto"/>
              <w:right w:val="single" w:sz="4" w:space="0" w:color="auto"/>
            </w:tcBorders>
            <w:shd w:val="clear" w:color="auto" w:fill="auto"/>
            <w:vAlign w:val="center"/>
          </w:tcPr>
          <w:p w14:paraId="695C1F3C"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P-1</w:t>
            </w:r>
          </w:p>
        </w:tc>
        <w:tc>
          <w:tcPr>
            <w:tcW w:w="709" w:type="dxa"/>
            <w:tcBorders>
              <w:left w:val="single" w:sz="4" w:space="0" w:color="auto"/>
              <w:right w:val="single" w:sz="4" w:space="0" w:color="auto"/>
            </w:tcBorders>
            <w:shd w:val="clear" w:color="auto" w:fill="auto"/>
            <w:vAlign w:val="center"/>
          </w:tcPr>
          <w:p w14:paraId="0E2741C0"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A-1</w:t>
            </w:r>
          </w:p>
        </w:tc>
        <w:tc>
          <w:tcPr>
            <w:tcW w:w="851" w:type="dxa"/>
            <w:gridSpan w:val="2"/>
            <w:tcBorders>
              <w:left w:val="single" w:sz="4" w:space="0" w:color="auto"/>
              <w:right w:val="single" w:sz="4" w:space="0" w:color="auto"/>
            </w:tcBorders>
            <w:shd w:val="clear" w:color="auto" w:fill="auto"/>
            <w:vAlign w:val="center"/>
          </w:tcPr>
          <w:p w14:paraId="13122D62"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w:t>
            </w:r>
          </w:p>
        </w:tc>
        <w:tc>
          <w:tcPr>
            <w:tcW w:w="850" w:type="dxa"/>
            <w:tcBorders>
              <w:left w:val="single" w:sz="4" w:space="0" w:color="auto"/>
              <w:right w:val="single" w:sz="4" w:space="0" w:color="auto"/>
            </w:tcBorders>
            <w:shd w:val="clear" w:color="auto" w:fill="auto"/>
            <w:vAlign w:val="center"/>
          </w:tcPr>
          <w:p w14:paraId="3B63B8C8"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A1</w:t>
            </w:r>
          </w:p>
        </w:tc>
        <w:tc>
          <w:tcPr>
            <w:tcW w:w="850" w:type="dxa"/>
            <w:tcBorders>
              <w:left w:val="single" w:sz="4" w:space="0" w:color="auto"/>
              <w:right w:val="single" w:sz="4" w:space="0" w:color="auto"/>
            </w:tcBorders>
            <w:shd w:val="clear" w:color="auto" w:fill="auto"/>
            <w:vAlign w:val="center"/>
          </w:tcPr>
          <w:p w14:paraId="7BB4A2A0"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w:t>
            </w:r>
          </w:p>
        </w:tc>
        <w:tc>
          <w:tcPr>
            <w:tcW w:w="1134" w:type="dxa"/>
            <w:tcBorders>
              <w:left w:val="single" w:sz="4" w:space="0" w:color="auto"/>
              <w:right w:val="single" w:sz="4" w:space="0" w:color="auto"/>
            </w:tcBorders>
            <w:shd w:val="clear" w:color="auto" w:fill="auto"/>
            <w:vAlign w:val="center"/>
          </w:tcPr>
          <w:p w14:paraId="5BCFC963"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£25m</w:t>
            </w:r>
          </w:p>
        </w:tc>
        <w:tc>
          <w:tcPr>
            <w:tcW w:w="1134" w:type="dxa"/>
            <w:tcBorders>
              <w:left w:val="single" w:sz="4" w:space="0" w:color="auto"/>
              <w:right w:val="single" w:sz="4" w:space="0" w:color="auto"/>
            </w:tcBorders>
            <w:shd w:val="clear" w:color="auto" w:fill="auto"/>
            <w:vAlign w:val="center"/>
          </w:tcPr>
          <w:p w14:paraId="4D6DBF25"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 xml:space="preserve">12 </w:t>
            </w:r>
          </w:p>
        </w:tc>
      </w:tr>
      <w:tr w:rsidR="000729CF" w:rsidRPr="000729CF" w14:paraId="55DD708B" w14:textId="77777777" w:rsidTr="00BC26AB">
        <w:trPr>
          <w:cantSplit/>
          <w:trHeight w:val="301"/>
        </w:trPr>
        <w:tc>
          <w:tcPr>
            <w:tcW w:w="9215" w:type="dxa"/>
            <w:gridSpan w:val="10"/>
            <w:tcBorders>
              <w:left w:val="single" w:sz="4" w:space="0" w:color="auto"/>
              <w:right w:val="single" w:sz="4" w:space="0" w:color="auto"/>
            </w:tcBorders>
            <w:shd w:val="clear" w:color="auto" w:fill="548DD4"/>
            <w:vAlign w:val="center"/>
          </w:tcPr>
          <w:p w14:paraId="7D1AAD86" w14:textId="77777777" w:rsidR="000729CF" w:rsidRPr="000729CF" w:rsidRDefault="000729CF" w:rsidP="000729CF">
            <w:pPr>
              <w:spacing w:line="276" w:lineRule="auto"/>
              <w:rPr>
                <w:rFonts w:ascii="Arial" w:eastAsia="Calibri" w:hAnsi="Arial" w:cs="Arial"/>
                <w:snapToGrid w:val="0"/>
                <w:color w:val="FFFFFF"/>
                <w:sz w:val="24"/>
                <w:szCs w:val="24"/>
                <w:lang w:val="en-GB"/>
              </w:rPr>
            </w:pPr>
            <w:r w:rsidRPr="000729CF">
              <w:rPr>
                <w:rFonts w:ascii="Arial" w:eastAsia="Calibri" w:hAnsi="Arial" w:cs="Arial"/>
                <w:snapToGrid w:val="0"/>
                <w:color w:val="FFFFFF"/>
                <w:sz w:val="24"/>
                <w:szCs w:val="24"/>
                <w:lang w:val="en-GB"/>
              </w:rPr>
              <w:t>Total Max. exposure to Lloyds Banking Group</w:t>
            </w:r>
          </w:p>
        </w:tc>
        <w:tc>
          <w:tcPr>
            <w:tcW w:w="1134" w:type="dxa"/>
            <w:tcBorders>
              <w:left w:val="single" w:sz="4" w:space="0" w:color="auto"/>
              <w:right w:val="single" w:sz="4" w:space="0" w:color="auto"/>
            </w:tcBorders>
            <w:shd w:val="clear" w:color="auto" w:fill="548DD4"/>
            <w:vAlign w:val="center"/>
          </w:tcPr>
          <w:p w14:paraId="037FEF9C" w14:textId="77777777" w:rsidR="000729CF" w:rsidRPr="000729CF" w:rsidRDefault="000729CF" w:rsidP="000729CF">
            <w:pPr>
              <w:spacing w:line="276" w:lineRule="auto"/>
              <w:jc w:val="center"/>
              <w:rPr>
                <w:rFonts w:ascii="Arial" w:eastAsia="Calibri" w:hAnsi="Arial" w:cs="Arial"/>
                <w:snapToGrid w:val="0"/>
                <w:color w:val="FFFFFF"/>
                <w:sz w:val="24"/>
                <w:szCs w:val="24"/>
                <w:lang w:val="en-GB"/>
              </w:rPr>
            </w:pPr>
            <w:r w:rsidRPr="000729CF">
              <w:rPr>
                <w:rFonts w:ascii="Arial" w:eastAsia="Calibri" w:hAnsi="Arial" w:cs="Arial"/>
                <w:snapToGrid w:val="0"/>
                <w:color w:val="FFFFFF"/>
                <w:sz w:val="24"/>
                <w:szCs w:val="24"/>
                <w:lang w:val="en-GB"/>
              </w:rPr>
              <w:t>£25m</w:t>
            </w:r>
          </w:p>
        </w:tc>
        <w:tc>
          <w:tcPr>
            <w:tcW w:w="1134" w:type="dxa"/>
            <w:tcBorders>
              <w:left w:val="single" w:sz="4" w:space="0" w:color="auto"/>
              <w:right w:val="single" w:sz="4" w:space="0" w:color="auto"/>
            </w:tcBorders>
            <w:shd w:val="clear" w:color="auto" w:fill="548DD4"/>
            <w:vAlign w:val="center"/>
          </w:tcPr>
          <w:p w14:paraId="5E17E5F2" w14:textId="77777777" w:rsidR="000729CF" w:rsidRPr="000729CF" w:rsidRDefault="000729CF" w:rsidP="000729CF">
            <w:pPr>
              <w:spacing w:line="276" w:lineRule="auto"/>
              <w:jc w:val="center"/>
              <w:rPr>
                <w:rFonts w:ascii="Arial" w:eastAsia="Calibri" w:hAnsi="Arial" w:cs="Arial"/>
                <w:snapToGrid w:val="0"/>
                <w:color w:val="FFFFFF"/>
                <w:sz w:val="24"/>
                <w:szCs w:val="24"/>
                <w:lang w:val="en-GB"/>
              </w:rPr>
            </w:pPr>
            <w:r w:rsidRPr="000729CF">
              <w:rPr>
                <w:rFonts w:ascii="Arial" w:eastAsia="Calibri" w:hAnsi="Arial" w:cs="Arial"/>
                <w:snapToGrid w:val="0"/>
                <w:color w:val="FFFFFF"/>
                <w:sz w:val="24"/>
                <w:szCs w:val="24"/>
                <w:lang w:val="en-GB"/>
              </w:rPr>
              <w:t xml:space="preserve">12 </w:t>
            </w:r>
          </w:p>
        </w:tc>
      </w:tr>
      <w:tr w:rsidR="000729CF" w:rsidRPr="000729CF" w14:paraId="70C76C18" w14:textId="77777777" w:rsidTr="00BC26AB">
        <w:trPr>
          <w:cantSplit/>
          <w:trHeight w:val="301"/>
        </w:trPr>
        <w:tc>
          <w:tcPr>
            <w:tcW w:w="11483" w:type="dxa"/>
            <w:gridSpan w:val="12"/>
            <w:tcBorders>
              <w:left w:val="single" w:sz="4" w:space="0" w:color="auto"/>
              <w:right w:val="single" w:sz="4" w:space="0" w:color="auto"/>
            </w:tcBorders>
            <w:shd w:val="clear" w:color="auto" w:fill="17365D"/>
            <w:vAlign w:val="center"/>
          </w:tcPr>
          <w:p w14:paraId="2B337976" w14:textId="77777777" w:rsidR="000729CF" w:rsidRPr="000729CF" w:rsidRDefault="000729CF" w:rsidP="000729CF">
            <w:pPr>
              <w:spacing w:line="276" w:lineRule="auto"/>
              <w:rPr>
                <w:rFonts w:ascii="Arial" w:eastAsia="Calibri" w:hAnsi="Arial" w:cs="Arial"/>
                <w:snapToGrid w:val="0"/>
                <w:sz w:val="24"/>
                <w:szCs w:val="24"/>
                <w:lang w:val="en-GB"/>
              </w:rPr>
            </w:pPr>
            <w:r w:rsidRPr="000729CF">
              <w:rPr>
                <w:rFonts w:ascii="Arial" w:eastAsia="Calibri" w:hAnsi="Arial" w:cs="Arial"/>
                <w:snapToGrid w:val="0"/>
                <w:color w:val="FFFFFF"/>
                <w:sz w:val="24"/>
                <w:szCs w:val="24"/>
                <w:lang w:val="en-GB"/>
              </w:rPr>
              <w:t>Barclays Banking Group:</w:t>
            </w:r>
          </w:p>
        </w:tc>
      </w:tr>
      <w:tr w:rsidR="000729CF" w:rsidRPr="000729CF" w14:paraId="08322475" w14:textId="77777777" w:rsidTr="00BC26AB">
        <w:trPr>
          <w:cantSplit/>
          <w:trHeight w:val="301"/>
        </w:trPr>
        <w:tc>
          <w:tcPr>
            <w:tcW w:w="3403" w:type="dxa"/>
            <w:tcBorders>
              <w:left w:val="single" w:sz="4" w:space="0" w:color="auto"/>
              <w:right w:val="single" w:sz="4" w:space="0" w:color="auto"/>
            </w:tcBorders>
            <w:shd w:val="clear" w:color="auto" w:fill="C6D9F1"/>
            <w:vAlign w:val="center"/>
          </w:tcPr>
          <w:p w14:paraId="2D8AD8D2" w14:textId="77777777" w:rsidR="000729CF" w:rsidRPr="000729CF" w:rsidRDefault="000729CF" w:rsidP="000729CF">
            <w:pPr>
              <w:spacing w:line="276" w:lineRule="auto"/>
              <w:rPr>
                <w:rFonts w:ascii="Arial" w:eastAsia="Calibri" w:hAnsi="Arial" w:cs="Arial"/>
                <w:snapToGrid w:val="0"/>
                <w:sz w:val="24"/>
                <w:szCs w:val="24"/>
                <w:lang w:val="en-GB"/>
              </w:rPr>
            </w:pPr>
            <w:r w:rsidRPr="000729CF">
              <w:rPr>
                <w:rFonts w:ascii="Arial" w:eastAsia="Calibri" w:hAnsi="Arial" w:cs="Arial"/>
                <w:snapToGrid w:val="0"/>
                <w:sz w:val="24"/>
                <w:szCs w:val="24"/>
                <w:lang w:val="en-GB"/>
              </w:rPr>
              <w:t>Barclays Bank PLC (NRFB)</w:t>
            </w:r>
          </w:p>
        </w:tc>
        <w:tc>
          <w:tcPr>
            <w:tcW w:w="1276" w:type="dxa"/>
            <w:gridSpan w:val="2"/>
            <w:tcBorders>
              <w:left w:val="single" w:sz="4" w:space="0" w:color="auto"/>
              <w:right w:val="single" w:sz="4" w:space="0" w:color="auto"/>
            </w:tcBorders>
            <w:shd w:val="clear" w:color="auto" w:fill="C6D9F1"/>
            <w:vAlign w:val="center"/>
          </w:tcPr>
          <w:p w14:paraId="42ACACC2"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Specified</w:t>
            </w:r>
          </w:p>
        </w:tc>
        <w:tc>
          <w:tcPr>
            <w:tcW w:w="709" w:type="dxa"/>
            <w:tcBorders>
              <w:left w:val="single" w:sz="4" w:space="0" w:color="auto"/>
              <w:right w:val="single" w:sz="4" w:space="0" w:color="auto"/>
            </w:tcBorders>
            <w:shd w:val="clear" w:color="auto" w:fill="C6D9F1"/>
            <w:vAlign w:val="center"/>
          </w:tcPr>
          <w:p w14:paraId="756C585A"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F1</w:t>
            </w:r>
          </w:p>
        </w:tc>
        <w:tc>
          <w:tcPr>
            <w:tcW w:w="567" w:type="dxa"/>
            <w:tcBorders>
              <w:left w:val="single" w:sz="4" w:space="0" w:color="auto"/>
              <w:right w:val="single" w:sz="4" w:space="0" w:color="auto"/>
            </w:tcBorders>
            <w:shd w:val="clear" w:color="auto" w:fill="C6D9F1"/>
            <w:vAlign w:val="center"/>
          </w:tcPr>
          <w:p w14:paraId="588678A5"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P-1</w:t>
            </w:r>
          </w:p>
        </w:tc>
        <w:tc>
          <w:tcPr>
            <w:tcW w:w="709" w:type="dxa"/>
            <w:tcBorders>
              <w:left w:val="single" w:sz="4" w:space="0" w:color="auto"/>
              <w:right w:val="single" w:sz="4" w:space="0" w:color="auto"/>
            </w:tcBorders>
            <w:shd w:val="clear" w:color="auto" w:fill="C6D9F1"/>
            <w:vAlign w:val="center"/>
          </w:tcPr>
          <w:p w14:paraId="39CF26D6"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A-1</w:t>
            </w:r>
          </w:p>
        </w:tc>
        <w:tc>
          <w:tcPr>
            <w:tcW w:w="851" w:type="dxa"/>
            <w:gridSpan w:val="2"/>
            <w:tcBorders>
              <w:left w:val="single" w:sz="4" w:space="0" w:color="auto"/>
              <w:right w:val="single" w:sz="4" w:space="0" w:color="auto"/>
            </w:tcBorders>
            <w:shd w:val="clear" w:color="auto" w:fill="C6D9F1"/>
            <w:vAlign w:val="center"/>
          </w:tcPr>
          <w:p w14:paraId="5B11B1DD"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w:t>
            </w:r>
          </w:p>
        </w:tc>
        <w:tc>
          <w:tcPr>
            <w:tcW w:w="850" w:type="dxa"/>
            <w:tcBorders>
              <w:left w:val="single" w:sz="4" w:space="0" w:color="auto"/>
              <w:right w:val="single" w:sz="4" w:space="0" w:color="auto"/>
            </w:tcBorders>
            <w:shd w:val="clear" w:color="auto" w:fill="C6D9F1"/>
            <w:vAlign w:val="center"/>
          </w:tcPr>
          <w:p w14:paraId="50E1481F"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A1</w:t>
            </w:r>
          </w:p>
        </w:tc>
        <w:tc>
          <w:tcPr>
            <w:tcW w:w="850" w:type="dxa"/>
            <w:tcBorders>
              <w:left w:val="single" w:sz="4" w:space="0" w:color="auto"/>
              <w:right w:val="single" w:sz="4" w:space="0" w:color="auto"/>
            </w:tcBorders>
            <w:shd w:val="clear" w:color="auto" w:fill="C6D9F1"/>
            <w:vAlign w:val="center"/>
          </w:tcPr>
          <w:p w14:paraId="6D98A91F"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w:t>
            </w:r>
          </w:p>
        </w:tc>
        <w:tc>
          <w:tcPr>
            <w:tcW w:w="1134" w:type="dxa"/>
            <w:tcBorders>
              <w:left w:val="single" w:sz="4" w:space="0" w:color="auto"/>
              <w:right w:val="single" w:sz="4" w:space="0" w:color="auto"/>
            </w:tcBorders>
            <w:shd w:val="clear" w:color="auto" w:fill="C6D9F1"/>
            <w:vAlign w:val="center"/>
          </w:tcPr>
          <w:p w14:paraId="149CFEA1"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£20m</w:t>
            </w:r>
          </w:p>
        </w:tc>
        <w:tc>
          <w:tcPr>
            <w:tcW w:w="1134" w:type="dxa"/>
            <w:tcBorders>
              <w:left w:val="single" w:sz="4" w:space="0" w:color="auto"/>
              <w:right w:val="single" w:sz="4" w:space="0" w:color="auto"/>
            </w:tcBorders>
            <w:shd w:val="clear" w:color="auto" w:fill="C6D9F1"/>
            <w:vAlign w:val="center"/>
          </w:tcPr>
          <w:p w14:paraId="65E11D69"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 xml:space="preserve">12 </w:t>
            </w:r>
          </w:p>
        </w:tc>
      </w:tr>
      <w:tr w:rsidR="000729CF" w:rsidRPr="000729CF" w14:paraId="40BE60AC" w14:textId="77777777" w:rsidTr="00BC26AB">
        <w:trPr>
          <w:cantSplit/>
        </w:trPr>
        <w:tc>
          <w:tcPr>
            <w:tcW w:w="3403" w:type="dxa"/>
            <w:tcBorders>
              <w:left w:val="single" w:sz="4" w:space="0" w:color="auto"/>
              <w:right w:val="single" w:sz="4" w:space="0" w:color="auto"/>
            </w:tcBorders>
            <w:vAlign w:val="center"/>
          </w:tcPr>
          <w:p w14:paraId="06AD51C8" w14:textId="77777777" w:rsidR="000729CF" w:rsidRPr="000729CF" w:rsidRDefault="000729CF" w:rsidP="000729CF">
            <w:pPr>
              <w:spacing w:line="276" w:lineRule="auto"/>
              <w:rPr>
                <w:rFonts w:ascii="Arial" w:eastAsia="Calibri" w:hAnsi="Arial" w:cs="Arial"/>
                <w:snapToGrid w:val="0"/>
                <w:sz w:val="24"/>
                <w:szCs w:val="24"/>
                <w:lang w:val="en-GB"/>
              </w:rPr>
            </w:pPr>
            <w:r w:rsidRPr="000729CF">
              <w:rPr>
                <w:rFonts w:ascii="Arial" w:eastAsia="Calibri" w:hAnsi="Arial" w:cs="Arial"/>
                <w:snapToGrid w:val="0"/>
                <w:sz w:val="24"/>
                <w:szCs w:val="24"/>
                <w:lang w:val="en-GB"/>
              </w:rPr>
              <w:t>Barclays Bank UK PLC (RFB)</w:t>
            </w:r>
          </w:p>
        </w:tc>
        <w:tc>
          <w:tcPr>
            <w:tcW w:w="1276" w:type="dxa"/>
            <w:gridSpan w:val="2"/>
            <w:tcBorders>
              <w:left w:val="single" w:sz="4" w:space="0" w:color="auto"/>
              <w:right w:val="single" w:sz="4" w:space="0" w:color="auto"/>
            </w:tcBorders>
            <w:vAlign w:val="center"/>
          </w:tcPr>
          <w:p w14:paraId="42271EC0"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Specified</w:t>
            </w:r>
          </w:p>
        </w:tc>
        <w:tc>
          <w:tcPr>
            <w:tcW w:w="709" w:type="dxa"/>
            <w:tcBorders>
              <w:left w:val="single" w:sz="4" w:space="0" w:color="auto"/>
              <w:right w:val="single" w:sz="4" w:space="0" w:color="auto"/>
            </w:tcBorders>
            <w:shd w:val="clear" w:color="auto" w:fill="auto"/>
            <w:vAlign w:val="center"/>
          </w:tcPr>
          <w:p w14:paraId="71D39552"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F1</w:t>
            </w:r>
          </w:p>
        </w:tc>
        <w:tc>
          <w:tcPr>
            <w:tcW w:w="567" w:type="dxa"/>
            <w:tcBorders>
              <w:left w:val="single" w:sz="4" w:space="0" w:color="auto"/>
              <w:right w:val="single" w:sz="4" w:space="0" w:color="auto"/>
            </w:tcBorders>
            <w:shd w:val="clear" w:color="auto" w:fill="auto"/>
            <w:vAlign w:val="center"/>
          </w:tcPr>
          <w:p w14:paraId="5D14685E"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P-1</w:t>
            </w:r>
          </w:p>
        </w:tc>
        <w:tc>
          <w:tcPr>
            <w:tcW w:w="709" w:type="dxa"/>
            <w:tcBorders>
              <w:left w:val="single" w:sz="4" w:space="0" w:color="auto"/>
              <w:right w:val="single" w:sz="4" w:space="0" w:color="auto"/>
            </w:tcBorders>
            <w:shd w:val="clear" w:color="auto" w:fill="auto"/>
            <w:vAlign w:val="center"/>
          </w:tcPr>
          <w:p w14:paraId="72F4C878"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A-1</w:t>
            </w:r>
          </w:p>
        </w:tc>
        <w:tc>
          <w:tcPr>
            <w:tcW w:w="851" w:type="dxa"/>
            <w:gridSpan w:val="2"/>
            <w:tcBorders>
              <w:left w:val="single" w:sz="4" w:space="0" w:color="auto"/>
              <w:right w:val="single" w:sz="4" w:space="0" w:color="auto"/>
            </w:tcBorders>
            <w:shd w:val="clear" w:color="auto" w:fill="auto"/>
            <w:vAlign w:val="center"/>
          </w:tcPr>
          <w:p w14:paraId="33BB9A22"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w:t>
            </w:r>
          </w:p>
        </w:tc>
        <w:tc>
          <w:tcPr>
            <w:tcW w:w="850" w:type="dxa"/>
            <w:tcBorders>
              <w:left w:val="single" w:sz="4" w:space="0" w:color="auto"/>
              <w:right w:val="single" w:sz="4" w:space="0" w:color="auto"/>
            </w:tcBorders>
            <w:shd w:val="clear" w:color="auto" w:fill="auto"/>
            <w:vAlign w:val="center"/>
          </w:tcPr>
          <w:p w14:paraId="3F14CB9D"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A1</w:t>
            </w:r>
          </w:p>
        </w:tc>
        <w:tc>
          <w:tcPr>
            <w:tcW w:w="850" w:type="dxa"/>
            <w:tcBorders>
              <w:left w:val="single" w:sz="4" w:space="0" w:color="auto"/>
              <w:right w:val="single" w:sz="4" w:space="0" w:color="auto"/>
            </w:tcBorders>
            <w:shd w:val="clear" w:color="auto" w:fill="auto"/>
            <w:vAlign w:val="center"/>
          </w:tcPr>
          <w:p w14:paraId="1BD427E5"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w:t>
            </w:r>
          </w:p>
        </w:tc>
        <w:tc>
          <w:tcPr>
            <w:tcW w:w="1134" w:type="dxa"/>
            <w:tcBorders>
              <w:left w:val="single" w:sz="4" w:space="0" w:color="auto"/>
              <w:right w:val="single" w:sz="4" w:space="0" w:color="auto"/>
            </w:tcBorders>
            <w:shd w:val="clear" w:color="auto" w:fill="auto"/>
            <w:vAlign w:val="center"/>
          </w:tcPr>
          <w:p w14:paraId="350B3836"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£20m</w:t>
            </w:r>
          </w:p>
        </w:tc>
        <w:tc>
          <w:tcPr>
            <w:tcW w:w="1134" w:type="dxa"/>
            <w:tcBorders>
              <w:left w:val="single" w:sz="4" w:space="0" w:color="auto"/>
              <w:right w:val="single" w:sz="4" w:space="0" w:color="auto"/>
            </w:tcBorders>
            <w:shd w:val="clear" w:color="auto" w:fill="auto"/>
            <w:vAlign w:val="center"/>
          </w:tcPr>
          <w:p w14:paraId="0A78360E"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 xml:space="preserve">12 </w:t>
            </w:r>
          </w:p>
        </w:tc>
      </w:tr>
      <w:tr w:rsidR="000729CF" w:rsidRPr="000729CF" w14:paraId="47BA318E" w14:textId="77777777" w:rsidTr="00BC26AB">
        <w:trPr>
          <w:cantSplit/>
        </w:trPr>
        <w:tc>
          <w:tcPr>
            <w:tcW w:w="9215" w:type="dxa"/>
            <w:gridSpan w:val="10"/>
            <w:tcBorders>
              <w:left w:val="single" w:sz="4" w:space="0" w:color="auto"/>
              <w:right w:val="single" w:sz="4" w:space="0" w:color="auto"/>
            </w:tcBorders>
            <w:shd w:val="clear" w:color="auto" w:fill="17365D"/>
            <w:vAlign w:val="center"/>
          </w:tcPr>
          <w:p w14:paraId="628F790E" w14:textId="77777777" w:rsidR="000729CF" w:rsidRPr="000729CF" w:rsidRDefault="000729CF" w:rsidP="000729CF">
            <w:pPr>
              <w:spacing w:line="276" w:lineRule="auto"/>
              <w:rPr>
                <w:rFonts w:ascii="Arial" w:eastAsia="Calibri" w:hAnsi="Arial" w:cs="Arial"/>
                <w:snapToGrid w:val="0"/>
                <w:sz w:val="24"/>
                <w:szCs w:val="24"/>
                <w:lang w:val="en-GB"/>
              </w:rPr>
            </w:pPr>
            <w:r w:rsidRPr="000729CF">
              <w:rPr>
                <w:rFonts w:ascii="Arial" w:eastAsia="Calibri" w:hAnsi="Arial" w:cs="Arial"/>
                <w:snapToGrid w:val="0"/>
                <w:color w:val="FFFFFF"/>
                <w:sz w:val="24"/>
                <w:szCs w:val="24"/>
                <w:lang w:val="en-GB"/>
              </w:rPr>
              <w:t>Total Max. exposure to Barclays Banking Group**</w:t>
            </w:r>
          </w:p>
        </w:tc>
        <w:tc>
          <w:tcPr>
            <w:tcW w:w="1134" w:type="dxa"/>
            <w:tcBorders>
              <w:left w:val="single" w:sz="4" w:space="0" w:color="auto"/>
              <w:right w:val="single" w:sz="4" w:space="0" w:color="auto"/>
            </w:tcBorders>
            <w:shd w:val="clear" w:color="auto" w:fill="17365D"/>
            <w:vAlign w:val="center"/>
          </w:tcPr>
          <w:p w14:paraId="3523EE5F"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£20m</w:t>
            </w:r>
          </w:p>
        </w:tc>
        <w:tc>
          <w:tcPr>
            <w:tcW w:w="1134" w:type="dxa"/>
            <w:tcBorders>
              <w:left w:val="single" w:sz="4" w:space="0" w:color="auto"/>
              <w:right w:val="single" w:sz="4" w:space="0" w:color="auto"/>
            </w:tcBorders>
            <w:shd w:val="clear" w:color="auto" w:fill="17365D"/>
            <w:vAlign w:val="center"/>
          </w:tcPr>
          <w:p w14:paraId="3E7C75A6"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 xml:space="preserve">12 </w:t>
            </w:r>
          </w:p>
        </w:tc>
      </w:tr>
      <w:tr w:rsidR="000729CF" w:rsidRPr="000729CF" w14:paraId="5B1D5BEB" w14:textId="77777777" w:rsidTr="00BC26AB">
        <w:trPr>
          <w:cantSplit/>
        </w:trPr>
        <w:tc>
          <w:tcPr>
            <w:tcW w:w="11483" w:type="dxa"/>
            <w:gridSpan w:val="12"/>
            <w:tcBorders>
              <w:left w:val="single" w:sz="4" w:space="0" w:color="auto"/>
              <w:right w:val="single" w:sz="4" w:space="0" w:color="auto"/>
            </w:tcBorders>
            <w:shd w:val="clear" w:color="auto" w:fill="548DD4"/>
            <w:vAlign w:val="center"/>
          </w:tcPr>
          <w:p w14:paraId="4D0BDCAB" w14:textId="77777777" w:rsidR="000729CF" w:rsidRPr="000729CF" w:rsidRDefault="000729CF" w:rsidP="000729CF">
            <w:pPr>
              <w:spacing w:line="276" w:lineRule="auto"/>
              <w:rPr>
                <w:rFonts w:ascii="Arial" w:eastAsia="Calibri" w:hAnsi="Arial" w:cs="Arial"/>
                <w:snapToGrid w:val="0"/>
                <w:color w:val="FFFFFF"/>
                <w:sz w:val="24"/>
                <w:szCs w:val="24"/>
                <w:lang w:val="en-GB"/>
              </w:rPr>
            </w:pPr>
            <w:r w:rsidRPr="000729CF">
              <w:rPr>
                <w:rFonts w:ascii="Arial" w:eastAsia="Calibri" w:hAnsi="Arial" w:cs="Arial"/>
                <w:snapToGrid w:val="0"/>
                <w:color w:val="FFFFFF"/>
                <w:sz w:val="24"/>
                <w:szCs w:val="24"/>
                <w:lang w:val="en-GB"/>
              </w:rPr>
              <w:t>HSBC Group:</w:t>
            </w:r>
          </w:p>
        </w:tc>
      </w:tr>
      <w:tr w:rsidR="000729CF" w:rsidRPr="000729CF" w14:paraId="279FF555" w14:textId="77777777" w:rsidTr="00BC26AB">
        <w:trPr>
          <w:cantSplit/>
        </w:trPr>
        <w:tc>
          <w:tcPr>
            <w:tcW w:w="3403" w:type="dxa"/>
            <w:tcBorders>
              <w:left w:val="single" w:sz="4" w:space="0" w:color="auto"/>
              <w:right w:val="single" w:sz="4" w:space="0" w:color="auto"/>
            </w:tcBorders>
            <w:shd w:val="clear" w:color="auto" w:fill="C6D9F1"/>
            <w:vAlign w:val="center"/>
          </w:tcPr>
          <w:p w14:paraId="105C315F" w14:textId="77777777" w:rsidR="000729CF" w:rsidRPr="000729CF" w:rsidRDefault="000729CF" w:rsidP="000729CF">
            <w:pPr>
              <w:spacing w:line="276" w:lineRule="auto"/>
              <w:rPr>
                <w:rFonts w:ascii="Arial" w:eastAsia="Calibri" w:hAnsi="Arial" w:cs="Arial"/>
                <w:snapToGrid w:val="0"/>
                <w:sz w:val="24"/>
                <w:szCs w:val="24"/>
                <w:lang w:val="en-GB"/>
              </w:rPr>
            </w:pPr>
            <w:r w:rsidRPr="000729CF">
              <w:rPr>
                <w:rFonts w:ascii="Arial" w:eastAsia="Calibri" w:hAnsi="Arial" w:cs="Arial"/>
                <w:snapToGrid w:val="0"/>
                <w:sz w:val="24"/>
                <w:szCs w:val="24"/>
                <w:lang w:val="en-GB"/>
              </w:rPr>
              <w:t>HSBC Bank PLC (NRFB)</w:t>
            </w:r>
          </w:p>
        </w:tc>
        <w:tc>
          <w:tcPr>
            <w:tcW w:w="1276" w:type="dxa"/>
            <w:gridSpan w:val="2"/>
            <w:tcBorders>
              <w:left w:val="single" w:sz="4" w:space="0" w:color="auto"/>
              <w:right w:val="single" w:sz="4" w:space="0" w:color="auto"/>
            </w:tcBorders>
            <w:shd w:val="clear" w:color="auto" w:fill="C6D9F1"/>
          </w:tcPr>
          <w:p w14:paraId="3BDECBAD"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Specified</w:t>
            </w:r>
          </w:p>
        </w:tc>
        <w:tc>
          <w:tcPr>
            <w:tcW w:w="709" w:type="dxa"/>
            <w:tcBorders>
              <w:left w:val="single" w:sz="4" w:space="0" w:color="auto"/>
              <w:right w:val="single" w:sz="4" w:space="0" w:color="auto"/>
            </w:tcBorders>
            <w:shd w:val="clear" w:color="auto" w:fill="C6D9F1"/>
          </w:tcPr>
          <w:p w14:paraId="6D386E3B"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F1+</w:t>
            </w:r>
          </w:p>
        </w:tc>
        <w:tc>
          <w:tcPr>
            <w:tcW w:w="567" w:type="dxa"/>
            <w:tcBorders>
              <w:left w:val="single" w:sz="4" w:space="0" w:color="auto"/>
              <w:right w:val="single" w:sz="4" w:space="0" w:color="auto"/>
            </w:tcBorders>
            <w:shd w:val="clear" w:color="auto" w:fill="C6D9F1"/>
          </w:tcPr>
          <w:p w14:paraId="28E9CB17"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P-1</w:t>
            </w:r>
          </w:p>
        </w:tc>
        <w:tc>
          <w:tcPr>
            <w:tcW w:w="709" w:type="dxa"/>
            <w:tcBorders>
              <w:left w:val="single" w:sz="4" w:space="0" w:color="auto"/>
              <w:right w:val="single" w:sz="4" w:space="0" w:color="auto"/>
            </w:tcBorders>
            <w:shd w:val="clear" w:color="auto" w:fill="C6D9F1"/>
          </w:tcPr>
          <w:p w14:paraId="2C20FC5C"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A-1</w:t>
            </w:r>
          </w:p>
        </w:tc>
        <w:tc>
          <w:tcPr>
            <w:tcW w:w="851" w:type="dxa"/>
            <w:gridSpan w:val="2"/>
            <w:tcBorders>
              <w:left w:val="single" w:sz="4" w:space="0" w:color="auto"/>
              <w:right w:val="single" w:sz="4" w:space="0" w:color="auto"/>
            </w:tcBorders>
            <w:shd w:val="clear" w:color="auto" w:fill="C6D9F1"/>
          </w:tcPr>
          <w:p w14:paraId="087E2872"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AA-</w:t>
            </w:r>
          </w:p>
        </w:tc>
        <w:tc>
          <w:tcPr>
            <w:tcW w:w="850" w:type="dxa"/>
            <w:tcBorders>
              <w:left w:val="single" w:sz="4" w:space="0" w:color="auto"/>
              <w:right w:val="single" w:sz="4" w:space="0" w:color="auto"/>
            </w:tcBorders>
            <w:shd w:val="clear" w:color="auto" w:fill="C6D9F1"/>
          </w:tcPr>
          <w:p w14:paraId="6AE25AC7"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A1</w:t>
            </w:r>
          </w:p>
        </w:tc>
        <w:tc>
          <w:tcPr>
            <w:tcW w:w="850" w:type="dxa"/>
            <w:tcBorders>
              <w:left w:val="single" w:sz="4" w:space="0" w:color="auto"/>
              <w:right w:val="single" w:sz="4" w:space="0" w:color="auto"/>
            </w:tcBorders>
            <w:shd w:val="clear" w:color="auto" w:fill="C6D9F1"/>
          </w:tcPr>
          <w:p w14:paraId="08C17B6F"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w:t>
            </w:r>
          </w:p>
        </w:tc>
        <w:tc>
          <w:tcPr>
            <w:tcW w:w="1134" w:type="dxa"/>
            <w:tcBorders>
              <w:left w:val="single" w:sz="4" w:space="0" w:color="auto"/>
              <w:right w:val="single" w:sz="4" w:space="0" w:color="auto"/>
            </w:tcBorders>
            <w:shd w:val="clear" w:color="auto" w:fill="C6D9F1"/>
          </w:tcPr>
          <w:p w14:paraId="01A8FD9C"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£20m</w:t>
            </w:r>
          </w:p>
        </w:tc>
        <w:tc>
          <w:tcPr>
            <w:tcW w:w="1134" w:type="dxa"/>
            <w:tcBorders>
              <w:left w:val="single" w:sz="4" w:space="0" w:color="auto"/>
              <w:right w:val="single" w:sz="4" w:space="0" w:color="auto"/>
            </w:tcBorders>
            <w:shd w:val="clear" w:color="auto" w:fill="C6D9F1"/>
          </w:tcPr>
          <w:p w14:paraId="4B160A8F"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12</w:t>
            </w:r>
          </w:p>
        </w:tc>
      </w:tr>
      <w:tr w:rsidR="000729CF" w:rsidRPr="000729CF" w14:paraId="6EC29858" w14:textId="77777777" w:rsidTr="00BC26AB">
        <w:trPr>
          <w:cantSplit/>
        </w:trPr>
        <w:tc>
          <w:tcPr>
            <w:tcW w:w="3403" w:type="dxa"/>
            <w:tcBorders>
              <w:left w:val="single" w:sz="4" w:space="0" w:color="auto"/>
              <w:right w:val="single" w:sz="4" w:space="0" w:color="auto"/>
            </w:tcBorders>
            <w:shd w:val="clear" w:color="auto" w:fill="FFFFFF"/>
            <w:vAlign w:val="center"/>
          </w:tcPr>
          <w:p w14:paraId="3E93739A" w14:textId="77777777" w:rsidR="000729CF" w:rsidRPr="000729CF" w:rsidRDefault="000729CF" w:rsidP="000729CF">
            <w:pPr>
              <w:spacing w:line="276" w:lineRule="auto"/>
              <w:rPr>
                <w:rFonts w:ascii="Arial" w:eastAsia="Calibri" w:hAnsi="Arial" w:cs="Arial"/>
                <w:snapToGrid w:val="0"/>
                <w:sz w:val="24"/>
                <w:szCs w:val="24"/>
                <w:lang w:val="en-GB"/>
              </w:rPr>
            </w:pPr>
            <w:r w:rsidRPr="000729CF">
              <w:rPr>
                <w:rFonts w:ascii="Arial" w:eastAsia="Calibri" w:hAnsi="Arial" w:cs="Arial"/>
                <w:snapToGrid w:val="0"/>
                <w:sz w:val="24"/>
                <w:szCs w:val="24"/>
                <w:lang w:val="en-GB"/>
              </w:rPr>
              <w:t>HSBC UK Bank PLC (RFB)</w:t>
            </w:r>
          </w:p>
        </w:tc>
        <w:tc>
          <w:tcPr>
            <w:tcW w:w="1276" w:type="dxa"/>
            <w:gridSpan w:val="2"/>
            <w:tcBorders>
              <w:left w:val="single" w:sz="4" w:space="0" w:color="auto"/>
              <w:right w:val="single" w:sz="4" w:space="0" w:color="auto"/>
            </w:tcBorders>
            <w:shd w:val="clear" w:color="auto" w:fill="FFFFFF"/>
          </w:tcPr>
          <w:p w14:paraId="39C6BDDA"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Specified</w:t>
            </w:r>
          </w:p>
        </w:tc>
        <w:tc>
          <w:tcPr>
            <w:tcW w:w="709" w:type="dxa"/>
            <w:tcBorders>
              <w:left w:val="single" w:sz="4" w:space="0" w:color="auto"/>
              <w:right w:val="single" w:sz="4" w:space="0" w:color="auto"/>
            </w:tcBorders>
            <w:shd w:val="clear" w:color="auto" w:fill="FFFFFF"/>
          </w:tcPr>
          <w:p w14:paraId="186E250C"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F1+</w:t>
            </w:r>
          </w:p>
        </w:tc>
        <w:tc>
          <w:tcPr>
            <w:tcW w:w="567" w:type="dxa"/>
            <w:tcBorders>
              <w:left w:val="single" w:sz="4" w:space="0" w:color="auto"/>
              <w:right w:val="single" w:sz="4" w:space="0" w:color="auto"/>
            </w:tcBorders>
            <w:shd w:val="clear" w:color="auto" w:fill="FFFFFF"/>
          </w:tcPr>
          <w:p w14:paraId="548FF076"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P-1</w:t>
            </w:r>
          </w:p>
        </w:tc>
        <w:tc>
          <w:tcPr>
            <w:tcW w:w="709" w:type="dxa"/>
            <w:tcBorders>
              <w:left w:val="single" w:sz="4" w:space="0" w:color="auto"/>
              <w:right w:val="single" w:sz="4" w:space="0" w:color="auto"/>
            </w:tcBorders>
            <w:shd w:val="clear" w:color="auto" w:fill="FFFFFF"/>
          </w:tcPr>
          <w:p w14:paraId="3108B410"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A-1</w:t>
            </w:r>
          </w:p>
        </w:tc>
        <w:tc>
          <w:tcPr>
            <w:tcW w:w="851" w:type="dxa"/>
            <w:gridSpan w:val="2"/>
            <w:tcBorders>
              <w:left w:val="single" w:sz="4" w:space="0" w:color="auto"/>
              <w:right w:val="single" w:sz="4" w:space="0" w:color="auto"/>
            </w:tcBorders>
            <w:shd w:val="clear" w:color="auto" w:fill="FFFFFF"/>
          </w:tcPr>
          <w:p w14:paraId="35F09172"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AA-</w:t>
            </w:r>
          </w:p>
        </w:tc>
        <w:tc>
          <w:tcPr>
            <w:tcW w:w="850" w:type="dxa"/>
            <w:tcBorders>
              <w:left w:val="single" w:sz="4" w:space="0" w:color="auto"/>
              <w:right w:val="single" w:sz="4" w:space="0" w:color="auto"/>
            </w:tcBorders>
            <w:shd w:val="clear" w:color="auto" w:fill="FFFFFF"/>
          </w:tcPr>
          <w:p w14:paraId="69088EC4"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A1</w:t>
            </w:r>
          </w:p>
        </w:tc>
        <w:tc>
          <w:tcPr>
            <w:tcW w:w="850" w:type="dxa"/>
            <w:tcBorders>
              <w:left w:val="single" w:sz="4" w:space="0" w:color="auto"/>
              <w:right w:val="single" w:sz="4" w:space="0" w:color="auto"/>
            </w:tcBorders>
            <w:shd w:val="clear" w:color="auto" w:fill="FFFFFF"/>
          </w:tcPr>
          <w:p w14:paraId="0859D291"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w:t>
            </w:r>
          </w:p>
        </w:tc>
        <w:tc>
          <w:tcPr>
            <w:tcW w:w="1134" w:type="dxa"/>
            <w:tcBorders>
              <w:left w:val="single" w:sz="4" w:space="0" w:color="auto"/>
              <w:right w:val="single" w:sz="4" w:space="0" w:color="auto"/>
            </w:tcBorders>
            <w:shd w:val="clear" w:color="auto" w:fill="FFFFFF"/>
          </w:tcPr>
          <w:p w14:paraId="78EFC496"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£20m</w:t>
            </w:r>
          </w:p>
        </w:tc>
        <w:tc>
          <w:tcPr>
            <w:tcW w:w="1134" w:type="dxa"/>
            <w:tcBorders>
              <w:left w:val="single" w:sz="4" w:space="0" w:color="auto"/>
              <w:right w:val="single" w:sz="4" w:space="0" w:color="auto"/>
            </w:tcBorders>
            <w:shd w:val="clear" w:color="auto" w:fill="FFFFFF"/>
          </w:tcPr>
          <w:p w14:paraId="2155AC60"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12</w:t>
            </w:r>
          </w:p>
        </w:tc>
      </w:tr>
      <w:tr w:rsidR="000729CF" w:rsidRPr="000729CF" w14:paraId="2D20217A" w14:textId="77777777" w:rsidTr="00BC26AB">
        <w:trPr>
          <w:cantSplit/>
        </w:trPr>
        <w:tc>
          <w:tcPr>
            <w:tcW w:w="9215" w:type="dxa"/>
            <w:gridSpan w:val="10"/>
            <w:tcBorders>
              <w:left w:val="single" w:sz="4" w:space="0" w:color="auto"/>
              <w:right w:val="single" w:sz="4" w:space="0" w:color="auto"/>
            </w:tcBorders>
            <w:shd w:val="clear" w:color="auto" w:fill="548DD4"/>
            <w:vAlign w:val="center"/>
          </w:tcPr>
          <w:p w14:paraId="3A5B4E06" w14:textId="77777777" w:rsidR="000729CF" w:rsidRPr="000729CF" w:rsidRDefault="000729CF" w:rsidP="000729CF">
            <w:pPr>
              <w:spacing w:line="276" w:lineRule="auto"/>
              <w:rPr>
                <w:rFonts w:ascii="Arial" w:eastAsia="Calibri" w:hAnsi="Arial" w:cs="Arial"/>
                <w:snapToGrid w:val="0"/>
                <w:color w:val="FFFFFF"/>
                <w:sz w:val="24"/>
                <w:szCs w:val="24"/>
                <w:lang w:val="en-GB"/>
              </w:rPr>
            </w:pPr>
            <w:r w:rsidRPr="000729CF">
              <w:rPr>
                <w:rFonts w:ascii="Arial" w:eastAsia="Calibri" w:hAnsi="Arial" w:cs="Arial"/>
                <w:snapToGrid w:val="0"/>
                <w:color w:val="FFFFFF"/>
                <w:sz w:val="24"/>
                <w:szCs w:val="24"/>
                <w:lang w:val="en-GB"/>
              </w:rPr>
              <w:t xml:space="preserve">Total Max. exposure to HSBC Group** </w:t>
            </w:r>
          </w:p>
        </w:tc>
        <w:tc>
          <w:tcPr>
            <w:tcW w:w="1134" w:type="dxa"/>
            <w:tcBorders>
              <w:left w:val="single" w:sz="4" w:space="0" w:color="auto"/>
              <w:right w:val="single" w:sz="4" w:space="0" w:color="auto"/>
            </w:tcBorders>
            <w:shd w:val="clear" w:color="auto" w:fill="548DD4"/>
            <w:vAlign w:val="center"/>
          </w:tcPr>
          <w:p w14:paraId="5BCCFEF0" w14:textId="77777777" w:rsidR="000729CF" w:rsidRPr="000729CF" w:rsidRDefault="000729CF" w:rsidP="000729CF">
            <w:pPr>
              <w:spacing w:line="276" w:lineRule="auto"/>
              <w:jc w:val="center"/>
              <w:rPr>
                <w:rFonts w:ascii="Arial" w:eastAsia="Calibri" w:hAnsi="Arial" w:cs="Arial"/>
                <w:snapToGrid w:val="0"/>
                <w:color w:val="FFFFFF"/>
                <w:sz w:val="24"/>
                <w:szCs w:val="24"/>
                <w:lang w:val="en-GB"/>
              </w:rPr>
            </w:pPr>
            <w:r w:rsidRPr="000729CF">
              <w:rPr>
                <w:rFonts w:ascii="Arial" w:eastAsia="Calibri" w:hAnsi="Arial" w:cs="Arial"/>
                <w:snapToGrid w:val="0"/>
                <w:color w:val="FFFFFF"/>
                <w:sz w:val="24"/>
                <w:szCs w:val="24"/>
                <w:lang w:val="en-GB"/>
              </w:rPr>
              <w:t>£20m</w:t>
            </w:r>
          </w:p>
        </w:tc>
        <w:tc>
          <w:tcPr>
            <w:tcW w:w="1134" w:type="dxa"/>
            <w:tcBorders>
              <w:left w:val="single" w:sz="4" w:space="0" w:color="auto"/>
              <w:right w:val="single" w:sz="4" w:space="0" w:color="auto"/>
            </w:tcBorders>
            <w:shd w:val="clear" w:color="auto" w:fill="548DD4"/>
            <w:vAlign w:val="center"/>
          </w:tcPr>
          <w:p w14:paraId="625D3752" w14:textId="77777777" w:rsidR="000729CF" w:rsidRPr="000729CF" w:rsidRDefault="000729CF" w:rsidP="000729CF">
            <w:pPr>
              <w:spacing w:line="276" w:lineRule="auto"/>
              <w:jc w:val="center"/>
              <w:rPr>
                <w:rFonts w:ascii="Arial" w:eastAsia="Calibri" w:hAnsi="Arial" w:cs="Arial"/>
                <w:snapToGrid w:val="0"/>
                <w:color w:val="FFFFFF"/>
                <w:sz w:val="24"/>
                <w:szCs w:val="24"/>
                <w:lang w:val="en-GB"/>
              </w:rPr>
            </w:pPr>
            <w:r w:rsidRPr="000729CF">
              <w:rPr>
                <w:rFonts w:ascii="Arial" w:eastAsia="Calibri" w:hAnsi="Arial" w:cs="Arial"/>
                <w:snapToGrid w:val="0"/>
                <w:color w:val="FFFFFF"/>
                <w:sz w:val="24"/>
                <w:szCs w:val="24"/>
                <w:lang w:val="en-GB"/>
              </w:rPr>
              <w:t>12</w:t>
            </w:r>
          </w:p>
        </w:tc>
      </w:tr>
      <w:tr w:rsidR="000729CF" w:rsidRPr="000729CF" w14:paraId="583C2E21" w14:textId="77777777" w:rsidTr="00BC26AB">
        <w:trPr>
          <w:cantSplit/>
        </w:trPr>
        <w:tc>
          <w:tcPr>
            <w:tcW w:w="11483" w:type="dxa"/>
            <w:gridSpan w:val="12"/>
            <w:tcBorders>
              <w:left w:val="single" w:sz="4" w:space="0" w:color="auto"/>
              <w:right w:val="single" w:sz="4" w:space="0" w:color="auto"/>
            </w:tcBorders>
            <w:shd w:val="clear" w:color="auto" w:fill="17365D"/>
            <w:vAlign w:val="center"/>
          </w:tcPr>
          <w:p w14:paraId="44B1133F" w14:textId="77777777" w:rsidR="000729CF" w:rsidRPr="000729CF" w:rsidRDefault="000729CF" w:rsidP="000729CF">
            <w:pPr>
              <w:spacing w:line="276" w:lineRule="auto"/>
              <w:rPr>
                <w:rFonts w:ascii="Arial" w:eastAsia="Calibri" w:hAnsi="Arial" w:cs="Arial"/>
                <w:snapToGrid w:val="0"/>
                <w:color w:val="FFFFFF"/>
                <w:sz w:val="24"/>
                <w:szCs w:val="24"/>
                <w:lang w:val="en-GB"/>
              </w:rPr>
            </w:pPr>
            <w:r w:rsidRPr="000729CF">
              <w:rPr>
                <w:rFonts w:ascii="Arial" w:eastAsia="Calibri" w:hAnsi="Arial" w:cs="Arial"/>
                <w:snapToGrid w:val="0"/>
                <w:color w:val="FFFFFF"/>
                <w:sz w:val="24"/>
                <w:szCs w:val="24"/>
                <w:lang w:val="en-GB"/>
              </w:rPr>
              <w:t>RBS/</w:t>
            </w:r>
            <w:proofErr w:type="spellStart"/>
            <w:r w:rsidRPr="000729CF">
              <w:rPr>
                <w:rFonts w:ascii="Arial" w:eastAsia="Calibri" w:hAnsi="Arial" w:cs="Arial"/>
                <w:snapToGrid w:val="0"/>
                <w:color w:val="FFFFFF"/>
                <w:sz w:val="24"/>
                <w:szCs w:val="24"/>
                <w:lang w:val="en-GB"/>
              </w:rPr>
              <w:t>Natwest</w:t>
            </w:r>
            <w:proofErr w:type="spellEnd"/>
            <w:r w:rsidRPr="000729CF">
              <w:rPr>
                <w:rFonts w:ascii="Arial" w:eastAsia="Calibri" w:hAnsi="Arial" w:cs="Arial"/>
                <w:snapToGrid w:val="0"/>
                <w:color w:val="FFFFFF"/>
                <w:sz w:val="24"/>
                <w:szCs w:val="24"/>
                <w:lang w:val="en-GB"/>
              </w:rPr>
              <w:t xml:space="preserve"> Group:</w:t>
            </w:r>
          </w:p>
        </w:tc>
      </w:tr>
      <w:tr w:rsidR="000729CF" w:rsidRPr="000729CF" w14:paraId="3A91B1BF" w14:textId="77777777" w:rsidTr="00BC26AB">
        <w:trPr>
          <w:cantSplit/>
        </w:trPr>
        <w:tc>
          <w:tcPr>
            <w:tcW w:w="3403" w:type="dxa"/>
            <w:tcBorders>
              <w:left w:val="single" w:sz="4" w:space="0" w:color="auto"/>
              <w:right w:val="single" w:sz="4" w:space="0" w:color="auto"/>
            </w:tcBorders>
            <w:shd w:val="clear" w:color="auto" w:fill="C6D9F1"/>
            <w:vAlign w:val="center"/>
          </w:tcPr>
          <w:p w14:paraId="17C28474" w14:textId="77777777" w:rsidR="000729CF" w:rsidRPr="000729CF" w:rsidRDefault="000729CF" w:rsidP="000729CF">
            <w:pPr>
              <w:spacing w:line="276" w:lineRule="auto"/>
              <w:rPr>
                <w:rFonts w:ascii="Arial" w:eastAsia="Calibri" w:hAnsi="Arial" w:cs="Arial"/>
                <w:snapToGrid w:val="0"/>
                <w:sz w:val="24"/>
                <w:szCs w:val="24"/>
                <w:lang w:val="en-GB"/>
              </w:rPr>
            </w:pPr>
            <w:proofErr w:type="spellStart"/>
            <w:r w:rsidRPr="000729CF">
              <w:rPr>
                <w:rFonts w:ascii="Arial" w:eastAsia="Calibri" w:hAnsi="Arial" w:cs="Arial"/>
                <w:snapToGrid w:val="0"/>
                <w:sz w:val="24"/>
                <w:szCs w:val="24"/>
                <w:lang w:val="en-GB"/>
              </w:rPr>
              <w:t>Natwest</w:t>
            </w:r>
            <w:proofErr w:type="spellEnd"/>
            <w:r w:rsidRPr="000729CF">
              <w:rPr>
                <w:rFonts w:ascii="Arial" w:eastAsia="Calibri" w:hAnsi="Arial" w:cs="Arial"/>
                <w:snapToGrid w:val="0"/>
                <w:sz w:val="24"/>
                <w:szCs w:val="24"/>
                <w:lang w:val="en-GB"/>
              </w:rPr>
              <w:t xml:space="preserve"> Markets PLC (NRFB)</w:t>
            </w:r>
          </w:p>
        </w:tc>
        <w:tc>
          <w:tcPr>
            <w:tcW w:w="1276" w:type="dxa"/>
            <w:gridSpan w:val="2"/>
            <w:tcBorders>
              <w:left w:val="single" w:sz="4" w:space="0" w:color="auto"/>
              <w:right w:val="single" w:sz="4" w:space="0" w:color="auto"/>
            </w:tcBorders>
            <w:shd w:val="clear" w:color="auto" w:fill="C6D9F1"/>
            <w:vAlign w:val="center"/>
          </w:tcPr>
          <w:p w14:paraId="1C600F2A"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Specified</w:t>
            </w:r>
          </w:p>
        </w:tc>
        <w:tc>
          <w:tcPr>
            <w:tcW w:w="709" w:type="dxa"/>
            <w:tcBorders>
              <w:left w:val="single" w:sz="4" w:space="0" w:color="auto"/>
              <w:right w:val="single" w:sz="4" w:space="0" w:color="auto"/>
            </w:tcBorders>
            <w:shd w:val="clear" w:color="auto" w:fill="C6D9F1"/>
            <w:vAlign w:val="center"/>
          </w:tcPr>
          <w:p w14:paraId="2C327A80"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F1</w:t>
            </w:r>
          </w:p>
        </w:tc>
        <w:tc>
          <w:tcPr>
            <w:tcW w:w="567" w:type="dxa"/>
            <w:tcBorders>
              <w:left w:val="single" w:sz="4" w:space="0" w:color="auto"/>
              <w:right w:val="single" w:sz="4" w:space="0" w:color="auto"/>
            </w:tcBorders>
            <w:shd w:val="clear" w:color="auto" w:fill="C6D9F1"/>
            <w:vAlign w:val="center"/>
          </w:tcPr>
          <w:p w14:paraId="27925BD7"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P-1</w:t>
            </w:r>
          </w:p>
        </w:tc>
        <w:tc>
          <w:tcPr>
            <w:tcW w:w="709" w:type="dxa"/>
            <w:tcBorders>
              <w:left w:val="single" w:sz="4" w:space="0" w:color="auto"/>
              <w:right w:val="single" w:sz="4" w:space="0" w:color="auto"/>
            </w:tcBorders>
            <w:shd w:val="clear" w:color="auto" w:fill="C6D9F1"/>
            <w:vAlign w:val="center"/>
          </w:tcPr>
          <w:p w14:paraId="34DA0AB1"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A-1</w:t>
            </w:r>
          </w:p>
        </w:tc>
        <w:tc>
          <w:tcPr>
            <w:tcW w:w="851" w:type="dxa"/>
            <w:gridSpan w:val="2"/>
            <w:tcBorders>
              <w:left w:val="single" w:sz="4" w:space="0" w:color="auto"/>
              <w:right w:val="single" w:sz="4" w:space="0" w:color="auto"/>
            </w:tcBorders>
            <w:shd w:val="clear" w:color="auto" w:fill="C6D9F1"/>
            <w:vAlign w:val="center"/>
          </w:tcPr>
          <w:p w14:paraId="2BD8FBFF"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w:t>
            </w:r>
          </w:p>
        </w:tc>
        <w:tc>
          <w:tcPr>
            <w:tcW w:w="850" w:type="dxa"/>
            <w:tcBorders>
              <w:left w:val="single" w:sz="4" w:space="0" w:color="auto"/>
              <w:right w:val="single" w:sz="4" w:space="0" w:color="auto"/>
            </w:tcBorders>
            <w:shd w:val="clear" w:color="auto" w:fill="C6D9F1"/>
            <w:vAlign w:val="center"/>
          </w:tcPr>
          <w:p w14:paraId="3E483B5B"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A1</w:t>
            </w:r>
          </w:p>
        </w:tc>
        <w:tc>
          <w:tcPr>
            <w:tcW w:w="850" w:type="dxa"/>
            <w:tcBorders>
              <w:left w:val="single" w:sz="4" w:space="0" w:color="auto"/>
              <w:right w:val="single" w:sz="4" w:space="0" w:color="auto"/>
            </w:tcBorders>
            <w:shd w:val="clear" w:color="auto" w:fill="C6D9F1"/>
            <w:vAlign w:val="center"/>
          </w:tcPr>
          <w:p w14:paraId="7419E41A"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w:t>
            </w:r>
          </w:p>
        </w:tc>
        <w:tc>
          <w:tcPr>
            <w:tcW w:w="1134" w:type="dxa"/>
            <w:tcBorders>
              <w:left w:val="single" w:sz="4" w:space="0" w:color="auto"/>
              <w:right w:val="single" w:sz="4" w:space="0" w:color="auto"/>
            </w:tcBorders>
            <w:shd w:val="clear" w:color="auto" w:fill="C6D9F1"/>
            <w:vAlign w:val="center"/>
          </w:tcPr>
          <w:p w14:paraId="2050B5AE"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£20m</w:t>
            </w:r>
          </w:p>
        </w:tc>
        <w:tc>
          <w:tcPr>
            <w:tcW w:w="1134" w:type="dxa"/>
            <w:tcBorders>
              <w:left w:val="single" w:sz="4" w:space="0" w:color="auto"/>
              <w:right w:val="single" w:sz="4" w:space="0" w:color="auto"/>
            </w:tcBorders>
            <w:shd w:val="clear" w:color="auto" w:fill="C6D9F1"/>
            <w:vAlign w:val="center"/>
          </w:tcPr>
          <w:p w14:paraId="53568DFB"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12</w:t>
            </w:r>
          </w:p>
        </w:tc>
      </w:tr>
      <w:tr w:rsidR="000729CF" w:rsidRPr="000729CF" w14:paraId="4A8E8410" w14:textId="77777777" w:rsidTr="00BC26AB">
        <w:trPr>
          <w:cantSplit/>
        </w:trPr>
        <w:tc>
          <w:tcPr>
            <w:tcW w:w="3403" w:type="dxa"/>
            <w:tcBorders>
              <w:left w:val="single" w:sz="4" w:space="0" w:color="auto"/>
              <w:right w:val="single" w:sz="4" w:space="0" w:color="auto"/>
            </w:tcBorders>
            <w:shd w:val="clear" w:color="auto" w:fill="FFFFFF"/>
            <w:vAlign w:val="center"/>
          </w:tcPr>
          <w:p w14:paraId="025CC4E2" w14:textId="77777777" w:rsidR="000729CF" w:rsidRPr="000729CF" w:rsidRDefault="000729CF" w:rsidP="000729CF">
            <w:pPr>
              <w:spacing w:line="276" w:lineRule="auto"/>
              <w:rPr>
                <w:rFonts w:ascii="Arial" w:eastAsia="Calibri" w:hAnsi="Arial" w:cs="Arial"/>
                <w:snapToGrid w:val="0"/>
                <w:sz w:val="24"/>
                <w:szCs w:val="24"/>
                <w:lang w:val="en-GB"/>
              </w:rPr>
            </w:pPr>
            <w:r w:rsidRPr="000729CF">
              <w:rPr>
                <w:rFonts w:ascii="Arial" w:eastAsia="Calibri" w:hAnsi="Arial" w:cs="Arial"/>
                <w:snapToGrid w:val="0"/>
                <w:sz w:val="24"/>
                <w:szCs w:val="24"/>
                <w:lang w:val="en-GB"/>
              </w:rPr>
              <w:t>National Westminster Bank PLC (RFB)</w:t>
            </w:r>
          </w:p>
        </w:tc>
        <w:tc>
          <w:tcPr>
            <w:tcW w:w="1276" w:type="dxa"/>
            <w:gridSpan w:val="2"/>
            <w:tcBorders>
              <w:left w:val="single" w:sz="4" w:space="0" w:color="auto"/>
              <w:right w:val="single" w:sz="4" w:space="0" w:color="auto"/>
            </w:tcBorders>
            <w:shd w:val="clear" w:color="auto" w:fill="FFFFFF"/>
            <w:vAlign w:val="center"/>
          </w:tcPr>
          <w:p w14:paraId="3BF9B312"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Specified</w:t>
            </w:r>
          </w:p>
        </w:tc>
        <w:tc>
          <w:tcPr>
            <w:tcW w:w="709" w:type="dxa"/>
            <w:tcBorders>
              <w:left w:val="single" w:sz="4" w:space="0" w:color="auto"/>
              <w:right w:val="single" w:sz="4" w:space="0" w:color="auto"/>
            </w:tcBorders>
            <w:shd w:val="clear" w:color="auto" w:fill="FFFFFF"/>
            <w:vAlign w:val="center"/>
          </w:tcPr>
          <w:p w14:paraId="75579061"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F1</w:t>
            </w:r>
          </w:p>
        </w:tc>
        <w:tc>
          <w:tcPr>
            <w:tcW w:w="567" w:type="dxa"/>
            <w:tcBorders>
              <w:left w:val="single" w:sz="4" w:space="0" w:color="auto"/>
              <w:right w:val="single" w:sz="4" w:space="0" w:color="auto"/>
            </w:tcBorders>
            <w:shd w:val="clear" w:color="auto" w:fill="FFFFFF"/>
            <w:vAlign w:val="center"/>
          </w:tcPr>
          <w:p w14:paraId="3B4ADE16"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P-1</w:t>
            </w:r>
          </w:p>
        </w:tc>
        <w:tc>
          <w:tcPr>
            <w:tcW w:w="709" w:type="dxa"/>
            <w:tcBorders>
              <w:left w:val="single" w:sz="4" w:space="0" w:color="auto"/>
              <w:right w:val="single" w:sz="4" w:space="0" w:color="auto"/>
            </w:tcBorders>
            <w:shd w:val="clear" w:color="auto" w:fill="FFFFFF"/>
            <w:vAlign w:val="center"/>
          </w:tcPr>
          <w:p w14:paraId="4236CDC8"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A-1</w:t>
            </w:r>
          </w:p>
        </w:tc>
        <w:tc>
          <w:tcPr>
            <w:tcW w:w="851" w:type="dxa"/>
            <w:gridSpan w:val="2"/>
            <w:tcBorders>
              <w:left w:val="single" w:sz="4" w:space="0" w:color="auto"/>
              <w:right w:val="single" w:sz="4" w:space="0" w:color="auto"/>
            </w:tcBorders>
            <w:shd w:val="clear" w:color="auto" w:fill="FFFFFF"/>
            <w:vAlign w:val="center"/>
          </w:tcPr>
          <w:p w14:paraId="4B8138B0"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w:t>
            </w:r>
          </w:p>
        </w:tc>
        <w:tc>
          <w:tcPr>
            <w:tcW w:w="850" w:type="dxa"/>
            <w:tcBorders>
              <w:left w:val="single" w:sz="4" w:space="0" w:color="auto"/>
              <w:right w:val="single" w:sz="4" w:space="0" w:color="auto"/>
            </w:tcBorders>
            <w:shd w:val="clear" w:color="auto" w:fill="FFFFFF"/>
            <w:vAlign w:val="center"/>
          </w:tcPr>
          <w:p w14:paraId="37689945"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A1</w:t>
            </w:r>
          </w:p>
        </w:tc>
        <w:tc>
          <w:tcPr>
            <w:tcW w:w="850" w:type="dxa"/>
            <w:tcBorders>
              <w:left w:val="single" w:sz="4" w:space="0" w:color="auto"/>
              <w:right w:val="single" w:sz="4" w:space="0" w:color="auto"/>
            </w:tcBorders>
            <w:shd w:val="clear" w:color="auto" w:fill="FFFFFF"/>
            <w:vAlign w:val="center"/>
          </w:tcPr>
          <w:p w14:paraId="42CCC408"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w:t>
            </w:r>
          </w:p>
        </w:tc>
        <w:tc>
          <w:tcPr>
            <w:tcW w:w="1134" w:type="dxa"/>
            <w:tcBorders>
              <w:left w:val="single" w:sz="4" w:space="0" w:color="auto"/>
              <w:right w:val="single" w:sz="4" w:space="0" w:color="auto"/>
            </w:tcBorders>
            <w:shd w:val="clear" w:color="auto" w:fill="FFFFFF"/>
            <w:vAlign w:val="center"/>
          </w:tcPr>
          <w:p w14:paraId="44894A30"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£30m</w:t>
            </w:r>
          </w:p>
        </w:tc>
        <w:tc>
          <w:tcPr>
            <w:tcW w:w="1134" w:type="dxa"/>
            <w:tcBorders>
              <w:left w:val="single" w:sz="4" w:space="0" w:color="auto"/>
              <w:right w:val="single" w:sz="4" w:space="0" w:color="auto"/>
            </w:tcBorders>
            <w:shd w:val="clear" w:color="auto" w:fill="FFFFFF"/>
            <w:vAlign w:val="center"/>
          </w:tcPr>
          <w:p w14:paraId="61EFE0C3"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12</w:t>
            </w:r>
          </w:p>
        </w:tc>
      </w:tr>
      <w:tr w:rsidR="000729CF" w:rsidRPr="000729CF" w14:paraId="2B31221B" w14:textId="77777777" w:rsidTr="00BC26AB">
        <w:trPr>
          <w:cantSplit/>
        </w:trPr>
        <w:tc>
          <w:tcPr>
            <w:tcW w:w="3403" w:type="dxa"/>
            <w:tcBorders>
              <w:left w:val="single" w:sz="4" w:space="0" w:color="auto"/>
              <w:right w:val="single" w:sz="4" w:space="0" w:color="auto"/>
            </w:tcBorders>
            <w:shd w:val="clear" w:color="auto" w:fill="C6D9F1"/>
            <w:vAlign w:val="center"/>
          </w:tcPr>
          <w:p w14:paraId="586D30E1" w14:textId="77777777" w:rsidR="000729CF" w:rsidRPr="000729CF" w:rsidRDefault="000729CF" w:rsidP="000729CF">
            <w:pPr>
              <w:spacing w:line="276" w:lineRule="auto"/>
              <w:rPr>
                <w:rFonts w:ascii="Arial" w:eastAsia="Calibri" w:hAnsi="Arial" w:cs="Arial"/>
                <w:snapToGrid w:val="0"/>
                <w:sz w:val="24"/>
                <w:szCs w:val="24"/>
                <w:lang w:val="en-GB"/>
              </w:rPr>
            </w:pPr>
            <w:r w:rsidRPr="000729CF">
              <w:rPr>
                <w:rFonts w:ascii="Arial" w:eastAsia="Calibri" w:hAnsi="Arial" w:cs="Arial"/>
                <w:snapToGrid w:val="0"/>
                <w:sz w:val="24"/>
                <w:szCs w:val="24"/>
                <w:lang w:val="en-GB"/>
              </w:rPr>
              <w:t>The Royal Bank of Scotland PLC (RFB)</w:t>
            </w:r>
          </w:p>
        </w:tc>
        <w:tc>
          <w:tcPr>
            <w:tcW w:w="1276" w:type="dxa"/>
            <w:gridSpan w:val="2"/>
            <w:tcBorders>
              <w:left w:val="single" w:sz="4" w:space="0" w:color="auto"/>
              <w:right w:val="single" w:sz="4" w:space="0" w:color="auto"/>
            </w:tcBorders>
            <w:shd w:val="clear" w:color="auto" w:fill="C6D9F1"/>
            <w:vAlign w:val="center"/>
          </w:tcPr>
          <w:p w14:paraId="6FF9041F"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Specified</w:t>
            </w:r>
          </w:p>
        </w:tc>
        <w:tc>
          <w:tcPr>
            <w:tcW w:w="709" w:type="dxa"/>
            <w:tcBorders>
              <w:left w:val="single" w:sz="4" w:space="0" w:color="auto"/>
              <w:right w:val="single" w:sz="4" w:space="0" w:color="auto"/>
            </w:tcBorders>
            <w:shd w:val="clear" w:color="auto" w:fill="C6D9F1"/>
            <w:vAlign w:val="center"/>
          </w:tcPr>
          <w:p w14:paraId="3F20180A"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F1</w:t>
            </w:r>
          </w:p>
        </w:tc>
        <w:tc>
          <w:tcPr>
            <w:tcW w:w="567" w:type="dxa"/>
            <w:tcBorders>
              <w:left w:val="single" w:sz="4" w:space="0" w:color="auto"/>
              <w:right w:val="single" w:sz="4" w:space="0" w:color="auto"/>
            </w:tcBorders>
            <w:shd w:val="clear" w:color="auto" w:fill="C6D9F1"/>
            <w:vAlign w:val="center"/>
          </w:tcPr>
          <w:p w14:paraId="4D471E5C"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P-1</w:t>
            </w:r>
          </w:p>
        </w:tc>
        <w:tc>
          <w:tcPr>
            <w:tcW w:w="709" w:type="dxa"/>
            <w:tcBorders>
              <w:left w:val="single" w:sz="4" w:space="0" w:color="auto"/>
              <w:right w:val="single" w:sz="4" w:space="0" w:color="auto"/>
            </w:tcBorders>
            <w:shd w:val="clear" w:color="auto" w:fill="C6D9F1"/>
            <w:vAlign w:val="center"/>
          </w:tcPr>
          <w:p w14:paraId="3C648A63"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A-1</w:t>
            </w:r>
          </w:p>
        </w:tc>
        <w:tc>
          <w:tcPr>
            <w:tcW w:w="851" w:type="dxa"/>
            <w:gridSpan w:val="2"/>
            <w:tcBorders>
              <w:left w:val="single" w:sz="4" w:space="0" w:color="auto"/>
              <w:right w:val="single" w:sz="4" w:space="0" w:color="auto"/>
            </w:tcBorders>
            <w:shd w:val="clear" w:color="auto" w:fill="C6D9F1"/>
            <w:vAlign w:val="center"/>
          </w:tcPr>
          <w:p w14:paraId="781DBF12"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w:t>
            </w:r>
          </w:p>
        </w:tc>
        <w:tc>
          <w:tcPr>
            <w:tcW w:w="850" w:type="dxa"/>
            <w:tcBorders>
              <w:left w:val="single" w:sz="4" w:space="0" w:color="auto"/>
              <w:right w:val="single" w:sz="4" w:space="0" w:color="auto"/>
            </w:tcBorders>
            <w:shd w:val="clear" w:color="auto" w:fill="C6D9F1"/>
            <w:vAlign w:val="center"/>
          </w:tcPr>
          <w:p w14:paraId="2837FDD7"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A1</w:t>
            </w:r>
          </w:p>
        </w:tc>
        <w:tc>
          <w:tcPr>
            <w:tcW w:w="850" w:type="dxa"/>
            <w:tcBorders>
              <w:left w:val="single" w:sz="4" w:space="0" w:color="auto"/>
              <w:right w:val="single" w:sz="4" w:space="0" w:color="auto"/>
            </w:tcBorders>
            <w:shd w:val="clear" w:color="auto" w:fill="C6D9F1"/>
            <w:vAlign w:val="center"/>
          </w:tcPr>
          <w:p w14:paraId="0711F4F4"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w:t>
            </w:r>
          </w:p>
        </w:tc>
        <w:tc>
          <w:tcPr>
            <w:tcW w:w="1134" w:type="dxa"/>
            <w:tcBorders>
              <w:left w:val="single" w:sz="4" w:space="0" w:color="auto"/>
              <w:right w:val="single" w:sz="4" w:space="0" w:color="auto"/>
            </w:tcBorders>
            <w:shd w:val="clear" w:color="auto" w:fill="C6D9F1"/>
            <w:vAlign w:val="center"/>
          </w:tcPr>
          <w:p w14:paraId="56EEF1EE"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£30m</w:t>
            </w:r>
          </w:p>
        </w:tc>
        <w:tc>
          <w:tcPr>
            <w:tcW w:w="1134" w:type="dxa"/>
            <w:tcBorders>
              <w:left w:val="single" w:sz="4" w:space="0" w:color="auto"/>
              <w:right w:val="single" w:sz="4" w:space="0" w:color="auto"/>
            </w:tcBorders>
            <w:shd w:val="clear" w:color="auto" w:fill="C6D9F1"/>
            <w:vAlign w:val="center"/>
          </w:tcPr>
          <w:p w14:paraId="27C427A1"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12</w:t>
            </w:r>
          </w:p>
        </w:tc>
      </w:tr>
      <w:tr w:rsidR="000729CF" w:rsidRPr="000729CF" w14:paraId="40F4677C" w14:textId="77777777" w:rsidTr="00BC26AB">
        <w:trPr>
          <w:cantSplit/>
        </w:trPr>
        <w:tc>
          <w:tcPr>
            <w:tcW w:w="9215" w:type="dxa"/>
            <w:gridSpan w:val="10"/>
            <w:tcBorders>
              <w:left w:val="single" w:sz="4" w:space="0" w:color="auto"/>
              <w:right w:val="single" w:sz="4" w:space="0" w:color="auto"/>
            </w:tcBorders>
            <w:shd w:val="clear" w:color="auto" w:fill="17365D"/>
            <w:vAlign w:val="center"/>
          </w:tcPr>
          <w:p w14:paraId="16F63EC0" w14:textId="77777777" w:rsidR="000729CF" w:rsidRPr="000729CF" w:rsidRDefault="000729CF" w:rsidP="000729CF">
            <w:pPr>
              <w:spacing w:line="276" w:lineRule="auto"/>
              <w:rPr>
                <w:rFonts w:ascii="Arial" w:eastAsia="Calibri" w:hAnsi="Arial" w:cs="Arial"/>
                <w:snapToGrid w:val="0"/>
                <w:sz w:val="24"/>
                <w:szCs w:val="24"/>
                <w:lang w:val="en-GB"/>
              </w:rPr>
            </w:pPr>
            <w:r w:rsidRPr="000729CF">
              <w:rPr>
                <w:rFonts w:ascii="Arial" w:eastAsia="Calibri" w:hAnsi="Arial" w:cs="Arial"/>
                <w:snapToGrid w:val="0"/>
                <w:color w:val="FFFFFF"/>
                <w:sz w:val="24"/>
                <w:szCs w:val="24"/>
                <w:lang w:val="en-GB"/>
              </w:rPr>
              <w:t>Total Max. exposure to RBS/</w:t>
            </w:r>
            <w:proofErr w:type="spellStart"/>
            <w:r w:rsidRPr="000729CF">
              <w:rPr>
                <w:rFonts w:ascii="Arial" w:eastAsia="Calibri" w:hAnsi="Arial" w:cs="Arial"/>
                <w:snapToGrid w:val="0"/>
                <w:color w:val="FFFFFF"/>
                <w:sz w:val="24"/>
                <w:szCs w:val="24"/>
                <w:lang w:val="en-GB"/>
              </w:rPr>
              <w:t>Natwest</w:t>
            </w:r>
            <w:proofErr w:type="spellEnd"/>
            <w:r w:rsidRPr="000729CF">
              <w:rPr>
                <w:rFonts w:ascii="Arial" w:eastAsia="Calibri" w:hAnsi="Arial" w:cs="Arial"/>
                <w:snapToGrid w:val="0"/>
                <w:color w:val="FFFFFF"/>
                <w:sz w:val="24"/>
                <w:szCs w:val="24"/>
                <w:lang w:val="en-GB"/>
              </w:rPr>
              <w:t xml:space="preserve"> Group**</w:t>
            </w:r>
          </w:p>
        </w:tc>
        <w:tc>
          <w:tcPr>
            <w:tcW w:w="1134" w:type="dxa"/>
            <w:tcBorders>
              <w:left w:val="single" w:sz="4" w:space="0" w:color="auto"/>
              <w:right w:val="single" w:sz="4" w:space="0" w:color="auto"/>
            </w:tcBorders>
            <w:shd w:val="clear" w:color="auto" w:fill="17365D"/>
            <w:vAlign w:val="center"/>
          </w:tcPr>
          <w:p w14:paraId="7FD21686"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£30m</w:t>
            </w:r>
          </w:p>
        </w:tc>
        <w:tc>
          <w:tcPr>
            <w:tcW w:w="1134" w:type="dxa"/>
            <w:tcBorders>
              <w:left w:val="single" w:sz="4" w:space="0" w:color="auto"/>
              <w:right w:val="single" w:sz="4" w:space="0" w:color="auto"/>
            </w:tcBorders>
            <w:shd w:val="clear" w:color="auto" w:fill="17365D"/>
            <w:vAlign w:val="center"/>
          </w:tcPr>
          <w:p w14:paraId="39B71D86"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12</w:t>
            </w:r>
          </w:p>
        </w:tc>
      </w:tr>
      <w:tr w:rsidR="000729CF" w:rsidRPr="000729CF" w14:paraId="2C62E869" w14:textId="77777777" w:rsidTr="00BC26AB">
        <w:trPr>
          <w:cantSplit/>
        </w:trPr>
        <w:tc>
          <w:tcPr>
            <w:tcW w:w="3403" w:type="dxa"/>
            <w:tcBorders>
              <w:left w:val="single" w:sz="4" w:space="0" w:color="auto"/>
              <w:right w:val="single" w:sz="4" w:space="0" w:color="auto"/>
            </w:tcBorders>
            <w:shd w:val="clear" w:color="auto" w:fill="FFFFFF"/>
            <w:vAlign w:val="center"/>
          </w:tcPr>
          <w:p w14:paraId="7B32D6A9" w14:textId="77777777" w:rsidR="000729CF" w:rsidRPr="000729CF" w:rsidRDefault="000729CF" w:rsidP="000729CF">
            <w:pPr>
              <w:spacing w:line="276" w:lineRule="auto"/>
              <w:rPr>
                <w:rFonts w:ascii="Arial" w:eastAsia="Calibri" w:hAnsi="Arial" w:cs="Arial"/>
                <w:snapToGrid w:val="0"/>
                <w:sz w:val="24"/>
                <w:szCs w:val="24"/>
                <w:lang w:val="en-GB"/>
              </w:rPr>
            </w:pPr>
            <w:r w:rsidRPr="000729CF">
              <w:rPr>
                <w:rFonts w:ascii="Arial" w:eastAsia="Calibri" w:hAnsi="Arial" w:cs="Arial"/>
                <w:snapToGrid w:val="0"/>
                <w:sz w:val="24"/>
                <w:szCs w:val="24"/>
                <w:lang w:val="en-GB"/>
              </w:rPr>
              <w:t>Close Brothers Ltd</w:t>
            </w:r>
          </w:p>
        </w:tc>
        <w:tc>
          <w:tcPr>
            <w:tcW w:w="1196" w:type="dxa"/>
            <w:tcBorders>
              <w:left w:val="single" w:sz="4" w:space="0" w:color="auto"/>
              <w:right w:val="single" w:sz="4" w:space="0" w:color="auto"/>
            </w:tcBorders>
            <w:shd w:val="clear" w:color="auto" w:fill="FFFFFF"/>
            <w:vAlign w:val="center"/>
          </w:tcPr>
          <w:p w14:paraId="686210B2"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Specified</w:t>
            </w:r>
          </w:p>
        </w:tc>
        <w:tc>
          <w:tcPr>
            <w:tcW w:w="789" w:type="dxa"/>
            <w:gridSpan w:val="2"/>
            <w:tcBorders>
              <w:left w:val="single" w:sz="4" w:space="0" w:color="auto"/>
              <w:right w:val="single" w:sz="4" w:space="0" w:color="auto"/>
            </w:tcBorders>
            <w:shd w:val="clear" w:color="auto" w:fill="FFFFFF"/>
            <w:vAlign w:val="center"/>
          </w:tcPr>
          <w:p w14:paraId="15276DE2"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F2</w:t>
            </w:r>
          </w:p>
        </w:tc>
        <w:tc>
          <w:tcPr>
            <w:tcW w:w="567" w:type="dxa"/>
            <w:tcBorders>
              <w:left w:val="single" w:sz="4" w:space="0" w:color="auto"/>
              <w:right w:val="single" w:sz="4" w:space="0" w:color="auto"/>
            </w:tcBorders>
            <w:shd w:val="clear" w:color="auto" w:fill="FFFFFF"/>
            <w:vAlign w:val="center"/>
          </w:tcPr>
          <w:p w14:paraId="24AF3C30"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P-1</w:t>
            </w:r>
          </w:p>
        </w:tc>
        <w:tc>
          <w:tcPr>
            <w:tcW w:w="709" w:type="dxa"/>
            <w:tcBorders>
              <w:left w:val="single" w:sz="4" w:space="0" w:color="auto"/>
              <w:right w:val="single" w:sz="4" w:space="0" w:color="auto"/>
            </w:tcBorders>
            <w:shd w:val="clear" w:color="auto" w:fill="FFFFFF"/>
            <w:vAlign w:val="center"/>
          </w:tcPr>
          <w:p w14:paraId="71A4C30B" w14:textId="77777777" w:rsidR="000729CF" w:rsidRPr="000729CF" w:rsidRDefault="000729CF" w:rsidP="000729CF">
            <w:pPr>
              <w:spacing w:line="276" w:lineRule="auto"/>
              <w:jc w:val="center"/>
              <w:rPr>
                <w:rFonts w:ascii="Arial" w:eastAsia="Calibri" w:hAnsi="Arial" w:cs="Arial"/>
                <w:snapToGrid w:val="0"/>
                <w:sz w:val="24"/>
                <w:szCs w:val="24"/>
                <w:lang w:val="en-GB"/>
              </w:rPr>
            </w:pPr>
          </w:p>
        </w:tc>
        <w:tc>
          <w:tcPr>
            <w:tcW w:w="851" w:type="dxa"/>
            <w:gridSpan w:val="2"/>
            <w:tcBorders>
              <w:left w:val="single" w:sz="4" w:space="0" w:color="auto"/>
              <w:right w:val="single" w:sz="4" w:space="0" w:color="auto"/>
            </w:tcBorders>
            <w:shd w:val="clear" w:color="auto" w:fill="FFFFFF"/>
            <w:vAlign w:val="center"/>
          </w:tcPr>
          <w:p w14:paraId="58DB7362"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w:t>
            </w:r>
          </w:p>
        </w:tc>
        <w:tc>
          <w:tcPr>
            <w:tcW w:w="850" w:type="dxa"/>
            <w:tcBorders>
              <w:left w:val="single" w:sz="4" w:space="0" w:color="auto"/>
              <w:right w:val="single" w:sz="4" w:space="0" w:color="auto"/>
            </w:tcBorders>
            <w:shd w:val="clear" w:color="auto" w:fill="FFFFFF"/>
            <w:vAlign w:val="center"/>
          </w:tcPr>
          <w:p w14:paraId="75E65023"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Aa3</w:t>
            </w:r>
          </w:p>
        </w:tc>
        <w:tc>
          <w:tcPr>
            <w:tcW w:w="850" w:type="dxa"/>
            <w:tcBorders>
              <w:left w:val="single" w:sz="4" w:space="0" w:color="auto"/>
              <w:right w:val="single" w:sz="4" w:space="0" w:color="auto"/>
            </w:tcBorders>
            <w:shd w:val="clear" w:color="auto" w:fill="FFFFFF"/>
            <w:vAlign w:val="center"/>
          </w:tcPr>
          <w:p w14:paraId="1F9D513E" w14:textId="77777777" w:rsidR="000729CF" w:rsidRPr="000729CF" w:rsidRDefault="000729CF" w:rsidP="000729CF">
            <w:pPr>
              <w:spacing w:line="276" w:lineRule="auto"/>
              <w:jc w:val="center"/>
              <w:rPr>
                <w:rFonts w:ascii="Arial" w:eastAsia="Calibri" w:hAnsi="Arial" w:cs="Arial"/>
                <w:snapToGrid w:val="0"/>
                <w:sz w:val="24"/>
                <w:szCs w:val="24"/>
                <w:lang w:val="en-GB"/>
              </w:rPr>
            </w:pPr>
          </w:p>
        </w:tc>
        <w:tc>
          <w:tcPr>
            <w:tcW w:w="1134" w:type="dxa"/>
            <w:tcBorders>
              <w:left w:val="single" w:sz="4" w:space="0" w:color="auto"/>
              <w:right w:val="single" w:sz="4" w:space="0" w:color="auto"/>
            </w:tcBorders>
            <w:shd w:val="clear" w:color="auto" w:fill="FFFFFF"/>
            <w:vAlign w:val="center"/>
          </w:tcPr>
          <w:p w14:paraId="71427B2E"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£15m</w:t>
            </w:r>
          </w:p>
        </w:tc>
        <w:tc>
          <w:tcPr>
            <w:tcW w:w="1134" w:type="dxa"/>
            <w:tcBorders>
              <w:left w:val="single" w:sz="4" w:space="0" w:color="auto"/>
              <w:right w:val="single" w:sz="4" w:space="0" w:color="auto"/>
            </w:tcBorders>
            <w:shd w:val="clear" w:color="auto" w:fill="FFFFFF"/>
            <w:vAlign w:val="center"/>
          </w:tcPr>
          <w:p w14:paraId="1E7C94BD"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 xml:space="preserve">6 </w:t>
            </w:r>
          </w:p>
        </w:tc>
      </w:tr>
      <w:tr w:rsidR="000729CF" w:rsidRPr="000729CF" w14:paraId="1E1FC797" w14:textId="77777777" w:rsidTr="00BC26AB">
        <w:trPr>
          <w:cantSplit/>
          <w:trHeight w:val="395"/>
        </w:trPr>
        <w:tc>
          <w:tcPr>
            <w:tcW w:w="3403" w:type="dxa"/>
            <w:tcBorders>
              <w:left w:val="single" w:sz="4" w:space="0" w:color="auto"/>
              <w:right w:val="single" w:sz="4" w:space="0" w:color="auto"/>
            </w:tcBorders>
            <w:shd w:val="clear" w:color="auto" w:fill="C6D9F1"/>
            <w:vAlign w:val="center"/>
          </w:tcPr>
          <w:p w14:paraId="697ABE23" w14:textId="77777777" w:rsidR="000729CF" w:rsidRPr="000729CF" w:rsidRDefault="000729CF" w:rsidP="000729CF">
            <w:pPr>
              <w:spacing w:line="276" w:lineRule="auto"/>
              <w:rPr>
                <w:rFonts w:ascii="Arial" w:eastAsia="Calibri" w:hAnsi="Arial" w:cs="Arial"/>
                <w:snapToGrid w:val="0"/>
                <w:sz w:val="24"/>
                <w:szCs w:val="24"/>
                <w:lang w:val="en-GB"/>
              </w:rPr>
            </w:pPr>
            <w:r w:rsidRPr="000729CF">
              <w:rPr>
                <w:rFonts w:ascii="Arial" w:eastAsia="Calibri" w:hAnsi="Arial" w:cs="Arial"/>
                <w:snapToGrid w:val="0"/>
                <w:sz w:val="24"/>
                <w:szCs w:val="24"/>
                <w:lang w:val="en-GB"/>
              </w:rPr>
              <w:t>Clydesdale Bank PLC</w:t>
            </w:r>
          </w:p>
        </w:tc>
        <w:tc>
          <w:tcPr>
            <w:tcW w:w="1196" w:type="dxa"/>
            <w:tcBorders>
              <w:left w:val="single" w:sz="4" w:space="0" w:color="auto"/>
              <w:right w:val="single" w:sz="4" w:space="0" w:color="auto"/>
            </w:tcBorders>
            <w:shd w:val="clear" w:color="auto" w:fill="C6D9F1"/>
            <w:vAlign w:val="center"/>
          </w:tcPr>
          <w:p w14:paraId="24DD352F"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Specified</w:t>
            </w:r>
          </w:p>
        </w:tc>
        <w:tc>
          <w:tcPr>
            <w:tcW w:w="789" w:type="dxa"/>
            <w:gridSpan w:val="2"/>
            <w:tcBorders>
              <w:left w:val="single" w:sz="4" w:space="0" w:color="auto"/>
              <w:right w:val="single" w:sz="4" w:space="0" w:color="auto"/>
            </w:tcBorders>
            <w:shd w:val="clear" w:color="auto" w:fill="C6D9F1"/>
            <w:vAlign w:val="center"/>
          </w:tcPr>
          <w:p w14:paraId="554E1833"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F2</w:t>
            </w:r>
          </w:p>
        </w:tc>
        <w:tc>
          <w:tcPr>
            <w:tcW w:w="567" w:type="dxa"/>
            <w:tcBorders>
              <w:left w:val="single" w:sz="4" w:space="0" w:color="auto"/>
              <w:right w:val="single" w:sz="4" w:space="0" w:color="auto"/>
            </w:tcBorders>
            <w:shd w:val="clear" w:color="auto" w:fill="C6D9F1"/>
            <w:vAlign w:val="center"/>
          </w:tcPr>
          <w:p w14:paraId="30034B59"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P-2</w:t>
            </w:r>
          </w:p>
        </w:tc>
        <w:tc>
          <w:tcPr>
            <w:tcW w:w="709" w:type="dxa"/>
            <w:tcBorders>
              <w:left w:val="single" w:sz="4" w:space="0" w:color="auto"/>
              <w:right w:val="single" w:sz="4" w:space="0" w:color="auto"/>
            </w:tcBorders>
            <w:shd w:val="clear" w:color="auto" w:fill="C6D9F1"/>
            <w:vAlign w:val="center"/>
          </w:tcPr>
          <w:p w14:paraId="096E619D"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A-2</w:t>
            </w:r>
          </w:p>
        </w:tc>
        <w:tc>
          <w:tcPr>
            <w:tcW w:w="851" w:type="dxa"/>
            <w:gridSpan w:val="2"/>
            <w:tcBorders>
              <w:left w:val="single" w:sz="4" w:space="0" w:color="auto"/>
              <w:right w:val="single" w:sz="4" w:space="0" w:color="auto"/>
            </w:tcBorders>
            <w:shd w:val="clear" w:color="auto" w:fill="C6D9F1"/>
            <w:vAlign w:val="center"/>
          </w:tcPr>
          <w:p w14:paraId="6AA37410"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w:t>
            </w:r>
          </w:p>
        </w:tc>
        <w:tc>
          <w:tcPr>
            <w:tcW w:w="850" w:type="dxa"/>
            <w:tcBorders>
              <w:left w:val="single" w:sz="4" w:space="0" w:color="auto"/>
              <w:right w:val="single" w:sz="4" w:space="0" w:color="auto"/>
            </w:tcBorders>
            <w:shd w:val="clear" w:color="auto" w:fill="C6D9F1"/>
            <w:vAlign w:val="center"/>
          </w:tcPr>
          <w:p w14:paraId="1BA87437"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A3</w:t>
            </w:r>
          </w:p>
        </w:tc>
        <w:tc>
          <w:tcPr>
            <w:tcW w:w="850" w:type="dxa"/>
            <w:tcBorders>
              <w:left w:val="single" w:sz="4" w:space="0" w:color="auto"/>
              <w:right w:val="single" w:sz="4" w:space="0" w:color="auto"/>
            </w:tcBorders>
            <w:shd w:val="clear" w:color="auto" w:fill="C6D9F1"/>
            <w:vAlign w:val="center"/>
          </w:tcPr>
          <w:p w14:paraId="287F12C3"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w:t>
            </w:r>
          </w:p>
        </w:tc>
        <w:tc>
          <w:tcPr>
            <w:tcW w:w="1134" w:type="dxa"/>
            <w:tcBorders>
              <w:left w:val="single" w:sz="4" w:space="0" w:color="auto"/>
              <w:right w:val="single" w:sz="4" w:space="0" w:color="auto"/>
            </w:tcBorders>
            <w:shd w:val="clear" w:color="auto" w:fill="C6D9F1"/>
            <w:vAlign w:val="center"/>
          </w:tcPr>
          <w:p w14:paraId="2DFF7FD5"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£15m</w:t>
            </w:r>
          </w:p>
        </w:tc>
        <w:tc>
          <w:tcPr>
            <w:tcW w:w="1134" w:type="dxa"/>
            <w:tcBorders>
              <w:left w:val="single" w:sz="4" w:space="0" w:color="auto"/>
              <w:right w:val="single" w:sz="4" w:space="0" w:color="auto"/>
            </w:tcBorders>
            <w:shd w:val="clear" w:color="auto" w:fill="C6D9F1"/>
            <w:vAlign w:val="center"/>
          </w:tcPr>
          <w:p w14:paraId="3DD7E2AC"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 xml:space="preserve">6 </w:t>
            </w:r>
          </w:p>
        </w:tc>
      </w:tr>
      <w:tr w:rsidR="000729CF" w:rsidRPr="000729CF" w14:paraId="7FB9ED98" w14:textId="77777777" w:rsidTr="00BC26AB">
        <w:trPr>
          <w:cantSplit/>
        </w:trPr>
        <w:tc>
          <w:tcPr>
            <w:tcW w:w="3403" w:type="dxa"/>
            <w:tcBorders>
              <w:left w:val="single" w:sz="4" w:space="0" w:color="auto"/>
              <w:right w:val="single" w:sz="4" w:space="0" w:color="auto"/>
            </w:tcBorders>
            <w:shd w:val="clear" w:color="auto" w:fill="FFFFFF"/>
          </w:tcPr>
          <w:p w14:paraId="44389CEF" w14:textId="77777777" w:rsidR="000729CF" w:rsidRPr="000729CF" w:rsidRDefault="000729CF" w:rsidP="000729CF">
            <w:pPr>
              <w:spacing w:line="276" w:lineRule="auto"/>
              <w:rPr>
                <w:rFonts w:ascii="Arial" w:eastAsia="Calibri" w:hAnsi="Arial" w:cs="Arial"/>
                <w:snapToGrid w:val="0"/>
                <w:sz w:val="24"/>
                <w:szCs w:val="24"/>
                <w:lang w:val="en-GB"/>
              </w:rPr>
            </w:pPr>
            <w:r w:rsidRPr="000729CF">
              <w:rPr>
                <w:rFonts w:ascii="Arial" w:eastAsia="Calibri" w:hAnsi="Arial" w:cs="Arial"/>
                <w:snapToGrid w:val="0"/>
                <w:sz w:val="24"/>
                <w:szCs w:val="24"/>
                <w:lang w:val="en-GB"/>
              </w:rPr>
              <w:t>Goldman Sachs International Bank</w:t>
            </w:r>
          </w:p>
        </w:tc>
        <w:tc>
          <w:tcPr>
            <w:tcW w:w="1196" w:type="dxa"/>
            <w:tcBorders>
              <w:left w:val="single" w:sz="4" w:space="0" w:color="auto"/>
              <w:right w:val="single" w:sz="4" w:space="0" w:color="auto"/>
            </w:tcBorders>
            <w:shd w:val="clear" w:color="auto" w:fill="FFFFFF"/>
          </w:tcPr>
          <w:p w14:paraId="4AE955B0"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Specified</w:t>
            </w:r>
          </w:p>
        </w:tc>
        <w:tc>
          <w:tcPr>
            <w:tcW w:w="789" w:type="dxa"/>
            <w:gridSpan w:val="2"/>
            <w:tcBorders>
              <w:left w:val="single" w:sz="4" w:space="0" w:color="auto"/>
              <w:right w:val="single" w:sz="4" w:space="0" w:color="auto"/>
            </w:tcBorders>
            <w:shd w:val="clear" w:color="auto" w:fill="FFFFFF"/>
          </w:tcPr>
          <w:p w14:paraId="74892B1C"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F1</w:t>
            </w:r>
          </w:p>
        </w:tc>
        <w:tc>
          <w:tcPr>
            <w:tcW w:w="567" w:type="dxa"/>
            <w:tcBorders>
              <w:left w:val="single" w:sz="4" w:space="0" w:color="auto"/>
              <w:right w:val="single" w:sz="4" w:space="0" w:color="auto"/>
            </w:tcBorders>
            <w:shd w:val="clear" w:color="auto" w:fill="FFFFFF"/>
          </w:tcPr>
          <w:p w14:paraId="4D47B9C5"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P-1</w:t>
            </w:r>
          </w:p>
        </w:tc>
        <w:tc>
          <w:tcPr>
            <w:tcW w:w="709" w:type="dxa"/>
            <w:tcBorders>
              <w:left w:val="single" w:sz="4" w:space="0" w:color="auto"/>
              <w:right w:val="single" w:sz="4" w:space="0" w:color="auto"/>
            </w:tcBorders>
            <w:shd w:val="clear" w:color="auto" w:fill="FFFFFF"/>
          </w:tcPr>
          <w:p w14:paraId="53AEAA49"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A-1</w:t>
            </w:r>
          </w:p>
        </w:tc>
        <w:tc>
          <w:tcPr>
            <w:tcW w:w="851" w:type="dxa"/>
            <w:gridSpan w:val="2"/>
            <w:tcBorders>
              <w:left w:val="single" w:sz="4" w:space="0" w:color="auto"/>
              <w:right w:val="single" w:sz="4" w:space="0" w:color="auto"/>
            </w:tcBorders>
            <w:shd w:val="clear" w:color="auto" w:fill="FFFFFF"/>
          </w:tcPr>
          <w:p w14:paraId="6EC785B0"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w:t>
            </w:r>
          </w:p>
        </w:tc>
        <w:tc>
          <w:tcPr>
            <w:tcW w:w="850" w:type="dxa"/>
            <w:tcBorders>
              <w:left w:val="single" w:sz="4" w:space="0" w:color="auto"/>
              <w:right w:val="single" w:sz="4" w:space="0" w:color="auto"/>
            </w:tcBorders>
            <w:shd w:val="clear" w:color="auto" w:fill="FFFFFF"/>
          </w:tcPr>
          <w:p w14:paraId="7760A29A"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A1</w:t>
            </w:r>
          </w:p>
        </w:tc>
        <w:tc>
          <w:tcPr>
            <w:tcW w:w="850" w:type="dxa"/>
            <w:tcBorders>
              <w:left w:val="single" w:sz="4" w:space="0" w:color="auto"/>
              <w:right w:val="single" w:sz="4" w:space="0" w:color="auto"/>
            </w:tcBorders>
            <w:shd w:val="clear" w:color="auto" w:fill="FFFFFF"/>
          </w:tcPr>
          <w:p w14:paraId="514ADCEA"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w:t>
            </w:r>
          </w:p>
        </w:tc>
        <w:tc>
          <w:tcPr>
            <w:tcW w:w="1134" w:type="dxa"/>
            <w:tcBorders>
              <w:left w:val="single" w:sz="4" w:space="0" w:color="auto"/>
              <w:right w:val="single" w:sz="4" w:space="0" w:color="auto"/>
            </w:tcBorders>
            <w:shd w:val="clear" w:color="auto" w:fill="FFFFFF"/>
          </w:tcPr>
          <w:p w14:paraId="4009D74C"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£20m</w:t>
            </w:r>
          </w:p>
        </w:tc>
        <w:tc>
          <w:tcPr>
            <w:tcW w:w="1134" w:type="dxa"/>
            <w:tcBorders>
              <w:left w:val="single" w:sz="4" w:space="0" w:color="auto"/>
              <w:right w:val="single" w:sz="4" w:space="0" w:color="auto"/>
            </w:tcBorders>
            <w:shd w:val="clear" w:color="auto" w:fill="FFFFFF"/>
          </w:tcPr>
          <w:p w14:paraId="549553BA"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12</w:t>
            </w:r>
          </w:p>
        </w:tc>
      </w:tr>
      <w:tr w:rsidR="000729CF" w:rsidRPr="000729CF" w14:paraId="2206FE65" w14:textId="77777777" w:rsidTr="00BC26AB">
        <w:trPr>
          <w:cantSplit/>
        </w:trPr>
        <w:tc>
          <w:tcPr>
            <w:tcW w:w="3403" w:type="dxa"/>
            <w:tcBorders>
              <w:left w:val="single" w:sz="4" w:space="0" w:color="auto"/>
              <w:right w:val="single" w:sz="4" w:space="0" w:color="auto"/>
            </w:tcBorders>
            <w:shd w:val="clear" w:color="auto" w:fill="C6D9F1"/>
          </w:tcPr>
          <w:p w14:paraId="1ADCD70F" w14:textId="77777777" w:rsidR="000729CF" w:rsidRPr="000729CF" w:rsidRDefault="000729CF" w:rsidP="000729CF">
            <w:pPr>
              <w:spacing w:line="276" w:lineRule="auto"/>
              <w:rPr>
                <w:rFonts w:ascii="Arial" w:eastAsia="Calibri" w:hAnsi="Arial" w:cs="Arial"/>
                <w:snapToGrid w:val="0"/>
                <w:sz w:val="24"/>
                <w:szCs w:val="24"/>
                <w:lang w:val="en-GB"/>
              </w:rPr>
            </w:pPr>
            <w:r w:rsidRPr="000729CF">
              <w:rPr>
                <w:rFonts w:ascii="Arial" w:eastAsia="Calibri" w:hAnsi="Arial" w:cs="Arial"/>
                <w:snapToGrid w:val="0"/>
                <w:sz w:val="24"/>
                <w:szCs w:val="24"/>
                <w:lang w:val="en-GB"/>
              </w:rPr>
              <w:t>Handelsbanken PLC</w:t>
            </w:r>
          </w:p>
        </w:tc>
        <w:tc>
          <w:tcPr>
            <w:tcW w:w="1196" w:type="dxa"/>
            <w:tcBorders>
              <w:left w:val="single" w:sz="4" w:space="0" w:color="auto"/>
              <w:right w:val="single" w:sz="4" w:space="0" w:color="auto"/>
            </w:tcBorders>
            <w:shd w:val="clear" w:color="auto" w:fill="C6D9F1"/>
          </w:tcPr>
          <w:p w14:paraId="25331139"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Both</w:t>
            </w:r>
          </w:p>
        </w:tc>
        <w:tc>
          <w:tcPr>
            <w:tcW w:w="789" w:type="dxa"/>
            <w:gridSpan w:val="2"/>
            <w:tcBorders>
              <w:left w:val="single" w:sz="4" w:space="0" w:color="auto"/>
              <w:right w:val="single" w:sz="4" w:space="0" w:color="auto"/>
            </w:tcBorders>
            <w:shd w:val="clear" w:color="auto" w:fill="C6D9F1"/>
          </w:tcPr>
          <w:p w14:paraId="33288915"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F1+</w:t>
            </w:r>
          </w:p>
        </w:tc>
        <w:tc>
          <w:tcPr>
            <w:tcW w:w="567" w:type="dxa"/>
            <w:tcBorders>
              <w:left w:val="single" w:sz="4" w:space="0" w:color="auto"/>
              <w:right w:val="single" w:sz="4" w:space="0" w:color="auto"/>
            </w:tcBorders>
            <w:shd w:val="clear" w:color="auto" w:fill="C6D9F1"/>
          </w:tcPr>
          <w:p w14:paraId="351FA825" w14:textId="77777777" w:rsidR="000729CF" w:rsidRPr="000729CF" w:rsidRDefault="000729CF" w:rsidP="000729CF">
            <w:pPr>
              <w:spacing w:line="276" w:lineRule="auto"/>
              <w:jc w:val="center"/>
              <w:rPr>
                <w:rFonts w:ascii="Arial" w:eastAsia="Calibri" w:hAnsi="Arial" w:cs="Arial"/>
                <w:snapToGrid w:val="0"/>
                <w:sz w:val="24"/>
                <w:szCs w:val="24"/>
                <w:lang w:val="en-GB"/>
              </w:rPr>
            </w:pPr>
          </w:p>
        </w:tc>
        <w:tc>
          <w:tcPr>
            <w:tcW w:w="709" w:type="dxa"/>
            <w:tcBorders>
              <w:left w:val="single" w:sz="4" w:space="0" w:color="auto"/>
              <w:right w:val="single" w:sz="4" w:space="0" w:color="auto"/>
            </w:tcBorders>
            <w:shd w:val="clear" w:color="auto" w:fill="C6D9F1"/>
          </w:tcPr>
          <w:p w14:paraId="1A827227"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A-1+</w:t>
            </w:r>
          </w:p>
        </w:tc>
        <w:tc>
          <w:tcPr>
            <w:tcW w:w="851" w:type="dxa"/>
            <w:gridSpan w:val="2"/>
            <w:tcBorders>
              <w:left w:val="single" w:sz="4" w:space="0" w:color="auto"/>
              <w:right w:val="single" w:sz="4" w:space="0" w:color="auto"/>
            </w:tcBorders>
            <w:shd w:val="clear" w:color="auto" w:fill="C6D9F1"/>
          </w:tcPr>
          <w:p w14:paraId="19620C6D"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AA</w:t>
            </w:r>
          </w:p>
        </w:tc>
        <w:tc>
          <w:tcPr>
            <w:tcW w:w="850" w:type="dxa"/>
            <w:tcBorders>
              <w:left w:val="single" w:sz="4" w:space="0" w:color="auto"/>
              <w:right w:val="single" w:sz="4" w:space="0" w:color="auto"/>
            </w:tcBorders>
            <w:shd w:val="clear" w:color="auto" w:fill="C6D9F1"/>
          </w:tcPr>
          <w:p w14:paraId="6183654C" w14:textId="77777777" w:rsidR="000729CF" w:rsidRPr="000729CF" w:rsidRDefault="000729CF" w:rsidP="000729CF">
            <w:pPr>
              <w:spacing w:line="276" w:lineRule="auto"/>
              <w:jc w:val="center"/>
              <w:rPr>
                <w:rFonts w:ascii="Arial" w:eastAsia="Calibri" w:hAnsi="Arial" w:cs="Arial"/>
                <w:snapToGrid w:val="0"/>
                <w:sz w:val="24"/>
                <w:szCs w:val="24"/>
                <w:lang w:val="en-GB"/>
              </w:rPr>
            </w:pPr>
          </w:p>
        </w:tc>
        <w:tc>
          <w:tcPr>
            <w:tcW w:w="850" w:type="dxa"/>
            <w:tcBorders>
              <w:left w:val="single" w:sz="4" w:space="0" w:color="auto"/>
              <w:right w:val="single" w:sz="4" w:space="0" w:color="auto"/>
            </w:tcBorders>
            <w:shd w:val="clear" w:color="auto" w:fill="C6D9F1"/>
          </w:tcPr>
          <w:p w14:paraId="08D1FB31"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AA-</w:t>
            </w:r>
          </w:p>
        </w:tc>
        <w:tc>
          <w:tcPr>
            <w:tcW w:w="1134" w:type="dxa"/>
            <w:tcBorders>
              <w:left w:val="single" w:sz="4" w:space="0" w:color="auto"/>
              <w:right w:val="single" w:sz="4" w:space="0" w:color="auto"/>
            </w:tcBorders>
            <w:shd w:val="clear" w:color="auto" w:fill="C6D9F1"/>
          </w:tcPr>
          <w:p w14:paraId="7A9E2D76"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£30m</w:t>
            </w:r>
          </w:p>
        </w:tc>
        <w:tc>
          <w:tcPr>
            <w:tcW w:w="1134" w:type="dxa"/>
            <w:tcBorders>
              <w:left w:val="single" w:sz="4" w:space="0" w:color="auto"/>
              <w:right w:val="single" w:sz="4" w:space="0" w:color="auto"/>
            </w:tcBorders>
            <w:shd w:val="clear" w:color="auto" w:fill="C6D9F1"/>
          </w:tcPr>
          <w:p w14:paraId="2142FD95"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24</w:t>
            </w:r>
          </w:p>
        </w:tc>
      </w:tr>
      <w:tr w:rsidR="000729CF" w:rsidRPr="000729CF" w14:paraId="7A5A83B1" w14:textId="77777777" w:rsidTr="00BC26AB">
        <w:trPr>
          <w:cantSplit/>
        </w:trPr>
        <w:tc>
          <w:tcPr>
            <w:tcW w:w="3403" w:type="dxa"/>
            <w:tcBorders>
              <w:left w:val="single" w:sz="4" w:space="0" w:color="auto"/>
              <w:right w:val="single" w:sz="4" w:space="0" w:color="auto"/>
            </w:tcBorders>
          </w:tcPr>
          <w:p w14:paraId="015A2430" w14:textId="77777777" w:rsidR="000729CF" w:rsidRPr="000729CF" w:rsidRDefault="000729CF" w:rsidP="000729CF">
            <w:pPr>
              <w:spacing w:line="276" w:lineRule="auto"/>
              <w:rPr>
                <w:rFonts w:ascii="Arial" w:eastAsia="Calibri" w:hAnsi="Arial" w:cs="Arial"/>
                <w:snapToGrid w:val="0"/>
                <w:sz w:val="24"/>
                <w:szCs w:val="24"/>
                <w:lang w:val="en-GB"/>
              </w:rPr>
            </w:pPr>
            <w:r w:rsidRPr="000729CF">
              <w:rPr>
                <w:rFonts w:ascii="Arial" w:eastAsia="Calibri" w:hAnsi="Arial" w:cs="Arial"/>
                <w:snapToGrid w:val="0"/>
                <w:sz w:val="24"/>
                <w:szCs w:val="24"/>
                <w:lang w:val="en-GB"/>
              </w:rPr>
              <w:t>Santander UK PLC</w:t>
            </w:r>
          </w:p>
        </w:tc>
        <w:tc>
          <w:tcPr>
            <w:tcW w:w="1196" w:type="dxa"/>
            <w:tcBorders>
              <w:left w:val="single" w:sz="4" w:space="0" w:color="auto"/>
              <w:right w:val="single" w:sz="4" w:space="0" w:color="auto"/>
            </w:tcBorders>
          </w:tcPr>
          <w:p w14:paraId="7A2B0174" w14:textId="77777777" w:rsidR="000729CF" w:rsidRPr="000729CF" w:rsidRDefault="000729CF" w:rsidP="000729CF">
            <w:pPr>
              <w:spacing w:line="276" w:lineRule="auto"/>
              <w:rPr>
                <w:rFonts w:ascii="Arial" w:eastAsia="Calibri" w:hAnsi="Arial" w:cs="Arial"/>
                <w:snapToGrid w:val="0"/>
                <w:sz w:val="24"/>
                <w:szCs w:val="24"/>
                <w:lang w:val="en-GB"/>
              </w:rPr>
            </w:pPr>
            <w:r w:rsidRPr="000729CF">
              <w:rPr>
                <w:rFonts w:ascii="Arial" w:eastAsia="Calibri" w:hAnsi="Arial" w:cs="Arial"/>
                <w:snapToGrid w:val="0"/>
                <w:sz w:val="24"/>
                <w:szCs w:val="24"/>
                <w:lang w:val="en-GB"/>
              </w:rPr>
              <w:t>Specified</w:t>
            </w:r>
          </w:p>
        </w:tc>
        <w:tc>
          <w:tcPr>
            <w:tcW w:w="789" w:type="dxa"/>
            <w:gridSpan w:val="2"/>
            <w:tcBorders>
              <w:left w:val="single" w:sz="4" w:space="0" w:color="auto"/>
              <w:right w:val="single" w:sz="4" w:space="0" w:color="auto"/>
            </w:tcBorders>
            <w:shd w:val="clear" w:color="auto" w:fill="auto"/>
          </w:tcPr>
          <w:p w14:paraId="5EE3ABF0"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F1</w:t>
            </w:r>
          </w:p>
        </w:tc>
        <w:tc>
          <w:tcPr>
            <w:tcW w:w="567" w:type="dxa"/>
            <w:tcBorders>
              <w:left w:val="single" w:sz="4" w:space="0" w:color="auto"/>
              <w:right w:val="single" w:sz="4" w:space="0" w:color="auto"/>
            </w:tcBorders>
            <w:shd w:val="clear" w:color="auto" w:fill="auto"/>
          </w:tcPr>
          <w:p w14:paraId="5F47F1AC"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P-1</w:t>
            </w:r>
          </w:p>
        </w:tc>
        <w:tc>
          <w:tcPr>
            <w:tcW w:w="709" w:type="dxa"/>
            <w:tcBorders>
              <w:left w:val="single" w:sz="4" w:space="0" w:color="auto"/>
              <w:right w:val="single" w:sz="4" w:space="0" w:color="auto"/>
            </w:tcBorders>
            <w:shd w:val="clear" w:color="auto" w:fill="auto"/>
          </w:tcPr>
          <w:p w14:paraId="660F4B5E"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A-1</w:t>
            </w:r>
          </w:p>
        </w:tc>
        <w:tc>
          <w:tcPr>
            <w:tcW w:w="851" w:type="dxa"/>
            <w:gridSpan w:val="2"/>
            <w:tcBorders>
              <w:left w:val="single" w:sz="4" w:space="0" w:color="auto"/>
              <w:right w:val="single" w:sz="4" w:space="0" w:color="auto"/>
            </w:tcBorders>
            <w:shd w:val="clear" w:color="auto" w:fill="auto"/>
          </w:tcPr>
          <w:p w14:paraId="73CB46F6"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w:t>
            </w:r>
          </w:p>
        </w:tc>
        <w:tc>
          <w:tcPr>
            <w:tcW w:w="850" w:type="dxa"/>
            <w:tcBorders>
              <w:left w:val="single" w:sz="4" w:space="0" w:color="auto"/>
              <w:right w:val="single" w:sz="4" w:space="0" w:color="auto"/>
            </w:tcBorders>
            <w:shd w:val="clear" w:color="auto" w:fill="auto"/>
          </w:tcPr>
          <w:p w14:paraId="586E4832"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A1</w:t>
            </w:r>
          </w:p>
        </w:tc>
        <w:tc>
          <w:tcPr>
            <w:tcW w:w="850" w:type="dxa"/>
            <w:tcBorders>
              <w:left w:val="single" w:sz="4" w:space="0" w:color="auto"/>
              <w:right w:val="single" w:sz="4" w:space="0" w:color="auto"/>
            </w:tcBorders>
            <w:shd w:val="clear" w:color="auto" w:fill="auto"/>
          </w:tcPr>
          <w:p w14:paraId="19D497AF"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w:t>
            </w:r>
          </w:p>
        </w:tc>
        <w:tc>
          <w:tcPr>
            <w:tcW w:w="1134" w:type="dxa"/>
            <w:tcBorders>
              <w:left w:val="single" w:sz="4" w:space="0" w:color="auto"/>
              <w:right w:val="single" w:sz="4" w:space="0" w:color="auto"/>
            </w:tcBorders>
            <w:shd w:val="clear" w:color="auto" w:fill="auto"/>
          </w:tcPr>
          <w:p w14:paraId="0BCBCF2C"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£20m</w:t>
            </w:r>
          </w:p>
        </w:tc>
        <w:tc>
          <w:tcPr>
            <w:tcW w:w="1134" w:type="dxa"/>
            <w:tcBorders>
              <w:left w:val="single" w:sz="4" w:space="0" w:color="auto"/>
              <w:right w:val="single" w:sz="4" w:space="0" w:color="auto"/>
            </w:tcBorders>
            <w:shd w:val="clear" w:color="auto" w:fill="auto"/>
          </w:tcPr>
          <w:p w14:paraId="24D7801C"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12</w:t>
            </w:r>
          </w:p>
        </w:tc>
      </w:tr>
      <w:tr w:rsidR="000729CF" w:rsidRPr="000729CF" w14:paraId="0D8175C4" w14:textId="77777777" w:rsidTr="00BC26AB">
        <w:trPr>
          <w:cantSplit/>
        </w:trPr>
        <w:tc>
          <w:tcPr>
            <w:tcW w:w="3403" w:type="dxa"/>
            <w:tcBorders>
              <w:left w:val="single" w:sz="4" w:space="0" w:color="auto"/>
              <w:right w:val="single" w:sz="4" w:space="0" w:color="auto"/>
            </w:tcBorders>
            <w:shd w:val="clear" w:color="auto" w:fill="C6D9F1"/>
          </w:tcPr>
          <w:p w14:paraId="7D7B0F1D" w14:textId="77777777" w:rsidR="000729CF" w:rsidRPr="000729CF" w:rsidRDefault="000729CF" w:rsidP="000729CF">
            <w:pPr>
              <w:spacing w:line="276" w:lineRule="auto"/>
              <w:rPr>
                <w:rFonts w:ascii="Arial" w:eastAsia="Calibri" w:hAnsi="Arial" w:cs="Arial"/>
                <w:snapToGrid w:val="0"/>
                <w:sz w:val="24"/>
                <w:szCs w:val="24"/>
                <w:lang w:val="en-GB"/>
              </w:rPr>
            </w:pPr>
            <w:r w:rsidRPr="000729CF">
              <w:rPr>
                <w:rFonts w:ascii="Arial" w:eastAsia="Calibri" w:hAnsi="Arial" w:cs="Arial"/>
                <w:snapToGrid w:val="0"/>
                <w:sz w:val="24"/>
                <w:szCs w:val="24"/>
                <w:lang w:val="en-GB"/>
              </w:rPr>
              <w:t>Standard Chartered Bank</w:t>
            </w:r>
          </w:p>
        </w:tc>
        <w:tc>
          <w:tcPr>
            <w:tcW w:w="1196" w:type="dxa"/>
            <w:tcBorders>
              <w:left w:val="single" w:sz="4" w:space="0" w:color="auto"/>
              <w:right w:val="single" w:sz="4" w:space="0" w:color="auto"/>
            </w:tcBorders>
            <w:shd w:val="clear" w:color="auto" w:fill="C6D9F1"/>
          </w:tcPr>
          <w:p w14:paraId="74FFC870" w14:textId="77777777" w:rsidR="000729CF" w:rsidRPr="000729CF" w:rsidRDefault="000729CF" w:rsidP="000729CF">
            <w:pPr>
              <w:spacing w:line="276" w:lineRule="auto"/>
              <w:rPr>
                <w:rFonts w:ascii="Arial" w:eastAsia="Calibri" w:hAnsi="Arial" w:cs="Arial"/>
                <w:snapToGrid w:val="0"/>
                <w:sz w:val="24"/>
                <w:szCs w:val="24"/>
                <w:lang w:val="en-GB"/>
              </w:rPr>
            </w:pPr>
            <w:r w:rsidRPr="000729CF">
              <w:rPr>
                <w:rFonts w:ascii="Arial" w:eastAsia="Calibri" w:hAnsi="Arial" w:cs="Arial"/>
                <w:snapToGrid w:val="0"/>
                <w:sz w:val="24"/>
                <w:szCs w:val="24"/>
                <w:lang w:val="en-GB"/>
              </w:rPr>
              <w:t>Specified</w:t>
            </w:r>
          </w:p>
        </w:tc>
        <w:tc>
          <w:tcPr>
            <w:tcW w:w="789" w:type="dxa"/>
            <w:gridSpan w:val="2"/>
            <w:tcBorders>
              <w:left w:val="single" w:sz="4" w:space="0" w:color="auto"/>
              <w:right w:val="single" w:sz="4" w:space="0" w:color="auto"/>
            </w:tcBorders>
            <w:shd w:val="clear" w:color="auto" w:fill="C6D9F1"/>
          </w:tcPr>
          <w:p w14:paraId="13B9691A"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F1</w:t>
            </w:r>
          </w:p>
        </w:tc>
        <w:tc>
          <w:tcPr>
            <w:tcW w:w="567" w:type="dxa"/>
            <w:tcBorders>
              <w:left w:val="single" w:sz="4" w:space="0" w:color="auto"/>
              <w:right w:val="single" w:sz="4" w:space="0" w:color="auto"/>
            </w:tcBorders>
            <w:shd w:val="clear" w:color="auto" w:fill="C6D9F1"/>
          </w:tcPr>
          <w:p w14:paraId="4B01BA06"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P-1</w:t>
            </w:r>
          </w:p>
        </w:tc>
        <w:tc>
          <w:tcPr>
            <w:tcW w:w="709" w:type="dxa"/>
            <w:tcBorders>
              <w:left w:val="single" w:sz="4" w:space="0" w:color="auto"/>
              <w:right w:val="single" w:sz="4" w:space="0" w:color="auto"/>
            </w:tcBorders>
            <w:shd w:val="clear" w:color="auto" w:fill="C6D9F1"/>
          </w:tcPr>
          <w:p w14:paraId="1C4A5F22"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A-1</w:t>
            </w:r>
          </w:p>
        </w:tc>
        <w:tc>
          <w:tcPr>
            <w:tcW w:w="851" w:type="dxa"/>
            <w:gridSpan w:val="2"/>
            <w:tcBorders>
              <w:left w:val="single" w:sz="4" w:space="0" w:color="auto"/>
              <w:right w:val="single" w:sz="4" w:space="0" w:color="auto"/>
            </w:tcBorders>
            <w:shd w:val="clear" w:color="auto" w:fill="C6D9F1"/>
          </w:tcPr>
          <w:p w14:paraId="6C3064DB"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w:t>
            </w:r>
          </w:p>
        </w:tc>
        <w:tc>
          <w:tcPr>
            <w:tcW w:w="850" w:type="dxa"/>
            <w:tcBorders>
              <w:left w:val="single" w:sz="4" w:space="0" w:color="auto"/>
              <w:right w:val="single" w:sz="4" w:space="0" w:color="auto"/>
            </w:tcBorders>
            <w:shd w:val="clear" w:color="auto" w:fill="C6D9F1"/>
          </w:tcPr>
          <w:p w14:paraId="179A06AB"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A1</w:t>
            </w:r>
          </w:p>
        </w:tc>
        <w:tc>
          <w:tcPr>
            <w:tcW w:w="850" w:type="dxa"/>
            <w:tcBorders>
              <w:left w:val="single" w:sz="4" w:space="0" w:color="auto"/>
              <w:right w:val="single" w:sz="4" w:space="0" w:color="auto"/>
            </w:tcBorders>
            <w:shd w:val="clear" w:color="auto" w:fill="C6D9F1"/>
          </w:tcPr>
          <w:p w14:paraId="0AFE912F"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w:t>
            </w:r>
          </w:p>
        </w:tc>
        <w:tc>
          <w:tcPr>
            <w:tcW w:w="1134" w:type="dxa"/>
            <w:tcBorders>
              <w:left w:val="single" w:sz="4" w:space="0" w:color="auto"/>
              <w:right w:val="single" w:sz="4" w:space="0" w:color="auto"/>
            </w:tcBorders>
            <w:shd w:val="clear" w:color="auto" w:fill="C6D9F1"/>
          </w:tcPr>
          <w:p w14:paraId="6314815A"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£20m</w:t>
            </w:r>
          </w:p>
        </w:tc>
        <w:tc>
          <w:tcPr>
            <w:tcW w:w="1134" w:type="dxa"/>
            <w:tcBorders>
              <w:left w:val="single" w:sz="4" w:space="0" w:color="auto"/>
              <w:right w:val="single" w:sz="4" w:space="0" w:color="auto"/>
            </w:tcBorders>
            <w:shd w:val="clear" w:color="auto" w:fill="C6D9F1"/>
          </w:tcPr>
          <w:p w14:paraId="24B34C43"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12</w:t>
            </w:r>
          </w:p>
        </w:tc>
      </w:tr>
      <w:tr w:rsidR="000729CF" w:rsidRPr="000729CF" w14:paraId="0CA2ABA4" w14:textId="77777777" w:rsidTr="00BC26AB">
        <w:trPr>
          <w:cantSplit/>
        </w:trPr>
        <w:tc>
          <w:tcPr>
            <w:tcW w:w="3403" w:type="dxa"/>
            <w:tcBorders>
              <w:left w:val="single" w:sz="4" w:space="0" w:color="auto"/>
              <w:right w:val="single" w:sz="4" w:space="0" w:color="auto"/>
            </w:tcBorders>
            <w:vAlign w:val="center"/>
          </w:tcPr>
          <w:p w14:paraId="3A8FA85C" w14:textId="77777777" w:rsidR="000729CF" w:rsidRPr="000729CF" w:rsidRDefault="000729CF" w:rsidP="000729CF">
            <w:pPr>
              <w:spacing w:line="276" w:lineRule="auto"/>
              <w:rPr>
                <w:rFonts w:ascii="Arial" w:eastAsia="Calibri" w:hAnsi="Arial" w:cs="Arial"/>
                <w:snapToGrid w:val="0"/>
                <w:sz w:val="24"/>
                <w:szCs w:val="24"/>
                <w:lang w:val="en-GB"/>
              </w:rPr>
            </w:pPr>
            <w:r w:rsidRPr="000729CF">
              <w:rPr>
                <w:rFonts w:ascii="Arial" w:eastAsia="Calibri" w:hAnsi="Arial" w:cs="Arial"/>
                <w:snapToGrid w:val="0"/>
                <w:sz w:val="24"/>
                <w:szCs w:val="24"/>
                <w:lang w:val="en-GB"/>
              </w:rPr>
              <w:t>SMBC Bank International Plc</w:t>
            </w:r>
          </w:p>
        </w:tc>
        <w:tc>
          <w:tcPr>
            <w:tcW w:w="1196" w:type="dxa"/>
            <w:tcBorders>
              <w:left w:val="single" w:sz="4" w:space="0" w:color="auto"/>
              <w:right w:val="single" w:sz="4" w:space="0" w:color="auto"/>
            </w:tcBorders>
            <w:vAlign w:val="center"/>
          </w:tcPr>
          <w:p w14:paraId="343AA831"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Specified</w:t>
            </w:r>
          </w:p>
        </w:tc>
        <w:tc>
          <w:tcPr>
            <w:tcW w:w="789" w:type="dxa"/>
            <w:gridSpan w:val="2"/>
            <w:tcBorders>
              <w:left w:val="single" w:sz="4" w:space="0" w:color="auto"/>
              <w:right w:val="single" w:sz="4" w:space="0" w:color="auto"/>
            </w:tcBorders>
            <w:shd w:val="clear" w:color="auto" w:fill="auto"/>
            <w:vAlign w:val="center"/>
          </w:tcPr>
          <w:p w14:paraId="49532050"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F1</w:t>
            </w:r>
          </w:p>
        </w:tc>
        <w:tc>
          <w:tcPr>
            <w:tcW w:w="567" w:type="dxa"/>
            <w:tcBorders>
              <w:left w:val="single" w:sz="4" w:space="0" w:color="auto"/>
              <w:right w:val="single" w:sz="4" w:space="0" w:color="auto"/>
            </w:tcBorders>
            <w:shd w:val="clear" w:color="auto" w:fill="auto"/>
            <w:vAlign w:val="center"/>
          </w:tcPr>
          <w:p w14:paraId="150B85F7"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P-1</w:t>
            </w:r>
          </w:p>
        </w:tc>
        <w:tc>
          <w:tcPr>
            <w:tcW w:w="709" w:type="dxa"/>
            <w:tcBorders>
              <w:left w:val="single" w:sz="4" w:space="0" w:color="auto"/>
              <w:right w:val="single" w:sz="4" w:space="0" w:color="auto"/>
            </w:tcBorders>
            <w:shd w:val="clear" w:color="auto" w:fill="auto"/>
            <w:vAlign w:val="center"/>
          </w:tcPr>
          <w:p w14:paraId="761F1398"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A-1</w:t>
            </w:r>
          </w:p>
        </w:tc>
        <w:tc>
          <w:tcPr>
            <w:tcW w:w="851" w:type="dxa"/>
            <w:gridSpan w:val="2"/>
            <w:tcBorders>
              <w:left w:val="single" w:sz="4" w:space="0" w:color="auto"/>
              <w:right w:val="single" w:sz="4" w:space="0" w:color="auto"/>
            </w:tcBorders>
            <w:shd w:val="clear" w:color="auto" w:fill="auto"/>
            <w:vAlign w:val="center"/>
          </w:tcPr>
          <w:p w14:paraId="213F9745"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w:t>
            </w:r>
          </w:p>
        </w:tc>
        <w:tc>
          <w:tcPr>
            <w:tcW w:w="850" w:type="dxa"/>
            <w:tcBorders>
              <w:left w:val="single" w:sz="4" w:space="0" w:color="auto"/>
              <w:right w:val="single" w:sz="4" w:space="0" w:color="auto"/>
            </w:tcBorders>
            <w:shd w:val="clear" w:color="auto" w:fill="auto"/>
            <w:vAlign w:val="center"/>
          </w:tcPr>
          <w:p w14:paraId="1F9AFF05"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A1</w:t>
            </w:r>
          </w:p>
        </w:tc>
        <w:tc>
          <w:tcPr>
            <w:tcW w:w="850" w:type="dxa"/>
            <w:tcBorders>
              <w:left w:val="single" w:sz="4" w:space="0" w:color="auto"/>
              <w:right w:val="single" w:sz="4" w:space="0" w:color="auto"/>
            </w:tcBorders>
            <w:shd w:val="clear" w:color="auto" w:fill="auto"/>
            <w:vAlign w:val="center"/>
          </w:tcPr>
          <w:p w14:paraId="18362B33"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w:t>
            </w:r>
          </w:p>
        </w:tc>
        <w:tc>
          <w:tcPr>
            <w:tcW w:w="1134" w:type="dxa"/>
            <w:tcBorders>
              <w:left w:val="single" w:sz="4" w:space="0" w:color="auto"/>
              <w:right w:val="single" w:sz="4" w:space="0" w:color="auto"/>
            </w:tcBorders>
            <w:shd w:val="clear" w:color="auto" w:fill="auto"/>
            <w:vAlign w:val="center"/>
          </w:tcPr>
          <w:p w14:paraId="712408D5"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£15m</w:t>
            </w:r>
          </w:p>
        </w:tc>
        <w:tc>
          <w:tcPr>
            <w:tcW w:w="1134" w:type="dxa"/>
            <w:tcBorders>
              <w:left w:val="single" w:sz="4" w:space="0" w:color="auto"/>
              <w:right w:val="single" w:sz="4" w:space="0" w:color="auto"/>
            </w:tcBorders>
            <w:shd w:val="clear" w:color="auto" w:fill="auto"/>
            <w:vAlign w:val="center"/>
          </w:tcPr>
          <w:p w14:paraId="0E73D442"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6</w:t>
            </w:r>
          </w:p>
        </w:tc>
      </w:tr>
      <w:tr w:rsidR="000729CF" w:rsidRPr="000729CF" w14:paraId="193A9756" w14:textId="77777777" w:rsidTr="00BC26AB">
        <w:trPr>
          <w:cantSplit/>
        </w:trPr>
        <w:tc>
          <w:tcPr>
            <w:tcW w:w="11483" w:type="dxa"/>
            <w:gridSpan w:val="12"/>
            <w:tcBorders>
              <w:top w:val="single" w:sz="4" w:space="0" w:color="auto"/>
              <w:left w:val="single" w:sz="4" w:space="0" w:color="auto"/>
              <w:right w:val="single" w:sz="4" w:space="0" w:color="auto"/>
            </w:tcBorders>
            <w:shd w:val="clear" w:color="auto" w:fill="002060"/>
            <w:vAlign w:val="center"/>
          </w:tcPr>
          <w:p w14:paraId="579F66E1" w14:textId="77777777" w:rsidR="000729CF" w:rsidRPr="000729CF" w:rsidRDefault="000729CF" w:rsidP="00CE70A3">
            <w:pPr>
              <w:numPr>
                <w:ilvl w:val="0"/>
                <w:numId w:val="80"/>
              </w:numPr>
              <w:spacing w:after="200" w:line="276" w:lineRule="auto"/>
              <w:rPr>
                <w:rFonts w:ascii="Arial" w:eastAsia="Calibri" w:hAnsi="Arial" w:cs="Arial"/>
                <w:b/>
                <w:snapToGrid w:val="0"/>
                <w:color w:val="FFFFFF"/>
                <w:sz w:val="24"/>
                <w:szCs w:val="24"/>
                <w:lang w:val="en-GB"/>
              </w:rPr>
            </w:pPr>
            <w:r w:rsidRPr="000729CF">
              <w:rPr>
                <w:rFonts w:ascii="Arial" w:eastAsia="Calibri" w:hAnsi="Arial" w:cs="Arial"/>
                <w:b/>
                <w:snapToGrid w:val="0"/>
                <w:color w:val="FFFFFF"/>
                <w:sz w:val="24"/>
                <w:szCs w:val="24"/>
                <w:lang w:val="en-GB"/>
              </w:rPr>
              <w:t>Building Societies</w:t>
            </w:r>
            <w:r w:rsidRPr="000729CF">
              <w:rPr>
                <w:rFonts w:ascii="Arial" w:eastAsia="Calibri" w:hAnsi="Arial" w:cs="Arial"/>
                <w:b/>
                <w:snapToGrid w:val="0"/>
                <w:color w:val="FFFFFF"/>
                <w:sz w:val="24"/>
                <w:szCs w:val="24"/>
                <w:vertAlign w:val="superscript"/>
                <w:lang w:val="en-GB"/>
              </w:rPr>
              <w:t>+</w:t>
            </w:r>
          </w:p>
        </w:tc>
      </w:tr>
      <w:tr w:rsidR="000729CF" w:rsidRPr="000729CF" w14:paraId="3DF2CFF3" w14:textId="77777777" w:rsidTr="00BC26AB">
        <w:trPr>
          <w:cantSplit/>
        </w:trPr>
        <w:tc>
          <w:tcPr>
            <w:tcW w:w="3403" w:type="dxa"/>
            <w:tcBorders>
              <w:left w:val="single" w:sz="4" w:space="0" w:color="auto"/>
              <w:right w:val="single" w:sz="4" w:space="0" w:color="auto"/>
            </w:tcBorders>
            <w:shd w:val="clear" w:color="auto" w:fill="C6D9F1"/>
            <w:vAlign w:val="center"/>
          </w:tcPr>
          <w:p w14:paraId="77CC90A9" w14:textId="77777777" w:rsidR="000729CF" w:rsidRPr="000729CF" w:rsidRDefault="000729CF" w:rsidP="000729CF">
            <w:pPr>
              <w:spacing w:line="276" w:lineRule="auto"/>
              <w:rPr>
                <w:rFonts w:ascii="Arial" w:eastAsia="Calibri" w:hAnsi="Arial" w:cs="Arial"/>
                <w:snapToGrid w:val="0"/>
                <w:sz w:val="24"/>
                <w:szCs w:val="24"/>
                <w:lang w:val="en-GB"/>
              </w:rPr>
            </w:pPr>
            <w:r w:rsidRPr="000729CF">
              <w:rPr>
                <w:rFonts w:ascii="Arial" w:eastAsia="Calibri" w:hAnsi="Arial" w:cs="Arial"/>
                <w:snapToGrid w:val="0"/>
                <w:sz w:val="24"/>
                <w:szCs w:val="24"/>
                <w:lang w:val="en-GB"/>
              </w:rPr>
              <w:t>Coventry (2)</w:t>
            </w:r>
          </w:p>
        </w:tc>
        <w:tc>
          <w:tcPr>
            <w:tcW w:w="1276" w:type="dxa"/>
            <w:gridSpan w:val="2"/>
            <w:tcBorders>
              <w:left w:val="single" w:sz="4" w:space="0" w:color="auto"/>
              <w:right w:val="single" w:sz="4" w:space="0" w:color="auto"/>
            </w:tcBorders>
            <w:shd w:val="clear" w:color="auto" w:fill="C6D9F1"/>
            <w:vAlign w:val="center"/>
          </w:tcPr>
          <w:p w14:paraId="7DD69C1A"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Specified</w:t>
            </w:r>
          </w:p>
        </w:tc>
        <w:tc>
          <w:tcPr>
            <w:tcW w:w="709" w:type="dxa"/>
            <w:tcBorders>
              <w:left w:val="single" w:sz="4" w:space="0" w:color="auto"/>
              <w:right w:val="single" w:sz="4" w:space="0" w:color="auto"/>
            </w:tcBorders>
            <w:shd w:val="clear" w:color="auto" w:fill="C6D9F1"/>
            <w:vAlign w:val="center"/>
          </w:tcPr>
          <w:p w14:paraId="2D2F8343"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F1</w:t>
            </w:r>
          </w:p>
        </w:tc>
        <w:tc>
          <w:tcPr>
            <w:tcW w:w="567" w:type="dxa"/>
            <w:tcBorders>
              <w:left w:val="single" w:sz="4" w:space="0" w:color="auto"/>
              <w:right w:val="single" w:sz="4" w:space="0" w:color="auto"/>
            </w:tcBorders>
            <w:shd w:val="clear" w:color="auto" w:fill="C6D9F1"/>
            <w:vAlign w:val="center"/>
          </w:tcPr>
          <w:p w14:paraId="12CB77E3"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P-1</w:t>
            </w:r>
          </w:p>
        </w:tc>
        <w:tc>
          <w:tcPr>
            <w:tcW w:w="709" w:type="dxa"/>
            <w:tcBorders>
              <w:left w:val="single" w:sz="4" w:space="0" w:color="auto"/>
              <w:right w:val="single" w:sz="4" w:space="0" w:color="auto"/>
            </w:tcBorders>
            <w:shd w:val="clear" w:color="auto" w:fill="C6D9F1"/>
            <w:vAlign w:val="center"/>
          </w:tcPr>
          <w:p w14:paraId="22C2EB13" w14:textId="77777777" w:rsidR="000729CF" w:rsidRPr="000729CF" w:rsidRDefault="000729CF" w:rsidP="000729CF">
            <w:pPr>
              <w:spacing w:line="276" w:lineRule="auto"/>
              <w:jc w:val="center"/>
              <w:rPr>
                <w:rFonts w:ascii="Arial" w:eastAsia="Calibri" w:hAnsi="Arial" w:cs="Arial"/>
                <w:snapToGrid w:val="0"/>
                <w:sz w:val="24"/>
                <w:szCs w:val="24"/>
                <w:lang w:val="en-GB"/>
              </w:rPr>
            </w:pPr>
          </w:p>
        </w:tc>
        <w:tc>
          <w:tcPr>
            <w:tcW w:w="851" w:type="dxa"/>
            <w:gridSpan w:val="2"/>
            <w:tcBorders>
              <w:left w:val="single" w:sz="4" w:space="0" w:color="auto"/>
              <w:right w:val="single" w:sz="4" w:space="0" w:color="auto"/>
            </w:tcBorders>
            <w:shd w:val="clear" w:color="auto" w:fill="C6D9F1"/>
            <w:vAlign w:val="center"/>
          </w:tcPr>
          <w:p w14:paraId="2AC106CE"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w:t>
            </w:r>
          </w:p>
        </w:tc>
        <w:tc>
          <w:tcPr>
            <w:tcW w:w="850" w:type="dxa"/>
            <w:tcBorders>
              <w:left w:val="single" w:sz="4" w:space="0" w:color="auto"/>
              <w:right w:val="single" w:sz="4" w:space="0" w:color="auto"/>
            </w:tcBorders>
            <w:shd w:val="clear" w:color="auto" w:fill="C6D9F1"/>
            <w:vAlign w:val="center"/>
          </w:tcPr>
          <w:p w14:paraId="4A2ECA94"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A2</w:t>
            </w:r>
          </w:p>
        </w:tc>
        <w:tc>
          <w:tcPr>
            <w:tcW w:w="850" w:type="dxa"/>
            <w:tcBorders>
              <w:left w:val="single" w:sz="4" w:space="0" w:color="auto"/>
              <w:right w:val="single" w:sz="4" w:space="0" w:color="auto"/>
            </w:tcBorders>
            <w:shd w:val="clear" w:color="auto" w:fill="C6D9F1"/>
            <w:vAlign w:val="center"/>
          </w:tcPr>
          <w:p w14:paraId="001E5D05" w14:textId="77777777" w:rsidR="000729CF" w:rsidRPr="000729CF" w:rsidRDefault="000729CF" w:rsidP="000729CF">
            <w:pPr>
              <w:spacing w:line="276" w:lineRule="auto"/>
              <w:jc w:val="center"/>
              <w:rPr>
                <w:rFonts w:ascii="Arial" w:eastAsia="Calibri" w:hAnsi="Arial" w:cs="Arial"/>
                <w:snapToGrid w:val="0"/>
                <w:sz w:val="24"/>
                <w:szCs w:val="24"/>
                <w:lang w:val="en-GB"/>
              </w:rPr>
            </w:pPr>
          </w:p>
        </w:tc>
        <w:tc>
          <w:tcPr>
            <w:tcW w:w="1134" w:type="dxa"/>
            <w:tcBorders>
              <w:left w:val="single" w:sz="4" w:space="0" w:color="auto"/>
              <w:right w:val="single" w:sz="4" w:space="0" w:color="auto"/>
            </w:tcBorders>
            <w:shd w:val="clear" w:color="auto" w:fill="C6D9F1"/>
            <w:vAlign w:val="center"/>
          </w:tcPr>
          <w:p w14:paraId="27E346B5"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£15m</w:t>
            </w:r>
          </w:p>
        </w:tc>
        <w:tc>
          <w:tcPr>
            <w:tcW w:w="1134" w:type="dxa"/>
            <w:tcBorders>
              <w:left w:val="single" w:sz="4" w:space="0" w:color="auto"/>
              <w:right w:val="single" w:sz="4" w:space="0" w:color="auto"/>
            </w:tcBorders>
            <w:shd w:val="clear" w:color="auto" w:fill="C6D9F1"/>
            <w:vAlign w:val="center"/>
          </w:tcPr>
          <w:p w14:paraId="551C68F1"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6</w:t>
            </w:r>
          </w:p>
        </w:tc>
      </w:tr>
      <w:tr w:rsidR="000729CF" w:rsidRPr="000729CF" w14:paraId="6FDECAA8" w14:textId="77777777" w:rsidTr="00BC26AB">
        <w:trPr>
          <w:cantSplit/>
        </w:trPr>
        <w:tc>
          <w:tcPr>
            <w:tcW w:w="3403" w:type="dxa"/>
            <w:tcBorders>
              <w:left w:val="single" w:sz="4" w:space="0" w:color="auto"/>
              <w:right w:val="single" w:sz="4" w:space="0" w:color="auto"/>
            </w:tcBorders>
            <w:vAlign w:val="center"/>
          </w:tcPr>
          <w:p w14:paraId="2720746C" w14:textId="77777777" w:rsidR="000729CF" w:rsidRPr="000729CF" w:rsidRDefault="000729CF" w:rsidP="000729CF">
            <w:pPr>
              <w:spacing w:line="276" w:lineRule="auto"/>
              <w:rPr>
                <w:rFonts w:ascii="Arial" w:eastAsia="Calibri" w:hAnsi="Arial" w:cs="Arial"/>
                <w:snapToGrid w:val="0"/>
                <w:sz w:val="24"/>
                <w:szCs w:val="24"/>
                <w:u w:val="single"/>
                <w:lang w:val="en-GB"/>
              </w:rPr>
            </w:pPr>
            <w:r w:rsidRPr="000729CF">
              <w:rPr>
                <w:rFonts w:ascii="Arial" w:eastAsia="Calibri" w:hAnsi="Arial" w:cs="Arial"/>
                <w:snapToGrid w:val="0"/>
                <w:sz w:val="24"/>
                <w:szCs w:val="24"/>
                <w:lang w:val="en-GB"/>
              </w:rPr>
              <w:t>Leeds (5)</w:t>
            </w:r>
          </w:p>
        </w:tc>
        <w:tc>
          <w:tcPr>
            <w:tcW w:w="1276" w:type="dxa"/>
            <w:gridSpan w:val="2"/>
            <w:tcBorders>
              <w:left w:val="single" w:sz="4" w:space="0" w:color="auto"/>
              <w:right w:val="single" w:sz="4" w:space="0" w:color="auto"/>
            </w:tcBorders>
            <w:vAlign w:val="center"/>
          </w:tcPr>
          <w:p w14:paraId="231F103A"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Specified</w:t>
            </w:r>
          </w:p>
        </w:tc>
        <w:tc>
          <w:tcPr>
            <w:tcW w:w="709" w:type="dxa"/>
            <w:tcBorders>
              <w:left w:val="single" w:sz="4" w:space="0" w:color="auto"/>
              <w:right w:val="single" w:sz="4" w:space="0" w:color="auto"/>
            </w:tcBorders>
            <w:shd w:val="clear" w:color="auto" w:fill="auto"/>
            <w:vAlign w:val="center"/>
          </w:tcPr>
          <w:p w14:paraId="79BE555D"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F1</w:t>
            </w:r>
          </w:p>
        </w:tc>
        <w:tc>
          <w:tcPr>
            <w:tcW w:w="567" w:type="dxa"/>
            <w:tcBorders>
              <w:left w:val="single" w:sz="4" w:space="0" w:color="auto"/>
              <w:right w:val="single" w:sz="4" w:space="0" w:color="auto"/>
            </w:tcBorders>
            <w:shd w:val="clear" w:color="auto" w:fill="auto"/>
            <w:vAlign w:val="center"/>
          </w:tcPr>
          <w:p w14:paraId="15DDB7E4"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P-2</w:t>
            </w:r>
          </w:p>
        </w:tc>
        <w:tc>
          <w:tcPr>
            <w:tcW w:w="709" w:type="dxa"/>
            <w:tcBorders>
              <w:left w:val="single" w:sz="4" w:space="0" w:color="auto"/>
              <w:right w:val="single" w:sz="4" w:space="0" w:color="auto"/>
            </w:tcBorders>
            <w:shd w:val="clear" w:color="auto" w:fill="auto"/>
            <w:vAlign w:val="center"/>
          </w:tcPr>
          <w:p w14:paraId="75E456E7" w14:textId="77777777" w:rsidR="000729CF" w:rsidRPr="000729CF" w:rsidRDefault="000729CF" w:rsidP="000729CF">
            <w:pPr>
              <w:spacing w:line="276" w:lineRule="auto"/>
              <w:jc w:val="center"/>
              <w:rPr>
                <w:rFonts w:ascii="Arial" w:eastAsia="Calibri" w:hAnsi="Arial" w:cs="Arial"/>
                <w:snapToGrid w:val="0"/>
                <w:sz w:val="24"/>
                <w:szCs w:val="24"/>
                <w:lang w:val="en-GB"/>
              </w:rPr>
            </w:pPr>
          </w:p>
        </w:tc>
        <w:tc>
          <w:tcPr>
            <w:tcW w:w="851" w:type="dxa"/>
            <w:gridSpan w:val="2"/>
            <w:tcBorders>
              <w:left w:val="single" w:sz="4" w:space="0" w:color="auto"/>
              <w:right w:val="single" w:sz="4" w:space="0" w:color="auto"/>
            </w:tcBorders>
            <w:shd w:val="clear" w:color="auto" w:fill="auto"/>
            <w:vAlign w:val="center"/>
          </w:tcPr>
          <w:p w14:paraId="53E6DB25"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w:t>
            </w:r>
          </w:p>
        </w:tc>
        <w:tc>
          <w:tcPr>
            <w:tcW w:w="850" w:type="dxa"/>
            <w:tcBorders>
              <w:left w:val="single" w:sz="4" w:space="0" w:color="auto"/>
              <w:right w:val="single" w:sz="4" w:space="0" w:color="auto"/>
            </w:tcBorders>
            <w:shd w:val="clear" w:color="auto" w:fill="auto"/>
            <w:vAlign w:val="center"/>
          </w:tcPr>
          <w:p w14:paraId="5A7204C3"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A3</w:t>
            </w:r>
          </w:p>
        </w:tc>
        <w:tc>
          <w:tcPr>
            <w:tcW w:w="850" w:type="dxa"/>
            <w:tcBorders>
              <w:left w:val="single" w:sz="4" w:space="0" w:color="auto"/>
              <w:right w:val="single" w:sz="4" w:space="0" w:color="auto"/>
            </w:tcBorders>
            <w:shd w:val="clear" w:color="auto" w:fill="auto"/>
            <w:vAlign w:val="center"/>
          </w:tcPr>
          <w:p w14:paraId="632DA360" w14:textId="77777777" w:rsidR="000729CF" w:rsidRPr="000729CF" w:rsidRDefault="000729CF" w:rsidP="000729CF">
            <w:pPr>
              <w:spacing w:line="276" w:lineRule="auto"/>
              <w:jc w:val="center"/>
              <w:rPr>
                <w:rFonts w:ascii="Arial" w:eastAsia="Calibri" w:hAnsi="Arial" w:cs="Arial"/>
                <w:snapToGrid w:val="0"/>
                <w:sz w:val="24"/>
                <w:szCs w:val="24"/>
                <w:lang w:val="en-GB"/>
              </w:rPr>
            </w:pPr>
          </w:p>
        </w:tc>
        <w:tc>
          <w:tcPr>
            <w:tcW w:w="1134" w:type="dxa"/>
            <w:tcBorders>
              <w:left w:val="single" w:sz="4" w:space="0" w:color="auto"/>
              <w:right w:val="single" w:sz="4" w:space="0" w:color="auto"/>
            </w:tcBorders>
            <w:shd w:val="clear" w:color="auto" w:fill="auto"/>
            <w:vAlign w:val="center"/>
          </w:tcPr>
          <w:p w14:paraId="68E18159"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£15m</w:t>
            </w:r>
          </w:p>
        </w:tc>
        <w:tc>
          <w:tcPr>
            <w:tcW w:w="1134" w:type="dxa"/>
            <w:tcBorders>
              <w:left w:val="single" w:sz="4" w:space="0" w:color="auto"/>
              <w:right w:val="single" w:sz="4" w:space="0" w:color="auto"/>
            </w:tcBorders>
            <w:shd w:val="clear" w:color="auto" w:fill="auto"/>
            <w:vAlign w:val="center"/>
          </w:tcPr>
          <w:p w14:paraId="2E2C2D9E"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6</w:t>
            </w:r>
          </w:p>
        </w:tc>
      </w:tr>
      <w:tr w:rsidR="000729CF" w:rsidRPr="000729CF" w14:paraId="4E3010BE" w14:textId="77777777" w:rsidTr="00BC26AB">
        <w:trPr>
          <w:cantSplit/>
        </w:trPr>
        <w:tc>
          <w:tcPr>
            <w:tcW w:w="3403" w:type="dxa"/>
            <w:tcBorders>
              <w:left w:val="single" w:sz="4" w:space="0" w:color="auto"/>
              <w:right w:val="single" w:sz="4" w:space="0" w:color="auto"/>
            </w:tcBorders>
            <w:shd w:val="clear" w:color="auto" w:fill="C6D9F1"/>
            <w:vAlign w:val="center"/>
          </w:tcPr>
          <w:p w14:paraId="51117B14" w14:textId="77777777" w:rsidR="000729CF" w:rsidRPr="000729CF" w:rsidRDefault="000729CF" w:rsidP="000729CF">
            <w:pPr>
              <w:spacing w:line="276" w:lineRule="auto"/>
              <w:rPr>
                <w:rFonts w:ascii="Arial" w:eastAsia="Calibri" w:hAnsi="Arial" w:cs="Arial"/>
                <w:snapToGrid w:val="0"/>
                <w:sz w:val="24"/>
                <w:szCs w:val="24"/>
                <w:lang w:val="en-GB"/>
              </w:rPr>
            </w:pPr>
            <w:r w:rsidRPr="000729CF">
              <w:rPr>
                <w:rFonts w:ascii="Arial" w:eastAsia="Calibri" w:hAnsi="Arial" w:cs="Arial"/>
                <w:snapToGrid w:val="0"/>
                <w:sz w:val="24"/>
                <w:szCs w:val="24"/>
                <w:lang w:val="en-GB"/>
              </w:rPr>
              <w:t>Nationwide (1)</w:t>
            </w:r>
          </w:p>
        </w:tc>
        <w:tc>
          <w:tcPr>
            <w:tcW w:w="1276" w:type="dxa"/>
            <w:gridSpan w:val="2"/>
            <w:tcBorders>
              <w:left w:val="single" w:sz="4" w:space="0" w:color="auto"/>
              <w:right w:val="single" w:sz="4" w:space="0" w:color="auto"/>
            </w:tcBorders>
            <w:shd w:val="clear" w:color="auto" w:fill="C6D9F1"/>
            <w:vAlign w:val="center"/>
          </w:tcPr>
          <w:p w14:paraId="26AB8569"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Specified</w:t>
            </w:r>
          </w:p>
        </w:tc>
        <w:tc>
          <w:tcPr>
            <w:tcW w:w="709" w:type="dxa"/>
            <w:tcBorders>
              <w:left w:val="single" w:sz="4" w:space="0" w:color="auto"/>
              <w:right w:val="single" w:sz="4" w:space="0" w:color="auto"/>
            </w:tcBorders>
            <w:shd w:val="clear" w:color="auto" w:fill="C6D9F1"/>
            <w:vAlign w:val="center"/>
          </w:tcPr>
          <w:p w14:paraId="1D29CA23"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F1</w:t>
            </w:r>
          </w:p>
        </w:tc>
        <w:tc>
          <w:tcPr>
            <w:tcW w:w="567" w:type="dxa"/>
            <w:tcBorders>
              <w:left w:val="single" w:sz="4" w:space="0" w:color="auto"/>
              <w:right w:val="single" w:sz="4" w:space="0" w:color="auto"/>
            </w:tcBorders>
            <w:shd w:val="clear" w:color="auto" w:fill="C6D9F1"/>
            <w:vAlign w:val="center"/>
          </w:tcPr>
          <w:p w14:paraId="673C7502"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P-1</w:t>
            </w:r>
          </w:p>
        </w:tc>
        <w:tc>
          <w:tcPr>
            <w:tcW w:w="709" w:type="dxa"/>
            <w:tcBorders>
              <w:left w:val="single" w:sz="4" w:space="0" w:color="auto"/>
              <w:right w:val="single" w:sz="4" w:space="0" w:color="auto"/>
            </w:tcBorders>
            <w:shd w:val="clear" w:color="auto" w:fill="C6D9F1"/>
            <w:vAlign w:val="center"/>
          </w:tcPr>
          <w:p w14:paraId="1561B4D5"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A-1</w:t>
            </w:r>
          </w:p>
        </w:tc>
        <w:tc>
          <w:tcPr>
            <w:tcW w:w="851" w:type="dxa"/>
            <w:gridSpan w:val="2"/>
            <w:tcBorders>
              <w:left w:val="single" w:sz="4" w:space="0" w:color="auto"/>
              <w:right w:val="single" w:sz="4" w:space="0" w:color="auto"/>
            </w:tcBorders>
            <w:shd w:val="clear" w:color="auto" w:fill="C6D9F1"/>
            <w:vAlign w:val="center"/>
          </w:tcPr>
          <w:p w14:paraId="60630075"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w:t>
            </w:r>
          </w:p>
        </w:tc>
        <w:tc>
          <w:tcPr>
            <w:tcW w:w="850" w:type="dxa"/>
            <w:tcBorders>
              <w:left w:val="single" w:sz="4" w:space="0" w:color="auto"/>
              <w:right w:val="single" w:sz="4" w:space="0" w:color="auto"/>
            </w:tcBorders>
            <w:shd w:val="clear" w:color="auto" w:fill="C6D9F1"/>
            <w:vAlign w:val="center"/>
          </w:tcPr>
          <w:p w14:paraId="5115615E"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A1</w:t>
            </w:r>
          </w:p>
        </w:tc>
        <w:tc>
          <w:tcPr>
            <w:tcW w:w="850" w:type="dxa"/>
            <w:tcBorders>
              <w:left w:val="single" w:sz="4" w:space="0" w:color="auto"/>
              <w:right w:val="single" w:sz="4" w:space="0" w:color="auto"/>
            </w:tcBorders>
            <w:shd w:val="clear" w:color="auto" w:fill="C6D9F1"/>
            <w:vAlign w:val="center"/>
          </w:tcPr>
          <w:p w14:paraId="3C453D53"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w:t>
            </w:r>
          </w:p>
        </w:tc>
        <w:tc>
          <w:tcPr>
            <w:tcW w:w="1134" w:type="dxa"/>
            <w:tcBorders>
              <w:left w:val="single" w:sz="4" w:space="0" w:color="auto"/>
              <w:right w:val="single" w:sz="4" w:space="0" w:color="auto"/>
            </w:tcBorders>
            <w:shd w:val="clear" w:color="auto" w:fill="C6D9F1"/>
            <w:vAlign w:val="center"/>
          </w:tcPr>
          <w:p w14:paraId="474E5B64"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£20m</w:t>
            </w:r>
          </w:p>
        </w:tc>
        <w:tc>
          <w:tcPr>
            <w:tcW w:w="1134" w:type="dxa"/>
            <w:tcBorders>
              <w:left w:val="single" w:sz="4" w:space="0" w:color="auto"/>
              <w:right w:val="single" w:sz="4" w:space="0" w:color="auto"/>
            </w:tcBorders>
            <w:shd w:val="clear" w:color="auto" w:fill="C6D9F1"/>
            <w:vAlign w:val="center"/>
          </w:tcPr>
          <w:p w14:paraId="2414D4AF"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12</w:t>
            </w:r>
          </w:p>
        </w:tc>
      </w:tr>
      <w:tr w:rsidR="000729CF" w:rsidRPr="000729CF" w14:paraId="62709B5B" w14:textId="77777777" w:rsidTr="00BC26AB">
        <w:trPr>
          <w:cantSplit/>
        </w:trPr>
        <w:tc>
          <w:tcPr>
            <w:tcW w:w="3403" w:type="dxa"/>
            <w:tcBorders>
              <w:left w:val="single" w:sz="4" w:space="0" w:color="auto"/>
              <w:right w:val="single" w:sz="4" w:space="0" w:color="auto"/>
            </w:tcBorders>
            <w:vAlign w:val="center"/>
          </w:tcPr>
          <w:p w14:paraId="24FF3AB1" w14:textId="77777777" w:rsidR="000729CF" w:rsidRPr="000729CF" w:rsidRDefault="000729CF" w:rsidP="000729CF">
            <w:pPr>
              <w:spacing w:line="276" w:lineRule="auto"/>
              <w:rPr>
                <w:rFonts w:ascii="Arial" w:eastAsia="Calibri" w:hAnsi="Arial" w:cs="Arial"/>
                <w:snapToGrid w:val="0"/>
                <w:sz w:val="24"/>
                <w:szCs w:val="24"/>
                <w:lang w:val="en-GB"/>
              </w:rPr>
            </w:pPr>
            <w:r w:rsidRPr="000729CF">
              <w:rPr>
                <w:rFonts w:ascii="Arial" w:eastAsia="Calibri" w:hAnsi="Arial" w:cs="Arial"/>
                <w:snapToGrid w:val="0"/>
                <w:sz w:val="24"/>
                <w:szCs w:val="24"/>
                <w:lang w:val="en-GB"/>
              </w:rPr>
              <w:t>Principality (6)</w:t>
            </w:r>
          </w:p>
        </w:tc>
        <w:tc>
          <w:tcPr>
            <w:tcW w:w="1276" w:type="dxa"/>
            <w:gridSpan w:val="2"/>
            <w:tcBorders>
              <w:left w:val="single" w:sz="4" w:space="0" w:color="auto"/>
              <w:right w:val="single" w:sz="4" w:space="0" w:color="auto"/>
            </w:tcBorders>
            <w:vAlign w:val="center"/>
          </w:tcPr>
          <w:p w14:paraId="6E7B60D4"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Specified</w:t>
            </w:r>
          </w:p>
        </w:tc>
        <w:tc>
          <w:tcPr>
            <w:tcW w:w="709" w:type="dxa"/>
            <w:tcBorders>
              <w:left w:val="single" w:sz="4" w:space="0" w:color="auto"/>
              <w:right w:val="single" w:sz="4" w:space="0" w:color="auto"/>
            </w:tcBorders>
            <w:shd w:val="clear" w:color="auto" w:fill="auto"/>
            <w:vAlign w:val="center"/>
          </w:tcPr>
          <w:p w14:paraId="0E3E9EA1"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F2</w:t>
            </w:r>
          </w:p>
        </w:tc>
        <w:tc>
          <w:tcPr>
            <w:tcW w:w="567" w:type="dxa"/>
            <w:tcBorders>
              <w:left w:val="single" w:sz="4" w:space="0" w:color="auto"/>
              <w:right w:val="single" w:sz="4" w:space="0" w:color="auto"/>
            </w:tcBorders>
            <w:shd w:val="clear" w:color="auto" w:fill="auto"/>
            <w:vAlign w:val="center"/>
          </w:tcPr>
          <w:p w14:paraId="13583279"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P-2</w:t>
            </w:r>
          </w:p>
        </w:tc>
        <w:tc>
          <w:tcPr>
            <w:tcW w:w="709" w:type="dxa"/>
            <w:tcBorders>
              <w:left w:val="single" w:sz="4" w:space="0" w:color="auto"/>
              <w:right w:val="single" w:sz="4" w:space="0" w:color="auto"/>
            </w:tcBorders>
            <w:shd w:val="clear" w:color="auto" w:fill="auto"/>
            <w:vAlign w:val="center"/>
          </w:tcPr>
          <w:p w14:paraId="39951756" w14:textId="77777777" w:rsidR="000729CF" w:rsidRPr="000729CF" w:rsidRDefault="000729CF" w:rsidP="000729CF">
            <w:pPr>
              <w:spacing w:line="276" w:lineRule="auto"/>
              <w:jc w:val="center"/>
              <w:rPr>
                <w:rFonts w:ascii="Arial" w:eastAsia="Calibri" w:hAnsi="Arial" w:cs="Arial"/>
                <w:snapToGrid w:val="0"/>
                <w:sz w:val="24"/>
                <w:szCs w:val="24"/>
                <w:lang w:val="en-GB"/>
              </w:rPr>
            </w:pPr>
          </w:p>
        </w:tc>
        <w:tc>
          <w:tcPr>
            <w:tcW w:w="851" w:type="dxa"/>
            <w:gridSpan w:val="2"/>
            <w:tcBorders>
              <w:left w:val="single" w:sz="4" w:space="0" w:color="auto"/>
              <w:right w:val="single" w:sz="4" w:space="0" w:color="auto"/>
            </w:tcBorders>
            <w:shd w:val="clear" w:color="auto" w:fill="auto"/>
            <w:vAlign w:val="center"/>
          </w:tcPr>
          <w:p w14:paraId="27AD0DBE"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BBB+</w:t>
            </w:r>
          </w:p>
        </w:tc>
        <w:tc>
          <w:tcPr>
            <w:tcW w:w="850" w:type="dxa"/>
            <w:tcBorders>
              <w:left w:val="single" w:sz="4" w:space="0" w:color="auto"/>
              <w:right w:val="single" w:sz="4" w:space="0" w:color="auto"/>
            </w:tcBorders>
            <w:shd w:val="clear" w:color="auto" w:fill="auto"/>
            <w:vAlign w:val="center"/>
          </w:tcPr>
          <w:p w14:paraId="34F50126"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Baa1</w:t>
            </w:r>
          </w:p>
        </w:tc>
        <w:tc>
          <w:tcPr>
            <w:tcW w:w="850" w:type="dxa"/>
            <w:tcBorders>
              <w:left w:val="single" w:sz="4" w:space="0" w:color="auto"/>
              <w:right w:val="single" w:sz="4" w:space="0" w:color="auto"/>
            </w:tcBorders>
            <w:shd w:val="clear" w:color="auto" w:fill="auto"/>
            <w:vAlign w:val="center"/>
          </w:tcPr>
          <w:p w14:paraId="3639E174" w14:textId="77777777" w:rsidR="000729CF" w:rsidRPr="000729CF" w:rsidRDefault="000729CF" w:rsidP="000729CF">
            <w:pPr>
              <w:spacing w:line="276" w:lineRule="auto"/>
              <w:jc w:val="center"/>
              <w:rPr>
                <w:rFonts w:ascii="Arial" w:eastAsia="Calibri" w:hAnsi="Arial" w:cs="Arial"/>
                <w:snapToGrid w:val="0"/>
                <w:sz w:val="24"/>
                <w:szCs w:val="24"/>
                <w:lang w:val="en-GB"/>
              </w:rPr>
            </w:pPr>
          </w:p>
        </w:tc>
        <w:tc>
          <w:tcPr>
            <w:tcW w:w="1134" w:type="dxa"/>
            <w:tcBorders>
              <w:left w:val="single" w:sz="4" w:space="0" w:color="auto"/>
              <w:right w:val="single" w:sz="4" w:space="0" w:color="auto"/>
            </w:tcBorders>
            <w:shd w:val="clear" w:color="auto" w:fill="auto"/>
            <w:vAlign w:val="center"/>
          </w:tcPr>
          <w:p w14:paraId="658AE007"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£15m</w:t>
            </w:r>
          </w:p>
        </w:tc>
        <w:tc>
          <w:tcPr>
            <w:tcW w:w="1134" w:type="dxa"/>
            <w:tcBorders>
              <w:left w:val="single" w:sz="4" w:space="0" w:color="auto"/>
              <w:right w:val="single" w:sz="4" w:space="0" w:color="auto"/>
            </w:tcBorders>
            <w:shd w:val="clear" w:color="auto" w:fill="auto"/>
            <w:vAlign w:val="center"/>
          </w:tcPr>
          <w:p w14:paraId="1BC151EC"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6</w:t>
            </w:r>
          </w:p>
        </w:tc>
      </w:tr>
      <w:tr w:rsidR="000729CF" w:rsidRPr="000729CF" w14:paraId="26C79A63" w14:textId="77777777" w:rsidTr="00BC26AB">
        <w:trPr>
          <w:cantSplit/>
        </w:trPr>
        <w:tc>
          <w:tcPr>
            <w:tcW w:w="3403" w:type="dxa"/>
            <w:tcBorders>
              <w:left w:val="single" w:sz="4" w:space="0" w:color="auto"/>
              <w:right w:val="single" w:sz="4" w:space="0" w:color="auto"/>
            </w:tcBorders>
            <w:shd w:val="clear" w:color="auto" w:fill="C6D9F1"/>
            <w:vAlign w:val="center"/>
          </w:tcPr>
          <w:p w14:paraId="1504DCFC" w14:textId="77777777" w:rsidR="000729CF" w:rsidRPr="000729CF" w:rsidRDefault="000729CF" w:rsidP="000729CF">
            <w:pPr>
              <w:spacing w:line="276" w:lineRule="auto"/>
              <w:rPr>
                <w:rFonts w:ascii="Arial" w:eastAsia="Calibri" w:hAnsi="Arial" w:cs="Arial"/>
                <w:snapToGrid w:val="0"/>
                <w:sz w:val="24"/>
                <w:szCs w:val="24"/>
                <w:lang w:val="en-GB"/>
              </w:rPr>
            </w:pPr>
            <w:r w:rsidRPr="000729CF">
              <w:rPr>
                <w:rFonts w:ascii="Arial" w:eastAsia="Calibri" w:hAnsi="Arial" w:cs="Arial"/>
                <w:snapToGrid w:val="0"/>
                <w:sz w:val="24"/>
                <w:szCs w:val="24"/>
                <w:lang w:val="en-GB"/>
              </w:rPr>
              <w:t>Skipton (4)</w:t>
            </w:r>
          </w:p>
        </w:tc>
        <w:tc>
          <w:tcPr>
            <w:tcW w:w="1276" w:type="dxa"/>
            <w:gridSpan w:val="2"/>
            <w:tcBorders>
              <w:left w:val="single" w:sz="4" w:space="0" w:color="auto"/>
              <w:right w:val="single" w:sz="4" w:space="0" w:color="auto"/>
            </w:tcBorders>
            <w:shd w:val="clear" w:color="auto" w:fill="C6D9F1"/>
            <w:vAlign w:val="center"/>
          </w:tcPr>
          <w:p w14:paraId="769E6ABD"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Specified</w:t>
            </w:r>
          </w:p>
        </w:tc>
        <w:tc>
          <w:tcPr>
            <w:tcW w:w="709" w:type="dxa"/>
            <w:tcBorders>
              <w:left w:val="single" w:sz="4" w:space="0" w:color="auto"/>
              <w:right w:val="single" w:sz="4" w:space="0" w:color="auto"/>
            </w:tcBorders>
            <w:shd w:val="clear" w:color="auto" w:fill="C6D9F1"/>
            <w:vAlign w:val="center"/>
          </w:tcPr>
          <w:p w14:paraId="3671C188"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F1</w:t>
            </w:r>
          </w:p>
        </w:tc>
        <w:tc>
          <w:tcPr>
            <w:tcW w:w="567" w:type="dxa"/>
            <w:tcBorders>
              <w:left w:val="single" w:sz="4" w:space="0" w:color="auto"/>
              <w:right w:val="single" w:sz="4" w:space="0" w:color="auto"/>
            </w:tcBorders>
            <w:shd w:val="clear" w:color="auto" w:fill="C6D9F1"/>
            <w:vAlign w:val="center"/>
          </w:tcPr>
          <w:p w14:paraId="451A5566"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P-1</w:t>
            </w:r>
          </w:p>
        </w:tc>
        <w:tc>
          <w:tcPr>
            <w:tcW w:w="709" w:type="dxa"/>
            <w:tcBorders>
              <w:left w:val="single" w:sz="4" w:space="0" w:color="auto"/>
              <w:right w:val="single" w:sz="4" w:space="0" w:color="auto"/>
            </w:tcBorders>
            <w:shd w:val="clear" w:color="auto" w:fill="C6D9F1"/>
            <w:vAlign w:val="center"/>
          </w:tcPr>
          <w:p w14:paraId="1E4AFF7A" w14:textId="77777777" w:rsidR="000729CF" w:rsidRPr="000729CF" w:rsidRDefault="000729CF" w:rsidP="000729CF">
            <w:pPr>
              <w:spacing w:line="276" w:lineRule="auto"/>
              <w:jc w:val="center"/>
              <w:rPr>
                <w:rFonts w:ascii="Arial" w:eastAsia="Calibri" w:hAnsi="Arial" w:cs="Arial"/>
                <w:snapToGrid w:val="0"/>
                <w:sz w:val="24"/>
                <w:szCs w:val="24"/>
                <w:lang w:val="en-GB"/>
              </w:rPr>
            </w:pPr>
          </w:p>
        </w:tc>
        <w:tc>
          <w:tcPr>
            <w:tcW w:w="851" w:type="dxa"/>
            <w:gridSpan w:val="2"/>
            <w:tcBorders>
              <w:left w:val="single" w:sz="4" w:space="0" w:color="auto"/>
              <w:right w:val="single" w:sz="4" w:space="0" w:color="auto"/>
            </w:tcBorders>
            <w:shd w:val="clear" w:color="auto" w:fill="C6D9F1"/>
            <w:vAlign w:val="center"/>
          </w:tcPr>
          <w:p w14:paraId="3E37A17E"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w:t>
            </w:r>
          </w:p>
        </w:tc>
        <w:tc>
          <w:tcPr>
            <w:tcW w:w="850" w:type="dxa"/>
            <w:tcBorders>
              <w:left w:val="single" w:sz="4" w:space="0" w:color="auto"/>
              <w:right w:val="single" w:sz="4" w:space="0" w:color="auto"/>
            </w:tcBorders>
            <w:shd w:val="clear" w:color="auto" w:fill="C6D9F1"/>
            <w:vAlign w:val="center"/>
          </w:tcPr>
          <w:p w14:paraId="773B451F"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A2</w:t>
            </w:r>
          </w:p>
        </w:tc>
        <w:tc>
          <w:tcPr>
            <w:tcW w:w="850" w:type="dxa"/>
            <w:tcBorders>
              <w:left w:val="single" w:sz="4" w:space="0" w:color="auto"/>
              <w:right w:val="single" w:sz="4" w:space="0" w:color="auto"/>
            </w:tcBorders>
            <w:shd w:val="clear" w:color="auto" w:fill="C6D9F1"/>
            <w:vAlign w:val="center"/>
          </w:tcPr>
          <w:p w14:paraId="37D7BB1C" w14:textId="77777777" w:rsidR="000729CF" w:rsidRPr="000729CF" w:rsidRDefault="000729CF" w:rsidP="000729CF">
            <w:pPr>
              <w:spacing w:line="276" w:lineRule="auto"/>
              <w:jc w:val="center"/>
              <w:rPr>
                <w:rFonts w:ascii="Arial" w:eastAsia="Calibri" w:hAnsi="Arial" w:cs="Arial"/>
                <w:snapToGrid w:val="0"/>
                <w:sz w:val="24"/>
                <w:szCs w:val="24"/>
                <w:lang w:val="en-GB"/>
              </w:rPr>
            </w:pPr>
          </w:p>
        </w:tc>
        <w:tc>
          <w:tcPr>
            <w:tcW w:w="1134" w:type="dxa"/>
            <w:tcBorders>
              <w:left w:val="single" w:sz="4" w:space="0" w:color="auto"/>
              <w:right w:val="single" w:sz="4" w:space="0" w:color="auto"/>
            </w:tcBorders>
            <w:shd w:val="clear" w:color="auto" w:fill="C6D9F1"/>
            <w:vAlign w:val="center"/>
          </w:tcPr>
          <w:p w14:paraId="6A31FCF5"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£15m</w:t>
            </w:r>
          </w:p>
        </w:tc>
        <w:tc>
          <w:tcPr>
            <w:tcW w:w="1134" w:type="dxa"/>
            <w:tcBorders>
              <w:left w:val="single" w:sz="4" w:space="0" w:color="auto"/>
              <w:right w:val="single" w:sz="4" w:space="0" w:color="auto"/>
            </w:tcBorders>
            <w:shd w:val="clear" w:color="auto" w:fill="C6D9F1"/>
            <w:vAlign w:val="center"/>
          </w:tcPr>
          <w:p w14:paraId="1AC23067"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6</w:t>
            </w:r>
          </w:p>
        </w:tc>
      </w:tr>
      <w:tr w:rsidR="000729CF" w:rsidRPr="000729CF" w14:paraId="3037A765" w14:textId="77777777" w:rsidTr="00BC26AB">
        <w:trPr>
          <w:cantSplit/>
        </w:trPr>
        <w:tc>
          <w:tcPr>
            <w:tcW w:w="3403" w:type="dxa"/>
            <w:tcBorders>
              <w:left w:val="single" w:sz="4" w:space="0" w:color="auto"/>
              <w:bottom w:val="single" w:sz="4" w:space="0" w:color="auto"/>
              <w:right w:val="single" w:sz="4" w:space="0" w:color="auto"/>
            </w:tcBorders>
            <w:vAlign w:val="center"/>
          </w:tcPr>
          <w:p w14:paraId="527A9FEE" w14:textId="77777777" w:rsidR="000729CF" w:rsidRPr="000729CF" w:rsidRDefault="000729CF" w:rsidP="000729CF">
            <w:pPr>
              <w:spacing w:line="276" w:lineRule="auto"/>
              <w:rPr>
                <w:rFonts w:ascii="Arial" w:eastAsia="Calibri" w:hAnsi="Arial" w:cs="Arial"/>
                <w:snapToGrid w:val="0"/>
                <w:sz w:val="24"/>
                <w:szCs w:val="24"/>
                <w:lang w:val="en-GB"/>
              </w:rPr>
            </w:pPr>
            <w:r w:rsidRPr="000729CF">
              <w:rPr>
                <w:rFonts w:ascii="Arial" w:eastAsia="Calibri" w:hAnsi="Arial" w:cs="Arial"/>
                <w:snapToGrid w:val="0"/>
                <w:sz w:val="24"/>
                <w:szCs w:val="24"/>
                <w:lang w:val="en-GB"/>
              </w:rPr>
              <w:t>Yorkshire (3)</w:t>
            </w:r>
          </w:p>
        </w:tc>
        <w:tc>
          <w:tcPr>
            <w:tcW w:w="1276" w:type="dxa"/>
            <w:gridSpan w:val="2"/>
            <w:tcBorders>
              <w:left w:val="single" w:sz="4" w:space="0" w:color="auto"/>
              <w:bottom w:val="single" w:sz="4" w:space="0" w:color="auto"/>
              <w:right w:val="single" w:sz="4" w:space="0" w:color="auto"/>
            </w:tcBorders>
            <w:vAlign w:val="center"/>
          </w:tcPr>
          <w:p w14:paraId="455650BE"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Specified</w:t>
            </w:r>
          </w:p>
        </w:tc>
        <w:tc>
          <w:tcPr>
            <w:tcW w:w="709" w:type="dxa"/>
            <w:tcBorders>
              <w:left w:val="single" w:sz="4" w:space="0" w:color="auto"/>
              <w:bottom w:val="single" w:sz="4" w:space="0" w:color="auto"/>
              <w:right w:val="single" w:sz="4" w:space="0" w:color="auto"/>
            </w:tcBorders>
            <w:shd w:val="clear" w:color="auto" w:fill="auto"/>
            <w:vAlign w:val="center"/>
          </w:tcPr>
          <w:p w14:paraId="1B64565A"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F1</w:t>
            </w:r>
          </w:p>
        </w:tc>
        <w:tc>
          <w:tcPr>
            <w:tcW w:w="567" w:type="dxa"/>
            <w:tcBorders>
              <w:left w:val="single" w:sz="4" w:space="0" w:color="auto"/>
              <w:bottom w:val="single" w:sz="4" w:space="0" w:color="auto"/>
              <w:right w:val="single" w:sz="4" w:space="0" w:color="auto"/>
            </w:tcBorders>
            <w:shd w:val="clear" w:color="auto" w:fill="auto"/>
            <w:vAlign w:val="center"/>
          </w:tcPr>
          <w:p w14:paraId="73517F8D"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P-2</w:t>
            </w:r>
          </w:p>
        </w:tc>
        <w:tc>
          <w:tcPr>
            <w:tcW w:w="709" w:type="dxa"/>
            <w:tcBorders>
              <w:left w:val="single" w:sz="4" w:space="0" w:color="auto"/>
              <w:bottom w:val="single" w:sz="4" w:space="0" w:color="auto"/>
              <w:right w:val="single" w:sz="4" w:space="0" w:color="auto"/>
            </w:tcBorders>
            <w:shd w:val="clear" w:color="auto" w:fill="auto"/>
            <w:vAlign w:val="center"/>
          </w:tcPr>
          <w:p w14:paraId="189741A8" w14:textId="77777777" w:rsidR="000729CF" w:rsidRPr="000729CF" w:rsidRDefault="000729CF" w:rsidP="000729CF">
            <w:pPr>
              <w:spacing w:line="276" w:lineRule="auto"/>
              <w:jc w:val="center"/>
              <w:rPr>
                <w:rFonts w:ascii="Arial" w:eastAsia="Calibri" w:hAnsi="Arial" w:cs="Arial"/>
                <w:snapToGrid w:val="0"/>
                <w:sz w:val="24"/>
                <w:szCs w:val="24"/>
                <w:lang w:val="en-GB"/>
              </w:rPr>
            </w:pPr>
          </w:p>
        </w:tc>
        <w:tc>
          <w:tcPr>
            <w:tcW w:w="851" w:type="dxa"/>
            <w:gridSpan w:val="2"/>
            <w:tcBorders>
              <w:left w:val="single" w:sz="4" w:space="0" w:color="auto"/>
              <w:bottom w:val="single" w:sz="4" w:space="0" w:color="auto"/>
              <w:right w:val="single" w:sz="4" w:space="0" w:color="auto"/>
            </w:tcBorders>
            <w:shd w:val="clear" w:color="auto" w:fill="auto"/>
            <w:vAlign w:val="center"/>
          </w:tcPr>
          <w:p w14:paraId="7DBE8033"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w:t>
            </w:r>
          </w:p>
        </w:tc>
        <w:tc>
          <w:tcPr>
            <w:tcW w:w="850" w:type="dxa"/>
            <w:tcBorders>
              <w:left w:val="single" w:sz="4" w:space="0" w:color="auto"/>
              <w:bottom w:val="single" w:sz="4" w:space="0" w:color="auto"/>
              <w:right w:val="single" w:sz="4" w:space="0" w:color="auto"/>
            </w:tcBorders>
            <w:shd w:val="clear" w:color="auto" w:fill="auto"/>
            <w:vAlign w:val="center"/>
          </w:tcPr>
          <w:p w14:paraId="1049313F"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A3</w:t>
            </w:r>
          </w:p>
        </w:tc>
        <w:tc>
          <w:tcPr>
            <w:tcW w:w="850" w:type="dxa"/>
            <w:tcBorders>
              <w:left w:val="single" w:sz="4" w:space="0" w:color="auto"/>
              <w:bottom w:val="single" w:sz="4" w:space="0" w:color="auto"/>
              <w:right w:val="single" w:sz="4" w:space="0" w:color="auto"/>
            </w:tcBorders>
            <w:shd w:val="clear" w:color="auto" w:fill="auto"/>
            <w:vAlign w:val="center"/>
          </w:tcPr>
          <w:p w14:paraId="62F2F628" w14:textId="77777777" w:rsidR="000729CF" w:rsidRPr="000729CF" w:rsidRDefault="000729CF" w:rsidP="000729CF">
            <w:pPr>
              <w:spacing w:line="276" w:lineRule="auto"/>
              <w:jc w:val="center"/>
              <w:rPr>
                <w:rFonts w:ascii="Arial" w:eastAsia="Calibri" w:hAnsi="Arial" w:cs="Arial"/>
                <w:snapToGrid w:val="0"/>
                <w:sz w:val="24"/>
                <w:szCs w:val="24"/>
                <w:lang w:val="en-GB"/>
              </w:rPr>
            </w:pPr>
          </w:p>
        </w:tc>
        <w:tc>
          <w:tcPr>
            <w:tcW w:w="1134" w:type="dxa"/>
            <w:tcBorders>
              <w:left w:val="single" w:sz="4" w:space="0" w:color="auto"/>
              <w:bottom w:val="single" w:sz="4" w:space="0" w:color="auto"/>
              <w:right w:val="single" w:sz="4" w:space="0" w:color="auto"/>
            </w:tcBorders>
            <w:shd w:val="clear" w:color="auto" w:fill="auto"/>
            <w:vAlign w:val="center"/>
          </w:tcPr>
          <w:p w14:paraId="1DDA462F"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£15m</w:t>
            </w:r>
          </w:p>
        </w:tc>
        <w:tc>
          <w:tcPr>
            <w:tcW w:w="1134" w:type="dxa"/>
            <w:tcBorders>
              <w:left w:val="single" w:sz="4" w:space="0" w:color="auto"/>
              <w:bottom w:val="single" w:sz="4" w:space="0" w:color="auto"/>
              <w:right w:val="single" w:sz="4" w:space="0" w:color="auto"/>
            </w:tcBorders>
            <w:shd w:val="clear" w:color="auto" w:fill="auto"/>
            <w:vAlign w:val="center"/>
          </w:tcPr>
          <w:p w14:paraId="59C330E5"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6</w:t>
            </w:r>
          </w:p>
        </w:tc>
      </w:tr>
      <w:tr w:rsidR="000729CF" w:rsidRPr="000729CF" w14:paraId="254C6E1E" w14:textId="77777777" w:rsidTr="00BC26AB">
        <w:trPr>
          <w:cantSplit/>
        </w:trPr>
        <w:tc>
          <w:tcPr>
            <w:tcW w:w="11483" w:type="dxa"/>
            <w:gridSpan w:val="12"/>
            <w:tcBorders>
              <w:top w:val="single" w:sz="4" w:space="0" w:color="auto"/>
              <w:left w:val="single" w:sz="4" w:space="0" w:color="auto"/>
              <w:right w:val="single" w:sz="4" w:space="0" w:color="auto"/>
            </w:tcBorders>
            <w:shd w:val="clear" w:color="auto" w:fill="002060"/>
            <w:vAlign w:val="center"/>
          </w:tcPr>
          <w:p w14:paraId="621D9E3D" w14:textId="77777777" w:rsidR="000729CF" w:rsidRPr="000729CF" w:rsidRDefault="000729CF" w:rsidP="000729CF">
            <w:pPr>
              <w:spacing w:line="276" w:lineRule="auto"/>
              <w:ind w:left="720"/>
              <w:rPr>
                <w:rFonts w:ascii="Arial" w:eastAsia="Calibri" w:hAnsi="Arial" w:cs="Arial"/>
                <w:b/>
                <w:snapToGrid w:val="0"/>
                <w:color w:val="FFFFFF"/>
                <w:sz w:val="24"/>
                <w:szCs w:val="24"/>
                <w:lang w:val="en-GB"/>
              </w:rPr>
            </w:pPr>
            <w:r w:rsidRPr="000729CF">
              <w:rPr>
                <w:rFonts w:ascii="Arial" w:eastAsia="Calibri" w:hAnsi="Arial" w:cs="Arial"/>
                <w:b/>
                <w:snapToGrid w:val="0"/>
                <w:color w:val="FFFFFF"/>
                <w:sz w:val="24"/>
                <w:szCs w:val="24"/>
                <w:lang w:val="en-GB"/>
              </w:rPr>
              <w:t>(3) Non-UK Banks</w:t>
            </w:r>
          </w:p>
        </w:tc>
      </w:tr>
      <w:tr w:rsidR="000729CF" w:rsidRPr="000729CF" w14:paraId="189CAA5D" w14:textId="77777777" w:rsidTr="00BC26AB">
        <w:trPr>
          <w:cantSplit/>
        </w:trPr>
        <w:tc>
          <w:tcPr>
            <w:tcW w:w="3403" w:type="dxa"/>
            <w:tcBorders>
              <w:left w:val="single" w:sz="4" w:space="0" w:color="auto"/>
              <w:right w:val="single" w:sz="4" w:space="0" w:color="auto"/>
            </w:tcBorders>
            <w:shd w:val="clear" w:color="auto" w:fill="C6D9F1"/>
            <w:vAlign w:val="center"/>
          </w:tcPr>
          <w:p w14:paraId="00293438" w14:textId="77777777" w:rsidR="000729CF" w:rsidRPr="000729CF" w:rsidRDefault="000729CF" w:rsidP="000729CF">
            <w:pPr>
              <w:spacing w:line="276" w:lineRule="auto"/>
              <w:rPr>
                <w:rFonts w:ascii="Arial" w:eastAsia="Calibri" w:hAnsi="Arial" w:cs="Arial"/>
                <w:snapToGrid w:val="0"/>
                <w:sz w:val="24"/>
                <w:szCs w:val="24"/>
                <w:lang w:val="en-GB"/>
              </w:rPr>
            </w:pPr>
            <w:r w:rsidRPr="000729CF">
              <w:rPr>
                <w:rFonts w:ascii="Arial" w:eastAsia="Calibri" w:hAnsi="Arial" w:cs="Arial"/>
                <w:snapToGrid w:val="0"/>
                <w:sz w:val="24"/>
                <w:szCs w:val="24"/>
                <w:lang w:val="en-GB"/>
              </w:rPr>
              <w:t>Toronto Dominion (Canada)</w:t>
            </w:r>
          </w:p>
        </w:tc>
        <w:tc>
          <w:tcPr>
            <w:tcW w:w="1276" w:type="dxa"/>
            <w:gridSpan w:val="2"/>
            <w:tcBorders>
              <w:left w:val="single" w:sz="4" w:space="0" w:color="auto"/>
              <w:right w:val="single" w:sz="4" w:space="0" w:color="auto"/>
            </w:tcBorders>
            <w:shd w:val="clear" w:color="auto" w:fill="C6D9F1"/>
            <w:vAlign w:val="center"/>
          </w:tcPr>
          <w:p w14:paraId="47C4E81D"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Both</w:t>
            </w:r>
          </w:p>
        </w:tc>
        <w:tc>
          <w:tcPr>
            <w:tcW w:w="709" w:type="dxa"/>
            <w:tcBorders>
              <w:left w:val="single" w:sz="4" w:space="0" w:color="auto"/>
              <w:right w:val="single" w:sz="4" w:space="0" w:color="auto"/>
            </w:tcBorders>
            <w:shd w:val="clear" w:color="auto" w:fill="C6D9F1"/>
            <w:vAlign w:val="center"/>
          </w:tcPr>
          <w:p w14:paraId="68097AF9"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F1+</w:t>
            </w:r>
          </w:p>
        </w:tc>
        <w:tc>
          <w:tcPr>
            <w:tcW w:w="567" w:type="dxa"/>
            <w:tcBorders>
              <w:left w:val="single" w:sz="4" w:space="0" w:color="auto"/>
              <w:right w:val="single" w:sz="4" w:space="0" w:color="auto"/>
            </w:tcBorders>
            <w:shd w:val="clear" w:color="auto" w:fill="C6D9F1"/>
            <w:vAlign w:val="center"/>
          </w:tcPr>
          <w:p w14:paraId="4EBF93E6"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P-1</w:t>
            </w:r>
          </w:p>
        </w:tc>
        <w:tc>
          <w:tcPr>
            <w:tcW w:w="709" w:type="dxa"/>
            <w:tcBorders>
              <w:left w:val="single" w:sz="4" w:space="0" w:color="auto"/>
              <w:right w:val="single" w:sz="4" w:space="0" w:color="auto"/>
            </w:tcBorders>
            <w:shd w:val="clear" w:color="auto" w:fill="C6D9F1"/>
            <w:vAlign w:val="center"/>
          </w:tcPr>
          <w:p w14:paraId="2699B88C" w14:textId="77777777" w:rsidR="000729CF" w:rsidRPr="000729CF" w:rsidRDefault="000729CF" w:rsidP="000729CF">
            <w:pPr>
              <w:spacing w:line="276" w:lineRule="auto"/>
              <w:jc w:val="center"/>
              <w:rPr>
                <w:rFonts w:ascii="Arial" w:eastAsia="Calibri" w:hAnsi="Arial" w:cs="Arial"/>
                <w:b/>
                <w:snapToGrid w:val="0"/>
                <w:sz w:val="24"/>
                <w:szCs w:val="24"/>
                <w:lang w:val="en-GB"/>
              </w:rPr>
            </w:pPr>
            <w:r w:rsidRPr="000729CF">
              <w:rPr>
                <w:rFonts w:ascii="Arial" w:eastAsia="Calibri" w:hAnsi="Arial" w:cs="Arial"/>
                <w:snapToGrid w:val="0"/>
                <w:sz w:val="24"/>
                <w:szCs w:val="24"/>
                <w:lang w:val="en-GB"/>
              </w:rPr>
              <w:t>A-1+</w:t>
            </w:r>
          </w:p>
        </w:tc>
        <w:tc>
          <w:tcPr>
            <w:tcW w:w="851" w:type="dxa"/>
            <w:gridSpan w:val="2"/>
            <w:tcBorders>
              <w:left w:val="single" w:sz="4" w:space="0" w:color="auto"/>
              <w:right w:val="single" w:sz="4" w:space="0" w:color="auto"/>
            </w:tcBorders>
            <w:shd w:val="clear" w:color="auto" w:fill="C6D9F1"/>
            <w:vAlign w:val="center"/>
          </w:tcPr>
          <w:p w14:paraId="72498C1A"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AA-</w:t>
            </w:r>
          </w:p>
        </w:tc>
        <w:tc>
          <w:tcPr>
            <w:tcW w:w="850" w:type="dxa"/>
            <w:tcBorders>
              <w:left w:val="single" w:sz="4" w:space="0" w:color="auto"/>
              <w:right w:val="single" w:sz="4" w:space="0" w:color="auto"/>
            </w:tcBorders>
            <w:shd w:val="clear" w:color="auto" w:fill="C6D9F1"/>
            <w:vAlign w:val="center"/>
          </w:tcPr>
          <w:p w14:paraId="0A90B8F6"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Aa1</w:t>
            </w:r>
          </w:p>
        </w:tc>
        <w:tc>
          <w:tcPr>
            <w:tcW w:w="850" w:type="dxa"/>
            <w:tcBorders>
              <w:left w:val="single" w:sz="4" w:space="0" w:color="auto"/>
              <w:right w:val="single" w:sz="4" w:space="0" w:color="auto"/>
            </w:tcBorders>
            <w:shd w:val="clear" w:color="auto" w:fill="C6D9F1"/>
            <w:vAlign w:val="center"/>
          </w:tcPr>
          <w:p w14:paraId="6D145E0D"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AA-</w:t>
            </w:r>
          </w:p>
        </w:tc>
        <w:tc>
          <w:tcPr>
            <w:tcW w:w="1134" w:type="dxa"/>
            <w:tcBorders>
              <w:left w:val="single" w:sz="4" w:space="0" w:color="auto"/>
              <w:right w:val="single" w:sz="4" w:space="0" w:color="auto"/>
            </w:tcBorders>
            <w:shd w:val="clear" w:color="auto" w:fill="C6D9F1"/>
            <w:vAlign w:val="center"/>
          </w:tcPr>
          <w:p w14:paraId="41690AC4"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£30m</w:t>
            </w:r>
          </w:p>
        </w:tc>
        <w:tc>
          <w:tcPr>
            <w:tcW w:w="1134" w:type="dxa"/>
            <w:tcBorders>
              <w:left w:val="single" w:sz="4" w:space="0" w:color="auto"/>
              <w:right w:val="single" w:sz="4" w:space="0" w:color="auto"/>
            </w:tcBorders>
            <w:shd w:val="clear" w:color="auto" w:fill="C6D9F1"/>
            <w:vAlign w:val="center"/>
          </w:tcPr>
          <w:p w14:paraId="75CEC65C"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24</w:t>
            </w:r>
          </w:p>
        </w:tc>
      </w:tr>
      <w:tr w:rsidR="000729CF" w:rsidRPr="000729CF" w14:paraId="3323B93D" w14:textId="77777777" w:rsidTr="00BC26AB">
        <w:trPr>
          <w:cantSplit/>
        </w:trPr>
        <w:tc>
          <w:tcPr>
            <w:tcW w:w="3403" w:type="dxa"/>
            <w:tcBorders>
              <w:left w:val="single" w:sz="4" w:space="0" w:color="auto"/>
              <w:right w:val="single" w:sz="4" w:space="0" w:color="auto"/>
            </w:tcBorders>
            <w:shd w:val="clear" w:color="auto" w:fill="auto"/>
            <w:vAlign w:val="center"/>
          </w:tcPr>
          <w:p w14:paraId="4D407DD6" w14:textId="77777777" w:rsidR="000729CF" w:rsidRPr="000729CF" w:rsidRDefault="000729CF" w:rsidP="000729CF">
            <w:pPr>
              <w:spacing w:line="276" w:lineRule="auto"/>
              <w:ind w:right="12"/>
              <w:rPr>
                <w:rFonts w:ascii="Arial" w:eastAsia="Calibri" w:hAnsi="Arial" w:cs="Arial"/>
                <w:sz w:val="24"/>
                <w:szCs w:val="24"/>
                <w:lang w:val="en-GB"/>
              </w:rPr>
            </w:pPr>
            <w:r w:rsidRPr="000729CF">
              <w:rPr>
                <w:rFonts w:ascii="Arial" w:eastAsia="Calibri" w:hAnsi="Arial" w:cs="Arial"/>
                <w:snapToGrid w:val="0"/>
                <w:sz w:val="24"/>
                <w:szCs w:val="24"/>
                <w:lang w:val="en-GB"/>
              </w:rPr>
              <w:t xml:space="preserve">Nordea Bank </w:t>
            </w:r>
            <w:proofErr w:type="spellStart"/>
            <w:r w:rsidRPr="000729CF">
              <w:rPr>
                <w:rFonts w:ascii="Arial" w:eastAsia="Calibri" w:hAnsi="Arial" w:cs="Arial"/>
                <w:snapToGrid w:val="0"/>
                <w:sz w:val="24"/>
                <w:szCs w:val="24"/>
                <w:lang w:val="en-GB"/>
              </w:rPr>
              <w:t>Abp</w:t>
            </w:r>
            <w:proofErr w:type="spellEnd"/>
            <w:r w:rsidRPr="000729CF">
              <w:rPr>
                <w:rFonts w:ascii="Arial" w:eastAsia="Calibri" w:hAnsi="Arial" w:cs="Arial"/>
                <w:snapToGrid w:val="0"/>
                <w:sz w:val="24"/>
                <w:szCs w:val="24"/>
                <w:lang w:val="en-GB"/>
              </w:rPr>
              <w:t xml:space="preserve"> (Finland)</w:t>
            </w:r>
          </w:p>
        </w:tc>
        <w:tc>
          <w:tcPr>
            <w:tcW w:w="1276" w:type="dxa"/>
            <w:gridSpan w:val="2"/>
            <w:tcBorders>
              <w:left w:val="single" w:sz="4" w:space="0" w:color="auto"/>
              <w:right w:val="single" w:sz="4" w:space="0" w:color="auto"/>
            </w:tcBorders>
            <w:shd w:val="clear" w:color="auto" w:fill="auto"/>
            <w:vAlign w:val="center"/>
          </w:tcPr>
          <w:p w14:paraId="3E286298"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Both</w:t>
            </w:r>
          </w:p>
        </w:tc>
        <w:tc>
          <w:tcPr>
            <w:tcW w:w="709" w:type="dxa"/>
            <w:tcBorders>
              <w:left w:val="single" w:sz="4" w:space="0" w:color="auto"/>
              <w:right w:val="single" w:sz="4" w:space="0" w:color="auto"/>
            </w:tcBorders>
            <w:shd w:val="clear" w:color="auto" w:fill="auto"/>
            <w:vAlign w:val="center"/>
          </w:tcPr>
          <w:p w14:paraId="2E5B319E"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F1+</w:t>
            </w:r>
          </w:p>
        </w:tc>
        <w:tc>
          <w:tcPr>
            <w:tcW w:w="567" w:type="dxa"/>
            <w:tcBorders>
              <w:left w:val="single" w:sz="4" w:space="0" w:color="auto"/>
              <w:right w:val="single" w:sz="4" w:space="0" w:color="auto"/>
            </w:tcBorders>
            <w:shd w:val="clear" w:color="auto" w:fill="auto"/>
            <w:vAlign w:val="center"/>
          </w:tcPr>
          <w:p w14:paraId="7B8B506A" w14:textId="77777777" w:rsidR="000729CF" w:rsidRPr="000729CF" w:rsidRDefault="000729CF" w:rsidP="000729CF">
            <w:pPr>
              <w:spacing w:line="276" w:lineRule="auto"/>
              <w:jc w:val="center"/>
              <w:rPr>
                <w:rFonts w:ascii="Arial" w:eastAsia="Calibri" w:hAnsi="Arial" w:cs="Arial"/>
                <w:b/>
                <w:snapToGrid w:val="0"/>
                <w:sz w:val="24"/>
                <w:szCs w:val="24"/>
                <w:lang w:val="en-GB"/>
              </w:rPr>
            </w:pPr>
            <w:r w:rsidRPr="000729CF">
              <w:rPr>
                <w:rFonts w:ascii="Arial" w:eastAsia="Calibri" w:hAnsi="Arial" w:cs="Arial"/>
                <w:snapToGrid w:val="0"/>
                <w:sz w:val="24"/>
                <w:szCs w:val="24"/>
                <w:lang w:val="en-GB"/>
              </w:rPr>
              <w:t>P-1</w:t>
            </w:r>
          </w:p>
        </w:tc>
        <w:tc>
          <w:tcPr>
            <w:tcW w:w="709" w:type="dxa"/>
            <w:tcBorders>
              <w:left w:val="single" w:sz="4" w:space="0" w:color="auto"/>
              <w:right w:val="single" w:sz="4" w:space="0" w:color="auto"/>
            </w:tcBorders>
            <w:shd w:val="clear" w:color="auto" w:fill="auto"/>
            <w:vAlign w:val="center"/>
          </w:tcPr>
          <w:p w14:paraId="2A98E06E"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A-1+</w:t>
            </w:r>
          </w:p>
        </w:tc>
        <w:tc>
          <w:tcPr>
            <w:tcW w:w="851" w:type="dxa"/>
            <w:gridSpan w:val="2"/>
            <w:tcBorders>
              <w:left w:val="single" w:sz="4" w:space="0" w:color="auto"/>
              <w:right w:val="single" w:sz="4" w:space="0" w:color="auto"/>
            </w:tcBorders>
            <w:shd w:val="clear" w:color="auto" w:fill="auto"/>
            <w:vAlign w:val="center"/>
          </w:tcPr>
          <w:p w14:paraId="45E6A16B"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AA-</w:t>
            </w:r>
          </w:p>
        </w:tc>
        <w:tc>
          <w:tcPr>
            <w:tcW w:w="850" w:type="dxa"/>
            <w:tcBorders>
              <w:left w:val="single" w:sz="4" w:space="0" w:color="auto"/>
              <w:right w:val="single" w:sz="4" w:space="0" w:color="auto"/>
            </w:tcBorders>
            <w:shd w:val="clear" w:color="auto" w:fill="auto"/>
            <w:vAlign w:val="center"/>
          </w:tcPr>
          <w:p w14:paraId="3BCB6E52"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Aa3</w:t>
            </w:r>
          </w:p>
        </w:tc>
        <w:tc>
          <w:tcPr>
            <w:tcW w:w="850" w:type="dxa"/>
            <w:tcBorders>
              <w:left w:val="single" w:sz="4" w:space="0" w:color="auto"/>
              <w:right w:val="single" w:sz="4" w:space="0" w:color="auto"/>
            </w:tcBorders>
            <w:shd w:val="clear" w:color="auto" w:fill="auto"/>
            <w:vAlign w:val="center"/>
          </w:tcPr>
          <w:p w14:paraId="06542193"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AA-</w:t>
            </w:r>
          </w:p>
        </w:tc>
        <w:tc>
          <w:tcPr>
            <w:tcW w:w="1134" w:type="dxa"/>
            <w:tcBorders>
              <w:left w:val="single" w:sz="4" w:space="0" w:color="auto"/>
              <w:right w:val="single" w:sz="4" w:space="0" w:color="auto"/>
            </w:tcBorders>
            <w:shd w:val="clear" w:color="auto" w:fill="auto"/>
            <w:vAlign w:val="center"/>
          </w:tcPr>
          <w:p w14:paraId="6498B973"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£30m</w:t>
            </w:r>
          </w:p>
        </w:tc>
        <w:tc>
          <w:tcPr>
            <w:tcW w:w="1134" w:type="dxa"/>
            <w:tcBorders>
              <w:left w:val="single" w:sz="4" w:space="0" w:color="auto"/>
              <w:right w:val="single" w:sz="4" w:space="0" w:color="auto"/>
            </w:tcBorders>
            <w:shd w:val="clear" w:color="auto" w:fill="auto"/>
            <w:vAlign w:val="center"/>
          </w:tcPr>
          <w:p w14:paraId="520F61B2"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24</w:t>
            </w:r>
          </w:p>
        </w:tc>
      </w:tr>
      <w:tr w:rsidR="000729CF" w:rsidRPr="000729CF" w14:paraId="68308AFC" w14:textId="77777777" w:rsidTr="00BC26AB">
        <w:trPr>
          <w:cantSplit/>
        </w:trPr>
        <w:tc>
          <w:tcPr>
            <w:tcW w:w="3403" w:type="dxa"/>
            <w:tcBorders>
              <w:left w:val="single" w:sz="4" w:space="0" w:color="auto"/>
              <w:right w:val="single" w:sz="4" w:space="0" w:color="auto"/>
            </w:tcBorders>
            <w:shd w:val="clear" w:color="auto" w:fill="C6D9F1"/>
            <w:vAlign w:val="center"/>
          </w:tcPr>
          <w:p w14:paraId="7C862F40" w14:textId="77777777" w:rsidR="000729CF" w:rsidRPr="000729CF" w:rsidRDefault="000729CF" w:rsidP="000729CF">
            <w:pPr>
              <w:spacing w:line="276" w:lineRule="auto"/>
              <w:rPr>
                <w:rFonts w:ascii="Arial" w:eastAsia="Calibri" w:hAnsi="Arial" w:cs="Arial"/>
                <w:snapToGrid w:val="0"/>
                <w:sz w:val="24"/>
                <w:szCs w:val="24"/>
                <w:lang w:val="en-GB"/>
              </w:rPr>
            </w:pPr>
            <w:proofErr w:type="spellStart"/>
            <w:r w:rsidRPr="000729CF">
              <w:rPr>
                <w:rFonts w:ascii="Arial" w:eastAsia="Calibri" w:hAnsi="Arial" w:cs="Arial"/>
                <w:snapToGrid w:val="0"/>
                <w:sz w:val="24"/>
                <w:szCs w:val="24"/>
                <w:lang w:val="en-GB"/>
              </w:rPr>
              <w:t>Landwirtschaftliche</w:t>
            </w:r>
            <w:proofErr w:type="spellEnd"/>
            <w:r w:rsidRPr="000729CF">
              <w:rPr>
                <w:rFonts w:ascii="Arial" w:eastAsia="Calibri" w:hAnsi="Arial" w:cs="Arial"/>
                <w:snapToGrid w:val="0"/>
                <w:sz w:val="24"/>
                <w:szCs w:val="24"/>
                <w:lang w:val="en-GB"/>
              </w:rPr>
              <w:t xml:space="preserve"> </w:t>
            </w:r>
            <w:proofErr w:type="spellStart"/>
            <w:r w:rsidRPr="000729CF">
              <w:rPr>
                <w:rFonts w:ascii="Arial" w:eastAsia="Calibri" w:hAnsi="Arial" w:cs="Arial"/>
                <w:snapToGrid w:val="0"/>
                <w:sz w:val="24"/>
                <w:szCs w:val="24"/>
                <w:lang w:val="en-GB"/>
              </w:rPr>
              <w:t>Renenbank</w:t>
            </w:r>
            <w:proofErr w:type="spellEnd"/>
            <w:r w:rsidRPr="000729CF">
              <w:rPr>
                <w:rFonts w:ascii="Arial" w:eastAsia="Calibri" w:hAnsi="Arial" w:cs="Arial"/>
                <w:snapToGrid w:val="0"/>
                <w:sz w:val="24"/>
                <w:szCs w:val="24"/>
                <w:lang w:val="en-GB"/>
              </w:rPr>
              <w:t xml:space="preserve"> (Germany)</w:t>
            </w:r>
          </w:p>
        </w:tc>
        <w:tc>
          <w:tcPr>
            <w:tcW w:w="1276" w:type="dxa"/>
            <w:gridSpan w:val="2"/>
            <w:tcBorders>
              <w:left w:val="single" w:sz="4" w:space="0" w:color="auto"/>
              <w:right w:val="single" w:sz="4" w:space="0" w:color="auto"/>
            </w:tcBorders>
            <w:shd w:val="clear" w:color="auto" w:fill="C6D9F1"/>
            <w:vAlign w:val="center"/>
          </w:tcPr>
          <w:p w14:paraId="42CF9F23"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Both</w:t>
            </w:r>
          </w:p>
        </w:tc>
        <w:tc>
          <w:tcPr>
            <w:tcW w:w="709" w:type="dxa"/>
            <w:tcBorders>
              <w:left w:val="single" w:sz="4" w:space="0" w:color="auto"/>
              <w:right w:val="single" w:sz="4" w:space="0" w:color="auto"/>
            </w:tcBorders>
            <w:shd w:val="clear" w:color="auto" w:fill="C6D9F1"/>
            <w:vAlign w:val="center"/>
          </w:tcPr>
          <w:p w14:paraId="3218E958"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F1+</w:t>
            </w:r>
          </w:p>
        </w:tc>
        <w:tc>
          <w:tcPr>
            <w:tcW w:w="567" w:type="dxa"/>
            <w:tcBorders>
              <w:left w:val="single" w:sz="4" w:space="0" w:color="auto"/>
              <w:right w:val="single" w:sz="4" w:space="0" w:color="auto"/>
            </w:tcBorders>
            <w:shd w:val="clear" w:color="auto" w:fill="C6D9F1"/>
            <w:vAlign w:val="center"/>
          </w:tcPr>
          <w:p w14:paraId="00BC9077"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P-1</w:t>
            </w:r>
          </w:p>
        </w:tc>
        <w:tc>
          <w:tcPr>
            <w:tcW w:w="709" w:type="dxa"/>
            <w:tcBorders>
              <w:left w:val="single" w:sz="4" w:space="0" w:color="auto"/>
              <w:right w:val="single" w:sz="4" w:space="0" w:color="auto"/>
            </w:tcBorders>
            <w:shd w:val="clear" w:color="auto" w:fill="C6D9F1"/>
            <w:vAlign w:val="center"/>
          </w:tcPr>
          <w:p w14:paraId="5CFEE13F"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A-1+</w:t>
            </w:r>
          </w:p>
        </w:tc>
        <w:tc>
          <w:tcPr>
            <w:tcW w:w="851" w:type="dxa"/>
            <w:gridSpan w:val="2"/>
            <w:tcBorders>
              <w:left w:val="single" w:sz="4" w:space="0" w:color="auto"/>
              <w:right w:val="single" w:sz="4" w:space="0" w:color="auto"/>
            </w:tcBorders>
            <w:shd w:val="clear" w:color="auto" w:fill="C6D9F1"/>
            <w:vAlign w:val="center"/>
          </w:tcPr>
          <w:p w14:paraId="39141AAF"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AAA</w:t>
            </w:r>
          </w:p>
        </w:tc>
        <w:tc>
          <w:tcPr>
            <w:tcW w:w="850" w:type="dxa"/>
            <w:tcBorders>
              <w:left w:val="single" w:sz="4" w:space="0" w:color="auto"/>
              <w:right w:val="single" w:sz="4" w:space="0" w:color="auto"/>
            </w:tcBorders>
            <w:shd w:val="clear" w:color="auto" w:fill="C6D9F1"/>
            <w:vAlign w:val="center"/>
          </w:tcPr>
          <w:p w14:paraId="535086FC" w14:textId="77777777" w:rsidR="000729CF" w:rsidRPr="000729CF" w:rsidRDefault="000729CF" w:rsidP="000729CF">
            <w:pPr>
              <w:spacing w:line="276" w:lineRule="auto"/>
              <w:jc w:val="center"/>
              <w:rPr>
                <w:rFonts w:ascii="Arial" w:eastAsia="Calibri" w:hAnsi="Arial" w:cs="Arial"/>
                <w:snapToGrid w:val="0"/>
                <w:sz w:val="24"/>
                <w:szCs w:val="24"/>
                <w:lang w:val="en-GB"/>
              </w:rPr>
            </w:pPr>
            <w:proofErr w:type="spellStart"/>
            <w:r w:rsidRPr="000729CF">
              <w:rPr>
                <w:rFonts w:ascii="Arial" w:eastAsia="Calibri" w:hAnsi="Arial" w:cs="Arial"/>
                <w:snapToGrid w:val="0"/>
                <w:sz w:val="24"/>
                <w:szCs w:val="24"/>
                <w:lang w:val="en-GB"/>
              </w:rPr>
              <w:t>Aaa</w:t>
            </w:r>
            <w:proofErr w:type="spellEnd"/>
          </w:p>
        </w:tc>
        <w:tc>
          <w:tcPr>
            <w:tcW w:w="850" w:type="dxa"/>
            <w:tcBorders>
              <w:left w:val="single" w:sz="4" w:space="0" w:color="auto"/>
              <w:right w:val="single" w:sz="4" w:space="0" w:color="auto"/>
            </w:tcBorders>
            <w:shd w:val="clear" w:color="auto" w:fill="C6D9F1"/>
            <w:vAlign w:val="center"/>
          </w:tcPr>
          <w:p w14:paraId="53576277"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AAA</w:t>
            </w:r>
          </w:p>
        </w:tc>
        <w:tc>
          <w:tcPr>
            <w:tcW w:w="1134" w:type="dxa"/>
            <w:tcBorders>
              <w:left w:val="single" w:sz="4" w:space="0" w:color="auto"/>
              <w:right w:val="single" w:sz="4" w:space="0" w:color="auto"/>
            </w:tcBorders>
            <w:shd w:val="clear" w:color="auto" w:fill="C6D9F1"/>
            <w:vAlign w:val="center"/>
          </w:tcPr>
          <w:p w14:paraId="5A693ECE"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£30m</w:t>
            </w:r>
          </w:p>
        </w:tc>
        <w:tc>
          <w:tcPr>
            <w:tcW w:w="1134" w:type="dxa"/>
            <w:tcBorders>
              <w:left w:val="single" w:sz="4" w:space="0" w:color="auto"/>
              <w:right w:val="single" w:sz="4" w:space="0" w:color="auto"/>
            </w:tcBorders>
            <w:shd w:val="clear" w:color="auto" w:fill="C6D9F1"/>
            <w:vAlign w:val="center"/>
          </w:tcPr>
          <w:p w14:paraId="129B3AEF"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36</w:t>
            </w:r>
          </w:p>
        </w:tc>
      </w:tr>
      <w:tr w:rsidR="000729CF" w:rsidRPr="000729CF" w14:paraId="46072DBA" w14:textId="77777777" w:rsidTr="00BC26AB">
        <w:trPr>
          <w:cantSplit/>
        </w:trPr>
        <w:tc>
          <w:tcPr>
            <w:tcW w:w="3403" w:type="dxa"/>
            <w:tcBorders>
              <w:left w:val="single" w:sz="4" w:space="0" w:color="auto"/>
              <w:right w:val="single" w:sz="4" w:space="0" w:color="auto"/>
            </w:tcBorders>
            <w:shd w:val="clear" w:color="auto" w:fill="auto"/>
            <w:vAlign w:val="center"/>
          </w:tcPr>
          <w:p w14:paraId="2950CD2D" w14:textId="77777777" w:rsidR="000729CF" w:rsidRPr="000729CF" w:rsidRDefault="000729CF" w:rsidP="000729CF">
            <w:pPr>
              <w:spacing w:line="276" w:lineRule="auto"/>
              <w:rPr>
                <w:rFonts w:ascii="Arial" w:eastAsia="Calibri" w:hAnsi="Arial" w:cs="Arial"/>
                <w:snapToGrid w:val="0"/>
                <w:sz w:val="24"/>
                <w:szCs w:val="24"/>
                <w:lang w:val="en-GB"/>
              </w:rPr>
            </w:pPr>
            <w:r w:rsidRPr="000729CF">
              <w:rPr>
                <w:rFonts w:ascii="Arial" w:eastAsia="Calibri" w:hAnsi="Arial" w:cs="Arial"/>
                <w:snapToGrid w:val="0"/>
                <w:sz w:val="24"/>
                <w:szCs w:val="24"/>
                <w:lang w:val="en-GB"/>
              </w:rPr>
              <w:t>NRW.BANK (Germany)</w:t>
            </w:r>
          </w:p>
        </w:tc>
        <w:tc>
          <w:tcPr>
            <w:tcW w:w="1276" w:type="dxa"/>
            <w:gridSpan w:val="2"/>
            <w:tcBorders>
              <w:left w:val="single" w:sz="4" w:space="0" w:color="auto"/>
              <w:right w:val="single" w:sz="4" w:space="0" w:color="auto"/>
            </w:tcBorders>
            <w:shd w:val="clear" w:color="auto" w:fill="auto"/>
            <w:vAlign w:val="center"/>
          </w:tcPr>
          <w:p w14:paraId="1BDBF2D8"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Both</w:t>
            </w:r>
          </w:p>
        </w:tc>
        <w:tc>
          <w:tcPr>
            <w:tcW w:w="709" w:type="dxa"/>
            <w:tcBorders>
              <w:left w:val="single" w:sz="4" w:space="0" w:color="auto"/>
              <w:right w:val="single" w:sz="4" w:space="0" w:color="auto"/>
            </w:tcBorders>
            <w:shd w:val="clear" w:color="auto" w:fill="auto"/>
            <w:vAlign w:val="center"/>
          </w:tcPr>
          <w:p w14:paraId="6000047C"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F1+</w:t>
            </w:r>
          </w:p>
        </w:tc>
        <w:tc>
          <w:tcPr>
            <w:tcW w:w="567" w:type="dxa"/>
            <w:tcBorders>
              <w:left w:val="single" w:sz="4" w:space="0" w:color="auto"/>
              <w:right w:val="single" w:sz="4" w:space="0" w:color="auto"/>
            </w:tcBorders>
            <w:shd w:val="clear" w:color="auto" w:fill="auto"/>
            <w:vAlign w:val="center"/>
          </w:tcPr>
          <w:p w14:paraId="7BB8F5D7"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P-1</w:t>
            </w:r>
          </w:p>
        </w:tc>
        <w:tc>
          <w:tcPr>
            <w:tcW w:w="709" w:type="dxa"/>
            <w:tcBorders>
              <w:left w:val="single" w:sz="4" w:space="0" w:color="auto"/>
              <w:right w:val="single" w:sz="4" w:space="0" w:color="auto"/>
            </w:tcBorders>
            <w:shd w:val="clear" w:color="auto" w:fill="auto"/>
            <w:vAlign w:val="center"/>
          </w:tcPr>
          <w:p w14:paraId="01BC2F6C"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A-1+</w:t>
            </w:r>
          </w:p>
        </w:tc>
        <w:tc>
          <w:tcPr>
            <w:tcW w:w="851" w:type="dxa"/>
            <w:gridSpan w:val="2"/>
            <w:tcBorders>
              <w:left w:val="single" w:sz="4" w:space="0" w:color="auto"/>
              <w:right w:val="single" w:sz="4" w:space="0" w:color="auto"/>
            </w:tcBorders>
            <w:shd w:val="clear" w:color="auto" w:fill="auto"/>
            <w:vAlign w:val="center"/>
          </w:tcPr>
          <w:p w14:paraId="2B73EE85" w14:textId="77777777" w:rsidR="000729CF" w:rsidRPr="000729CF" w:rsidRDefault="000729CF" w:rsidP="000729CF">
            <w:pPr>
              <w:spacing w:line="276" w:lineRule="auto"/>
              <w:jc w:val="center"/>
              <w:rPr>
                <w:rFonts w:ascii="Arial" w:eastAsia="Calibri" w:hAnsi="Arial" w:cs="Arial"/>
                <w:b/>
                <w:snapToGrid w:val="0"/>
                <w:sz w:val="24"/>
                <w:szCs w:val="24"/>
                <w:lang w:val="en-GB"/>
              </w:rPr>
            </w:pPr>
            <w:r w:rsidRPr="000729CF">
              <w:rPr>
                <w:rFonts w:ascii="Arial" w:eastAsia="Calibri" w:hAnsi="Arial" w:cs="Arial"/>
                <w:snapToGrid w:val="0"/>
                <w:sz w:val="24"/>
                <w:szCs w:val="24"/>
                <w:lang w:val="en-GB"/>
              </w:rPr>
              <w:t>AAA</w:t>
            </w:r>
          </w:p>
        </w:tc>
        <w:tc>
          <w:tcPr>
            <w:tcW w:w="850" w:type="dxa"/>
            <w:tcBorders>
              <w:left w:val="single" w:sz="4" w:space="0" w:color="auto"/>
              <w:right w:val="single" w:sz="4" w:space="0" w:color="auto"/>
            </w:tcBorders>
            <w:shd w:val="clear" w:color="auto" w:fill="auto"/>
            <w:vAlign w:val="center"/>
          </w:tcPr>
          <w:p w14:paraId="19922536"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Aa1</w:t>
            </w:r>
          </w:p>
        </w:tc>
        <w:tc>
          <w:tcPr>
            <w:tcW w:w="850" w:type="dxa"/>
            <w:tcBorders>
              <w:left w:val="single" w:sz="4" w:space="0" w:color="auto"/>
              <w:right w:val="single" w:sz="4" w:space="0" w:color="auto"/>
            </w:tcBorders>
            <w:shd w:val="clear" w:color="auto" w:fill="auto"/>
            <w:vAlign w:val="center"/>
          </w:tcPr>
          <w:p w14:paraId="16AA3846"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AA</w:t>
            </w:r>
          </w:p>
        </w:tc>
        <w:tc>
          <w:tcPr>
            <w:tcW w:w="1134" w:type="dxa"/>
            <w:tcBorders>
              <w:left w:val="single" w:sz="4" w:space="0" w:color="auto"/>
              <w:right w:val="single" w:sz="4" w:space="0" w:color="auto"/>
            </w:tcBorders>
            <w:shd w:val="clear" w:color="auto" w:fill="auto"/>
            <w:vAlign w:val="center"/>
          </w:tcPr>
          <w:p w14:paraId="1B3D9CFD"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£30m</w:t>
            </w:r>
          </w:p>
        </w:tc>
        <w:tc>
          <w:tcPr>
            <w:tcW w:w="1134" w:type="dxa"/>
            <w:tcBorders>
              <w:left w:val="single" w:sz="4" w:space="0" w:color="auto"/>
              <w:right w:val="single" w:sz="4" w:space="0" w:color="auto"/>
            </w:tcBorders>
            <w:shd w:val="clear" w:color="auto" w:fill="auto"/>
            <w:vAlign w:val="center"/>
          </w:tcPr>
          <w:p w14:paraId="25BC5B4C"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24</w:t>
            </w:r>
          </w:p>
        </w:tc>
      </w:tr>
      <w:tr w:rsidR="000729CF" w:rsidRPr="000729CF" w14:paraId="73897CE4" w14:textId="77777777" w:rsidTr="00BC26AB">
        <w:trPr>
          <w:cantSplit/>
        </w:trPr>
        <w:tc>
          <w:tcPr>
            <w:tcW w:w="3403" w:type="dxa"/>
            <w:tcBorders>
              <w:left w:val="single" w:sz="4" w:space="0" w:color="auto"/>
              <w:right w:val="single" w:sz="4" w:space="0" w:color="auto"/>
            </w:tcBorders>
            <w:shd w:val="clear" w:color="auto" w:fill="C6D9F1"/>
            <w:vAlign w:val="center"/>
          </w:tcPr>
          <w:p w14:paraId="1C721E7A" w14:textId="77777777" w:rsidR="000729CF" w:rsidRPr="000729CF" w:rsidRDefault="000729CF" w:rsidP="000729CF">
            <w:pPr>
              <w:spacing w:line="276" w:lineRule="auto"/>
              <w:rPr>
                <w:rFonts w:ascii="Arial" w:eastAsia="Calibri" w:hAnsi="Arial" w:cs="Arial"/>
                <w:snapToGrid w:val="0"/>
                <w:sz w:val="24"/>
                <w:szCs w:val="24"/>
                <w:lang w:val="en-GB"/>
              </w:rPr>
            </w:pPr>
            <w:r w:rsidRPr="000729CF">
              <w:rPr>
                <w:rFonts w:ascii="Arial" w:eastAsia="Calibri" w:hAnsi="Arial" w:cs="Arial"/>
                <w:sz w:val="24"/>
                <w:szCs w:val="24"/>
                <w:lang w:val="en-GB"/>
              </w:rPr>
              <w:t xml:space="preserve">Bank </w:t>
            </w:r>
            <w:proofErr w:type="spellStart"/>
            <w:r w:rsidRPr="000729CF">
              <w:rPr>
                <w:rFonts w:ascii="Arial" w:eastAsia="Calibri" w:hAnsi="Arial" w:cs="Arial"/>
                <w:sz w:val="24"/>
                <w:szCs w:val="24"/>
                <w:lang w:val="en-GB"/>
              </w:rPr>
              <w:t>Nederlandse</w:t>
            </w:r>
            <w:proofErr w:type="spellEnd"/>
            <w:r w:rsidRPr="000729CF">
              <w:rPr>
                <w:rFonts w:ascii="Arial" w:eastAsia="Calibri" w:hAnsi="Arial" w:cs="Arial"/>
                <w:sz w:val="24"/>
                <w:szCs w:val="24"/>
                <w:lang w:val="en-GB"/>
              </w:rPr>
              <w:t xml:space="preserve"> </w:t>
            </w:r>
            <w:proofErr w:type="spellStart"/>
            <w:r w:rsidRPr="000729CF">
              <w:rPr>
                <w:rFonts w:ascii="Arial" w:eastAsia="Calibri" w:hAnsi="Arial" w:cs="Arial"/>
                <w:sz w:val="24"/>
                <w:szCs w:val="24"/>
                <w:lang w:val="en-GB"/>
              </w:rPr>
              <w:t>Gemeenten</w:t>
            </w:r>
            <w:proofErr w:type="spellEnd"/>
            <w:r w:rsidRPr="000729CF">
              <w:rPr>
                <w:rFonts w:ascii="Arial" w:eastAsia="Calibri" w:hAnsi="Arial" w:cs="Arial"/>
                <w:sz w:val="24"/>
                <w:szCs w:val="24"/>
                <w:lang w:val="en-GB"/>
              </w:rPr>
              <w:t xml:space="preserve"> (The Netherlands)</w:t>
            </w:r>
          </w:p>
        </w:tc>
        <w:tc>
          <w:tcPr>
            <w:tcW w:w="1276" w:type="dxa"/>
            <w:gridSpan w:val="2"/>
            <w:tcBorders>
              <w:left w:val="single" w:sz="4" w:space="0" w:color="auto"/>
              <w:right w:val="single" w:sz="4" w:space="0" w:color="auto"/>
            </w:tcBorders>
            <w:shd w:val="clear" w:color="auto" w:fill="C6D9F1"/>
            <w:vAlign w:val="center"/>
          </w:tcPr>
          <w:p w14:paraId="6107E2FE"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Both</w:t>
            </w:r>
          </w:p>
        </w:tc>
        <w:tc>
          <w:tcPr>
            <w:tcW w:w="709" w:type="dxa"/>
            <w:tcBorders>
              <w:left w:val="single" w:sz="4" w:space="0" w:color="auto"/>
              <w:right w:val="single" w:sz="4" w:space="0" w:color="auto"/>
            </w:tcBorders>
            <w:shd w:val="clear" w:color="auto" w:fill="C6D9F1"/>
            <w:vAlign w:val="center"/>
          </w:tcPr>
          <w:p w14:paraId="069C1EB7"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F1+</w:t>
            </w:r>
          </w:p>
        </w:tc>
        <w:tc>
          <w:tcPr>
            <w:tcW w:w="567" w:type="dxa"/>
            <w:tcBorders>
              <w:left w:val="single" w:sz="4" w:space="0" w:color="auto"/>
              <w:right w:val="single" w:sz="4" w:space="0" w:color="auto"/>
            </w:tcBorders>
            <w:shd w:val="clear" w:color="auto" w:fill="C6D9F1"/>
            <w:vAlign w:val="center"/>
          </w:tcPr>
          <w:p w14:paraId="2E53104C"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P-1</w:t>
            </w:r>
          </w:p>
        </w:tc>
        <w:tc>
          <w:tcPr>
            <w:tcW w:w="709" w:type="dxa"/>
            <w:tcBorders>
              <w:left w:val="single" w:sz="4" w:space="0" w:color="auto"/>
              <w:right w:val="single" w:sz="4" w:space="0" w:color="auto"/>
            </w:tcBorders>
            <w:shd w:val="clear" w:color="auto" w:fill="C6D9F1"/>
            <w:vAlign w:val="center"/>
          </w:tcPr>
          <w:p w14:paraId="43A507D4"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A-1+</w:t>
            </w:r>
          </w:p>
        </w:tc>
        <w:tc>
          <w:tcPr>
            <w:tcW w:w="851" w:type="dxa"/>
            <w:gridSpan w:val="2"/>
            <w:tcBorders>
              <w:left w:val="single" w:sz="4" w:space="0" w:color="auto"/>
              <w:right w:val="single" w:sz="4" w:space="0" w:color="auto"/>
            </w:tcBorders>
            <w:shd w:val="clear" w:color="auto" w:fill="C6D9F1"/>
            <w:vAlign w:val="center"/>
          </w:tcPr>
          <w:p w14:paraId="2D2A3026"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AAA</w:t>
            </w:r>
          </w:p>
        </w:tc>
        <w:tc>
          <w:tcPr>
            <w:tcW w:w="850" w:type="dxa"/>
            <w:tcBorders>
              <w:left w:val="single" w:sz="4" w:space="0" w:color="auto"/>
              <w:right w:val="single" w:sz="4" w:space="0" w:color="auto"/>
            </w:tcBorders>
            <w:shd w:val="clear" w:color="auto" w:fill="C6D9F1"/>
            <w:vAlign w:val="center"/>
          </w:tcPr>
          <w:p w14:paraId="4685FD5E" w14:textId="77777777" w:rsidR="000729CF" w:rsidRPr="000729CF" w:rsidRDefault="000729CF" w:rsidP="000729CF">
            <w:pPr>
              <w:spacing w:line="276" w:lineRule="auto"/>
              <w:jc w:val="center"/>
              <w:rPr>
                <w:rFonts w:ascii="Arial" w:eastAsia="Calibri" w:hAnsi="Arial" w:cs="Arial"/>
                <w:snapToGrid w:val="0"/>
                <w:sz w:val="24"/>
                <w:szCs w:val="24"/>
                <w:lang w:val="en-GB"/>
              </w:rPr>
            </w:pPr>
            <w:proofErr w:type="spellStart"/>
            <w:r w:rsidRPr="000729CF">
              <w:rPr>
                <w:rFonts w:ascii="Arial" w:eastAsia="Calibri" w:hAnsi="Arial" w:cs="Arial"/>
                <w:snapToGrid w:val="0"/>
                <w:sz w:val="24"/>
                <w:szCs w:val="24"/>
                <w:lang w:val="en-GB"/>
              </w:rPr>
              <w:t>Aaa</w:t>
            </w:r>
            <w:proofErr w:type="spellEnd"/>
          </w:p>
        </w:tc>
        <w:tc>
          <w:tcPr>
            <w:tcW w:w="850" w:type="dxa"/>
            <w:tcBorders>
              <w:left w:val="single" w:sz="4" w:space="0" w:color="auto"/>
              <w:right w:val="single" w:sz="4" w:space="0" w:color="auto"/>
            </w:tcBorders>
            <w:shd w:val="clear" w:color="auto" w:fill="C6D9F1"/>
            <w:vAlign w:val="center"/>
          </w:tcPr>
          <w:p w14:paraId="1D55D7A4"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AAA</w:t>
            </w:r>
          </w:p>
        </w:tc>
        <w:tc>
          <w:tcPr>
            <w:tcW w:w="1134" w:type="dxa"/>
            <w:tcBorders>
              <w:left w:val="single" w:sz="4" w:space="0" w:color="auto"/>
              <w:right w:val="single" w:sz="4" w:space="0" w:color="auto"/>
            </w:tcBorders>
            <w:shd w:val="clear" w:color="auto" w:fill="C6D9F1"/>
            <w:vAlign w:val="center"/>
          </w:tcPr>
          <w:p w14:paraId="013E75EA"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£30m</w:t>
            </w:r>
          </w:p>
        </w:tc>
        <w:tc>
          <w:tcPr>
            <w:tcW w:w="1134" w:type="dxa"/>
            <w:tcBorders>
              <w:left w:val="single" w:sz="4" w:space="0" w:color="auto"/>
              <w:right w:val="single" w:sz="4" w:space="0" w:color="auto"/>
            </w:tcBorders>
            <w:shd w:val="clear" w:color="auto" w:fill="C6D9F1"/>
            <w:vAlign w:val="center"/>
          </w:tcPr>
          <w:p w14:paraId="543E427C"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36</w:t>
            </w:r>
          </w:p>
        </w:tc>
      </w:tr>
      <w:tr w:rsidR="000729CF" w:rsidRPr="000729CF" w14:paraId="33D29949" w14:textId="77777777" w:rsidTr="00BC26AB">
        <w:trPr>
          <w:cantSplit/>
        </w:trPr>
        <w:tc>
          <w:tcPr>
            <w:tcW w:w="3403" w:type="dxa"/>
            <w:tcBorders>
              <w:left w:val="single" w:sz="4" w:space="0" w:color="auto"/>
              <w:right w:val="single" w:sz="4" w:space="0" w:color="auto"/>
            </w:tcBorders>
            <w:shd w:val="clear" w:color="auto" w:fill="auto"/>
            <w:vAlign w:val="center"/>
          </w:tcPr>
          <w:p w14:paraId="7C892711" w14:textId="77777777" w:rsidR="000729CF" w:rsidRPr="000729CF" w:rsidRDefault="000729CF" w:rsidP="000729CF">
            <w:pPr>
              <w:spacing w:line="276" w:lineRule="auto"/>
              <w:ind w:right="12"/>
              <w:rPr>
                <w:rFonts w:ascii="Arial" w:eastAsia="Calibri" w:hAnsi="Arial" w:cs="Arial"/>
                <w:sz w:val="24"/>
                <w:szCs w:val="24"/>
                <w:lang w:val="en-GB"/>
              </w:rPr>
            </w:pPr>
            <w:proofErr w:type="spellStart"/>
            <w:r w:rsidRPr="000729CF">
              <w:rPr>
                <w:rFonts w:ascii="Arial" w:eastAsia="Calibri" w:hAnsi="Arial" w:cs="Arial"/>
                <w:sz w:val="24"/>
                <w:szCs w:val="24"/>
                <w:lang w:val="en-GB"/>
              </w:rPr>
              <w:t>Nederlandse</w:t>
            </w:r>
            <w:proofErr w:type="spellEnd"/>
            <w:r w:rsidRPr="000729CF">
              <w:rPr>
                <w:rFonts w:ascii="Arial" w:eastAsia="Calibri" w:hAnsi="Arial" w:cs="Arial"/>
                <w:sz w:val="24"/>
                <w:szCs w:val="24"/>
                <w:lang w:val="en-GB"/>
              </w:rPr>
              <w:t xml:space="preserve"> </w:t>
            </w:r>
            <w:proofErr w:type="spellStart"/>
            <w:r w:rsidRPr="000729CF">
              <w:rPr>
                <w:rFonts w:ascii="Arial" w:eastAsia="Calibri" w:hAnsi="Arial" w:cs="Arial"/>
                <w:sz w:val="24"/>
                <w:szCs w:val="24"/>
                <w:lang w:val="en-GB"/>
              </w:rPr>
              <w:t>Waterschapsbank</w:t>
            </w:r>
            <w:proofErr w:type="spellEnd"/>
            <w:r w:rsidRPr="000729CF">
              <w:rPr>
                <w:rFonts w:ascii="Arial" w:eastAsia="Calibri" w:hAnsi="Arial" w:cs="Arial"/>
                <w:sz w:val="24"/>
                <w:szCs w:val="24"/>
                <w:lang w:val="en-GB"/>
              </w:rPr>
              <w:t xml:space="preserve"> N. V. (The Netherlands)</w:t>
            </w:r>
          </w:p>
        </w:tc>
        <w:tc>
          <w:tcPr>
            <w:tcW w:w="1276" w:type="dxa"/>
            <w:gridSpan w:val="2"/>
            <w:tcBorders>
              <w:left w:val="single" w:sz="4" w:space="0" w:color="auto"/>
              <w:right w:val="single" w:sz="4" w:space="0" w:color="auto"/>
            </w:tcBorders>
            <w:shd w:val="clear" w:color="auto" w:fill="auto"/>
            <w:vAlign w:val="center"/>
          </w:tcPr>
          <w:p w14:paraId="34ACBB46"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Both</w:t>
            </w:r>
          </w:p>
        </w:tc>
        <w:tc>
          <w:tcPr>
            <w:tcW w:w="709" w:type="dxa"/>
            <w:tcBorders>
              <w:left w:val="single" w:sz="4" w:space="0" w:color="auto"/>
              <w:right w:val="single" w:sz="4" w:space="0" w:color="auto"/>
            </w:tcBorders>
            <w:shd w:val="clear" w:color="auto" w:fill="auto"/>
            <w:vAlign w:val="center"/>
          </w:tcPr>
          <w:p w14:paraId="61994F42" w14:textId="77777777" w:rsidR="000729CF" w:rsidRPr="000729CF" w:rsidRDefault="000729CF" w:rsidP="000729CF">
            <w:pPr>
              <w:spacing w:line="276" w:lineRule="auto"/>
              <w:jc w:val="center"/>
              <w:rPr>
                <w:rFonts w:ascii="Arial" w:eastAsia="Calibri" w:hAnsi="Arial" w:cs="Arial"/>
                <w:snapToGrid w:val="0"/>
                <w:sz w:val="24"/>
                <w:szCs w:val="24"/>
                <w:lang w:val="en-GB"/>
              </w:rPr>
            </w:pPr>
          </w:p>
        </w:tc>
        <w:tc>
          <w:tcPr>
            <w:tcW w:w="567" w:type="dxa"/>
            <w:tcBorders>
              <w:left w:val="single" w:sz="4" w:space="0" w:color="auto"/>
              <w:right w:val="single" w:sz="4" w:space="0" w:color="auto"/>
            </w:tcBorders>
            <w:shd w:val="clear" w:color="auto" w:fill="auto"/>
            <w:vAlign w:val="center"/>
          </w:tcPr>
          <w:p w14:paraId="51828738"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P-1</w:t>
            </w:r>
          </w:p>
        </w:tc>
        <w:tc>
          <w:tcPr>
            <w:tcW w:w="709" w:type="dxa"/>
            <w:tcBorders>
              <w:left w:val="single" w:sz="4" w:space="0" w:color="auto"/>
              <w:right w:val="single" w:sz="4" w:space="0" w:color="auto"/>
            </w:tcBorders>
            <w:shd w:val="clear" w:color="auto" w:fill="auto"/>
            <w:vAlign w:val="center"/>
          </w:tcPr>
          <w:p w14:paraId="178A4CEF"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A-1+</w:t>
            </w:r>
          </w:p>
        </w:tc>
        <w:tc>
          <w:tcPr>
            <w:tcW w:w="851" w:type="dxa"/>
            <w:gridSpan w:val="2"/>
            <w:tcBorders>
              <w:left w:val="single" w:sz="4" w:space="0" w:color="auto"/>
              <w:right w:val="single" w:sz="4" w:space="0" w:color="auto"/>
            </w:tcBorders>
            <w:shd w:val="clear" w:color="auto" w:fill="auto"/>
            <w:vAlign w:val="center"/>
          </w:tcPr>
          <w:p w14:paraId="2FB61B48" w14:textId="77777777" w:rsidR="000729CF" w:rsidRPr="000729CF" w:rsidRDefault="000729CF" w:rsidP="000729CF">
            <w:pPr>
              <w:spacing w:line="276" w:lineRule="auto"/>
              <w:jc w:val="center"/>
              <w:rPr>
                <w:rFonts w:ascii="Arial" w:eastAsia="Calibri" w:hAnsi="Arial" w:cs="Arial"/>
                <w:snapToGrid w:val="0"/>
                <w:sz w:val="24"/>
                <w:szCs w:val="24"/>
                <w:lang w:val="en-GB"/>
              </w:rPr>
            </w:pPr>
          </w:p>
        </w:tc>
        <w:tc>
          <w:tcPr>
            <w:tcW w:w="850" w:type="dxa"/>
            <w:tcBorders>
              <w:left w:val="single" w:sz="4" w:space="0" w:color="auto"/>
              <w:right w:val="single" w:sz="4" w:space="0" w:color="auto"/>
            </w:tcBorders>
            <w:shd w:val="clear" w:color="auto" w:fill="auto"/>
            <w:vAlign w:val="center"/>
          </w:tcPr>
          <w:p w14:paraId="7841644E" w14:textId="77777777" w:rsidR="000729CF" w:rsidRPr="000729CF" w:rsidRDefault="000729CF" w:rsidP="000729CF">
            <w:pPr>
              <w:spacing w:line="276" w:lineRule="auto"/>
              <w:jc w:val="center"/>
              <w:rPr>
                <w:rFonts w:ascii="Arial" w:eastAsia="Calibri" w:hAnsi="Arial" w:cs="Arial"/>
                <w:snapToGrid w:val="0"/>
                <w:sz w:val="24"/>
                <w:szCs w:val="24"/>
                <w:lang w:val="en-GB"/>
              </w:rPr>
            </w:pPr>
            <w:proofErr w:type="spellStart"/>
            <w:r w:rsidRPr="000729CF">
              <w:rPr>
                <w:rFonts w:ascii="Arial" w:eastAsia="Calibri" w:hAnsi="Arial" w:cs="Arial"/>
                <w:snapToGrid w:val="0"/>
                <w:sz w:val="24"/>
                <w:szCs w:val="24"/>
                <w:lang w:val="en-GB"/>
              </w:rPr>
              <w:t>Aaa</w:t>
            </w:r>
            <w:proofErr w:type="spellEnd"/>
          </w:p>
        </w:tc>
        <w:tc>
          <w:tcPr>
            <w:tcW w:w="850" w:type="dxa"/>
            <w:tcBorders>
              <w:left w:val="single" w:sz="4" w:space="0" w:color="auto"/>
              <w:right w:val="single" w:sz="4" w:space="0" w:color="auto"/>
            </w:tcBorders>
            <w:shd w:val="clear" w:color="auto" w:fill="auto"/>
            <w:vAlign w:val="center"/>
          </w:tcPr>
          <w:p w14:paraId="7FB20BA7"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AAA</w:t>
            </w:r>
          </w:p>
        </w:tc>
        <w:tc>
          <w:tcPr>
            <w:tcW w:w="1134" w:type="dxa"/>
            <w:tcBorders>
              <w:left w:val="single" w:sz="4" w:space="0" w:color="auto"/>
              <w:right w:val="single" w:sz="4" w:space="0" w:color="auto"/>
            </w:tcBorders>
            <w:shd w:val="clear" w:color="auto" w:fill="auto"/>
            <w:vAlign w:val="center"/>
          </w:tcPr>
          <w:p w14:paraId="6C7607AB"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£30m</w:t>
            </w:r>
          </w:p>
        </w:tc>
        <w:tc>
          <w:tcPr>
            <w:tcW w:w="1134" w:type="dxa"/>
            <w:tcBorders>
              <w:left w:val="single" w:sz="4" w:space="0" w:color="auto"/>
              <w:right w:val="single" w:sz="4" w:space="0" w:color="auto"/>
            </w:tcBorders>
            <w:shd w:val="clear" w:color="auto" w:fill="auto"/>
            <w:vAlign w:val="center"/>
          </w:tcPr>
          <w:p w14:paraId="07110AA9"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36</w:t>
            </w:r>
          </w:p>
        </w:tc>
      </w:tr>
      <w:tr w:rsidR="000729CF" w:rsidRPr="000729CF" w14:paraId="45EFC6AA" w14:textId="77777777" w:rsidTr="00BC26AB">
        <w:trPr>
          <w:cantSplit/>
        </w:trPr>
        <w:tc>
          <w:tcPr>
            <w:tcW w:w="3403" w:type="dxa"/>
            <w:tcBorders>
              <w:left w:val="single" w:sz="4" w:space="0" w:color="auto"/>
              <w:right w:val="single" w:sz="4" w:space="0" w:color="auto"/>
            </w:tcBorders>
            <w:shd w:val="clear" w:color="auto" w:fill="C6D9F1"/>
            <w:vAlign w:val="center"/>
          </w:tcPr>
          <w:p w14:paraId="314F5F96" w14:textId="77777777" w:rsidR="000729CF" w:rsidRPr="000729CF" w:rsidRDefault="000729CF" w:rsidP="000729CF">
            <w:pPr>
              <w:spacing w:line="276" w:lineRule="auto"/>
              <w:ind w:right="12"/>
              <w:rPr>
                <w:rFonts w:ascii="Arial" w:eastAsia="Calibri" w:hAnsi="Arial" w:cs="Arial"/>
                <w:sz w:val="24"/>
                <w:szCs w:val="24"/>
                <w:lang w:val="en-GB"/>
              </w:rPr>
            </w:pPr>
            <w:r w:rsidRPr="000729CF">
              <w:rPr>
                <w:rFonts w:ascii="Arial" w:eastAsia="Calibri" w:hAnsi="Arial" w:cs="Arial"/>
                <w:sz w:val="24"/>
                <w:szCs w:val="24"/>
                <w:lang w:val="en-GB"/>
              </w:rPr>
              <w:t>DBS Bank Ltd (Singapore)</w:t>
            </w:r>
          </w:p>
        </w:tc>
        <w:tc>
          <w:tcPr>
            <w:tcW w:w="1276" w:type="dxa"/>
            <w:gridSpan w:val="2"/>
            <w:tcBorders>
              <w:left w:val="single" w:sz="4" w:space="0" w:color="auto"/>
              <w:right w:val="single" w:sz="4" w:space="0" w:color="auto"/>
            </w:tcBorders>
            <w:shd w:val="clear" w:color="auto" w:fill="C6D9F1"/>
            <w:vAlign w:val="center"/>
          </w:tcPr>
          <w:p w14:paraId="4D12BDB5"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Both</w:t>
            </w:r>
          </w:p>
        </w:tc>
        <w:tc>
          <w:tcPr>
            <w:tcW w:w="709" w:type="dxa"/>
            <w:tcBorders>
              <w:left w:val="single" w:sz="4" w:space="0" w:color="auto"/>
              <w:right w:val="single" w:sz="4" w:space="0" w:color="auto"/>
            </w:tcBorders>
            <w:shd w:val="clear" w:color="auto" w:fill="C6D9F1"/>
            <w:vAlign w:val="center"/>
          </w:tcPr>
          <w:p w14:paraId="630495C7"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F1+</w:t>
            </w:r>
          </w:p>
        </w:tc>
        <w:tc>
          <w:tcPr>
            <w:tcW w:w="567" w:type="dxa"/>
            <w:tcBorders>
              <w:left w:val="single" w:sz="4" w:space="0" w:color="auto"/>
              <w:right w:val="single" w:sz="4" w:space="0" w:color="auto"/>
            </w:tcBorders>
            <w:shd w:val="clear" w:color="auto" w:fill="C6D9F1"/>
            <w:vAlign w:val="center"/>
          </w:tcPr>
          <w:p w14:paraId="41F2E901"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P-1</w:t>
            </w:r>
          </w:p>
        </w:tc>
        <w:tc>
          <w:tcPr>
            <w:tcW w:w="709" w:type="dxa"/>
            <w:tcBorders>
              <w:left w:val="single" w:sz="4" w:space="0" w:color="auto"/>
              <w:right w:val="single" w:sz="4" w:space="0" w:color="auto"/>
            </w:tcBorders>
            <w:shd w:val="clear" w:color="auto" w:fill="C6D9F1"/>
            <w:vAlign w:val="center"/>
          </w:tcPr>
          <w:p w14:paraId="1EE1B2EB"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A-1+</w:t>
            </w:r>
          </w:p>
        </w:tc>
        <w:tc>
          <w:tcPr>
            <w:tcW w:w="851" w:type="dxa"/>
            <w:gridSpan w:val="2"/>
            <w:tcBorders>
              <w:left w:val="single" w:sz="4" w:space="0" w:color="auto"/>
              <w:right w:val="single" w:sz="4" w:space="0" w:color="auto"/>
            </w:tcBorders>
            <w:shd w:val="clear" w:color="auto" w:fill="C6D9F1"/>
            <w:vAlign w:val="center"/>
          </w:tcPr>
          <w:p w14:paraId="539995E5"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AA-</w:t>
            </w:r>
          </w:p>
        </w:tc>
        <w:tc>
          <w:tcPr>
            <w:tcW w:w="850" w:type="dxa"/>
            <w:tcBorders>
              <w:left w:val="single" w:sz="4" w:space="0" w:color="auto"/>
              <w:right w:val="single" w:sz="4" w:space="0" w:color="auto"/>
            </w:tcBorders>
            <w:shd w:val="clear" w:color="auto" w:fill="C6D9F1"/>
            <w:vAlign w:val="center"/>
          </w:tcPr>
          <w:p w14:paraId="461858B1"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Aa1</w:t>
            </w:r>
          </w:p>
        </w:tc>
        <w:tc>
          <w:tcPr>
            <w:tcW w:w="850" w:type="dxa"/>
            <w:tcBorders>
              <w:left w:val="single" w:sz="4" w:space="0" w:color="auto"/>
              <w:right w:val="single" w:sz="4" w:space="0" w:color="auto"/>
            </w:tcBorders>
            <w:shd w:val="clear" w:color="auto" w:fill="C6D9F1"/>
            <w:vAlign w:val="center"/>
          </w:tcPr>
          <w:p w14:paraId="2F0F6AB9"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AA-</w:t>
            </w:r>
          </w:p>
        </w:tc>
        <w:tc>
          <w:tcPr>
            <w:tcW w:w="1134" w:type="dxa"/>
            <w:tcBorders>
              <w:left w:val="single" w:sz="4" w:space="0" w:color="auto"/>
              <w:right w:val="single" w:sz="4" w:space="0" w:color="auto"/>
            </w:tcBorders>
            <w:shd w:val="clear" w:color="auto" w:fill="C6D9F1"/>
            <w:vAlign w:val="center"/>
          </w:tcPr>
          <w:p w14:paraId="7D7E0EAC"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£30m</w:t>
            </w:r>
          </w:p>
        </w:tc>
        <w:tc>
          <w:tcPr>
            <w:tcW w:w="1134" w:type="dxa"/>
            <w:tcBorders>
              <w:left w:val="single" w:sz="4" w:space="0" w:color="auto"/>
              <w:right w:val="single" w:sz="4" w:space="0" w:color="auto"/>
            </w:tcBorders>
            <w:shd w:val="clear" w:color="auto" w:fill="C6D9F1"/>
            <w:vAlign w:val="center"/>
          </w:tcPr>
          <w:p w14:paraId="6805EA06"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24</w:t>
            </w:r>
          </w:p>
        </w:tc>
      </w:tr>
      <w:tr w:rsidR="000729CF" w:rsidRPr="000729CF" w14:paraId="252CB2AF" w14:textId="77777777" w:rsidTr="00BC26AB">
        <w:trPr>
          <w:cantSplit/>
        </w:trPr>
        <w:tc>
          <w:tcPr>
            <w:tcW w:w="3403" w:type="dxa"/>
            <w:tcBorders>
              <w:left w:val="single" w:sz="4" w:space="0" w:color="auto"/>
              <w:right w:val="single" w:sz="4" w:space="0" w:color="auto"/>
            </w:tcBorders>
            <w:shd w:val="clear" w:color="auto" w:fill="auto"/>
            <w:vAlign w:val="center"/>
          </w:tcPr>
          <w:p w14:paraId="1AA54379" w14:textId="77777777" w:rsidR="000729CF" w:rsidRPr="000729CF" w:rsidRDefault="000729CF" w:rsidP="000729CF">
            <w:pPr>
              <w:spacing w:line="276" w:lineRule="auto"/>
              <w:ind w:right="12"/>
              <w:rPr>
                <w:rFonts w:ascii="Arial" w:eastAsia="Calibri" w:hAnsi="Arial" w:cs="Arial"/>
                <w:sz w:val="24"/>
                <w:szCs w:val="24"/>
                <w:lang w:val="en-GB"/>
              </w:rPr>
            </w:pPr>
            <w:r w:rsidRPr="000729CF">
              <w:rPr>
                <w:rFonts w:ascii="Arial" w:eastAsia="Calibri" w:hAnsi="Arial" w:cs="Arial"/>
                <w:sz w:val="24"/>
                <w:szCs w:val="24"/>
                <w:lang w:val="en-GB"/>
              </w:rPr>
              <w:t>Overseas Chinese Banking Corporation Limits (Singapore)</w:t>
            </w:r>
          </w:p>
        </w:tc>
        <w:tc>
          <w:tcPr>
            <w:tcW w:w="1276" w:type="dxa"/>
            <w:gridSpan w:val="2"/>
            <w:tcBorders>
              <w:left w:val="single" w:sz="4" w:space="0" w:color="auto"/>
              <w:right w:val="single" w:sz="4" w:space="0" w:color="auto"/>
            </w:tcBorders>
            <w:shd w:val="clear" w:color="auto" w:fill="auto"/>
            <w:vAlign w:val="center"/>
          </w:tcPr>
          <w:p w14:paraId="511A3905"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Both</w:t>
            </w:r>
          </w:p>
        </w:tc>
        <w:tc>
          <w:tcPr>
            <w:tcW w:w="709" w:type="dxa"/>
            <w:tcBorders>
              <w:left w:val="single" w:sz="4" w:space="0" w:color="auto"/>
              <w:right w:val="single" w:sz="4" w:space="0" w:color="auto"/>
            </w:tcBorders>
            <w:shd w:val="clear" w:color="auto" w:fill="auto"/>
            <w:vAlign w:val="center"/>
          </w:tcPr>
          <w:p w14:paraId="760A5A44"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F1+</w:t>
            </w:r>
          </w:p>
        </w:tc>
        <w:tc>
          <w:tcPr>
            <w:tcW w:w="567" w:type="dxa"/>
            <w:tcBorders>
              <w:left w:val="single" w:sz="4" w:space="0" w:color="auto"/>
              <w:right w:val="single" w:sz="4" w:space="0" w:color="auto"/>
            </w:tcBorders>
            <w:shd w:val="clear" w:color="auto" w:fill="auto"/>
            <w:vAlign w:val="center"/>
          </w:tcPr>
          <w:p w14:paraId="0635E0A9"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P-1</w:t>
            </w:r>
          </w:p>
        </w:tc>
        <w:tc>
          <w:tcPr>
            <w:tcW w:w="709" w:type="dxa"/>
            <w:tcBorders>
              <w:left w:val="single" w:sz="4" w:space="0" w:color="auto"/>
              <w:right w:val="single" w:sz="4" w:space="0" w:color="auto"/>
            </w:tcBorders>
            <w:shd w:val="clear" w:color="auto" w:fill="auto"/>
            <w:vAlign w:val="center"/>
          </w:tcPr>
          <w:p w14:paraId="5BF873E8"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A-1+</w:t>
            </w:r>
          </w:p>
        </w:tc>
        <w:tc>
          <w:tcPr>
            <w:tcW w:w="851" w:type="dxa"/>
            <w:gridSpan w:val="2"/>
            <w:tcBorders>
              <w:left w:val="single" w:sz="4" w:space="0" w:color="auto"/>
              <w:right w:val="single" w:sz="4" w:space="0" w:color="auto"/>
            </w:tcBorders>
            <w:shd w:val="clear" w:color="auto" w:fill="auto"/>
            <w:vAlign w:val="center"/>
          </w:tcPr>
          <w:p w14:paraId="6583742E"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AA-</w:t>
            </w:r>
          </w:p>
        </w:tc>
        <w:tc>
          <w:tcPr>
            <w:tcW w:w="850" w:type="dxa"/>
            <w:tcBorders>
              <w:left w:val="single" w:sz="4" w:space="0" w:color="auto"/>
              <w:right w:val="single" w:sz="4" w:space="0" w:color="auto"/>
            </w:tcBorders>
            <w:shd w:val="clear" w:color="auto" w:fill="auto"/>
            <w:vAlign w:val="center"/>
          </w:tcPr>
          <w:p w14:paraId="7F0CEDEF"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Aa1</w:t>
            </w:r>
          </w:p>
        </w:tc>
        <w:tc>
          <w:tcPr>
            <w:tcW w:w="850" w:type="dxa"/>
            <w:tcBorders>
              <w:left w:val="single" w:sz="4" w:space="0" w:color="auto"/>
              <w:right w:val="single" w:sz="4" w:space="0" w:color="auto"/>
            </w:tcBorders>
            <w:shd w:val="clear" w:color="auto" w:fill="auto"/>
            <w:vAlign w:val="center"/>
          </w:tcPr>
          <w:p w14:paraId="2E10F93D"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AA-</w:t>
            </w:r>
          </w:p>
        </w:tc>
        <w:tc>
          <w:tcPr>
            <w:tcW w:w="1134" w:type="dxa"/>
            <w:tcBorders>
              <w:left w:val="single" w:sz="4" w:space="0" w:color="auto"/>
              <w:right w:val="single" w:sz="4" w:space="0" w:color="auto"/>
            </w:tcBorders>
            <w:shd w:val="clear" w:color="auto" w:fill="auto"/>
            <w:vAlign w:val="center"/>
          </w:tcPr>
          <w:p w14:paraId="5C36661C"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£30m</w:t>
            </w:r>
          </w:p>
        </w:tc>
        <w:tc>
          <w:tcPr>
            <w:tcW w:w="1134" w:type="dxa"/>
            <w:tcBorders>
              <w:left w:val="single" w:sz="4" w:space="0" w:color="auto"/>
              <w:right w:val="single" w:sz="4" w:space="0" w:color="auto"/>
            </w:tcBorders>
            <w:shd w:val="clear" w:color="auto" w:fill="auto"/>
            <w:vAlign w:val="center"/>
          </w:tcPr>
          <w:p w14:paraId="2DF82EEB"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24</w:t>
            </w:r>
          </w:p>
        </w:tc>
      </w:tr>
      <w:tr w:rsidR="000729CF" w:rsidRPr="000729CF" w14:paraId="0E4857A2" w14:textId="77777777" w:rsidTr="00BC26AB">
        <w:trPr>
          <w:cantSplit/>
        </w:trPr>
        <w:tc>
          <w:tcPr>
            <w:tcW w:w="3403" w:type="dxa"/>
            <w:tcBorders>
              <w:left w:val="single" w:sz="4" w:space="0" w:color="auto"/>
              <w:right w:val="single" w:sz="4" w:space="0" w:color="auto"/>
            </w:tcBorders>
            <w:shd w:val="clear" w:color="auto" w:fill="C6D9F1"/>
            <w:vAlign w:val="center"/>
          </w:tcPr>
          <w:p w14:paraId="3ECF97BA" w14:textId="77777777" w:rsidR="000729CF" w:rsidRPr="000729CF" w:rsidRDefault="000729CF" w:rsidP="000729CF">
            <w:pPr>
              <w:spacing w:line="276" w:lineRule="auto"/>
              <w:ind w:right="12"/>
              <w:rPr>
                <w:rFonts w:ascii="Arial" w:eastAsia="Calibri" w:hAnsi="Arial" w:cs="Arial"/>
                <w:sz w:val="24"/>
                <w:szCs w:val="24"/>
                <w:lang w:val="en-GB"/>
              </w:rPr>
            </w:pPr>
            <w:r w:rsidRPr="000729CF">
              <w:rPr>
                <w:rFonts w:ascii="Arial" w:eastAsia="Calibri" w:hAnsi="Arial" w:cs="Arial"/>
                <w:sz w:val="24"/>
                <w:szCs w:val="24"/>
                <w:lang w:val="en-GB"/>
              </w:rPr>
              <w:t>United Overseas Bank Limited (Singapore)</w:t>
            </w:r>
          </w:p>
        </w:tc>
        <w:tc>
          <w:tcPr>
            <w:tcW w:w="1276" w:type="dxa"/>
            <w:gridSpan w:val="2"/>
            <w:tcBorders>
              <w:left w:val="single" w:sz="4" w:space="0" w:color="auto"/>
              <w:right w:val="single" w:sz="4" w:space="0" w:color="auto"/>
            </w:tcBorders>
            <w:shd w:val="clear" w:color="auto" w:fill="C6D9F1"/>
            <w:vAlign w:val="center"/>
          </w:tcPr>
          <w:p w14:paraId="3CFC7E3B"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Both</w:t>
            </w:r>
          </w:p>
        </w:tc>
        <w:tc>
          <w:tcPr>
            <w:tcW w:w="709" w:type="dxa"/>
            <w:tcBorders>
              <w:left w:val="single" w:sz="4" w:space="0" w:color="auto"/>
              <w:right w:val="single" w:sz="4" w:space="0" w:color="auto"/>
            </w:tcBorders>
            <w:shd w:val="clear" w:color="auto" w:fill="C6D9F1"/>
            <w:vAlign w:val="center"/>
          </w:tcPr>
          <w:p w14:paraId="3D837819"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F1+</w:t>
            </w:r>
          </w:p>
        </w:tc>
        <w:tc>
          <w:tcPr>
            <w:tcW w:w="567" w:type="dxa"/>
            <w:tcBorders>
              <w:left w:val="single" w:sz="4" w:space="0" w:color="auto"/>
              <w:right w:val="single" w:sz="4" w:space="0" w:color="auto"/>
            </w:tcBorders>
            <w:shd w:val="clear" w:color="auto" w:fill="C6D9F1"/>
            <w:vAlign w:val="center"/>
          </w:tcPr>
          <w:p w14:paraId="77A328AD"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P-1</w:t>
            </w:r>
          </w:p>
        </w:tc>
        <w:tc>
          <w:tcPr>
            <w:tcW w:w="709" w:type="dxa"/>
            <w:tcBorders>
              <w:left w:val="single" w:sz="4" w:space="0" w:color="auto"/>
              <w:right w:val="single" w:sz="4" w:space="0" w:color="auto"/>
            </w:tcBorders>
            <w:shd w:val="clear" w:color="auto" w:fill="C6D9F1"/>
            <w:vAlign w:val="center"/>
          </w:tcPr>
          <w:p w14:paraId="495C6DA2"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A-1+</w:t>
            </w:r>
          </w:p>
        </w:tc>
        <w:tc>
          <w:tcPr>
            <w:tcW w:w="851" w:type="dxa"/>
            <w:gridSpan w:val="2"/>
            <w:tcBorders>
              <w:left w:val="single" w:sz="4" w:space="0" w:color="auto"/>
              <w:right w:val="single" w:sz="4" w:space="0" w:color="auto"/>
            </w:tcBorders>
            <w:shd w:val="clear" w:color="auto" w:fill="C6D9F1"/>
            <w:vAlign w:val="center"/>
          </w:tcPr>
          <w:p w14:paraId="79E6B232"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AA-</w:t>
            </w:r>
          </w:p>
        </w:tc>
        <w:tc>
          <w:tcPr>
            <w:tcW w:w="850" w:type="dxa"/>
            <w:tcBorders>
              <w:left w:val="single" w:sz="4" w:space="0" w:color="auto"/>
              <w:right w:val="single" w:sz="4" w:space="0" w:color="auto"/>
            </w:tcBorders>
            <w:shd w:val="clear" w:color="auto" w:fill="C6D9F1"/>
            <w:vAlign w:val="center"/>
          </w:tcPr>
          <w:p w14:paraId="224F19E8"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Aa1</w:t>
            </w:r>
          </w:p>
        </w:tc>
        <w:tc>
          <w:tcPr>
            <w:tcW w:w="850" w:type="dxa"/>
            <w:tcBorders>
              <w:left w:val="single" w:sz="4" w:space="0" w:color="auto"/>
              <w:right w:val="single" w:sz="4" w:space="0" w:color="auto"/>
            </w:tcBorders>
            <w:shd w:val="clear" w:color="auto" w:fill="C6D9F1"/>
            <w:vAlign w:val="center"/>
          </w:tcPr>
          <w:p w14:paraId="4FA1A8EE"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AA-</w:t>
            </w:r>
          </w:p>
        </w:tc>
        <w:tc>
          <w:tcPr>
            <w:tcW w:w="1134" w:type="dxa"/>
            <w:tcBorders>
              <w:left w:val="single" w:sz="4" w:space="0" w:color="auto"/>
              <w:right w:val="single" w:sz="4" w:space="0" w:color="auto"/>
            </w:tcBorders>
            <w:shd w:val="clear" w:color="auto" w:fill="C6D9F1"/>
            <w:vAlign w:val="center"/>
          </w:tcPr>
          <w:p w14:paraId="07DA8F87"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£30m</w:t>
            </w:r>
          </w:p>
        </w:tc>
        <w:tc>
          <w:tcPr>
            <w:tcW w:w="1134" w:type="dxa"/>
            <w:tcBorders>
              <w:left w:val="single" w:sz="4" w:space="0" w:color="auto"/>
              <w:right w:val="single" w:sz="4" w:space="0" w:color="auto"/>
            </w:tcBorders>
            <w:shd w:val="clear" w:color="auto" w:fill="C6D9F1"/>
            <w:vAlign w:val="center"/>
          </w:tcPr>
          <w:p w14:paraId="66C0D215"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24</w:t>
            </w:r>
          </w:p>
        </w:tc>
      </w:tr>
      <w:tr w:rsidR="000729CF" w:rsidRPr="000729CF" w14:paraId="28DDCF95" w14:textId="77777777" w:rsidTr="00BC26AB">
        <w:trPr>
          <w:cantSplit/>
        </w:trPr>
        <w:tc>
          <w:tcPr>
            <w:tcW w:w="3403" w:type="dxa"/>
            <w:tcBorders>
              <w:left w:val="single" w:sz="4" w:space="0" w:color="auto"/>
              <w:right w:val="single" w:sz="4" w:space="0" w:color="auto"/>
            </w:tcBorders>
            <w:shd w:val="clear" w:color="auto" w:fill="auto"/>
            <w:vAlign w:val="center"/>
          </w:tcPr>
          <w:p w14:paraId="085699D4" w14:textId="77777777" w:rsidR="000729CF" w:rsidRPr="000729CF" w:rsidRDefault="000729CF" w:rsidP="000729CF">
            <w:pPr>
              <w:spacing w:line="276" w:lineRule="auto"/>
              <w:rPr>
                <w:rFonts w:ascii="Arial" w:eastAsia="Calibri" w:hAnsi="Arial" w:cs="Arial"/>
                <w:snapToGrid w:val="0"/>
                <w:sz w:val="24"/>
                <w:szCs w:val="24"/>
                <w:lang w:val="en-GB"/>
              </w:rPr>
            </w:pPr>
            <w:r w:rsidRPr="000729CF">
              <w:rPr>
                <w:rFonts w:ascii="Arial" w:eastAsia="Calibri" w:hAnsi="Arial" w:cs="Arial"/>
                <w:snapToGrid w:val="0"/>
                <w:sz w:val="24"/>
                <w:szCs w:val="24"/>
                <w:lang w:val="en-GB"/>
              </w:rPr>
              <w:t xml:space="preserve">Svenska </w:t>
            </w:r>
            <w:proofErr w:type="spellStart"/>
            <w:r w:rsidRPr="000729CF">
              <w:rPr>
                <w:rFonts w:ascii="Arial" w:eastAsia="Calibri" w:hAnsi="Arial" w:cs="Arial"/>
                <w:snapToGrid w:val="0"/>
                <w:sz w:val="24"/>
                <w:szCs w:val="24"/>
                <w:lang w:val="en-GB"/>
              </w:rPr>
              <w:t>HandelsBanken</w:t>
            </w:r>
            <w:proofErr w:type="spellEnd"/>
            <w:r w:rsidRPr="000729CF">
              <w:rPr>
                <w:rFonts w:ascii="Arial" w:eastAsia="Calibri" w:hAnsi="Arial" w:cs="Arial"/>
                <w:snapToGrid w:val="0"/>
                <w:sz w:val="24"/>
                <w:szCs w:val="24"/>
                <w:lang w:val="en-GB"/>
              </w:rPr>
              <w:t xml:space="preserve"> AB (Sweden)</w:t>
            </w:r>
          </w:p>
        </w:tc>
        <w:tc>
          <w:tcPr>
            <w:tcW w:w="1276" w:type="dxa"/>
            <w:gridSpan w:val="2"/>
            <w:tcBorders>
              <w:left w:val="single" w:sz="4" w:space="0" w:color="auto"/>
              <w:right w:val="single" w:sz="4" w:space="0" w:color="auto"/>
            </w:tcBorders>
            <w:shd w:val="clear" w:color="auto" w:fill="auto"/>
            <w:vAlign w:val="center"/>
          </w:tcPr>
          <w:p w14:paraId="7D58016D"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Both</w:t>
            </w:r>
          </w:p>
        </w:tc>
        <w:tc>
          <w:tcPr>
            <w:tcW w:w="709" w:type="dxa"/>
            <w:tcBorders>
              <w:left w:val="single" w:sz="4" w:space="0" w:color="auto"/>
              <w:right w:val="single" w:sz="4" w:space="0" w:color="auto"/>
            </w:tcBorders>
            <w:shd w:val="clear" w:color="auto" w:fill="auto"/>
            <w:vAlign w:val="center"/>
          </w:tcPr>
          <w:p w14:paraId="343BA145"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F1+</w:t>
            </w:r>
          </w:p>
        </w:tc>
        <w:tc>
          <w:tcPr>
            <w:tcW w:w="567" w:type="dxa"/>
            <w:tcBorders>
              <w:left w:val="single" w:sz="4" w:space="0" w:color="auto"/>
              <w:right w:val="single" w:sz="4" w:space="0" w:color="auto"/>
            </w:tcBorders>
            <w:shd w:val="clear" w:color="auto" w:fill="auto"/>
            <w:vAlign w:val="center"/>
          </w:tcPr>
          <w:p w14:paraId="6EA6927B"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P-1</w:t>
            </w:r>
          </w:p>
        </w:tc>
        <w:tc>
          <w:tcPr>
            <w:tcW w:w="709" w:type="dxa"/>
            <w:tcBorders>
              <w:left w:val="single" w:sz="4" w:space="0" w:color="auto"/>
              <w:right w:val="single" w:sz="4" w:space="0" w:color="auto"/>
            </w:tcBorders>
            <w:shd w:val="clear" w:color="auto" w:fill="auto"/>
            <w:vAlign w:val="center"/>
          </w:tcPr>
          <w:p w14:paraId="074E5E4A" w14:textId="77777777" w:rsidR="000729CF" w:rsidRPr="000729CF" w:rsidRDefault="000729CF" w:rsidP="000729CF">
            <w:pPr>
              <w:spacing w:line="276" w:lineRule="auto"/>
              <w:jc w:val="center"/>
              <w:rPr>
                <w:rFonts w:ascii="Arial" w:eastAsia="Calibri" w:hAnsi="Arial" w:cs="Arial"/>
                <w:b/>
                <w:snapToGrid w:val="0"/>
                <w:sz w:val="24"/>
                <w:szCs w:val="24"/>
                <w:lang w:val="en-GB"/>
              </w:rPr>
            </w:pPr>
            <w:r w:rsidRPr="000729CF">
              <w:rPr>
                <w:rFonts w:ascii="Arial" w:eastAsia="Calibri" w:hAnsi="Arial" w:cs="Arial"/>
                <w:snapToGrid w:val="0"/>
                <w:sz w:val="24"/>
                <w:szCs w:val="24"/>
                <w:lang w:val="en-GB"/>
              </w:rPr>
              <w:t>A-1+</w:t>
            </w:r>
          </w:p>
        </w:tc>
        <w:tc>
          <w:tcPr>
            <w:tcW w:w="851" w:type="dxa"/>
            <w:gridSpan w:val="2"/>
            <w:tcBorders>
              <w:left w:val="single" w:sz="4" w:space="0" w:color="auto"/>
              <w:right w:val="single" w:sz="4" w:space="0" w:color="auto"/>
            </w:tcBorders>
            <w:shd w:val="clear" w:color="auto" w:fill="auto"/>
            <w:vAlign w:val="center"/>
          </w:tcPr>
          <w:p w14:paraId="6483FC0C"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AA</w:t>
            </w:r>
          </w:p>
        </w:tc>
        <w:tc>
          <w:tcPr>
            <w:tcW w:w="850" w:type="dxa"/>
            <w:tcBorders>
              <w:left w:val="single" w:sz="4" w:space="0" w:color="auto"/>
              <w:right w:val="single" w:sz="4" w:space="0" w:color="auto"/>
            </w:tcBorders>
            <w:shd w:val="clear" w:color="auto" w:fill="auto"/>
            <w:vAlign w:val="center"/>
          </w:tcPr>
          <w:p w14:paraId="366936EB"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Aa2</w:t>
            </w:r>
          </w:p>
        </w:tc>
        <w:tc>
          <w:tcPr>
            <w:tcW w:w="850" w:type="dxa"/>
            <w:tcBorders>
              <w:left w:val="single" w:sz="4" w:space="0" w:color="auto"/>
              <w:right w:val="single" w:sz="4" w:space="0" w:color="auto"/>
            </w:tcBorders>
            <w:shd w:val="clear" w:color="auto" w:fill="auto"/>
            <w:vAlign w:val="center"/>
          </w:tcPr>
          <w:p w14:paraId="7D6CB80C"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AA-</w:t>
            </w:r>
          </w:p>
        </w:tc>
        <w:tc>
          <w:tcPr>
            <w:tcW w:w="1134" w:type="dxa"/>
            <w:tcBorders>
              <w:left w:val="single" w:sz="4" w:space="0" w:color="auto"/>
              <w:right w:val="single" w:sz="4" w:space="0" w:color="auto"/>
            </w:tcBorders>
            <w:shd w:val="clear" w:color="auto" w:fill="auto"/>
            <w:vAlign w:val="center"/>
          </w:tcPr>
          <w:p w14:paraId="4EDDAD07"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£30m</w:t>
            </w:r>
          </w:p>
        </w:tc>
        <w:tc>
          <w:tcPr>
            <w:tcW w:w="1134" w:type="dxa"/>
            <w:tcBorders>
              <w:left w:val="single" w:sz="4" w:space="0" w:color="auto"/>
              <w:right w:val="single" w:sz="4" w:space="0" w:color="auto"/>
            </w:tcBorders>
            <w:shd w:val="clear" w:color="auto" w:fill="auto"/>
            <w:vAlign w:val="center"/>
          </w:tcPr>
          <w:p w14:paraId="2943CB5F"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24</w:t>
            </w:r>
          </w:p>
        </w:tc>
      </w:tr>
      <w:tr w:rsidR="000729CF" w:rsidRPr="000729CF" w14:paraId="1209AEDB" w14:textId="77777777" w:rsidTr="00BC26AB">
        <w:trPr>
          <w:cantSplit/>
        </w:trPr>
        <w:tc>
          <w:tcPr>
            <w:tcW w:w="3403" w:type="dxa"/>
            <w:tcBorders>
              <w:left w:val="single" w:sz="4" w:space="0" w:color="auto"/>
              <w:right w:val="single" w:sz="4" w:space="0" w:color="auto"/>
            </w:tcBorders>
            <w:shd w:val="clear" w:color="auto" w:fill="C6D9F1"/>
            <w:vAlign w:val="center"/>
          </w:tcPr>
          <w:p w14:paraId="60715953" w14:textId="77777777" w:rsidR="000729CF" w:rsidRPr="000729CF" w:rsidRDefault="000729CF" w:rsidP="000729CF">
            <w:pPr>
              <w:spacing w:line="276" w:lineRule="auto"/>
              <w:ind w:right="12"/>
              <w:rPr>
                <w:rFonts w:ascii="Arial" w:eastAsia="Calibri" w:hAnsi="Arial" w:cs="Arial"/>
                <w:sz w:val="24"/>
                <w:szCs w:val="24"/>
                <w:lang w:val="en-GB"/>
              </w:rPr>
            </w:pPr>
            <w:r w:rsidRPr="000729CF">
              <w:rPr>
                <w:rFonts w:ascii="Arial" w:eastAsia="Calibri" w:hAnsi="Arial" w:cs="Arial"/>
                <w:sz w:val="24"/>
                <w:szCs w:val="24"/>
                <w:lang w:val="en-GB"/>
              </w:rPr>
              <w:t>First Abu Dhabi Bank PJSC</w:t>
            </w:r>
          </w:p>
        </w:tc>
        <w:tc>
          <w:tcPr>
            <w:tcW w:w="1276" w:type="dxa"/>
            <w:gridSpan w:val="2"/>
            <w:tcBorders>
              <w:left w:val="single" w:sz="4" w:space="0" w:color="auto"/>
              <w:right w:val="single" w:sz="4" w:space="0" w:color="auto"/>
            </w:tcBorders>
            <w:shd w:val="clear" w:color="auto" w:fill="C6D9F1"/>
            <w:vAlign w:val="center"/>
          </w:tcPr>
          <w:p w14:paraId="777CA8F4"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Both</w:t>
            </w:r>
          </w:p>
        </w:tc>
        <w:tc>
          <w:tcPr>
            <w:tcW w:w="709" w:type="dxa"/>
            <w:tcBorders>
              <w:left w:val="single" w:sz="4" w:space="0" w:color="auto"/>
              <w:right w:val="single" w:sz="4" w:space="0" w:color="auto"/>
            </w:tcBorders>
            <w:shd w:val="clear" w:color="auto" w:fill="C6D9F1"/>
            <w:vAlign w:val="center"/>
          </w:tcPr>
          <w:p w14:paraId="046A96C0"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F1+</w:t>
            </w:r>
          </w:p>
        </w:tc>
        <w:tc>
          <w:tcPr>
            <w:tcW w:w="567" w:type="dxa"/>
            <w:tcBorders>
              <w:left w:val="single" w:sz="4" w:space="0" w:color="auto"/>
              <w:right w:val="single" w:sz="4" w:space="0" w:color="auto"/>
            </w:tcBorders>
            <w:shd w:val="clear" w:color="auto" w:fill="C6D9F1"/>
            <w:vAlign w:val="center"/>
          </w:tcPr>
          <w:p w14:paraId="0825EBD7"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P-1</w:t>
            </w:r>
          </w:p>
        </w:tc>
        <w:tc>
          <w:tcPr>
            <w:tcW w:w="709" w:type="dxa"/>
            <w:tcBorders>
              <w:left w:val="single" w:sz="4" w:space="0" w:color="auto"/>
              <w:right w:val="single" w:sz="4" w:space="0" w:color="auto"/>
            </w:tcBorders>
            <w:shd w:val="clear" w:color="auto" w:fill="C6D9F1"/>
            <w:vAlign w:val="center"/>
          </w:tcPr>
          <w:p w14:paraId="31D55167"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A-1+</w:t>
            </w:r>
          </w:p>
        </w:tc>
        <w:tc>
          <w:tcPr>
            <w:tcW w:w="851" w:type="dxa"/>
            <w:gridSpan w:val="2"/>
            <w:tcBorders>
              <w:left w:val="single" w:sz="4" w:space="0" w:color="auto"/>
              <w:right w:val="single" w:sz="4" w:space="0" w:color="auto"/>
            </w:tcBorders>
            <w:shd w:val="clear" w:color="auto" w:fill="C6D9F1"/>
            <w:vAlign w:val="center"/>
          </w:tcPr>
          <w:p w14:paraId="5FA09C08"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AA-</w:t>
            </w:r>
          </w:p>
        </w:tc>
        <w:tc>
          <w:tcPr>
            <w:tcW w:w="850" w:type="dxa"/>
            <w:tcBorders>
              <w:left w:val="single" w:sz="4" w:space="0" w:color="auto"/>
              <w:right w:val="single" w:sz="4" w:space="0" w:color="auto"/>
            </w:tcBorders>
            <w:shd w:val="clear" w:color="auto" w:fill="C6D9F1"/>
            <w:vAlign w:val="center"/>
          </w:tcPr>
          <w:p w14:paraId="2F8EC0EA"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Aa3</w:t>
            </w:r>
          </w:p>
        </w:tc>
        <w:tc>
          <w:tcPr>
            <w:tcW w:w="850" w:type="dxa"/>
            <w:tcBorders>
              <w:left w:val="single" w:sz="4" w:space="0" w:color="auto"/>
              <w:right w:val="single" w:sz="4" w:space="0" w:color="auto"/>
            </w:tcBorders>
            <w:shd w:val="clear" w:color="auto" w:fill="C6D9F1"/>
            <w:vAlign w:val="center"/>
          </w:tcPr>
          <w:p w14:paraId="128B9AF7"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AA-</w:t>
            </w:r>
          </w:p>
        </w:tc>
        <w:tc>
          <w:tcPr>
            <w:tcW w:w="1134" w:type="dxa"/>
            <w:tcBorders>
              <w:left w:val="single" w:sz="4" w:space="0" w:color="auto"/>
              <w:right w:val="single" w:sz="4" w:space="0" w:color="auto"/>
            </w:tcBorders>
            <w:shd w:val="clear" w:color="auto" w:fill="C6D9F1"/>
            <w:vAlign w:val="center"/>
          </w:tcPr>
          <w:p w14:paraId="10C4B3ED" w14:textId="77777777" w:rsidR="000729CF" w:rsidRPr="000729CF" w:rsidRDefault="000729CF" w:rsidP="000729CF">
            <w:pPr>
              <w:spacing w:line="276" w:lineRule="auto"/>
              <w:jc w:val="center"/>
              <w:rPr>
                <w:rFonts w:ascii="Arial" w:eastAsia="Calibri" w:hAnsi="Arial" w:cs="Arial"/>
                <w:b/>
                <w:bCs/>
                <w:snapToGrid w:val="0"/>
                <w:sz w:val="24"/>
                <w:szCs w:val="24"/>
                <w:lang w:val="en-GB"/>
              </w:rPr>
            </w:pPr>
            <w:r w:rsidRPr="000729CF">
              <w:rPr>
                <w:rFonts w:ascii="Arial" w:eastAsia="Calibri" w:hAnsi="Arial" w:cs="Arial"/>
                <w:snapToGrid w:val="0"/>
                <w:sz w:val="24"/>
                <w:szCs w:val="24"/>
                <w:lang w:val="en-GB"/>
              </w:rPr>
              <w:t>£30m</w:t>
            </w:r>
          </w:p>
        </w:tc>
        <w:tc>
          <w:tcPr>
            <w:tcW w:w="1134" w:type="dxa"/>
            <w:tcBorders>
              <w:left w:val="single" w:sz="4" w:space="0" w:color="auto"/>
              <w:right w:val="single" w:sz="4" w:space="0" w:color="auto"/>
            </w:tcBorders>
            <w:shd w:val="clear" w:color="auto" w:fill="C6D9F1"/>
            <w:vAlign w:val="center"/>
          </w:tcPr>
          <w:p w14:paraId="6537356E"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24</w:t>
            </w:r>
          </w:p>
        </w:tc>
      </w:tr>
      <w:tr w:rsidR="000729CF" w:rsidRPr="000729CF" w14:paraId="0106571A" w14:textId="77777777" w:rsidTr="00BC26AB">
        <w:trPr>
          <w:cantSplit/>
        </w:trPr>
        <w:tc>
          <w:tcPr>
            <w:tcW w:w="3403" w:type="dxa"/>
            <w:tcBorders>
              <w:left w:val="single" w:sz="4" w:space="0" w:color="auto"/>
              <w:bottom w:val="single" w:sz="4" w:space="0" w:color="auto"/>
              <w:right w:val="single" w:sz="4" w:space="0" w:color="auto"/>
            </w:tcBorders>
            <w:shd w:val="clear" w:color="auto" w:fill="FFFFFF"/>
            <w:vAlign w:val="center"/>
          </w:tcPr>
          <w:p w14:paraId="1885BEA2" w14:textId="77777777" w:rsidR="000729CF" w:rsidRPr="000729CF" w:rsidRDefault="000729CF" w:rsidP="000729CF">
            <w:pPr>
              <w:spacing w:line="276" w:lineRule="auto"/>
              <w:rPr>
                <w:rFonts w:ascii="Arial" w:eastAsia="Calibri" w:hAnsi="Arial" w:cs="Arial"/>
                <w:snapToGrid w:val="0"/>
                <w:sz w:val="24"/>
                <w:szCs w:val="24"/>
                <w:lang w:val="en-GB"/>
              </w:rPr>
            </w:pPr>
            <w:r w:rsidRPr="000729CF">
              <w:rPr>
                <w:rFonts w:ascii="Arial" w:eastAsia="Calibri" w:hAnsi="Arial" w:cs="Arial"/>
                <w:snapToGrid w:val="0"/>
                <w:sz w:val="24"/>
                <w:szCs w:val="24"/>
                <w:lang w:val="en-GB"/>
              </w:rPr>
              <w:t>Bank of New York Mellon (USA)</w:t>
            </w:r>
          </w:p>
        </w:tc>
        <w:tc>
          <w:tcPr>
            <w:tcW w:w="1276" w:type="dxa"/>
            <w:gridSpan w:val="2"/>
            <w:tcBorders>
              <w:left w:val="single" w:sz="4" w:space="0" w:color="auto"/>
              <w:bottom w:val="single" w:sz="4" w:space="0" w:color="auto"/>
              <w:right w:val="single" w:sz="4" w:space="0" w:color="auto"/>
            </w:tcBorders>
            <w:shd w:val="clear" w:color="auto" w:fill="FFFFFF"/>
            <w:vAlign w:val="center"/>
          </w:tcPr>
          <w:p w14:paraId="5DEF13BB"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Both</w:t>
            </w:r>
          </w:p>
        </w:tc>
        <w:tc>
          <w:tcPr>
            <w:tcW w:w="709" w:type="dxa"/>
            <w:tcBorders>
              <w:left w:val="single" w:sz="4" w:space="0" w:color="auto"/>
              <w:bottom w:val="single" w:sz="4" w:space="0" w:color="auto"/>
              <w:right w:val="single" w:sz="4" w:space="0" w:color="auto"/>
            </w:tcBorders>
            <w:shd w:val="clear" w:color="auto" w:fill="FFFFFF"/>
            <w:vAlign w:val="center"/>
          </w:tcPr>
          <w:p w14:paraId="37D4E6B1"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F1+</w:t>
            </w:r>
          </w:p>
        </w:tc>
        <w:tc>
          <w:tcPr>
            <w:tcW w:w="567" w:type="dxa"/>
            <w:tcBorders>
              <w:left w:val="single" w:sz="4" w:space="0" w:color="auto"/>
              <w:bottom w:val="single" w:sz="4" w:space="0" w:color="auto"/>
              <w:right w:val="single" w:sz="4" w:space="0" w:color="auto"/>
            </w:tcBorders>
            <w:shd w:val="clear" w:color="auto" w:fill="FFFFFF"/>
            <w:vAlign w:val="center"/>
          </w:tcPr>
          <w:p w14:paraId="7DA2F481"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P-1</w:t>
            </w:r>
          </w:p>
        </w:tc>
        <w:tc>
          <w:tcPr>
            <w:tcW w:w="709" w:type="dxa"/>
            <w:tcBorders>
              <w:left w:val="single" w:sz="4" w:space="0" w:color="auto"/>
              <w:bottom w:val="single" w:sz="4" w:space="0" w:color="auto"/>
              <w:right w:val="single" w:sz="4" w:space="0" w:color="auto"/>
            </w:tcBorders>
            <w:shd w:val="clear" w:color="auto" w:fill="FFFFFF"/>
            <w:vAlign w:val="center"/>
          </w:tcPr>
          <w:p w14:paraId="6F8B01C1"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A-1+</w:t>
            </w:r>
          </w:p>
        </w:tc>
        <w:tc>
          <w:tcPr>
            <w:tcW w:w="851" w:type="dxa"/>
            <w:gridSpan w:val="2"/>
            <w:tcBorders>
              <w:left w:val="single" w:sz="4" w:space="0" w:color="auto"/>
              <w:bottom w:val="single" w:sz="4" w:space="0" w:color="auto"/>
              <w:right w:val="single" w:sz="4" w:space="0" w:color="auto"/>
            </w:tcBorders>
            <w:shd w:val="clear" w:color="auto" w:fill="FFFFFF"/>
            <w:vAlign w:val="center"/>
          </w:tcPr>
          <w:p w14:paraId="42CF43EC"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AA</w:t>
            </w:r>
          </w:p>
        </w:tc>
        <w:tc>
          <w:tcPr>
            <w:tcW w:w="850" w:type="dxa"/>
            <w:tcBorders>
              <w:left w:val="single" w:sz="4" w:space="0" w:color="auto"/>
              <w:bottom w:val="single" w:sz="4" w:space="0" w:color="auto"/>
              <w:right w:val="single" w:sz="4" w:space="0" w:color="auto"/>
            </w:tcBorders>
            <w:shd w:val="clear" w:color="auto" w:fill="FFFFFF"/>
            <w:vAlign w:val="center"/>
          </w:tcPr>
          <w:p w14:paraId="246D837C"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Aa1</w:t>
            </w:r>
          </w:p>
        </w:tc>
        <w:tc>
          <w:tcPr>
            <w:tcW w:w="850" w:type="dxa"/>
            <w:tcBorders>
              <w:left w:val="single" w:sz="4" w:space="0" w:color="auto"/>
              <w:bottom w:val="single" w:sz="4" w:space="0" w:color="auto"/>
              <w:right w:val="single" w:sz="4" w:space="0" w:color="auto"/>
            </w:tcBorders>
            <w:shd w:val="clear" w:color="auto" w:fill="FFFFFF"/>
            <w:vAlign w:val="center"/>
          </w:tcPr>
          <w:p w14:paraId="185A0238"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AA-</w:t>
            </w:r>
          </w:p>
        </w:tc>
        <w:tc>
          <w:tcPr>
            <w:tcW w:w="1134" w:type="dxa"/>
            <w:tcBorders>
              <w:left w:val="single" w:sz="4" w:space="0" w:color="auto"/>
              <w:bottom w:val="single" w:sz="4" w:space="0" w:color="auto"/>
              <w:right w:val="single" w:sz="4" w:space="0" w:color="auto"/>
            </w:tcBorders>
            <w:shd w:val="clear" w:color="auto" w:fill="FFFFFF"/>
            <w:vAlign w:val="center"/>
          </w:tcPr>
          <w:p w14:paraId="5013CD79"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£30m</w:t>
            </w:r>
          </w:p>
        </w:tc>
        <w:tc>
          <w:tcPr>
            <w:tcW w:w="1134" w:type="dxa"/>
            <w:tcBorders>
              <w:left w:val="single" w:sz="4" w:space="0" w:color="auto"/>
              <w:bottom w:val="single" w:sz="4" w:space="0" w:color="auto"/>
              <w:right w:val="single" w:sz="4" w:space="0" w:color="auto"/>
            </w:tcBorders>
            <w:shd w:val="clear" w:color="auto" w:fill="FFFFFF"/>
            <w:vAlign w:val="center"/>
          </w:tcPr>
          <w:p w14:paraId="22BE7E77" w14:textId="77777777" w:rsidR="000729CF" w:rsidRPr="000729CF" w:rsidRDefault="000729CF" w:rsidP="000729CF">
            <w:pPr>
              <w:spacing w:line="276" w:lineRule="auto"/>
              <w:jc w:val="center"/>
              <w:rPr>
                <w:rFonts w:ascii="Arial" w:eastAsia="Calibri" w:hAnsi="Arial" w:cs="Arial"/>
                <w:snapToGrid w:val="0"/>
                <w:sz w:val="24"/>
                <w:szCs w:val="24"/>
                <w:lang w:val="en-GB"/>
              </w:rPr>
            </w:pPr>
            <w:r w:rsidRPr="000729CF">
              <w:rPr>
                <w:rFonts w:ascii="Arial" w:eastAsia="Calibri" w:hAnsi="Arial" w:cs="Arial"/>
                <w:snapToGrid w:val="0"/>
                <w:sz w:val="24"/>
                <w:szCs w:val="24"/>
                <w:lang w:val="en-GB"/>
              </w:rPr>
              <w:t>24</w:t>
            </w:r>
          </w:p>
        </w:tc>
      </w:tr>
    </w:tbl>
    <w:p w14:paraId="6B4838F0" w14:textId="77777777" w:rsidR="000729CF" w:rsidRPr="000729CF" w:rsidRDefault="000729CF" w:rsidP="000729CF">
      <w:pPr>
        <w:spacing w:after="40"/>
        <w:ind w:left="-425" w:hanging="284"/>
        <w:rPr>
          <w:rFonts w:ascii="Arial" w:eastAsia="Calibri" w:hAnsi="Arial" w:cs="Arial"/>
          <w:snapToGrid w:val="0"/>
          <w:sz w:val="24"/>
          <w:szCs w:val="24"/>
          <w:lang w:val="en-GB"/>
        </w:rPr>
      </w:pPr>
      <w:r w:rsidRPr="000729CF">
        <w:rPr>
          <w:rFonts w:ascii="Arial" w:eastAsia="Calibri" w:hAnsi="Arial" w:cs="Arial"/>
          <w:snapToGrid w:val="0"/>
          <w:sz w:val="24"/>
          <w:szCs w:val="24"/>
          <w:lang w:val="en-GB"/>
        </w:rPr>
        <w:t>Ratings as advised by Link Asset Services 19 January 2024</w:t>
      </w:r>
    </w:p>
    <w:p w14:paraId="4CBD4DBE" w14:textId="77777777" w:rsidR="000729CF" w:rsidRPr="000729CF" w:rsidRDefault="000729CF" w:rsidP="000729CF">
      <w:pPr>
        <w:spacing w:after="40"/>
        <w:ind w:left="-425" w:hanging="284"/>
        <w:rPr>
          <w:rFonts w:ascii="Arial" w:eastAsia="Calibri" w:hAnsi="Arial" w:cs="Arial"/>
          <w:snapToGrid w:val="0"/>
          <w:sz w:val="24"/>
          <w:szCs w:val="24"/>
          <w:lang w:val="en-GB"/>
        </w:rPr>
      </w:pPr>
      <w:r w:rsidRPr="000729CF">
        <w:rPr>
          <w:rFonts w:ascii="Arial" w:eastAsia="Calibri" w:hAnsi="Arial" w:cs="Arial"/>
          <w:snapToGrid w:val="0"/>
          <w:sz w:val="24"/>
          <w:szCs w:val="24"/>
          <w:vertAlign w:val="superscript"/>
          <w:lang w:val="en-GB"/>
        </w:rPr>
        <w:t>+</w:t>
      </w:r>
      <w:r w:rsidRPr="000729CF">
        <w:rPr>
          <w:rFonts w:ascii="Arial" w:eastAsia="Calibri" w:hAnsi="Arial" w:cs="Arial"/>
          <w:snapToGrid w:val="0"/>
          <w:sz w:val="24"/>
          <w:szCs w:val="24"/>
          <w:vertAlign w:val="superscript"/>
          <w:lang w:val="en-GB"/>
        </w:rPr>
        <w:tab/>
      </w:r>
      <w:r w:rsidRPr="000729CF">
        <w:rPr>
          <w:rFonts w:ascii="Arial" w:eastAsia="Calibri" w:hAnsi="Arial" w:cs="Arial"/>
          <w:snapToGrid w:val="0"/>
          <w:sz w:val="24"/>
          <w:szCs w:val="24"/>
          <w:lang w:val="en-GB"/>
        </w:rPr>
        <w:t>UK Building Societies ranking based on Total Asset size – Source: Building Societies Association Jan 2023</w:t>
      </w:r>
    </w:p>
    <w:p w14:paraId="155C4F76" w14:textId="77777777" w:rsidR="000729CF" w:rsidRPr="000729CF" w:rsidRDefault="000729CF" w:rsidP="000729CF">
      <w:pPr>
        <w:spacing w:after="40"/>
        <w:ind w:left="-425" w:hanging="284"/>
        <w:rPr>
          <w:rFonts w:ascii="Arial" w:eastAsia="Calibri" w:hAnsi="Arial" w:cs="Arial"/>
          <w:snapToGrid w:val="0"/>
          <w:sz w:val="24"/>
          <w:szCs w:val="24"/>
          <w:lang w:val="en-GB"/>
        </w:rPr>
        <w:sectPr w:rsidR="000729CF" w:rsidRPr="000729CF" w:rsidSect="00631F9F">
          <w:headerReference w:type="default" r:id="rId27"/>
          <w:footerReference w:type="default" r:id="rId28"/>
          <w:pgSz w:w="11906" w:h="16838"/>
          <w:pgMar w:top="1134" w:right="1134" w:bottom="851" w:left="1134" w:header="709" w:footer="505" w:gutter="0"/>
          <w:cols w:space="708"/>
          <w:docGrid w:linePitch="360"/>
        </w:sectPr>
      </w:pPr>
      <w:r w:rsidRPr="000729CF">
        <w:rPr>
          <w:rFonts w:ascii="Arial" w:eastAsia="Calibri" w:hAnsi="Arial" w:cs="Arial"/>
          <w:snapToGrid w:val="0"/>
          <w:sz w:val="24"/>
          <w:szCs w:val="24"/>
          <w:lang w:val="en-GB"/>
        </w:rPr>
        <w:t>**</w:t>
      </w:r>
      <w:r w:rsidRPr="000729CF">
        <w:rPr>
          <w:rFonts w:ascii="Arial" w:eastAsia="Calibri" w:hAnsi="Arial" w:cs="Arial"/>
          <w:snapToGrid w:val="0"/>
          <w:sz w:val="24"/>
          <w:szCs w:val="24"/>
          <w:lang w:val="en-GB"/>
        </w:rPr>
        <w:tab/>
        <w:t xml:space="preserve">Where there are multiple counterparties within a banking group, exposure to the overall group will be the largest limit, but exposure to individual counterparties within the group will be based on the individual counterparty limit. E.g., exposure to RBS Banking Group can be up to £30m, but max exposure to </w:t>
      </w:r>
      <w:proofErr w:type="spellStart"/>
      <w:r w:rsidRPr="000729CF">
        <w:rPr>
          <w:rFonts w:ascii="Arial" w:eastAsia="Calibri" w:hAnsi="Arial" w:cs="Arial"/>
          <w:snapToGrid w:val="0"/>
          <w:sz w:val="24"/>
          <w:szCs w:val="24"/>
          <w:lang w:val="en-GB"/>
        </w:rPr>
        <w:t>Natwest</w:t>
      </w:r>
      <w:proofErr w:type="spellEnd"/>
      <w:r w:rsidRPr="000729CF">
        <w:rPr>
          <w:rFonts w:ascii="Arial" w:eastAsia="Calibri" w:hAnsi="Arial" w:cs="Arial"/>
          <w:snapToGrid w:val="0"/>
          <w:sz w:val="24"/>
          <w:szCs w:val="24"/>
          <w:lang w:val="en-GB"/>
        </w:rPr>
        <w:t xml:space="preserve"> Markets PLC will be £20m.</w:t>
      </w:r>
    </w:p>
    <w:p w14:paraId="116128C1" w14:textId="77777777" w:rsidR="000729CF" w:rsidRPr="000729CF" w:rsidRDefault="000729CF" w:rsidP="000729CF">
      <w:pPr>
        <w:spacing w:after="40"/>
        <w:ind w:left="-425" w:hanging="284"/>
        <w:rPr>
          <w:rFonts w:ascii="Calibri" w:eastAsia="Calibri" w:hAnsi="Calibri"/>
          <w:b/>
          <w:bCs/>
          <w:sz w:val="22"/>
          <w:szCs w:val="22"/>
          <w:u w:val="single"/>
          <w:lang w:val="en-GB"/>
        </w:rPr>
      </w:pPr>
    </w:p>
    <w:p w14:paraId="57652125" w14:textId="77777777" w:rsidR="000729CF" w:rsidRPr="000729CF" w:rsidRDefault="000729CF" w:rsidP="000729CF">
      <w:pPr>
        <w:autoSpaceDE w:val="0"/>
        <w:autoSpaceDN w:val="0"/>
        <w:adjustRightInd w:val="0"/>
        <w:spacing w:after="120"/>
        <w:rPr>
          <w:rFonts w:ascii="Arial" w:eastAsia="Calibri" w:hAnsi="Arial" w:cs="Arial"/>
          <w:b/>
          <w:bCs/>
          <w:color w:val="000000"/>
          <w:sz w:val="24"/>
          <w:szCs w:val="24"/>
          <w:lang w:val="en-GB" w:eastAsia="en-GB"/>
        </w:rPr>
      </w:pPr>
      <w:r w:rsidRPr="000729CF">
        <w:rPr>
          <w:rFonts w:ascii="Arial" w:eastAsia="Calibri" w:hAnsi="Arial" w:cs="Arial"/>
          <w:b/>
          <w:bCs/>
          <w:color w:val="000000"/>
          <w:sz w:val="24"/>
          <w:szCs w:val="24"/>
          <w:lang w:val="en-GB" w:eastAsia="en-GB"/>
        </w:rPr>
        <w:t>ANNEX B - ECONOMIC OVERVIEW &amp; INTEREST RATE VIEW</w:t>
      </w:r>
    </w:p>
    <w:p w14:paraId="5DB568A6" w14:textId="77777777" w:rsidR="000729CF" w:rsidRPr="000729CF" w:rsidRDefault="000729CF" w:rsidP="000729CF">
      <w:pPr>
        <w:autoSpaceDE w:val="0"/>
        <w:autoSpaceDN w:val="0"/>
        <w:adjustRightInd w:val="0"/>
        <w:spacing w:after="120"/>
        <w:rPr>
          <w:rFonts w:ascii="Arial" w:eastAsia="Calibri" w:hAnsi="Arial" w:cs="Arial"/>
          <w:b/>
          <w:color w:val="000000"/>
          <w:sz w:val="24"/>
          <w:szCs w:val="24"/>
          <w:lang w:val="en-GB" w:eastAsia="en-GB"/>
        </w:rPr>
      </w:pPr>
      <w:bookmarkStart w:id="68" w:name="_Toc28940036"/>
      <w:r w:rsidRPr="000729CF">
        <w:rPr>
          <w:rFonts w:ascii="Arial" w:eastAsia="Calibri" w:hAnsi="Arial" w:cs="Arial"/>
          <w:b/>
          <w:color w:val="000000"/>
          <w:sz w:val="24"/>
          <w:szCs w:val="24"/>
          <w:lang w:val="en-GB" w:eastAsia="en-GB"/>
        </w:rPr>
        <w:t>Provided by Link Asset Services January 2024</w:t>
      </w:r>
    </w:p>
    <w:p w14:paraId="137C8AD7" w14:textId="77777777" w:rsidR="000729CF" w:rsidRPr="000729CF" w:rsidRDefault="000729CF" w:rsidP="00CE70A3">
      <w:pPr>
        <w:numPr>
          <w:ilvl w:val="0"/>
          <w:numId w:val="90"/>
        </w:numPr>
        <w:spacing w:after="120" w:line="280" w:lineRule="exact"/>
        <w:ind w:left="425" w:hanging="425"/>
        <w:rPr>
          <w:rFonts w:ascii="Arial" w:eastAsia="Calibri" w:hAnsi="Arial" w:cs="Arial"/>
          <w:sz w:val="24"/>
          <w:szCs w:val="24"/>
          <w:lang w:val="en-GB"/>
        </w:rPr>
      </w:pPr>
      <w:bookmarkStart w:id="69" w:name="_Hlk126679196"/>
      <w:r w:rsidRPr="000729CF">
        <w:rPr>
          <w:rFonts w:ascii="Arial" w:eastAsia="Calibri" w:hAnsi="Arial" w:cs="Arial"/>
          <w:sz w:val="24"/>
          <w:szCs w:val="24"/>
          <w:lang w:val="en-GB"/>
        </w:rPr>
        <w:t xml:space="preserve">The third quarter of 2023/24 saw: </w:t>
      </w:r>
    </w:p>
    <w:p w14:paraId="2BE7081D" w14:textId="77777777" w:rsidR="000729CF" w:rsidRPr="000729CF" w:rsidRDefault="000729CF" w:rsidP="00CE70A3">
      <w:pPr>
        <w:numPr>
          <w:ilvl w:val="0"/>
          <w:numId w:val="89"/>
        </w:numPr>
        <w:spacing w:after="120" w:line="280" w:lineRule="exact"/>
        <w:rPr>
          <w:rFonts w:ascii="Arial" w:eastAsia="Calibri" w:hAnsi="Arial" w:cs="Arial"/>
          <w:sz w:val="24"/>
          <w:szCs w:val="24"/>
          <w:lang w:val="en-GB"/>
        </w:rPr>
      </w:pPr>
      <w:r w:rsidRPr="000729CF">
        <w:rPr>
          <w:rFonts w:ascii="Arial" w:eastAsia="Calibri" w:hAnsi="Arial" w:cs="Arial"/>
          <w:sz w:val="24"/>
          <w:szCs w:val="24"/>
          <w:lang w:val="en-GB"/>
        </w:rPr>
        <w:t>A 0.3% m/m decline in real GDP in October, potentially partly due to unseasonably wet weather, but also due to the ongoing drag from higher interest rates.  Growth for the second quarter, ending 30</w:t>
      </w:r>
      <w:r w:rsidRPr="000729CF">
        <w:rPr>
          <w:rFonts w:ascii="Arial" w:eastAsia="Calibri" w:hAnsi="Arial" w:cs="Arial"/>
          <w:sz w:val="24"/>
          <w:szCs w:val="24"/>
          <w:vertAlign w:val="superscript"/>
          <w:lang w:val="en-GB"/>
        </w:rPr>
        <w:t>th</w:t>
      </w:r>
      <w:r w:rsidRPr="000729CF">
        <w:rPr>
          <w:rFonts w:ascii="Arial" w:eastAsia="Calibri" w:hAnsi="Arial" w:cs="Arial"/>
          <w:sz w:val="24"/>
          <w:szCs w:val="24"/>
          <w:lang w:val="en-GB"/>
        </w:rPr>
        <w:t xml:space="preserve"> September, was revised downwards to -0.1% and growth on an annual basis was also revised downwards, to 0.3%; </w:t>
      </w:r>
    </w:p>
    <w:p w14:paraId="592F083E" w14:textId="77777777" w:rsidR="000729CF" w:rsidRPr="000729CF" w:rsidRDefault="000729CF" w:rsidP="00CE70A3">
      <w:pPr>
        <w:numPr>
          <w:ilvl w:val="0"/>
          <w:numId w:val="89"/>
        </w:numPr>
        <w:spacing w:after="120" w:line="280" w:lineRule="exact"/>
        <w:rPr>
          <w:rFonts w:ascii="Arial" w:eastAsia="Calibri" w:hAnsi="Arial" w:cs="Arial"/>
          <w:sz w:val="24"/>
          <w:szCs w:val="24"/>
          <w:lang w:val="en-GB"/>
        </w:rPr>
      </w:pPr>
      <w:r w:rsidRPr="000729CF">
        <w:rPr>
          <w:rFonts w:ascii="Arial" w:eastAsia="Calibri" w:hAnsi="Arial" w:cs="Arial"/>
          <w:sz w:val="24"/>
          <w:szCs w:val="24"/>
          <w:lang w:val="en-GB"/>
        </w:rPr>
        <w:t>A sharp fall in wage growth, with the headline 3myy rate declining from 8.0% in September to 7.2% in October, although the ONS “experimental” rate of unemployment has remained low at 4.2%;</w:t>
      </w:r>
    </w:p>
    <w:p w14:paraId="7C5C05D7" w14:textId="77777777" w:rsidR="000729CF" w:rsidRPr="000729CF" w:rsidRDefault="000729CF" w:rsidP="00CE70A3">
      <w:pPr>
        <w:numPr>
          <w:ilvl w:val="0"/>
          <w:numId w:val="89"/>
        </w:numPr>
        <w:spacing w:after="120" w:line="280" w:lineRule="exact"/>
        <w:rPr>
          <w:rFonts w:ascii="Arial" w:eastAsia="Calibri" w:hAnsi="Arial" w:cs="Arial"/>
          <w:sz w:val="24"/>
          <w:szCs w:val="24"/>
          <w:lang w:val="en-GB"/>
        </w:rPr>
      </w:pPr>
      <w:r w:rsidRPr="000729CF">
        <w:rPr>
          <w:rFonts w:ascii="Arial" w:eastAsia="Calibri" w:hAnsi="Arial" w:cs="Arial"/>
          <w:sz w:val="24"/>
          <w:szCs w:val="24"/>
          <w:lang w:val="en-GB"/>
        </w:rPr>
        <w:t>CPI inflation continuing on its downward trajectory, from 8.7% in April to 4.6% in October, then again to 3.9% in November;</w:t>
      </w:r>
    </w:p>
    <w:p w14:paraId="715908B5" w14:textId="77777777" w:rsidR="000729CF" w:rsidRPr="000729CF" w:rsidRDefault="000729CF" w:rsidP="00CE70A3">
      <w:pPr>
        <w:numPr>
          <w:ilvl w:val="0"/>
          <w:numId w:val="89"/>
        </w:numPr>
        <w:spacing w:after="120" w:line="280" w:lineRule="exact"/>
        <w:rPr>
          <w:rFonts w:ascii="Arial" w:eastAsia="Calibri" w:hAnsi="Arial" w:cs="Arial"/>
          <w:sz w:val="24"/>
          <w:szCs w:val="24"/>
          <w:lang w:val="en-GB"/>
        </w:rPr>
      </w:pPr>
      <w:r w:rsidRPr="000729CF">
        <w:rPr>
          <w:rFonts w:ascii="Arial" w:eastAsia="Calibri" w:hAnsi="Arial" w:cs="Arial"/>
          <w:sz w:val="24"/>
          <w:szCs w:val="24"/>
          <w:lang w:val="en-GB"/>
        </w:rPr>
        <w:t>Core CPI inflation decreasing from April and May’s 31 years’ high of 7.1% to 5.1% in November, the lowest rate since January 2022;</w:t>
      </w:r>
    </w:p>
    <w:p w14:paraId="7FAFEE7A" w14:textId="77777777" w:rsidR="000729CF" w:rsidRPr="000729CF" w:rsidRDefault="000729CF" w:rsidP="00CE70A3">
      <w:pPr>
        <w:numPr>
          <w:ilvl w:val="0"/>
          <w:numId w:val="89"/>
        </w:numPr>
        <w:spacing w:after="120" w:line="280" w:lineRule="exact"/>
        <w:rPr>
          <w:rFonts w:ascii="Arial" w:eastAsia="Calibri" w:hAnsi="Arial" w:cs="Arial"/>
          <w:sz w:val="24"/>
          <w:szCs w:val="24"/>
          <w:lang w:val="en-GB"/>
        </w:rPr>
      </w:pPr>
      <w:r w:rsidRPr="000729CF">
        <w:rPr>
          <w:rFonts w:ascii="Arial" w:eastAsia="Calibri" w:hAnsi="Arial" w:cs="Arial"/>
          <w:sz w:val="24"/>
          <w:szCs w:val="24"/>
          <w:lang w:val="en-GB"/>
        </w:rPr>
        <w:t>The Bank of England holding Bank Rate at 5.25% in November and December;</w:t>
      </w:r>
    </w:p>
    <w:p w14:paraId="1B5CBFB9" w14:textId="77777777" w:rsidR="000729CF" w:rsidRPr="000729CF" w:rsidRDefault="000729CF" w:rsidP="00CE70A3">
      <w:pPr>
        <w:numPr>
          <w:ilvl w:val="0"/>
          <w:numId w:val="89"/>
        </w:numPr>
        <w:spacing w:after="120" w:line="280" w:lineRule="exact"/>
        <w:rPr>
          <w:rFonts w:ascii="Arial" w:eastAsia="Calibri" w:hAnsi="Arial" w:cs="Arial"/>
          <w:sz w:val="24"/>
          <w:szCs w:val="24"/>
          <w:lang w:val="en-GB"/>
        </w:rPr>
      </w:pPr>
      <w:r w:rsidRPr="000729CF">
        <w:rPr>
          <w:rFonts w:ascii="Arial" w:eastAsia="Calibri" w:hAnsi="Arial" w:cs="Arial"/>
          <w:sz w:val="24"/>
          <w:szCs w:val="24"/>
          <w:lang w:val="en-GB"/>
        </w:rPr>
        <w:t>A steady fall in 10-year gilt yields as investors revised their interest rate expectations lower.</w:t>
      </w:r>
    </w:p>
    <w:p w14:paraId="5033EA5B" w14:textId="77777777" w:rsidR="000729CF" w:rsidRPr="000729CF" w:rsidRDefault="000729CF" w:rsidP="00CE70A3">
      <w:pPr>
        <w:numPr>
          <w:ilvl w:val="0"/>
          <w:numId w:val="90"/>
        </w:numPr>
        <w:spacing w:after="120" w:line="280" w:lineRule="exact"/>
        <w:ind w:left="425" w:hanging="425"/>
        <w:rPr>
          <w:rFonts w:ascii="Arial" w:eastAsia="Calibri" w:hAnsi="Arial" w:cs="Arial"/>
          <w:sz w:val="24"/>
          <w:szCs w:val="24"/>
          <w:lang w:val="en-GB"/>
        </w:rPr>
      </w:pPr>
      <w:r w:rsidRPr="000729CF">
        <w:rPr>
          <w:rFonts w:ascii="Arial" w:eastAsia="Calibri" w:hAnsi="Arial" w:cs="Arial"/>
          <w:sz w:val="24"/>
          <w:szCs w:val="24"/>
          <w:lang w:val="en-GB"/>
        </w:rPr>
        <w:t>The revision of GDP data in Q2 to a 0.1% q/q fall may mean the mildest of mild recessions has begun. Indeed, real GDP in October fell 0.3% m/m which does suggest that the economy may stagnate again in Q3. The weakness in October may partly be due to the unseasonably wet weather. That said, as the weakness was broad based it may also be the case that the ongoing drag from higher interest rates is more than offsetting any boost from the rise in real wages.</w:t>
      </w:r>
    </w:p>
    <w:p w14:paraId="72B29034" w14:textId="77777777" w:rsidR="000729CF" w:rsidRPr="000729CF" w:rsidRDefault="000729CF" w:rsidP="00CE70A3">
      <w:pPr>
        <w:numPr>
          <w:ilvl w:val="0"/>
          <w:numId w:val="90"/>
        </w:numPr>
        <w:spacing w:after="120" w:line="280" w:lineRule="exact"/>
        <w:ind w:left="425" w:hanging="425"/>
        <w:rPr>
          <w:rFonts w:ascii="Arial" w:eastAsia="Calibri" w:hAnsi="Arial" w:cs="Arial"/>
          <w:sz w:val="24"/>
          <w:szCs w:val="24"/>
          <w:lang w:val="en-GB"/>
        </w:rPr>
      </w:pPr>
      <w:r w:rsidRPr="000729CF">
        <w:rPr>
          <w:rFonts w:ascii="Arial" w:eastAsia="Calibri" w:hAnsi="Arial" w:cs="Arial"/>
          <w:sz w:val="24"/>
          <w:szCs w:val="24"/>
          <w:lang w:val="en-GB"/>
        </w:rPr>
        <w:t>However, the rise in the flash composite activity Purchasing Managers Index, from 50.7 in November to 51.7 in December, did increase the chances of the economy avoiding a contraction in Q3. The improvement was entirely driven by the increase in the services activity balance from 50.9 to 52.7. (Scores above 50 point to expansion in the economy, although only tepid in this instance.)  The press release noted that this was primarily driven by a revival in consumer demand in the technological and financial services sectors. This chimes with the further improvement in the GfK measure of consumer confidence in December, from -24 to -22. The services PMI is now consistent with non-retail services output growing by 0.5% q/q in Q3, but this is in stark contrast to the manufacturing sector where the output balance slumped from 49.2 to 45.9 and, at face value, the output balance is consistent with a 1.5% q/q fall in manufacturing output in Q3.</w:t>
      </w:r>
    </w:p>
    <w:p w14:paraId="4753115A" w14:textId="77777777" w:rsidR="000729CF" w:rsidRPr="000729CF" w:rsidRDefault="000729CF" w:rsidP="00CE70A3">
      <w:pPr>
        <w:numPr>
          <w:ilvl w:val="0"/>
          <w:numId w:val="90"/>
        </w:numPr>
        <w:spacing w:after="120" w:line="280" w:lineRule="exact"/>
        <w:ind w:left="425" w:hanging="425"/>
        <w:rPr>
          <w:rFonts w:ascii="Arial" w:eastAsia="Calibri" w:hAnsi="Arial" w:cs="Arial"/>
          <w:sz w:val="24"/>
          <w:szCs w:val="24"/>
          <w:lang w:val="en-GB"/>
        </w:rPr>
      </w:pPr>
      <w:r w:rsidRPr="000729CF">
        <w:rPr>
          <w:rFonts w:ascii="Arial" w:eastAsia="Calibri" w:hAnsi="Arial" w:cs="Arial"/>
          <w:sz w:val="24"/>
          <w:szCs w:val="24"/>
          <w:lang w:val="en-GB"/>
        </w:rPr>
        <w:t xml:space="preserve">The 0.3% m/m fall in retail sales volumes in October means that after contracting by 1.0% q/q (which was downwardly revised from -0.8% q/q) in Q2, retail activity remained weak at the start of Q3. That suggests higher interest rates are taking a bigger toll on real consumer spending. </w:t>
      </w:r>
    </w:p>
    <w:p w14:paraId="58CD8A47" w14:textId="77777777" w:rsidR="000729CF" w:rsidRPr="000729CF" w:rsidRDefault="000729CF" w:rsidP="00CE70A3">
      <w:pPr>
        <w:numPr>
          <w:ilvl w:val="0"/>
          <w:numId w:val="90"/>
        </w:numPr>
        <w:spacing w:after="120" w:line="280" w:lineRule="exact"/>
        <w:ind w:left="425" w:hanging="425"/>
        <w:rPr>
          <w:rFonts w:ascii="Arial" w:eastAsia="Calibri" w:hAnsi="Arial" w:cs="Arial"/>
          <w:sz w:val="24"/>
          <w:szCs w:val="24"/>
          <w:lang w:val="en-GB"/>
        </w:rPr>
      </w:pPr>
      <w:r w:rsidRPr="000729CF">
        <w:rPr>
          <w:rFonts w:ascii="Arial" w:eastAsia="Calibri" w:hAnsi="Arial" w:cs="Arial"/>
          <w:sz w:val="24"/>
          <w:szCs w:val="24"/>
          <w:lang w:val="en-GB"/>
        </w:rPr>
        <w:t xml:space="preserve">Higher interest rates have filtered through the financial channels and weakened the housing market but, overall, it remains surprisingly resilient with the Halifax house price index recently pointing to a 1.7% year on year increase whilst Nationwide’s December data pointed to a -1.8% year on year decrease.  However, the full weakness in real consumer spending and real business investment has yet to come as currently it is estimated that around two thirds to a half of the impact of higher interest rates on household interest payments has yet to be felt. </w:t>
      </w:r>
    </w:p>
    <w:p w14:paraId="603EA4CD" w14:textId="77777777" w:rsidR="000729CF" w:rsidRPr="000729CF" w:rsidRDefault="000729CF" w:rsidP="00CE70A3">
      <w:pPr>
        <w:numPr>
          <w:ilvl w:val="0"/>
          <w:numId w:val="90"/>
        </w:numPr>
        <w:spacing w:after="120" w:line="280" w:lineRule="exact"/>
        <w:ind w:left="425" w:hanging="425"/>
        <w:rPr>
          <w:rFonts w:ascii="Arial" w:eastAsia="Calibri" w:hAnsi="Arial" w:cs="Arial"/>
          <w:sz w:val="24"/>
          <w:szCs w:val="24"/>
          <w:lang w:val="en-GB"/>
        </w:rPr>
      </w:pPr>
      <w:r w:rsidRPr="000729CF">
        <w:rPr>
          <w:rFonts w:ascii="Arial" w:eastAsia="Calibri" w:hAnsi="Arial" w:cs="Arial"/>
          <w:sz w:val="24"/>
          <w:szCs w:val="24"/>
          <w:lang w:val="en-GB"/>
        </w:rPr>
        <w:t>Overall, we expect real GDP growth to remain subdued throughout 2024 as the drag from higher interest rates is protracted but a fading of the cost-of-living crisis and interest rate cuts in the second half of 2024 will support a recovery in GDP growth in 2025.</w:t>
      </w:r>
    </w:p>
    <w:p w14:paraId="5E453299" w14:textId="77777777" w:rsidR="000729CF" w:rsidRPr="000729CF" w:rsidRDefault="000729CF" w:rsidP="00CE70A3">
      <w:pPr>
        <w:numPr>
          <w:ilvl w:val="0"/>
          <w:numId w:val="90"/>
        </w:numPr>
        <w:spacing w:after="120" w:line="280" w:lineRule="exact"/>
        <w:ind w:left="425" w:hanging="425"/>
        <w:rPr>
          <w:rFonts w:ascii="Arial" w:eastAsia="Calibri" w:hAnsi="Arial" w:cs="Arial"/>
          <w:sz w:val="24"/>
          <w:szCs w:val="24"/>
          <w:lang w:val="en-GB"/>
        </w:rPr>
      </w:pPr>
      <w:r w:rsidRPr="000729CF">
        <w:rPr>
          <w:rFonts w:ascii="Arial" w:eastAsia="Calibri" w:hAnsi="Arial" w:cs="Arial"/>
          <w:sz w:val="24"/>
          <w:szCs w:val="24"/>
          <w:lang w:val="en-GB"/>
        </w:rPr>
        <w:t xml:space="preserve">The labour market remains tight by historical standards, but the sharp fall in wage growth seen in October will reinforce the growing belief in markets that interest rates will be cut mid-2024. Wage growth eased in October much faster than the consensus expected. Total earnings fell by 1.6% m/m, which meant the headline 3myy rate eased from 8.0% in September to 7.2% in October. This news will be welcomed by the Bank of England. Indeed, the timelier three-month annualised rate of average earnings growth fell from +2.4% to -1.2%. Excluding bonuses, it fell from 5.3% to 2.0%. Furthermore, one of the Bank’s key barometers of inflation persistence, regular private sector pay growth, dropped from 7.9% 3myy to 7.3%, which leaves it comfortably on track to fall to 7.2% by December, as predicted by the Bank in November. </w:t>
      </w:r>
    </w:p>
    <w:p w14:paraId="1FB30787" w14:textId="77777777" w:rsidR="000729CF" w:rsidRPr="000729CF" w:rsidRDefault="000729CF" w:rsidP="00CE70A3">
      <w:pPr>
        <w:numPr>
          <w:ilvl w:val="0"/>
          <w:numId w:val="90"/>
        </w:numPr>
        <w:spacing w:after="120" w:line="280" w:lineRule="exact"/>
        <w:ind w:left="425" w:hanging="425"/>
        <w:rPr>
          <w:rFonts w:ascii="Arial" w:eastAsia="Calibri" w:hAnsi="Arial" w:cs="Arial"/>
          <w:sz w:val="24"/>
          <w:szCs w:val="24"/>
          <w:lang w:val="en-GB"/>
        </w:rPr>
      </w:pPr>
      <w:r w:rsidRPr="000729CF">
        <w:rPr>
          <w:rFonts w:ascii="Arial" w:eastAsia="Calibri" w:hAnsi="Arial" w:cs="Arial"/>
          <w:sz w:val="24"/>
          <w:szCs w:val="24"/>
          <w:lang w:val="en-GB"/>
        </w:rPr>
        <w:t>The fall in wage growth occurred despite labour demand being stronger in October than expected. The three-month change in employment eased only a touch from +52,000 in September to +50,000 in October. But resilient labour demand was offset by a further 63,000 rise in the supply of workers in the three months to October. That meant labour supply exceeded its pre-pandemic level for the first time, and the unemployment rate remained at 4.2% in October. In the three months to November, the number of job vacancies fell for the 17</w:t>
      </w:r>
      <w:r w:rsidRPr="000729CF">
        <w:rPr>
          <w:rFonts w:ascii="Arial" w:eastAsia="Calibri" w:hAnsi="Arial" w:cs="Arial"/>
          <w:sz w:val="24"/>
          <w:szCs w:val="24"/>
          <w:vertAlign w:val="superscript"/>
          <w:lang w:val="en-GB"/>
        </w:rPr>
        <w:t>th</w:t>
      </w:r>
      <w:r w:rsidRPr="000729CF">
        <w:rPr>
          <w:rFonts w:ascii="Arial" w:eastAsia="Calibri" w:hAnsi="Arial" w:cs="Arial"/>
          <w:sz w:val="24"/>
          <w:szCs w:val="24"/>
          <w:lang w:val="en-GB"/>
        </w:rPr>
        <w:t xml:space="preserve"> month in a row, from around 959,000 in October to around 949,000. That has reduced the vacancy to unemployment ratio as demand for labour eases relative to supply, which may support a further easing in wage growth in the coming months.</w:t>
      </w:r>
    </w:p>
    <w:p w14:paraId="323487C2" w14:textId="77777777" w:rsidR="000729CF" w:rsidRPr="000729CF" w:rsidRDefault="000729CF" w:rsidP="00CE70A3">
      <w:pPr>
        <w:numPr>
          <w:ilvl w:val="0"/>
          <w:numId w:val="90"/>
        </w:numPr>
        <w:spacing w:after="120" w:line="280" w:lineRule="exact"/>
        <w:ind w:left="425" w:hanging="425"/>
        <w:rPr>
          <w:rFonts w:ascii="Arial" w:eastAsia="Calibri" w:hAnsi="Arial" w:cs="Arial"/>
          <w:sz w:val="24"/>
          <w:szCs w:val="24"/>
          <w:lang w:val="en-GB"/>
        </w:rPr>
      </w:pPr>
      <w:r w:rsidRPr="000729CF">
        <w:rPr>
          <w:rFonts w:ascii="Arial" w:eastAsia="Calibri" w:hAnsi="Arial" w:cs="Arial"/>
          <w:sz w:val="24"/>
          <w:szCs w:val="24"/>
          <w:lang w:val="en-GB"/>
        </w:rPr>
        <w:t xml:space="preserve">CPI inflation fell from 6.7% in September to 4.6% in October, and then again to 3.9% in November. Both these falls were bigger than expected and there are clear signs of easing in domestic inflationary pressures. The fall in core CPI inflation from 5.7% to 5.1% in November was bigger than expected (consensus forecast 5.6%). That’s the lowest rate since January 2022. Some of the decline in core inflation was due to the global influence of core goods inflation, which slowed from 4.3% to 3.3%. But some of it was due to services inflation falling from 6.6% to 6.3%. The Bank views the latter as a key barometer of the persistence of inflation and it came in further below the Bank’s forecast of 6.9% in its November Monetary Policy Report. This will give the Bank more confidence that services inflation is now on a firmly downward path. </w:t>
      </w:r>
    </w:p>
    <w:p w14:paraId="2448DC6B" w14:textId="77777777" w:rsidR="000729CF" w:rsidRPr="000729CF" w:rsidRDefault="000729CF" w:rsidP="00CE70A3">
      <w:pPr>
        <w:numPr>
          <w:ilvl w:val="0"/>
          <w:numId w:val="90"/>
        </w:numPr>
        <w:spacing w:after="120" w:line="280" w:lineRule="exact"/>
        <w:ind w:left="425" w:hanging="425"/>
        <w:rPr>
          <w:rFonts w:ascii="Arial" w:eastAsia="Calibri" w:hAnsi="Arial" w:cs="Arial"/>
          <w:sz w:val="24"/>
          <w:szCs w:val="24"/>
          <w:lang w:val="en-GB"/>
        </w:rPr>
      </w:pPr>
      <w:r w:rsidRPr="000729CF">
        <w:rPr>
          <w:rFonts w:ascii="Arial" w:eastAsia="Calibri" w:hAnsi="Arial" w:cs="Arial"/>
          <w:sz w:val="24"/>
          <w:szCs w:val="24"/>
          <w:lang w:val="en-GB"/>
        </w:rPr>
        <w:t>The Bank of England sprung no surprises with its December monetary policy committee (MPC) meeting, leaving interest rates at 5.25% for the third time in a row and pushing back against the prospect of near-term interest rate cuts. The Bank continued to sound hawkish, with the MPC maintaining its tightening bias saying that “further tightening in monetary policy would be required if there were evidence of more persistent inflationary pressures”. And it stuck to the familiar script, saying that policy will be “sufficiently restrictive for sufficiently long” and that “monetary policy is likely to need to be restrictive for an extended period of time”. In other words, the message is that the MPC is not yet willing to endorse investors’ expectations that rates will be cut as soon as May 2024.</w:t>
      </w:r>
    </w:p>
    <w:p w14:paraId="1A3CBE87" w14:textId="77777777" w:rsidR="000729CF" w:rsidRPr="000729CF" w:rsidRDefault="000729CF" w:rsidP="00CE70A3">
      <w:pPr>
        <w:numPr>
          <w:ilvl w:val="0"/>
          <w:numId w:val="90"/>
        </w:numPr>
        <w:spacing w:after="120" w:line="280" w:lineRule="exact"/>
        <w:ind w:left="425" w:hanging="425"/>
        <w:rPr>
          <w:rFonts w:ascii="Arial" w:eastAsia="Calibri" w:hAnsi="Arial" w:cs="Arial"/>
          <w:sz w:val="24"/>
          <w:szCs w:val="24"/>
          <w:lang w:val="en-GB"/>
        </w:rPr>
      </w:pPr>
      <w:r w:rsidRPr="000729CF">
        <w:rPr>
          <w:rFonts w:ascii="Arial" w:eastAsia="Calibri" w:hAnsi="Arial" w:cs="Arial"/>
          <w:sz w:val="24"/>
          <w:szCs w:val="24"/>
          <w:lang w:val="en-GB"/>
        </w:rPr>
        <w:t xml:space="preserve">Looking ahead, our colleagues at Capital Economics forecast that the recent downward trends in CPI and core inflation will stall over the next few months before starting to decline more decisively again in February. That explains why we think the Bank of England won’t feel comfortable cutting interest rates until H2 2024. </w:t>
      </w:r>
    </w:p>
    <w:p w14:paraId="276609BA" w14:textId="77777777" w:rsidR="000729CF" w:rsidRPr="000729CF" w:rsidRDefault="000729CF" w:rsidP="00CE70A3">
      <w:pPr>
        <w:numPr>
          <w:ilvl w:val="0"/>
          <w:numId w:val="90"/>
        </w:numPr>
        <w:spacing w:after="120" w:line="280" w:lineRule="exact"/>
        <w:ind w:left="425" w:hanging="425"/>
        <w:rPr>
          <w:rFonts w:ascii="Arial" w:eastAsia="Calibri" w:hAnsi="Arial" w:cs="Arial"/>
          <w:sz w:val="24"/>
          <w:szCs w:val="24"/>
          <w:lang w:val="en-GB"/>
        </w:rPr>
      </w:pPr>
      <w:r w:rsidRPr="000729CF">
        <w:rPr>
          <w:rFonts w:ascii="Arial" w:eastAsia="Calibri" w:hAnsi="Arial" w:cs="Arial"/>
          <w:sz w:val="24"/>
          <w:szCs w:val="24"/>
          <w:lang w:val="en-GB"/>
        </w:rPr>
        <w:t>The fall in UK market interest rate expectations in December has driven most of the decline in 10-year gilt yields, which have fallen in line with 10-year US Treasury and euro-zone yields. 10-year gilt yields have fallen from 4.68% in October 2023 to around 3.70% in early January, with further declines likely if the falling inflation story is maintained.</w:t>
      </w:r>
    </w:p>
    <w:p w14:paraId="108FDF64" w14:textId="77777777" w:rsidR="000729CF" w:rsidRPr="000729CF" w:rsidRDefault="000729CF" w:rsidP="00CE70A3">
      <w:pPr>
        <w:numPr>
          <w:ilvl w:val="0"/>
          <w:numId w:val="90"/>
        </w:numPr>
        <w:spacing w:after="120" w:line="280" w:lineRule="exact"/>
        <w:ind w:left="425" w:hanging="425"/>
        <w:rPr>
          <w:rFonts w:ascii="Arial" w:eastAsia="Calibri" w:hAnsi="Arial" w:cs="Arial"/>
          <w:sz w:val="24"/>
          <w:szCs w:val="24"/>
          <w:lang w:val="en-GB"/>
        </w:rPr>
      </w:pPr>
      <w:r w:rsidRPr="000729CF">
        <w:rPr>
          <w:rFonts w:ascii="Arial" w:eastAsia="Calibri" w:hAnsi="Arial" w:cs="Arial"/>
          <w:sz w:val="24"/>
          <w:szCs w:val="24"/>
          <w:lang w:val="en-GB"/>
        </w:rPr>
        <w:t xml:space="preserve">Investors’ growing expectations that the Fed will cut interest rates soon has led to an improvement in risk sentiment, which has boosted the pound and other risky assets. In addition, the rise in the pound, from $1.21 in November to $1.27 now, has also been supported by the recent relative decline in UK wholesale gas prices. </w:t>
      </w:r>
    </w:p>
    <w:p w14:paraId="7A79C95B" w14:textId="77777777" w:rsidR="000729CF" w:rsidRPr="000729CF" w:rsidRDefault="000729CF" w:rsidP="00CE70A3">
      <w:pPr>
        <w:numPr>
          <w:ilvl w:val="0"/>
          <w:numId w:val="90"/>
        </w:numPr>
        <w:spacing w:after="120" w:line="280" w:lineRule="exact"/>
        <w:ind w:left="425" w:hanging="425"/>
        <w:rPr>
          <w:rFonts w:ascii="Arial" w:eastAsia="Calibri" w:hAnsi="Arial" w:cs="Arial"/>
          <w:sz w:val="24"/>
          <w:szCs w:val="24"/>
          <w:lang w:val="en-GB"/>
        </w:rPr>
      </w:pPr>
      <w:r w:rsidRPr="000729CF">
        <w:rPr>
          <w:rFonts w:ascii="Arial" w:eastAsia="Calibri" w:hAnsi="Arial" w:cs="Arial"/>
          <w:sz w:val="24"/>
          <w:szCs w:val="24"/>
          <w:lang w:val="en-GB"/>
        </w:rPr>
        <w:t xml:space="preserve">The further fall in 10-year real gilt yields in December has supported the recent rise in the FTSE 100. That said, the index remains 5% below its record high in February 2023. This modest rise in equities appears to have been mostly driven by strong performances in the industrials and rate-sensitive technology sectors. But UK equities have continued to underperform US and euro-zone equities. The FTSE 100 has risen by 2.2% in December, while the S&amp;P 500 has risen by 3.8%. This is partly due to lower energy prices, which have been a relatively bigger drag on the FTSE 100, due to the index’s high concentration of energy companies. </w:t>
      </w:r>
    </w:p>
    <w:p w14:paraId="2D2E9395" w14:textId="77777777" w:rsidR="000729CF" w:rsidRPr="000729CF" w:rsidRDefault="000729CF" w:rsidP="000729CF">
      <w:pPr>
        <w:spacing w:after="120"/>
        <w:rPr>
          <w:rFonts w:ascii="Arial" w:eastAsia="Calibri" w:hAnsi="Arial" w:cs="Arial"/>
          <w:sz w:val="24"/>
          <w:szCs w:val="24"/>
          <w:lang w:val="en-GB"/>
        </w:rPr>
      </w:pPr>
      <w:r w:rsidRPr="000729CF">
        <w:rPr>
          <w:rFonts w:ascii="Arial" w:eastAsia="Calibri" w:hAnsi="Arial" w:cs="Arial"/>
          <w:sz w:val="24"/>
          <w:szCs w:val="24"/>
          <w:lang w:val="en-GB"/>
        </w:rPr>
        <w:t>In the chart below, the rise in gilt yields across the curve in the first half of 2023/24, and therein PWLB rates, is clear to see, prior to the end of year rally based on a mix of supportive domestic and international factors.</w:t>
      </w:r>
    </w:p>
    <w:p w14:paraId="6EE087C7" w14:textId="77777777" w:rsidR="000729CF" w:rsidRPr="000729CF" w:rsidRDefault="000729CF" w:rsidP="000729CF">
      <w:pPr>
        <w:spacing w:after="200" w:line="276" w:lineRule="auto"/>
        <w:jc w:val="both"/>
        <w:rPr>
          <w:rFonts w:ascii="Arial" w:eastAsia="Calibri" w:hAnsi="Arial" w:cs="Arial"/>
          <w:b/>
          <w:bCs/>
          <w:iCs/>
          <w:color w:val="0D0D0D"/>
          <w:sz w:val="22"/>
          <w:szCs w:val="22"/>
          <w:lang w:val="en-GB"/>
        </w:rPr>
      </w:pPr>
      <w:r w:rsidRPr="000729CF">
        <w:rPr>
          <w:rFonts w:ascii="Arial" w:eastAsia="Calibri" w:hAnsi="Arial" w:cs="Arial"/>
          <w:b/>
          <w:bCs/>
          <w:iCs/>
          <w:color w:val="0D0D0D"/>
          <w:sz w:val="22"/>
          <w:szCs w:val="22"/>
          <w:lang w:val="en-GB"/>
        </w:rPr>
        <w:t>PWLB RATES APRIL TO DECEMBER 2023</w:t>
      </w:r>
    </w:p>
    <w:p w14:paraId="36C5D687" w14:textId="77777777" w:rsidR="000729CF" w:rsidRPr="000729CF" w:rsidRDefault="000729CF" w:rsidP="000729CF">
      <w:pPr>
        <w:spacing w:after="200" w:line="276" w:lineRule="auto"/>
        <w:jc w:val="center"/>
        <w:rPr>
          <w:rFonts w:ascii="Arial" w:eastAsia="Calibri" w:hAnsi="Arial" w:cs="Arial"/>
          <w:b/>
          <w:color w:val="0D0D0D"/>
          <w:sz w:val="22"/>
          <w:szCs w:val="22"/>
          <w:lang w:val="en-GB"/>
        </w:rPr>
      </w:pPr>
      <w:r w:rsidRPr="000729CF">
        <w:rPr>
          <w:rFonts w:ascii="Arial" w:eastAsia="Bliss 2 Regular" w:hAnsi="Arial" w:cs="Arial"/>
          <w:noProof/>
          <w:color w:val="3A3B3C"/>
          <w:sz w:val="21"/>
          <w:szCs w:val="22"/>
          <w:lang w:val="en-GB"/>
        </w:rPr>
        <w:drawing>
          <wp:inline distT="0" distB="0" distL="0" distR="0" wp14:anchorId="3019CD2A" wp14:editId="68E0891D">
            <wp:extent cx="4869712" cy="3181916"/>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06655"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961493" cy="3241887"/>
                    </a:xfrm>
                    <a:prstGeom prst="rect">
                      <a:avLst/>
                    </a:prstGeom>
                    <a:noFill/>
                    <a:ln>
                      <a:noFill/>
                    </a:ln>
                  </pic:spPr>
                </pic:pic>
              </a:graphicData>
            </a:graphic>
          </wp:inline>
        </w:drawing>
      </w:r>
    </w:p>
    <w:bookmarkEnd w:id="69"/>
    <w:p w14:paraId="5EC3CEFC" w14:textId="77777777" w:rsidR="000729CF" w:rsidRPr="000729CF" w:rsidRDefault="000729CF" w:rsidP="000729CF">
      <w:pPr>
        <w:autoSpaceDE w:val="0"/>
        <w:autoSpaceDN w:val="0"/>
        <w:adjustRightInd w:val="0"/>
        <w:spacing w:after="120"/>
        <w:rPr>
          <w:rFonts w:ascii="Arial" w:eastAsia="Calibri" w:hAnsi="Arial" w:cs="Arial"/>
          <w:b/>
          <w:color w:val="000000"/>
          <w:sz w:val="24"/>
          <w:szCs w:val="24"/>
          <w:lang w:val="en-GB" w:eastAsia="en-GB"/>
        </w:rPr>
      </w:pPr>
      <w:r w:rsidRPr="000729CF">
        <w:rPr>
          <w:rFonts w:ascii="Arial" w:eastAsia="Calibri" w:hAnsi="Arial" w:cs="Arial"/>
          <w:b/>
          <w:color w:val="000000"/>
          <w:sz w:val="24"/>
          <w:szCs w:val="24"/>
          <w:lang w:val="en-GB" w:eastAsia="en-GB"/>
        </w:rPr>
        <w:t>Prospect for Interest Rates</w:t>
      </w:r>
    </w:p>
    <w:p w14:paraId="18E88080" w14:textId="77777777" w:rsidR="000729CF" w:rsidRPr="000729CF" w:rsidRDefault="000729CF" w:rsidP="000729CF">
      <w:pPr>
        <w:numPr>
          <w:ilvl w:val="12"/>
          <w:numId w:val="0"/>
        </w:numPr>
        <w:spacing w:after="200"/>
        <w:rPr>
          <w:rFonts w:ascii="Arial" w:eastAsia="Calibri" w:hAnsi="Arial" w:cs="Arial"/>
          <w:sz w:val="24"/>
          <w:szCs w:val="24"/>
          <w:lang w:val="en-AU"/>
        </w:rPr>
      </w:pPr>
      <w:r w:rsidRPr="000729CF">
        <w:rPr>
          <w:rFonts w:ascii="Arial" w:eastAsia="Calibri" w:hAnsi="Arial" w:cs="Arial"/>
          <w:sz w:val="24"/>
          <w:szCs w:val="24"/>
          <w:lang w:val="en-GB"/>
        </w:rPr>
        <w:t xml:space="preserve">The Authority has appointed Link Group as its treasury advisor and part of their service is to assist the Authority to formulate a view on interest rates. </w:t>
      </w:r>
      <w:r w:rsidRPr="000729CF">
        <w:rPr>
          <w:rFonts w:ascii="Arial" w:eastAsia="Calibri" w:hAnsi="Arial" w:cs="Arial"/>
          <w:sz w:val="24"/>
          <w:szCs w:val="24"/>
          <w:lang w:val="en-AU"/>
        </w:rPr>
        <w:t xml:space="preserve">Link provided the following forecasts on 08 January 2024.  These are forecasts for Bank Rate, average earnings and PWLB certainty rates (gilt yields plus 80 bps).  </w:t>
      </w:r>
    </w:p>
    <w:p w14:paraId="2A967802" w14:textId="77777777" w:rsidR="000729CF" w:rsidRPr="000729CF" w:rsidRDefault="000729CF" w:rsidP="000729CF">
      <w:pPr>
        <w:numPr>
          <w:ilvl w:val="12"/>
          <w:numId w:val="0"/>
        </w:numPr>
        <w:spacing w:after="200" w:line="276" w:lineRule="auto"/>
        <w:jc w:val="both"/>
        <w:rPr>
          <w:rFonts w:ascii="Arial" w:eastAsia="Calibri" w:hAnsi="Arial" w:cs="Arial"/>
          <w:sz w:val="22"/>
          <w:szCs w:val="22"/>
          <w:lang w:val="en-AU"/>
        </w:rPr>
      </w:pPr>
      <w:r w:rsidRPr="000729CF">
        <w:rPr>
          <w:rFonts w:ascii="Arial" w:eastAsia="Calibri" w:hAnsi="Arial" w:cs="Arial"/>
          <w:noProof/>
          <w:sz w:val="22"/>
          <w:szCs w:val="22"/>
          <w:lang w:val="en-GB"/>
        </w:rPr>
        <w:drawing>
          <wp:inline distT="0" distB="0" distL="0" distR="0" wp14:anchorId="08F91AF8" wp14:editId="578C521E">
            <wp:extent cx="6284063" cy="13144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54736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6289622" cy="1315613"/>
                    </a:xfrm>
                    <a:prstGeom prst="rect">
                      <a:avLst/>
                    </a:prstGeom>
                    <a:noFill/>
                    <a:ln>
                      <a:noFill/>
                    </a:ln>
                  </pic:spPr>
                </pic:pic>
              </a:graphicData>
            </a:graphic>
          </wp:inline>
        </w:drawing>
      </w:r>
    </w:p>
    <w:p w14:paraId="69869F78" w14:textId="77777777" w:rsidR="000729CF" w:rsidRPr="000729CF" w:rsidRDefault="000729CF" w:rsidP="000729CF">
      <w:pPr>
        <w:spacing w:after="200" w:line="276" w:lineRule="auto"/>
        <w:jc w:val="both"/>
        <w:rPr>
          <w:rFonts w:ascii="Arial" w:eastAsia="Calibri" w:hAnsi="Arial" w:cs="Arial"/>
          <w:i/>
          <w:sz w:val="24"/>
          <w:szCs w:val="24"/>
          <w:lang w:val="en-AU" w:eastAsia="en-GB"/>
        </w:rPr>
      </w:pPr>
      <w:r w:rsidRPr="000729CF">
        <w:rPr>
          <w:rFonts w:ascii="Arial" w:eastAsia="Calibri" w:hAnsi="Arial" w:cs="Arial"/>
          <w:i/>
          <w:sz w:val="24"/>
          <w:szCs w:val="24"/>
          <w:lang w:val="en-AU" w:eastAsia="en-GB"/>
        </w:rPr>
        <w:t>Additional notes by Link on this forecast table: -</w:t>
      </w:r>
    </w:p>
    <w:p w14:paraId="6CA0A804" w14:textId="77777777" w:rsidR="000729CF" w:rsidRPr="000729CF" w:rsidRDefault="000729CF" w:rsidP="00CE70A3">
      <w:pPr>
        <w:numPr>
          <w:ilvl w:val="0"/>
          <w:numId w:val="94"/>
        </w:numPr>
        <w:spacing w:before="120" w:after="120" w:line="276" w:lineRule="auto"/>
        <w:ind w:left="284" w:hanging="284"/>
        <w:rPr>
          <w:rFonts w:ascii="Arial" w:eastAsia="Calibri" w:hAnsi="Arial" w:cs="Arial"/>
          <w:color w:val="000000"/>
          <w:sz w:val="24"/>
          <w:szCs w:val="24"/>
          <w:lang w:val="en-AU"/>
        </w:rPr>
      </w:pPr>
      <w:r w:rsidRPr="000729CF">
        <w:rPr>
          <w:rFonts w:ascii="Arial" w:eastAsia="Calibri" w:hAnsi="Arial" w:cs="Arial"/>
          <w:color w:val="000000"/>
          <w:sz w:val="24"/>
          <w:szCs w:val="24"/>
          <w:lang w:val="en-AU"/>
        </w:rPr>
        <w:t xml:space="preserve">Our central forecast for interest rates was previously updated on 7 November and reflected a view that the MPC would be keen to further demonstrate its anti-inflation credentials by keeping Bank Rate at 5.25% until at least H2 2024.  We expect rate cuts to start when both the CPI inflation and wage/employment data are supportive of such a move, and when there is a likelihood of the overall economy enduring at least a slowdown or mild recession over the coming months (although most recent GDP releases have surprised with their on-going robustness). </w:t>
      </w:r>
    </w:p>
    <w:p w14:paraId="6A5A9118" w14:textId="77777777" w:rsidR="000729CF" w:rsidRPr="000729CF" w:rsidRDefault="000729CF" w:rsidP="00CE70A3">
      <w:pPr>
        <w:numPr>
          <w:ilvl w:val="0"/>
          <w:numId w:val="94"/>
        </w:numPr>
        <w:spacing w:before="120" w:after="120" w:line="276" w:lineRule="auto"/>
        <w:ind w:left="284" w:hanging="284"/>
        <w:rPr>
          <w:rFonts w:ascii="Arial" w:eastAsia="Calibri" w:hAnsi="Arial" w:cs="Arial"/>
          <w:color w:val="000000"/>
          <w:sz w:val="24"/>
          <w:szCs w:val="24"/>
          <w:lang w:val="en-AU"/>
        </w:rPr>
      </w:pPr>
      <w:r w:rsidRPr="000729CF">
        <w:rPr>
          <w:rFonts w:ascii="Arial" w:eastAsia="Calibri" w:hAnsi="Arial" w:cs="Arial"/>
          <w:color w:val="000000"/>
          <w:sz w:val="24"/>
          <w:szCs w:val="24"/>
          <w:lang w:val="en-AU"/>
        </w:rPr>
        <w:t xml:space="preserve">Naturally, timing on this matter will remain one of fine judgment: cut too soon, and inflationary pressures may well build up further; cut too late and any downturn or recession may be prolonged.  </w:t>
      </w:r>
    </w:p>
    <w:p w14:paraId="2F7D386F" w14:textId="77777777" w:rsidR="000729CF" w:rsidRPr="000729CF" w:rsidRDefault="000729CF" w:rsidP="00CE70A3">
      <w:pPr>
        <w:numPr>
          <w:ilvl w:val="0"/>
          <w:numId w:val="94"/>
        </w:numPr>
        <w:spacing w:before="120" w:after="120" w:line="276" w:lineRule="auto"/>
        <w:ind w:left="284" w:hanging="284"/>
        <w:rPr>
          <w:rFonts w:ascii="Arial" w:eastAsia="Calibri" w:hAnsi="Arial" w:cs="Arial"/>
          <w:color w:val="000000"/>
          <w:sz w:val="24"/>
          <w:szCs w:val="24"/>
          <w:lang w:val="en-AU"/>
        </w:rPr>
      </w:pPr>
      <w:r w:rsidRPr="000729CF">
        <w:rPr>
          <w:rFonts w:ascii="Arial" w:eastAsia="Calibri" w:hAnsi="Arial" w:cs="Arial"/>
          <w:color w:val="000000"/>
          <w:sz w:val="24"/>
          <w:szCs w:val="24"/>
          <w:lang w:val="en-AU"/>
        </w:rPr>
        <w:t xml:space="preserve">In the upcoming months, our forecasts will be guided not only by economic data releases and clarifications from the MPC over its monetary policies and the Government over its fiscal policies, but also international factors such as policy development in the US and Europe, the provision of fresh support packages to support the faltering recovery in China as well as the on-going conflict between Russia and Ukraine, and Gaza and Israel. </w:t>
      </w:r>
    </w:p>
    <w:p w14:paraId="71EAD7AF" w14:textId="77777777" w:rsidR="000729CF" w:rsidRPr="000729CF" w:rsidRDefault="000729CF" w:rsidP="000729CF">
      <w:pPr>
        <w:spacing w:before="120" w:after="120" w:line="276" w:lineRule="auto"/>
        <w:jc w:val="both"/>
        <w:rPr>
          <w:rFonts w:ascii="Arial" w:eastAsia="Arial" w:hAnsi="Arial" w:cs="Arial"/>
          <w:b/>
          <w:bCs/>
          <w:sz w:val="24"/>
          <w:szCs w:val="24"/>
          <w:lang w:val="en-AU"/>
        </w:rPr>
      </w:pPr>
      <w:r w:rsidRPr="000729CF">
        <w:rPr>
          <w:rFonts w:ascii="Arial" w:eastAsia="Arial" w:hAnsi="Arial" w:cs="Arial"/>
          <w:b/>
          <w:bCs/>
          <w:sz w:val="24"/>
          <w:szCs w:val="24"/>
          <w:lang w:val="en-AU"/>
        </w:rPr>
        <w:t>PWLB RATES</w:t>
      </w:r>
    </w:p>
    <w:p w14:paraId="59613ADA" w14:textId="77777777" w:rsidR="000729CF" w:rsidRPr="000729CF" w:rsidRDefault="000729CF" w:rsidP="00CE70A3">
      <w:pPr>
        <w:numPr>
          <w:ilvl w:val="0"/>
          <w:numId w:val="94"/>
        </w:numPr>
        <w:spacing w:before="120" w:after="120" w:line="276" w:lineRule="auto"/>
        <w:rPr>
          <w:rFonts w:ascii="Arial" w:eastAsia="Calibri" w:hAnsi="Arial" w:cs="Arial"/>
          <w:color w:val="000000"/>
          <w:sz w:val="24"/>
          <w:szCs w:val="24"/>
          <w:lang w:val="en-AU"/>
        </w:rPr>
      </w:pPr>
      <w:r w:rsidRPr="000729CF">
        <w:rPr>
          <w:rFonts w:ascii="Arial" w:eastAsia="Calibri" w:hAnsi="Arial" w:cs="Arial"/>
          <w:color w:val="000000"/>
          <w:sz w:val="24"/>
          <w:szCs w:val="24"/>
          <w:lang w:val="en-AU"/>
        </w:rPr>
        <w:t xml:space="preserve">The short and medium part of the gilt curve has rallied since the start of November as markets price in a quicker reduction in Bank Rate through 2024 and 2025 than held sway back then.  This reflects market confidence in inflation falling back in a similar manner to that already seen in the US and the Euro-zone.  At the time of writing there is c70 basis points difference between the 5 and 50-year parts of the curve. </w:t>
      </w:r>
    </w:p>
    <w:p w14:paraId="021B94CA" w14:textId="77777777" w:rsidR="000729CF" w:rsidRPr="000729CF" w:rsidRDefault="000729CF" w:rsidP="000729CF">
      <w:pPr>
        <w:spacing w:after="200" w:line="276" w:lineRule="auto"/>
        <w:rPr>
          <w:rFonts w:ascii="Arial" w:eastAsia="Calibri" w:hAnsi="Arial" w:cs="Arial"/>
          <w:b/>
          <w:color w:val="000000"/>
          <w:sz w:val="24"/>
          <w:szCs w:val="24"/>
          <w:lang w:val="en-GB"/>
        </w:rPr>
      </w:pPr>
      <w:bookmarkStart w:id="70" w:name="_Hlk83822764"/>
      <w:r w:rsidRPr="000729CF">
        <w:rPr>
          <w:rFonts w:ascii="Arial" w:eastAsia="Calibri" w:hAnsi="Arial" w:cs="Arial"/>
          <w:b/>
          <w:color w:val="000000"/>
          <w:sz w:val="24"/>
          <w:szCs w:val="24"/>
          <w:lang w:val="en-GB"/>
        </w:rPr>
        <w:t>The balance of risks to the UK economy: -</w:t>
      </w:r>
    </w:p>
    <w:bookmarkEnd w:id="70"/>
    <w:p w14:paraId="7727C9D1" w14:textId="77777777" w:rsidR="000729CF" w:rsidRPr="000729CF" w:rsidRDefault="000729CF" w:rsidP="00CE70A3">
      <w:pPr>
        <w:numPr>
          <w:ilvl w:val="0"/>
          <w:numId w:val="91"/>
        </w:numPr>
        <w:spacing w:before="120" w:after="120" w:line="276" w:lineRule="auto"/>
        <w:ind w:left="714" w:hanging="357"/>
        <w:contextualSpacing/>
        <w:rPr>
          <w:rFonts w:ascii="Arial" w:eastAsia="Calibri" w:hAnsi="Arial" w:cs="Arial"/>
          <w:color w:val="000000"/>
          <w:sz w:val="24"/>
          <w:szCs w:val="24"/>
          <w:lang w:val="en-AU"/>
        </w:rPr>
      </w:pPr>
      <w:r w:rsidRPr="000729CF">
        <w:rPr>
          <w:rFonts w:ascii="Arial" w:eastAsia="Calibri" w:hAnsi="Arial" w:cs="Arial"/>
          <w:color w:val="000000"/>
          <w:sz w:val="24"/>
          <w:szCs w:val="24"/>
          <w:lang w:val="en-AU"/>
        </w:rPr>
        <w:t>The overall balance of risks to economic growth in the UK is even.</w:t>
      </w:r>
    </w:p>
    <w:p w14:paraId="4C765F39" w14:textId="77777777" w:rsidR="000729CF" w:rsidRPr="000729CF" w:rsidRDefault="000729CF" w:rsidP="000729CF">
      <w:pPr>
        <w:spacing w:before="120" w:after="200" w:line="276" w:lineRule="auto"/>
        <w:ind w:left="714" w:hanging="357"/>
        <w:contextualSpacing/>
        <w:rPr>
          <w:rFonts w:ascii="Arial" w:eastAsia="Calibri" w:hAnsi="Arial" w:cs="Arial"/>
          <w:color w:val="000000"/>
          <w:sz w:val="24"/>
          <w:szCs w:val="24"/>
          <w:lang w:val="en-AU"/>
        </w:rPr>
      </w:pPr>
    </w:p>
    <w:p w14:paraId="742FE7B1" w14:textId="77777777" w:rsidR="000729CF" w:rsidRPr="000729CF" w:rsidRDefault="000729CF" w:rsidP="000729CF">
      <w:pPr>
        <w:spacing w:after="200" w:line="276" w:lineRule="auto"/>
        <w:rPr>
          <w:rFonts w:ascii="Arial" w:eastAsia="Calibri" w:hAnsi="Arial" w:cs="Arial"/>
          <w:b/>
          <w:color w:val="000000"/>
          <w:sz w:val="24"/>
          <w:szCs w:val="24"/>
          <w:lang w:val="en-AU"/>
        </w:rPr>
      </w:pPr>
      <w:r w:rsidRPr="000729CF">
        <w:rPr>
          <w:rFonts w:ascii="Arial" w:eastAsia="Calibri" w:hAnsi="Arial" w:cs="Arial"/>
          <w:b/>
          <w:bCs/>
          <w:color w:val="000000"/>
          <w:sz w:val="24"/>
          <w:szCs w:val="24"/>
          <w:lang w:val="en-AU"/>
        </w:rPr>
        <w:t>Do</w:t>
      </w:r>
      <w:r w:rsidRPr="000729CF">
        <w:rPr>
          <w:rFonts w:ascii="Arial" w:eastAsia="Calibri" w:hAnsi="Arial" w:cs="Arial"/>
          <w:b/>
          <w:color w:val="000000"/>
          <w:sz w:val="24"/>
          <w:szCs w:val="24"/>
          <w:lang w:val="en-AU"/>
        </w:rPr>
        <w:t>wnside risks to current forecasts for UK gilt yields and PWLB rates include: -</w:t>
      </w:r>
    </w:p>
    <w:p w14:paraId="6CD87745" w14:textId="77777777" w:rsidR="000729CF" w:rsidRPr="000729CF" w:rsidRDefault="000729CF" w:rsidP="00CE70A3">
      <w:pPr>
        <w:numPr>
          <w:ilvl w:val="0"/>
          <w:numId w:val="92"/>
        </w:numPr>
        <w:spacing w:before="120" w:after="120" w:line="276" w:lineRule="auto"/>
        <w:ind w:left="714" w:hanging="357"/>
        <w:rPr>
          <w:rFonts w:ascii="Arial" w:eastAsia="Calibri" w:hAnsi="Arial" w:cs="Arial"/>
          <w:bCs/>
          <w:color w:val="000000"/>
          <w:sz w:val="24"/>
          <w:szCs w:val="24"/>
          <w:lang w:val="en-AU"/>
        </w:rPr>
      </w:pPr>
      <w:r w:rsidRPr="000729CF">
        <w:rPr>
          <w:rFonts w:ascii="Arial" w:eastAsia="Calibri" w:hAnsi="Arial" w:cs="Arial"/>
          <w:b/>
          <w:color w:val="000000"/>
          <w:sz w:val="24"/>
          <w:szCs w:val="24"/>
          <w:lang w:val="en-AU"/>
        </w:rPr>
        <w:t xml:space="preserve">Labour and supply shortages </w:t>
      </w:r>
      <w:r w:rsidRPr="000729CF">
        <w:rPr>
          <w:rFonts w:ascii="Arial" w:eastAsia="Calibri" w:hAnsi="Arial" w:cs="Arial"/>
          <w:bCs/>
          <w:color w:val="000000"/>
          <w:sz w:val="24"/>
          <w:szCs w:val="24"/>
          <w:lang w:val="en-AU"/>
        </w:rPr>
        <w:t>prove more enduring and disruptive and depress economic activity (accepting that in the near-term this is also an upside risk to inflation and, thus, could keep gilt yields high for longer).</w:t>
      </w:r>
    </w:p>
    <w:p w14:paraId="47648994" w14:textId="77777777" w:rsidR="000729CF" w:rsidRPr="000729CF" w:rsidRDefault="000729CF" w:rsidP="00CE70A3">
      <w:pPr>
        <w:numPr>
          <w:ilvl w:val="0"/>
          <w:numId w:val="92"/>
        </w:numPr>
        <w:spacing w:before="120" w:after="120" w:line="276" w:lineRule="auto"/>
        <w:ind w:left="714" w:hanging="357"/>
        <w:rPr>
          <w:rFonts w:ascii="Arial" w:eastAsia="Calibri" w:hAnsi="Arial" w:cs="Arial"/>
          <w:b/>
          <w:color w:val="000000"/>
          <w:sz w:val="24"/>
          <w:szCs w:val="24"/>
          <w:lang w:val="en-AU"/>
        </w:rPr>
      </w:pPr>
      <w:r w:rsidRPr="000729CF">
        <w:rPr>
          <w:rFonts w:ascii="Arial" w:eastAsia="Calibri" w:hAnsi="Arial" w:cs="Arial"/>
          <w:b/>
          <w:color w:val="000000"/>
          <w:sz w:val="24"/>
          <w:szCs w:val="24"/>
          <w:lang w:val="en-AU"/>
        </w:rPr>
        <w:t xml:space="preserve">The Bank of England </w:t>
      </w:r>
      <w:r w:rsidRPr="000729CF">
        <w:rPr>
          <w:rFonts w:ascii="Arial" w:eastAsia="Calibri" w:hAnsi="Arial" w:cs="Arial"/>
          <w:bCs/>
          <w:color w:val="000000"/>
          <w:sz w:val="24"/>
          <w:szCs w:val="24"/>
          <w:lang w:val="en-AU"/>
        </w:rPr>
        <w:t>has</w:t>
      </w:r>
      <w:r w:rsidRPr="000729CF">
        <w:rPr>
          <w:rFonts w:ascii="Arial" w:eastAsia="Calibri" w:hAnsi="Arial" w:cs="Arial"/>
          <w:b/>
          <w:color w:val="000000"/>
          <w:sz w:val="24"/>
          <w:szCs w:val="24"/>
          <w:lang w:val="en-AU"/>
        </w:rPr>
        <w:t xml:space="preserve"> </w:t>
      </w:r>
      <w:r w:rsidRPr="000729CF">
        <w:rPr>
          <w:rFonts w:ascii="Arial" w:eastAsia="Calibri" w:hAnsi="Arial" w:cs="Arial"/>
          <w:color w:val="000000"/>
          <w:sz w:val="24"/>
          <w:szCs w:val="24"/>
          <w:lang w:val="en-AU"/>
        </w:rPr>
        <w:t xml:space="preserve">increased Bank Rate too fast and too far over recent months, and subsequently brings about a deeper and longer UK recession than we currently anticipate. </w:t>
      </w:r>
    </w:p>
    <w:p w14:paraId="76FEC1D0" w14:textId="77777777" w:rsidR="000729CF" w:rsidRPr="000729CF" w:rsidRDefault="000729CF" w:rsidP="00CE70A3">
      <w:pPr>
        <w:numPr>
          <w:ilvl w:val="0"/>
          <w:numId w:val="92"/>
        </w:numPr>
        <w:spacing w:before="120" w:after="120" w:line="276" w:lineRule="auto"/>
        <w:ind w:left="714" w:hanging="357"/>
        <w:rPr>
          <w:rFonts w:ascii="Arial" w:eastAsia="Calibri" w:hAnsi="Arial" w:cs="Arial"/>
          <w:b/>
          <w:color w:val="000000"/>
          <w:sz w:val="24"/>
          <w:szCs w:val="24"/>
          <w:lang w:val="en-AU"/>
        </w:rPr>
      </w:pPr>
      <w:r w:rsidRPr="000729CF">
        <w:rPr>
          <w:rFonts w:ascii="Arial" w:eastAsia="Calibri" w:hAnsi="Arial" w:cs="Arial"/>
          <w:b/>
          <w:color w:val="000000"/>
          <w:sz w:val="24"/>
          <w:szCs w:val="24"/>
          <w:lang w:val="en-AU"/>
        </w:rPr>
        <w:t>Geopolitical risks,</w:t>
      </w:r>
      <w:r w:rsidRPr="000729CF">
        <w:rPr>
          <w:rFonts w:ascii="Arial" w:eastAsia="Calibri" w:hAnsi="Arial" w:cs="Arial"/>
          <w:color w:val="000000"/>
          <w:sz w:val="24"/>
          <w:szCs w:val="24"/>
          <w:lang w:val="en-AU"/>
        </w:rPr>
        <w:t xml:space="preserve"> for example in Ukraine/Russia, the Middle East, China/Taiwan/US, </w:t>
      </w:r>
      <w:proofErr w:type="gramStart"/>
      <w:r w:rsidRPr="000729CF">
        <w:rPr>
          <w:rFonts w:ascii="Arial" w:eastAsia="Calibri" w:hAnsi="Arial" w:cs="Arial"/>
          <w:color w:val="000000"/>
          <w:sz w:val="24"/>
          <w:szCs w:val="24"/>
          <w:lang w:val="en-AU"/>
        </w:rPr>
        <w:t>Iran</w:t>
      </w:r>
      <w:proofErr w:type="gramEnd"/>
      <w:r w:rsidRPr="000729CF">
        <w:rPr>
          <w:rFonts w:ascii="Arial" w:eastAsia="Calibri" w:hAnsi="Arial" w:cs="Arial"/>
          <w:color w:val="000000"/>
          <w:sz w:val="24"/>
          <w:szCs w:val="24"/>
          <w:lang w:val="en-AU"/>
        </w:rPr>
        <w:t xml:space="preserve"> and North Korea, which could lead to increasing safe-haven flows. </w:t>
      </w:r>
    </w:p>
    <w:p w14:paraId="265E3A9B" w14:textId="77777777" w:rsidR="000729CF" w:rsidRPr="000729CF" w:rsidRDefault="000729CF" w:rsidP="000729CF">
      <w:pPr>
        <w:spacing w:after="200" w:line="276" w:lineRule="auto"/>
        <w:rPr>
          <w:rFonts w:ascii="Arial" w:eastAsia="Calibri" w:hAnsi="Arial" w:cs="Arial"/>
          <w:b/>
          <w:color w:val="000000"/>
          <w:sz w:val="24"/>
          <w:szCs w:val="24"/>
          <w:lang w:val="en-AU"/>
        </w:rPr>
      </w:pPr>
      <w:r w:rsidRPr="000729CF">
        <w:rPr>
          <w:rFonts w:ascii="Arial" w:eastAsia="Calibri" w:hAnsi="Arial" w:cs="Arial"/>
          <w:b/>
          <w:color w:val="000000"/>
          <w:sz w:val="24"/>
          <w:szCs w:val="24"/>
          <w:lang w:val="en-AU"/>
        </w:rPr>
        <w:t>Upside risks to current forecasts for UK gilt yields and PWLB rates: -</w:t>
      </w:r>
    </w:p>
    <w:p w14:paraId="07FB1179" w14:textId="77777777" w:rsidR="000729CF" w:rsidRPr="000729CF" w:rsidRDefault="000729CF" w:rsidP="00CE70A3">
      <w:pPr>
        <w:numPr>
          <w:ilvl w:val="0"/>
          <w:numId w:val="93"/>
        </w:numPr>
        <w:spacing w:before="120" w:after="120" w:line="276" w:lineRule="auto"/>
        <w:ind w:left="714" w:hanging="357"/>
        <w:rPr>
          <w:rFonts w:ascii="Arial" w:eastAsia="Calibri" w:hAnsi="Arial" w:cs="Arial"/>
          <w:b/>
          <w:color w:val="000000"/>
          <w:sz w:val="24"/>
          <w:szCs w:val="24"/>
          <w:lang w:val="en-AU"/>
        </w:rPr>
      </w:pPr>
      <w:r w:rsidRPr="000729CF">
        <w:rPr>
          <w:rFonts w:ascii="Arial" w:eastAsia="Calibri" w:hAnsi="Arial" w:cs="Arial"/>
          <w:color w:val="000000"/>
          <w:sz w:val="24"/>
          <w:szCs w:val="24"/>
          <w:lang w:val="en-AU"/>
        </w:rPr>
        <w:t xml:space="preserve">Despite the tightening in Bank Rate to 5.25%, the </w:t>
      </w:r>
      <w:r w:rsidRPr="000729CF">
        <w:rPr>
          <w:rFonts w:ascii="Arial" w:eastAsia="Calibri" w:hAnsi="Arial" w:cs="Arial"/>
          <w:b/>
          <w:color w:val="000000"/>
          <w:sz w:val="24"/>
          <w:szCs w:val="24"/>
          <w:lang w:val="en-AU"/>
        </w:rPr>
        <w:t xml:space="preserve">Bank of England </w:t>
      </w:r>
      <w:r w:rsidRPr="000729CF">
        <w:rPr>
          <w:rFonts w:ascii="Arial" w:eastAsia="Calibri" w:hAnsi="Arial" w:cs="Arial"/>
          <w:b/>
          <w:bCs/>
          <w:color w:val="000000"/>
          <w:sz w:val="24"/>
          <w:szCs w:val="24"/>
          <w:lang w:val="en-AU"/>
        </w:rPr>
        <w:t>allows inflationary pressures to remain elevated</w:t>
      </w:r>
      <w:r w:rsidRPr="000729CF">
        <w:rPr>
          <w:rFonts w:ascii="Arial" w:eastAsia="Calibri" w:hAnsi="Arial" w:cs="Arial"/>
          <w:color w:val="000000"/>
          <w:sz w:val="24"/>
          <w:szCs w:val="24"/>
          <w:lang w:val="en-AU"/>
        </w:rPr>
        <w:t xml:space="preserve"> for a long period within the UK economy, which then necessitates Bank Rate staying higher for longer than we currently project.</w:t>
      </w:r>
    </w:p>
    <w:p w14:paraId="45D9F52C" w14:textId="77777777" w:rsidR="000729CF" w:rsidRPr="000729CF" w:rsidRDefault="000729CF" w:rsidP="00CE70A3">
      <w:pPr>
        <w:numPr>
          <w:ilvl w:val="0"/>
          <w:numId w:val="93"/>
        </w:numPr>
        <w:spacing w:before="120" w:after="120" w:line="276" w:lineRule="auto"/>
        <w:ind w:left="714" w:hanging="357"/>
        <w:rPr>
          <w:rFonts w:ascii="Arial" w:eastAsia="Calibri" w:hAnsi="Arial" w:cs="Arial"/>
          <w:bCs/>
          <w:color w:val="000000"/>
          <w:sz w:val="24"/>
          <w:szCs w:val="24"/>
          <w:lang w:val="en-AU"/>
        </w:rPr>
      </w:pPr>
      <w:r w:rsidRPr="000729CF">
        <w:rPr>
          <w:rFonts w:ascii="Arial" w:eastAsia="Calibri" w:hAnsi="Arial" w:cs="Arial"/>
          <w:b/>
          <w:color w:val="000000"/>
          <w:sz w:val="24"/>
          <w:szCs w:val="24"/>
          <w:lang w:val="en-AU"/>
        </w:rPr>
        <w:t xml:space="preserve">The pound weakens </w:t>
      </w:r>
      <w:r w:rsidRPr="000729CF">
        <w:rPr>
          <w:rFonts w:ascii="Arial" w:eastAsia="Calibri" w:hAnsi="Arial" w:cs="Arial"/>
          <w:bCs/>
          <w:color w:val="000000"/>
          <w:sz w:val="24"/>
          <w:szCs w:val="24"/>
          <w:lang w:val="en-AU"/>
        </w:rPr>
        <w:t>because of a lack of confidence in the UK Government’s pre-election fiscal policies, which may prove inflationary, resulting in investors pricing in a risk premium for holding UK sovereign debt.</w:t>
      </w:r>
    </w:p>
    <w:p w14:paraId="559F64E3" w14:textId="77777777" w:rsidR="000729CF" w:rsidRPr="000729CF" w:rsidRDefault="000729CF" w:rsidP="00CE70A3">
      <w:pPr>
        <w:numPr>
          <w:ilvl w:val="0"/>
          <w:numId w:val="93"/>
        </w:numPr>
        <w:spacing w:before="120" w:after="120" w:line="276" w:lineRule="auto"/>
        <w:ind w:left="714" w:hanging="357"/>
        <w:rPr>
          <w:rFonts w:ascii="Arial" w:eastAsia="Calibri" w:hAnsi="Arial" w:cs="Arial"/>
          <w:color w:val="000000"/>
          <w:sz w:val="24"/>
          <w:szCs w:val="24"/>
          <w:lang w:val="en-GB"/>
        </w:rPr>
      </w:pPr>
      <w:r w:rsidRPr="000729CF">
        <w:rPr>
          <w:rFonts w:ascii="Arial" w:eastAsia="Calibri" w:hAnsi="Arial" w:cs="Arial"/>
          <w:color w:val="000000"/>
          <w:sz w:val="24"/>
          <w:szCs w:val="24"/>
          <w:lang w:val="en-GB"/>
        </w:rPr>
        <w:t xml:space="preserve">Projected </w:t>
      </w:r>
      <w:r w:rsidRPr="000729CF">
        <w:rPr>
          <w:rFonts w:ascii="Arial" w:eastAsia="Calibri" w:hAnsi="Arial" w:cs="Arial"/>
          <w:b/>
          <w:bCs/>
          <w:color w:val="000000"/>
          <w:sz w:val="24"/>
          <w:szCs w:val="24"/>
          <w:lang w:val="en-GB"/>
        </w:rPr>
        <w:t xml:space="preserve">gilt issuance, inclusive of natural maturities and QT, </w:t>
      </w:r>
      <w:r w:rsidRPr="000729CF">
        <w:rPr>
          <w:rFonts w:ascii="Arial" w:eastAsia="Calibri" w:hAnsi="Arial" w:cs="Arial"/>
          <w:color w:val="000000"/>
          <w:sz w:val="24"/>
          <w:szCs w:val="24"/>
          <w:lang w:val="en-GB"/>
        </w:rPr>
        <w:t>could be too much for the markets to comfortably digest without higher yields compensating.</w:t>
      </w:r>
    </w:p>
    <w:p w14:paraId="5EEE3261" w14:textId="77777777" w:rsidR="000729CF" w:rsidRPr="000729CF" w:rsidRDefault="000729CF" w:rsidP="000729CF">
      <w:pPr>
        <w:spacing w:after="200" w:line="276" w:lineRule="auto"/>
        <w:ind w:left="714"/>
        <w:contextualSpacing/>
        <w:rPr>
          <w:rFonts w:ascii="Arial" w:eastAsia="Calibri" w:hAnsi="Arial" w:cs="Arial"/>
          <w:sz w:val="24"/>
          <w:szCs w:val="24"/>
          <w:lang w:val="en-GB"/>
        </w:rPr>
      </w:pPr>
    </w:p>
    <w:p w14:paraId="730F8BE0" w14:textId="77777777" w:rsidR="000729CF" w:rsidRPr="000729CF" w:rsidRDefault="000729CF" w:rsidP="000729CF">
      <w:pPr>
        <w:spacing w:after="200" w:line="276" w:lineRule="auto"/>
        <w:contextualSpacing/>
        <w:rPr>
          <w:rFonts w:ascii="Arial" w:eastAsia="Calibri" w:hAnsi="Arial" w:cs="Arial"/>
          <w:bCs/>
          <w:sz w:val="24"/>
          <w:szCs w:val="24"/>
          <w:lang w:val="en-GB"/>
        </w:rPr>
      </w:pPr>
      <w:r w:rsidRPr="000729CF">
        <w:rPr>
          <w:rFonts w:ascii="Arial" w:eastAsia="Arial" w:hAnsi="Arial" w:cs="Arial"/>
          <w:b/>
          <w:bCs/>
          <w:sz w:val="24"/>
          <w:szCs w:val="24"/>
          <w:lang w:val="en-AU"/>
        </w:rPr>
        <w:t xml:space="preserve">LINK GROUP FORECASTS </w:t>
      </w:r>
    </w:p>
    <w:p w14:paraId="36760C02" w14:textId="77777777" w:rsidR="000729CF" w:rsidRPr="000729CF" w:rsidRDefault="000729CF" w:rsidP="000729CF">
      <w:pPr>
        <w:spacing w:before="120" w:after="120"/>
        <w:rPr>
          <w:rFonts w:ascii="Arial" w:eastAsia="Arial" w:hAnsi="Arial" w:cs="Arial"/>
          <w:color w:val="000000"/>
          <w:sz w:val="24"/>
          <w:szCs w:val="24"/>
          <w:lang w:val="en-AU"/>
        </w:rPr>
      </w:pPr>
      <w:r w:rsidRPr="000729CF">
        <w:rPr>
          <w:rFonts w:ascii="Arial" w:eastAsia="Arial" w:hAnsi="Arial" w:cs="Arial"/>
          <w:color w:val="000000"/>
          <w:sz w:val="24"/>
          <w:szCs w:val="24"/>
          <w:lang w:val="en-AU"/>
        </w:rPr>
        <w:t>We expect the MPC will keep Bank Rate at 5.25% until the second half of 2024, to combat on-going inflationary and wage pressures, even if they have dampened somewhat of late.  We do not think that the MPC will increase Bank Rate above 5.25%.</w:t>
      </w:r>
    </w:p>
    <w:p w14:paraId="69B77779" w14:textId="77777777" w:rsidR="000729CF" w:rsidRPr="000729CF" w:rsidRDefault="000729CF" w:rsidP="000729CF">
      <w:pPr>
        <w:spacing w:before="240" w:after="120" w:line="276" w:lineRule="auto"/>
        <w:rPr>
          <w:rFonts w:ascii="Arial" w:eastAsia="Calibri" w:hAnsi="Arial" w:cs="Arial"/>
          <w:b/>
          <w:color w:val="000000"/>
          <w:sz w:val="24"/>
          <w:szCs w:val="24"/>
          <w:lang w:val="en-GB"/>
        </w:rPr>
      </w:pPr>
      <w:r w:rsidRPr="000729CF">
        <w:rPr>
          <w:rFonts w:ascii="Arial" w:eastAsia="Calibri" w:hAnsi="Arial" w:cs="Arial"/>
          <w:b/>
          <w:color w:val="000000"/>
          <w:sz w:val="24"/>
          <w:szCs w:val="24"/>
          <w:lang w:val="en-GB"/>
        </w:rPr>
        <w:t>Gilt yields and PWLB rates</w:t>
      </w:r>
    </w:p>
    <w:p w14:paraId="3E6F597D" w14:textId="77777777" w:rsidR="000729CF" w:rsidRPr="000729CF" w:rsidRDefault="000729CF" w:rsidP="000729CF">
      <w:pPr>
        <w:spacing w:before="120" w:after="120" w:line="276" w:lineRule="auto"/>
        <w:rPr>
          <w:rFonts w:ascii="Arial" w:eastAsia="Arial" w:hAnsi="Arial" w:cs="Arial"/>
          <w:color w:val="000000"/>
          <w:sz w:val="24"/>
          <w:szCs w:val="24"/>
          <w:lang w:val="en-AU"/>
        </w:rPr>
      </w:pPr>
      <w:r w:rsidRPr="000729CF">
        <w:rPr>
          <w:rFonts w:ascii="Arial" w:eastAsia="Arial" w:hAnsi="Arial" w:cs="Arial"/>
          <w:color w:val="000000"/>
          <w:sz w:val="24"/>
          <w:szCs w:val="24"/>
          <w:lang w:val="en-AU"/>
        </w:rPr>
        <w:t xml:space="preserve">The overall longer-run trend is for gilt yields and PWLB rates to fall back over the timeline of our forecasts, as inflation continues to fall through 2024.  </w:t>
      </w:r>
    </w:p>
    <w:p w14:paraId="50C8E5E7" w14:textId="77777777" w:rsidR="000729CF" w:rsidRPr="000729CF" w:rsidRDefault="000729CF" w:rsidP="000729CF">
      <w:pPr>
        <w:spacing w:before="120" w:after="120" w:line="276" w:lineRule="auto"/>
        <w:rPr>
          <w:rFonts w:ascii="Arial" w:eastAsia="Arial" w:hAnsi="Arial" w:cs="Arial"/>
          <w:color w:val="000000"/>
          <w:sz w:val="24"/>
          <w:szCs w:val="24"/>
          <w:lang w:val="en-AU"/>
        </w:rPr>
      </w:pPr>
      <w:r w:rsidRPr="000729CF">
        <w:rPr>
          <w:rFonts w:ascii="Arial" w:eastAsia="Arial" w:hAnsi="Arial" w:cs="Arial"/>
          <w:color w:val="000000"/>
          <w:sz w:val="24"/>
          <w:szCs w:val="24"/>
          <w:lang w:val="en-AU"/>
        </w:rPr>
        <w:t xml:space="preserve">Our target borrowing rates are set </w:t>
      </w:r>
      <w:r w:rsidRPr="000729CF">
        <w:rPr>
          <w:rFonts w:ascii="Arial" w:eastAsia="Arial" w:hAnsi="Arial" w:cs="Arial"/>
          <w:b/>
          <w:bCs/>
          <w:color w:val="000000"/>
          <w:sz w:val="24"/>
          <w:szCs w:val="24"/>
          <w:lang w:val="en-AU"/>
        </w:rPr>
        <w:t>two years forward</w:t>
      </w:r>
      <w:r w:rsidRPr="000729CF">
        <w:rPr>
          <w:rFonts w:ascii="Arial" w:eastAsia="Arial" w:hAnsi="Arial" w:cs="Arial"/>
          <w:color w:val="000000"/>
          <w:sz w:val="24"/>
          <w:szCs w:val="24"/>
          <w:lang w:val="en-AU"/>
        </w:rPr>
        <w:t xml:space="preserve"> (as we expect rates to fall back) and the current PWLB (certainty) borrowing rates are set out below: -</w:t>
      </w:r>
    </w:p>
    <w:tbl>
      <w:tblPr>
        <w:tblStyle w:val="DefaultTable"/>
        <w:tblW w:w="0" w:type="auto"/>
        <w:tblInd w:w="-5" w:type="dxa"/>
        <w:tblLook w:val="04A0" w:firstRow="1" w:lastRow="0" w:firstColumn="1" w:lastColumn="0" w:noHBand="0" w:noVBand="1"/>
      </w:tblPr>
      <w:tblGrid>
        <w:gridCol w:w="1640"/>
        <w:gridCol w:w="2381"/>
        <w:gridCol w:w="2618"/>
        <w:gridCol w:w="2670"/>
      </w:tblGrid>
      <w:tr w:rsidR="000729CF" w:rsidRPr="000729CF" w14:paraId="5927F71D" w14:textId="77777777" w:rsidTr="00BC26A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40" w:type="dxa"/>
          </w:tcPr>
          <w:p w14:paraId="4628B26C" w14:textId="77777777" w:rsidR="000729CF" w:rsidRPr="000729CF" w:rsidRDefault="000729CF" w:rsidP="000729CF">
            <w:pPr>
              <w:spacing w:before="120" w:after="120" w:line="276" w:lineRule="auto"/>
              <w:jc w:val="both"/>
              <w:rPr>
                <w:rFonts w:cs="Arial"/>
                <w:sz w:val="22"/>
                <w:szCs w:val="22"/>
              </w:rPr>
            </w:pPr>
            <w:r w:rsidRPr="000729CF">
              <w:rPr>
                <w:rFonts w:cs="Arial"/>
                <w:sz w:val="22"/>
                <w:szCs w:val="22"/>
              </w:rPr>
              <w:t>PWLB debt</w:t>
            </w:r>
          </w:p>
        </w:tc>
        <w:tc>
          <w:tcPr>
            <w:tcW w:w="2381" w:type="dxa"/>
          </w:tcPr>
          <w:p w14:paraId="2251BB78" w14:textId="77777777" w:rsidR="000729CF" w:rsidRPr="000729CF" w:rsidRDefault="000729CF" w:rsidP="000729CF">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cs="Arial"/>
                <w:sz w:val="22"/>
                <w:szCs w:val="22"/>
              </w:rPr>
            </w:pPr>
            <w:r w:rsidRPr="000729CF">
              <w:rPr>
                <w:rFonts w:cs="Arial"/>
                <w:sz w:val="22"/>
                <w:szCs w:val="22"/>
              </w:rPr>
              <w:t>Current borrowing rate as at 08.01.24 p.m.</w:t>
            </w:r>
          </w:p>
        </w:tc>
        <w:tc>
          <w:tcPr>
            <w:tcW w:w="2618" w:type="dxa"/>
          </w:tcPr>
          <w:p w14:paraId="3491A317" w14:textId="77777777" w:rsidR="000729CF" w:rsidRPr="000729CF" w:rsidRDefault="000729CF" w:rsidP="000729CF">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cs="Arial"/>
                <w:sz w:val="22"/>
                <w:szCs w:val="22"/>
              </w:rPr>
            </w:pPr>
            <w:r w:rsidRPr="000729CF">
              <w:rPr>
                <w:rFonts w:cs="Arial"/>
                <w:sz w:val="22"/>
                <w:szCs w:val="22"/>
              </w:rPr>
              <w:t xml:space="preserve">Target borrowing rate </w:t>
            </w:r>
            <w:proofErr w:type="gramStart"/>
            <w:r w:rsidRPr="000729CF">
              <w:rPr>
                <w:rFonts w:cs="Arial"/>
                <w:sz w:val="22"/>
                <w:szCs w:val="22"/>
              </w:rPr>
              <w:t>now</w:t>
            </w:r>
            <w:proofErr w:type="gramEnd"/>
          </w:p>
          <w:p w14:paraId="522A818C" w14:textId="77777777" w:rsidR="000729CF" w:rsidRPr="000729CF" w:rsidRDefault="000729CF" w:rsidP="000729CF">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cs="Arial"/>
                <w:sz w:val="22"/>
                <w:szCs w:val="22"/>
              </w:rPr>
            </w:pPr>
            <w:r w:rsidRPr="000729CF">
              <w:rPr>
                <w:rFonts w:cs="Arial"/>
                <w:sz w:val="22"/>
                <w:szCs w:val="22"/>
              </w:rPr>
              <w:t>(end of Q4 2025)</w:t>
            </w:r>
          </w:p>
        </w:tc>
        <w:tc>
          <w:tcPr>
            <w:tcW w:w="2670" w:type="dxa"/>
          </w:tcPr>
          <w:p w14:paraId="43B8A9AE" w14:textId="77777777" w:rsidR="000729CF" w:rsidRPr="000729CF" w:rsidRDefault="000729CF" w:rsidP="000729CF">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cs="Arial"/>
                <w:sz w:val="22"/>
                <w:szCs w:val="22"/>
              </w:rPr>
            </w:pPr>
            <w:r w:rsidRPr="000729CF">
              <w:rPr>
                <w:rFonts w:cs="Arial"/>
                <w:sz w:val="22"/>
                <w:szCs w:val="22"/>
              </w:rPr>
              <w:t xml:space="preserve">Target borrowing rate </w:t>
            </w:r>
            <w:proofErr w:type="gramStart"/>
            <w:r w:rsidRPr="000729CF">
              <w:rPr>
                <w:rFonts w:cs="Arial"/>
                <w:sz w:val="22"/>
                <w:szCs w:val="22"/>
              </w:rPr>
              <w:t>previous</w:t>
            </w:r>
            <w:proofErr w:type="gramEnd"/>
          </w:p>
          <w:p w14:paraId="1E525F8A" w14:textId="77777777" w:rsidR="000729CF" w:rsidRPr="000729CF" w:rsidRDefault="000729CF" w:rsidP="000729CF">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cs="Arial"/>
                <w:sz w:val="22"/>
                <w:szCs w:val="22"/>
              </w:rPr>
            </w:pPr>
            <w:r w:rsidRPr="000729CF">
              <w:rPr>
                <w:rFonts w:cs="Arial"/>
                <w:sz w:val="22"/>
                <w:szCs w:val="22"/>
              </w:rPr>
              <w:t>(end of Q3 2025)</w:t>
            </w:r>
          </w:p>
        </w:tc>
      </w:tr>
      <w:tr w:rsidR="000729CF" w:rsidRPr="000729CF" w14:paraId="0BDFB752" w14:textId="77777777" w:rsidTr="00BC26AB">
        <w:trPr>
          <w:trHeight w:val="340"/>
        </w:trPr>
        <w:tc>
          <w:tcPr>
            <w:cnfStyle w:val="001000000000" w:firstRow="0" w:lastRow="0" w:firstColumn="1" w:lastColumn="0" w:oddVBand="0" w:evenVBand="0" w:oddHBand="0" w:evenHBand="0" w:firstRowFirstColumn="0" w:firstRowLastColumn="0" w:lastRowFirstColumn="0" w:lastRowLastColumn="0"/>
            <w:tcW w:w="1640" w:type="dxa"/>
          </w:tcPr>
          <w:p w14:paraId="6D400666" w14:textId="77777777" w:rsidR="000729CF" w:rsidRPr="000729CF" w:rsidRDefault="000729CF" w:rsidP="000729CF">
            <w:pPr>
              <w:spacing w:before="120" w:after="120" w:line="276" w:lineRule="auto"/>
              <w:jc w:val="both"/>
              <w:rPr>
                <w:rFonts w:cs="Arial"/>
                <w:color w:val="0D0D0D"/>
                <w:sz w:val="22"/>
                <w:szCs w:val="22"/>
              </w:rPr>
            </w:pPr>
            <w:r w:rsidRPr="000729CF">
              <w:rPr>
                <w:rFonts w:cs="Arial"/>
                <w:color w:val="0D0D0D"/>
                <w:sz w:val="22"/>
                <w:szCs w:val="22"/>
              </w:rPr>
              <w:t>5 years</w:t>
            </w:r>
          </w:p>
        </w:tc>
        <w:tc>
          <w:tcPr>
            <w:tcW w:w="2381" w:type="dxa"/>
          </w:tcPr>
          <w:p w14:paraId="4C42625A" w14:textId="77777777" w:rsidR="000729CF" w:rsidRPr="000729CF" w:rsidRDefault="000729CF" w:rsidP="000729CF">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Arial"/>
                <w:color w:val="0D0D0D"/>
                <w:sz w:val="22"/>
                <w:szCs w:val="22"/>
              </w:rPr>
            </w:pPr>
            <w:r w:rsidRPr="000729CF">
              <w:rPr>
                <w:rFonts w:cs="Arial"/>
                <w:color w:val="0D0D0D"/>
                <w:sz w:val="22"/>
                <w:szCs w:val="22"/>
              </w:rPr>
              <w:t>4.53%</w:t>
            </w:r>
          </w:p>
        </w:tc>
        <w:tc>
          <w:tcPr>
            <w:tcW w:w="2618" w:type="dxa"/>
          </w:tcPr>
          <w:p w14:paraId="29C3F4BB" w14:textId="77777777" w:rsidR="000729CF" w:rsidRPr="000729CF" w:rsidRDefault="000729CF" w:rsidP="000729CF">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Arial"/>
                <w:color w:val="0D0D0D"/>
                <w:sz w:val="22"/>
                <w:szCs w:val="22"/>
              </w:rPr>
            </w:pPr>
            <w:r w:rsidRPr="000729CF">
              <w:rPr>
                <w:rFonts w:cs="Arial"/>
                <w:color w:val="0D0D0D"/>
                <w:sz w:val="22"/>
                <w:szCs w:val="22"/>
              </w:rPr>
              <w:t>3.70%</w:t>
            </w:r>
          </w:p>
        </w:tc>
        <w:tc>
          <w:tcPr>
            <w:tcW w:w="2670" w:type="dxa"/>
          </w:tcPr>
          <w:p w14:paraId="5D908233" w14:textId="77777777" w:rsidR="000729CF" w:rsidRPr="000729CF" w:rsidRDefault="000729CF" w:rsidP="000729CF">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Arial"/>
                <w:color w:val="0D0D0D"/>
                <w:sz w:val="22"/>
                <w:szCs w:val="22"/>
              </w:rPr>
            </w:pPr>
            <w:r w:rsidRPr="000729CF">
              <w:rPr>
                <w:rFonts w:cs="Arial"/>
                <w:color w:val="0D0D0D"/>
                <w:sz w:val="22"/>
                <w:szCs w:val="22"/>
              </w:rPr>
              <w:t>3.80%</w:t>
            </w:r>
          </w:p>
        </w:tc>
      </w:tr>
      <w:tr w:rsidR="000729CF" w:rsidRPr="000729CF" w14:paraId="5F2B0356" w14:textId="77777777" w:rsidTr="00BC26AB">
        <w:trPr>
          <w:trHeight w:val="340"/>
        </w:trPr>
        <w:tc>
          <w:tcPr>
            <w:cnfStyle w:val="001000000000" w:firstRow="0" w:lastRow="0" w:firstColumn="1" w:lastColumn="0" w:oddVBand="0" w:evenVBand="0" w:oddHBand="0" w:evenHBand="0" w:firstRowFirstColumn="0" w:firstRowLastColumn="0" w:lastRowFirstColumn="0" w:lastRowLastColumn="0"/>
            <w:tcW w:w="1640" w:type="dxa"/>
          </w:tcPr>
          <w:p w14:paraId="208881A2" w14:textId="77777777" w:rsidR="000729CF" w:rsidRPr="000729CF" w:rsidRDefault="000729CF" w:rsidP="000729CF">
            <w:pPr>
              <w:spacing w:before="120" w:after="120" w:line="276" w:lineRule="auto"/>
              <w:jc w:val="both"/>
              <w:rPr>
                <w:rFonts w:cs="Arial"/>
                <w:color w:val="0D0D0D"/>
                <w:sz w:val="22"/>
                <w:szCs w:val="22"/>
              </w:rPr>
            </w:pPr>
            <w:r w:rsidRPr="000729CF">
              <w:rPr>
                <w:rFonts w:cs="Arial"/>
                <w:color w:val="0D0D0D"/>
                <w:sz w:val="22"/>
                <w:szCs w:val="22"/>
              </w:rPr>
              <w:t>10 years</w:t>
            </w:r>
          </w:p>
        </w:tc>
        <w:tc>
          <w:tcPr>
            <w:tcW w:w="2381" w:type="dxa"/>
          </w:tcPr>
          <w:p w14:paraId="2FE1EA36" w14:textId="77777777" w:rsidR="000729CF" w:rsidRPr="000729CF" w:rsidRDefault="000729CF" w:rsidP="000729CF">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Arial"/>
                <w:color w:val="0D0D0D"/>
                <w:sz w:val="22"/>
                <w:szCs w:val="22"/>
              </w:rPr>
            </w:pPr>
            <w:r w:rsidRPr="000729CF">
              <w:rPr>
                <w:rFonts w:cs="Arial"/>
                <w:color w:val="0D0D0D"/>
                <w:sz w:val="22"/>
                <w:szCs w:val="22"/>
              </w:rPr>
              <w:t>4.67%</w:t>
            </w:r>
          </w:p>
        </w:tc>
        <w:tc>
          <w:tcPr>
            <w:tcW w:w="2618" w:type="dxa"/>
          </w:tcPr>
          <w:p w14:paraId="08E2E29A" w14:textId="77777777" w:rsidR="000729CF" w:rsidRPr="000729CF" w:rsidRDefault="000729CF" w:rsidP="000729CF">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Arial"/>
                <w:color w:val="0D0D0D"/>
                <w:sz w:val="22"/>
                <w:szCs w:val="22"/>
              </w:rPr>
            </w:pPr>
            <w:r w:rsidRPr="000729CF">
              <w:rPr>
                <w:rFonts w:cs="Arial"/>
                <w:color w:val="0D0D0D"/>
                <w:sz w:val="22"/>
                <w:szCs w:val="22"/>
              </w:rPr>
              <w:t>3.90%</w:t>
            </w:r>
          </w:p>
        </w:tc>
        <w:tc>
          <w:tcPr>
            <w:tcW w:w="2670" w:type="dxa"/>
          </w:tcPr>
          <w:p w14:paraId="031BDE47" w14:textId="77777777" w:rsidR="000729CF" w:rsidRPr="000729CF" w:rsidRDefault="000729CF" w:rsidP="000729CF">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Arial"/>
                <w:color w:val="0D0D0D"/>
                <w:sz w:val="22"/>
                <w:szCs w:val="22"/>
              </w:rPr>
            </w:pPr>
            <w:r w:rsidRPr="000729CF">
              <w:rPr>
                <w:rFonts w:cs="Arial"/>
                <w:color w:val="0D0D0D"/>
                <w:sz w:val="22"/>
                <w:szCs w:val="22"/>
              </w:rPr>
              <w:t>3.80%</w:t>
            </w:r>
          </w:p>
        </w:tc>
      </w:tr>
      <w:tr w:rsidR="000729CF" w:rsidRPr="000729CF" w14:paraId="10EC738F" w14:textId="77777777" w:rsidTr="00BC26AB">
        <w:trPr>
          <w:trHeight w:val="340"/>
        </w:trPr>
        <w:tc>
          <w:tcPr>
            <w:cnfStyle w:val="001000000000" w:firstRow="0" w:lastRow="0" w:firstColumn="1" w:lastColumn="0" w:oddVBand="0" w:evenVBand="0" w:oddHBand="0" w:evenHBand="0" w:firstRowFirstColumn="0" w:firstRowLastColumn="0" w:lastRowFirstColumn="0" w:lastRowLastColumn="0"/>
            <w:tcW w:w="1640" w:type="dxa"/>
          </w:tcPr>
          <w:p w14:paraId="102BE745" w14:textId="77777777" w:rsidR="000729CF" w:rsidRPr="000729CF" w:rsidRDefault="000729CF" w:rsidP="000729CF">
            <w:pPr>
              <w:spacing w:before="120" w:after="120" w:line="276" w:lineRule="auto"/>
              <w:jc w:val="both"/>
              <w:rPr>
                <w:rFonts w:cs="Arial"/>
                <w:color w:val="0D0D0D"/>
                <w:sz w:val="22"/>
                <w:szCs w:val="22"/>
              </w:rPr>
            </w:pPr>
            <w:r w:rsidRPr="000729CF">
              <w:rPr>
                <w:rFonts w:cs="Arial"/>
                <w:color w:val="0D0D0D"/>
                <w:sz w:val="22"/>
                <w:szCs w:val="22"/>
              </w:rPr>
              <w:t>25 years</w:t>
            </w:r>
          </w:p>
        </w:tc>
        <w:tc>
          <w:tcPr>
            <w:tcW w:w="2381" w:type="dxa"/>
          </w:tcPr>
          <w:p w14:paraId="7F53F131" w14:textId="77777777" w:rsidR="000729CF" w:rsidRPr="000729CF" w:rsidRDefault="000729CF" w:rsidP="000729CF">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Arial"/>
                <w:color w:val="0D0D0D"/>
                <w:sz w:val="22"/>
                <w:szCs w:val="22"/>
              </w:rPr>
            </w:pPr>
            <w:r w:rsidRPr="000729CF">
              <w:rPr>
                <w:rFonts w:cs="Arial"/>
                <w:color w:val="0D0D0D"/>
                <w:sz w:val="22"/>
                <w:szCs w:val="22"/>
              </w:rPr>
              <w:t>5.19%</w:t>
            </w:r>
          </w:p>
        </w:tc>
        <w:tc>
          <w:tcPr>
            <w:tcW w:w="2618" w:type="dxa"/>
          </w:tcPr>
          <w:p w14:paraId="5258EEAB" w14:textId="77777777" w:rsidR="000729CF" w:rsidRPr="000729CF" w:rsidRDefault="000729CF" w:rsidP="000729CF">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Arial"/>
                <w:color w:val="0D0D0D"/>
                <w:sz w:val="22"/>
                <w:szCs w:val="22"/>
              </w:rPr>
            </w:pPr>
            <w:r w:rsidRPr="000729CF">
              <w:rPr>
                <w:rFonts w:cs="Arial"/>
                <w:color w:val="0D0D0D"/>
                <w:sz w:val="22"/>
                <w:szCs w:val="22"/>
              </w:rPr>
              <w:t>4.20%</w:t>
            </w:r>
          </w:p>
        </w:tc>
        <w:tc>
          <w:tcPr>
            <w:tcW w:w="2670" w:type="dxa"/>
          </w:tcPr>
          <w:p w14:paraId="38C8F85A" w14:textId="77777777" w:rsidR="000729CF" w:rsidRPr="000729CF" w:rsidRDefault="000729CF" w:rsidP="000729CF">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Arial"/>
                <w:color w:val="0D0D0D"/>
                <w:sz w:val="22"/>
                <w:szCs w:val="22"/>
              </w:rPr>
            </w:pPr>
            <w:r w:rsidRPr="000729CF">
              <w:rPr>
                <w:rFonts w:cs="Arial"/>
                <w:color w:val="0D0D0D"/>
                <w:sz w:val="22"/>
                <w:szCs w:val="22"/>
              </w:rPr>
              <w:t>4.20%</w:t>
            </w:r>
          </w:p>
        </w:tc>
      </w:tr>
      <w:tr w:rsidR="000729CF" w:rsidRPr="000729CF" w14:paraId="064C6892" w14:textId="77777777" w:rsidTr="00BC26AB">
        <w:trPr>
          <w:trHeight w:val="340"/>
        </w:trPr>
        <w:tc>
          <w:tcPr>
            <w:cnfStyle w:val="001000000000" w:firstRow="0" w:lastRow="0" w:firstColumn="1" w:lastColumn="0" w:oddVBand="0" w:evenVBand="0" w:oddHBand="0" w:evenHBand="0" w:firstRowFirstColumn="0" w:firstRowLastColumn="0" w:lastRowFirstColumn="0" w:lastRowLastColumn="0"/>
            <w:tcW w:w="1640" w:type="dxa"/>
          </w:tcPr>
          <w:p w14:paraId="5A19E6C6" w14:textId="77777777" w:rsidR="000729CF" w:rsidRPr="000729CF" w:rsidRDefault="000729CF" w:rsidP="000729CF">
            <w:pPr>
              <w:spacing w:before="120" w:after="120" w:line="276" w:lineRule="auto"/>
              <w:jc w:val="both"/>
              <w:rPr>
                <w:rFonts w:cs="Arial"/>
                <w:color w:val="0D0D0D"/>
                <w:sz w:val="22"/>
                <w:szCs w:val="22"/>
              </w:rPr>
            </w:pPr>
            <w:r w:rsidRPr="000729CF">
              <w:rPr>
                <w:rFonts w:cs="Arial"/>
                <w:color w:val="0D0D0D"/>
                <w:sz w:val="22"/>
                <w:szCs w:val="22"/>
              </w:rPr>
              <w:t>50 years</w:t>
            </w:r>
          </w:p>
        </w:tc>
        <w:tc>
          <w:tcPr>
            <w:tcW w:w="2381" w:type="dxa"/>
          </w:tcPr>
          <w:p w14:paraId="2EB7321E" w14:textId="77777777" w:rsidR="000729CF" w:rsidRPr="000729CF" w:rsidRDefault="000729CF" w:rsidP="000729CF">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Arial"/>
                <w:color w:val="0D0D0D"/>
                <w:sz w:val="22"/>
                <w:szCs w:val="22"/>
              </w:rPr>
            </w:pPr>
            <w:r w:rsidRPr="000729CF">
              <w:rPr>
                <w:rFonts w:cs="Arial"/>
                <w:color w:val="0D0D0D"/>
                <w:sz w:val="22"/>
                <w:szCs w:val="22"/>
              </w:rPr>
              <w:t>4.97%</w:t>
            </w:r>
          </w:p>
        </w:tc>
        <w:tc>
          <w:tcPr>
            <w:tcW w:w="2618" w:type="dxa"/>
          </w:tcPr>
          <w:p w14:paraId="450A69DC" w14:textId="77777777" w:rsidR="000729CF" w:rsidRPr="000729CF" w:rsidRDefault="000729CF" w:rsidP="000729CF">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Arial"/>
                <w:color w:val="0D0D0D"/>
                <w:sz w:val="22"/>
                <w:szCs w:val="22"/>
              </w:rPr>
            </w:pPr>
            <w:r w:rsidRPr="000729CF">
              <w:rPr>
                <w:rFonts w:cs="Arial"/>
                <w:color w:val="0D0D0D"/>
                <w:sz w:val="22"/>
                <w:szCs w:val="22"/>
              </w:rPr>
              <w:t>4.00%</w:t>
            </w:r>
          </w:p>
        </w:tc>
        <w:tc>
          <w:tcPr>
            <w:tcW w:w="2670" w:type="dxa"/>
          </w:tcPr>
          <w:p w14:paraId="3B8C0945" w14:textId="77777777" w:rsidR="000729CF" w:rsidRPr="000729CF" w:rsidRDefault="000729CF" w:rsidP="000729CF">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Arial"/>
                <w:color w:val="0D0D0D"/>
                <w:sz w:val="22"/>
                <w:szCs w:val="22"/>
              </w:rPr>
            </w:pPr>
            <w:r w:rsidRPr="000729CF">
              <w:rPr>
                <w:rFonts w:cs="Arial"/>
                <w:color w:val="0D0D0D"/>
                <w:sz w:val="22"/>
                <w:szCs w:val="22"/>
              </w:rPr>
              <w:t>4.00%</w:t>
            </w:r>
          </w:p>
        </w:tc>
      </w:tr>
    </w:tbl>
    <w:p w14:paraId="3C546DF9" w14:textId="77777777" w:rsidR="000729CF" w:rsidRPr="000729CF" w:rsidRDefault="000729CF" w:rsidP="000729CF">
      <w:pPr>
        <w:spacing w:before="120" w:after="120"/>
        <w:rPr>
          <w:rFonts w:ascii="Arial" w:eastAsia="Arial" w:hAnsi="Arial" w:cs="Arial"/>
          <w:color w:val="0D0D0D"/>
          <w:sz w:val="24"/>
          <w:szCs w:val="24"/>
          <w:lang w:val="en-AU"/>
        </w:rPr>
      </w:pPr>
      <w:r w:rsidRPr="000729CF">
        <w:rPr>
          <w:rFonts w:ascii="Arial" w:eastAsia="Arial" w:hAnsi="Arial" w:cs="Arial"/>
          <w:b/>
          <w:color w:val="0D0D0D"/>
          <w:sz w:val="24"/>
          <w:szCs w:val="24"/>
          <w:lang w:val="en-AU"/>
        </w:rPr>
        <w:t>Borrowing advice:</w:t>
      </w:r>
      <w:r w:rsidRPr="000729CF">
        <w:rPr>
          <w:rFonts w:ascii="Arial" w:eastAsia="Arial" w:hAnsi="Arial" w:cs="Arial"/>
          <w:color w:val="0D0D0D"/>
          <w:sz w:val="24"/>
          <w:szCs w:val="24"/>
          <w:lang w:val="en-AU"/>
        </w:rPr>
        <w:t xml:space="preserve"> Our long-term (beyond 10 years) forecast for Bank Rate remains at 3% and reflects Capital Economics’ research that suggests AI and general improvements in productivity will be supportive of a higher neutral interest rate.  As all PWLB certainty rates are currently significantly above this level, borrowing strategies will need to be reviewed in that context.  Overall, better value can be obtained at the shorter end of the curve and short-dated fixed LA to LA monies should be considered. Temporary borrowing rates will remain elevated for some time to come but may prove the best option whilst the market continues to factor in Bank Rate reductions for 2024 and later.</w:t>
      </w:r>
    </w:p>
    <w:p w14:paraId="0E0BC77F" w14:textId="77777777" w:rsidR="000729CF" w:rsidRPr="000729CF" w:rsidRDefault="000729CF" w:rsidP="000729CF">
      <w:pPr>
        <w:spacing w:before="120" w:after="120" w:line="276" w:lineRule="auto"/>
        <w:rPr>
          <w:rFonts w:ascii="Arial" w:eastAsia="Arial" w:hAnsi="Arial" w:cs="Arial"/>
          <w:color w:val="0D0D0D"/>
          <w:sz w:val="24"/>
          <w:szCs w:val="24"/>
          <w:lang w:val="en-AU"/>
        </w:rPr>
      </w:pPr>
      <w:r w:rsidRPr="000729CF">
        <w:rPr>
          <w:rFonts w:ascii="Arial" w:eastAsia="Arial" w:hAnsi="Arial" w:cs="Arial"/>
          <w:color w:val="0D0D0D"/>
          <w:sz w:val="24"/>
          <w:szCs w:val="24"/>
          <w:lang w:val="en-AU"/>
        </w:rPr>
        <w:t xml:space="preserve">Our suggested budgeted earnings rates for investments up to about three months’ duration in each financial year are set out below.  </w:t>
      </w:r>
    </w:p>
    <w:tbl>
      <w:tblPr>
        <w:tblStyle w:val="DefaultTable"/>
        <w:tblW w:w="7915" w:type="dxa"/>
        <w:tblInd w:w="-5" w:type="dxa"/>
        <w:tblLook w:val="04A0" w:firstRow="1" w:lastRow="0" w:firstColumn="1" w:lastColumn="0" w:noHBand="0" w:noVBand="1"/>
      </w:tblPr>
      <w:tblGrid>
        <w:gridCol w:w="3536"/>
        <w:gridCol w:w="2252"/>
        <w:gridCol w:w="2127"/>
      </w:tblGrid>
      <w:tr w:rsidR="000729CF" w:rsidRPr="000729CF" w14:paraId="76345047" w14:textId="77777777" w:rsidTr="00BC26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6" w:type="dxa"/>
          </w:tcPr>
          <w:p w14:paraId="74F10509" w14:textId="77777777" w:rsidR="000729CF" w:rsidRPr="000729CF" w:rsidRDefault="000729CF" w:rsidP="000729CF">
            <w:pPr>
              <w:spacing w:line="276" w:lineRule="auto"/>
              <w:jc w:val="center"/>
              <w:rPr>
                <w:rFonts w:cs="Arial"/>
                <w:sz w:val="22"/>
                <w:szCs w:val="22"/>
              </w:rPr>
            </w:pPr>
            <w:r w:rsidRPr="000729CF">
              <w:rPr>
                <w:rFonts w:cs="Arial"/>
                <w:sz w:val="22"/>
                <w:szCs w:val="22"/>
              </w:rPr>
              <w:t>Average earnings in each year</w:t>
            </w:r>
          </w:p>
        </w:tc>
        <w:tc>
          <w:tcPr>
            <w:tcW w:w="2252" w:type="dxa"/>
          </w:tcPr>
          <w:p w14:paraId="5D5B296C" w14:textId="77777777" w:rsidR="000729CF" w:rsidRPr="000729CF" w:rsidRDefault="000729CF" w:rsidP="000729CF">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22"/>
                <w:szCs w:val="22"/>
              </w:rPr>
            </w:pPr>
            <w:r w:rsidRPr="000729CF">
              <w:rPr>
                <w:rFonts w:cs="Arial"/>
                <w:sz w:val="22"/>
                <w:szCs w:val="22"/>
              </w:rPr>
              <w:t>Now</w:t>
            </w:r>
          </w:p>
        </w:tc>
        <w:tc>
          <w:tcPr>
            <w:tcW w:w="2127" w:type="dxa"/>
          </w:tcPr>
          <w:p w14:paraId="0D50F785" w14:textId="77777777" w:rsidR="000729CF" w:rsidRPr="000729CF" w:rsidRDefault="000729CF" w:rsidP="000729CF">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22"/>
                <w:szCs w:val="22"/>
              </w:rPr>
            </w:pPr>
            <w:r w:rsidRPr="000729CF">
              <w:rPr>
                <w:rFonts w:cs="Arial"/>
                <w:sz w:val="22"/>
                <w:szCs w:val="22"/>
              </w:rPr>
              <w:t>Previously</w:t>
            </w:r>
          </w:p>
        </w:tc>
      </w:tr>
      <w:tr w:rsidR="000729CF" w:rsidRPr="000729CF" w14:paraId="54A3A8B2" w14:textId="77777777" w:rsidTr="00BC26AB">
        <w:tc>
          <w:tcPr>
            <w:cnfStyle w:val="001000000000" w:firstRow="0" w:lastRow="0" w:firstColumn="1" w:lastColumn="0" w:oddVBand="0" w:evenVBand="0" w:oddHBand="0" w:evenHBand="0" w:firstRowFirstColumn="0" w:firstRowLastColumn="0" w:lastRowFirstColumn="0" w:lastRowLastColumn="0"/>
            <w:tcW w:w="3536" w:type="dxa"/>
          </w:tcPr>
          <w:p w14:paraId="4FF89F04" w14:textId="77777777" w:rsidR="000729CF" w:rsidRPr="000729CF" w:rsidRDefault="000729CF" w:rsidP="000729CF">
            <w:pPr>
              <w:spacing w:line="276" w:lineRule="auto"/>
              <w:jc w:val="center"/>
              <w:rPr>
                <w:rFonts w:cs="Arial"/>
                <w:color w:val="0D0D0D"/>
                <w:sz w:val="22"/>
                <w:szCs w:val="22"/>
              </w:rPr>
            </w:pPr>
            <w:bookmarkStart w:id="71" w:name="_Hlk122349440"/>
            <w:r w:rsidRPr="000729CF">
              <w:rPr>
                <w:rFonts w:cs="Arial"/>
                <w:color w:val="0D0D0D"/>
                <w:sz w:val="22"/>
                <w:szCs w:val="22"/>
              </w:rPr>
              <w:t>2023/24 (residual)</w:t>
            </w:r>
          </w:p>
        </w:tc>
        <w:tc>
          <w:tcPr>
            <w:tcW w:w="2252" w:type="dxa"/>
          </w:tcPr>
          <w:p w14:paraId="0FF93399" w14:textId="77777777" w:rsidR="000729CF" w:rsidRPr="000729CF" w:rsidRDefault="000729CF" w:rsidP="000729CF">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D0D0D"/>
                <w:sz w:val="22"/>
                <w:szCs w:val="22"/>
                <w:highlight w:val="yellow"/>
              </w:rPr>
            </w:pPr>
            <w:r w:rsidRPr="000729CF">
              <w:rPr>
                <w:rFonts w:cs="Arial"/>
                <w:color w:val="0D0D0D"/>
                <w:sz w:val="22"/>
                <w:szCs w:val="22"/>
              </w:rPr>
              <w:t>5.30%</w:t>
            </w:r>
          </w:p>
        </w:tc>
        <w:tc>
          <w:tcPr>
            <w:tcW w:w="2127" w:type="dxa"/>
          </w:tcPr>
          <w:p w14:paraId="663D3192" w14:textId="77777777" w:rsidR="000729CF" w:rsidRPr="000729CF" w:rsidRDefault="000729CF" w:rsidP="000729CF">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D0D0D"/>
                <w:sz w:val="22"/>
                <w:szCs w:val="22"/>
              </w:rPr>
            </w:pPr>
            <w:r w:rsidRPr="000729CF">
              <w:rPr>
                <w:rFonts w:cs="Arial"/>
                <w:color w:val="0D0D0D"/>
                <w:sz w:val="22"/>
                <w:szCs w:val="22"/>
              </w:rPr>
              <w:t>5.30%</w:t>
            </w:r>
          </w:p>
        </w:tc>
      </w:tr>
      <w:tr w:rsidR="000729CF" w:rsidRPr="000729CF" w14:paraId="61524028" w14:textId="77777777" w:rsidTr="00BC26AB">
        <w:tc>
          <w:tcPr>
            <w:cnfStyle w:val="001000000000" w:firstRow="0" w:lastRow="0" w:firstColumn="1" w:lastColumn="0" w:oddVBand="0" w:evenVBand="0" w:oddHBand="0" w:evenHBand="0" w:firstRowFirstColumn="0" w:firstRowLastColumn="0" w:lastRowFirstColumn="0" w:lastRowLastColumn="0"/>
            <w:tcW w:w="3536" w:type="dxa"/>
          </w:tcPr>
          <w:p w14:paraId="258B9BC4" w14:textId="77777777" w:rsidR="000729CF" w:rsidRPr="000729CF" w:rsidRDefault="000729CF" w:rsidP="000729CF">
            <w:pPr>
              <w:spacing w:line="276" w:lineRule="auto"/>
              <w:jc w:val="center"/>
              <w:rPr>
                <w:rFonts w:cs="Arial"/>
                <w:color w:val="0D0D0D"/>
                <w:sz w:val="22"/>
                <w:szCs w:val="22"/>
              </w:rPr>
            </w:pPr>
            <w:r w:rsidRPr="000729CF">
              <w:rPr>
                <w:rFonts w:cs="Arial"/>
                <w:color w:val="0D0D0D"/>
                <w:sz w:val="22"/>
                <w:szCs w:val="22"/>
              </w:rPr>
              <w:t>2024/25</w:t>
            </w:r>
          </w:p>
        </w:tc>
        <w:tc>
          <w:tcPr>
            <w:tcW w:w="2252" w:type="dxa"/>
          </w:tcPr>
          <w:p w14:paraId="77E385A4" w14:textId="77777777" w:rsidR="000729CF" w:rsidRPr="000729CF" w:rsidRDefault="000729CF" w:rsidP="000729CF">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D0D0D"/>
                <w:sz w:val="22"/>
                <w:szCs w:val="22"/>
                <w:highlight w:val="yellow"/>
              </w:rPr>
            </w:pPr>
            <w:r w:rsidRPr="000729CF">
              <w:rPr>
                <w:rFonts w:cs="Arial"/>
                <w:color w:val="0D0D0D"/>
                <w:sz w:val="22"/>
                <w:szCs w:val="22"/>
              </w:rPr>
              <w:t>4.55%</w:t>
            </w:r>
          </w:p>
        </w:tc>
        <w:tc>
          <w:tcPr>
            <w:tcW w:w="2127" w:type="dxa"/>
          </w:tcPr>
          <w:p w14:paraId="6E8AE3CE" w14:textId="77777777" w:rsidR="000729CF" w:rsidRPr="000729CF" w:rsidRDefault="000729CF" w:rsidP="000729CF">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D0D0D"/>
                <w:sz w:val="22"/>
                <w:szCs w:val="22"/>
              </w:rPr>
            </w:pPr>
            <w:r w:rsidRPr="000729CF">
              <w:rPr>
                <w:rFonts w:cs="Arial"/>
                <w:color w:val="0D0D0D"/>
                <w:sz w:val="22"/>
                <w:szCs w:val="22"/>
              </w:rPr>
              <w:t>4.70%</w:t>
            </w:r>
          </w:p>
        </w:tc>
      </w:tr>
      <w:tr w:rsidR="000729CF" w:rsidRPr="000729CF" w14:paraId="5F413B51" w14:textId="77777777" w:rsidTr="00BC26AB">
        <w:tc>
          <w:tcPr>
            <w:cnfStyle w:val="001000000000" w:firstRow="0" w:lastRow="0" w:firstColumn="1" w:lastColumn="0" w:oddVBand="0" w:evenVBand="0" w:oddHBand="0" w:evenHBand="0" w:firstRowFirstColumn="0" w:firstRowLastColumn="0" w:lastRowFirstColumn="0" w:lastRowLastColumn="0"/>
            <w:tcW w:w="3536" w:type="dxa"/>
          </w:tcPr>
          <w:p w14:paraId="2B743525" w14:textId="77777777" w:rsidR="000729CF" w:rsidRPr="000729CF" w:rsidRDefault="000729CF" w:rsidP="000729CF">
            <w:pPr>
              <w:spacing w:line="276" w:lineRule="auto"/>
              <w:jc w:val="center"/>
              <w:rPr>
                <w:rFonts w:cs="Arial"/>
                <w:color w:val="0D0D0D"/>
                <w:sz w:val="22"/>
                <w:szCs w:val="22"/>
              </w:rPr>
            </w:pPr>
            <w:r w:rsidRPr="000729CF">
              <w:rPr>
                <w:rFonts w:cs="Arial"/>
                <w:color w:val="0D0D0D"/>
                <w:sz w:val="22"/>
                <w:szCs w:val="22"/>
              </w:rPr>
              <w:t>2025/26</w:t>
            </w:r>
          </w:p>
        </w:tc>
        <w:tc>
          <w:tcPr>
            <w:tcW w:w="2252" w:type="dxa"/>
          </w:tcPr>
          <w:p w14:paraId="24279486" w14:textId="77777777" w:rsidR="000729CF" w:rsidRPr="000729CF" w:rsidRDefault="000729CF" w:rsidP="000729CF">
            <w:pPr>
              <w:spacing w:line="276" w:lineRule="auto"/>
              <w:cnfStyle w:val="000000000000" w:firstRow="0" w:lastRow="0" w:firstColumn="0" w:lastColumn="0" w:oddVBand="0" w:evenVBand="0" w:oddHBand="0" w:evenHBand="0" w:firstRowFirstColumn="0" w:firstRowLastColumn="0" w:lastRowFirstColumn="0" w:lastRowLastColumn="0"/>
              <w:rPr>
                <w:rFonts w:cs="Arial"/>
                <w:color w:val="0D0D0D"/>
                <w:sz w:val="22"/>
                <w:szCs w:val="22"/>
                <w:highlight w:val="yellow"/>
              </w:rPr>
            </w:pPr>
            <w:r w:rsidRPr="000729CF">
              <w:rPr>
                <w:rFonts w:cs="Arial"/>
                <w:color w:val="0D0D0D"/>
                <w:sz w:val="22"/>
                <w:szCs w:val="22"/>
              </w:rPr>
              <w:t xml:space="preserve">           3.10%</w:t>
            </w:r>
          </w:p>
        </w:tc>
        <w:tc>
          <w:tcPr>
            <w:tcW w:w="2127" w:type="dxa"/>
          </w:tcPr>
          <w:p w14:paraId="1D79A87B" w14:textId="77777777" w:rsidR="000729CF" w:rsidRPr="000729CF" w:rsidRDefault="000729CF" w:rsidP="000729CF">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D0D0D"/>
                <w:sz w:val="22"/>
                <w:szCs w:val="22"/>
              </w:rPr>
            </w:pPr>
            <w:r w:rsidRPr="000729CF">
              <w:rPr>
                <w:rFonts w:cs="Arial"/>
                <w:color w:val="0D0D0D"/>
                <w:sz w:val="22"/>
                <w:szCs w:val="22"/>
              </w:rPr>
              <w:t>3.20%</w:t>
            </w:r>
          </w:p>
        </w:tc>
      </w:tr>
      <w:tr w:rsidR="000729CF" w:rsidRPr="000729CF" w14:paraId="3BFEE0AC" w14:textId="77777777" w:rsidTr="00BC26AB">
        <w:tc>
          <w:tcPr>
            <w:cnfStyle w:val="001000000000" w:firstRow="0" w:lastRow="0" w:firstColumn="1" w:lastColumn="0" w:oddVBand="0" w:evenVBand="0" w:oddHBand="0" w:evenHBand="0" w:firstRowFirstColumn="0" w:firstRowLastColumn="0" w:lastRowFirstColumn="0" w:lastRowLastColumn="0"/>
            <w:tcW w:w="3536" w:type="dxa"/>
          </w:tcPr>
          <w:p w14:paraId="648D7AF3" w14:textId="77777777" w:rsidR="000729CF" w:rsidRPr="000729CF" w:rsidRDefault="000729CF" w:rsidP="000729CF">
            <w:pPr>
              <w:spacing w:line="276" w:lineRule="auto"/>
              <w:jc w:val="center"/>
              <w:rPr>
                <w:rFonts w:cs="Arial"/>
                <w:color w:val="0D0D0D"/>
                <w:sz w:val="22"/>
                <w:szCs w:val="22"/>
              </w:rPr>
            </w:pPr>
            <w:r w:rsidRPr="000729CF">
              <w:rPr>
                <w:rFonts w:cs="Arial"/>
                <w:color w:val="0D0D0D"/>
                <w:sz w:val="22"/>
                <w:szCs w:val="22"/>
              </w:rPr>
              <w:t>2026/27</w:t>
            </w:r>
          </w:p>
        </w:tc>
        <w:tc>
          <w:tcPr>
            <w:tcW w:w="2252" w:type="dxa"/>
          </w:tcPr>
          <w:p w14:paraId="22B2A507" w14:textId="77777777" w:rsidR="000729CF" w:rsidRPr="000729CF" w:rsidRDefault="000729CF" w:rsidP="000729CF">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D0D0D"/>
                <w:sz w:val="22"/>
                <w:szCs w:val="22"/>
                <w:highlight w:val="yellow"/>
              </w:rPr>
            </w:pPr>
            <w:r w:rsidRPr="000729CF">
              <w:rPr>
                <w:rFonts w:cs="Arial"/>
                <w:color w:val="0D0D0D"/>
                <w:sz w:val="22"/>
                <w:szCs w:val="22"/>
              </w:rPr>
              <w:t>3.00%</w:t>
            </w:r>
          </w:p>
        </w:tc>
        <w:tc>
          <w:tcPr>
            <w:tcW w:w="2127" w:type="dxa"/>
          </w:tcPr>
          <w:p w14:paraId="3A71D4D6" w14:textId="77777777" w:rsidR="000729CF" w:rsidRPr="000729CF" w:rsidRDefault="000729CF" w:rsidP="000729CF">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D0D0D"/>
                <w:sz w:val="22"/>
                <w:szCs w:val="22"/>
              </w:rPr>
            </w:pPr>
            <w:r w:rsidRPr="000729CF">
              <w:rPr>
                <w:rFonts w:cs="Arial"/>
                <w:color w:val="0D0D0D"/>
                <w:sz w:val="22"/>
                <w:szCs w:val="22"/>
              </w:rPr>
              <w:t>3.00%</w:t>
            </w:r>
          </w:p>
        </w:tc>
      </w:tr>
      <w:tr w:rsidR="000729CF" w:rsidRPr="000729CF" w14:paraId="3BF36FEA" w14:textId="77777777" w:rsidTr="00BC26AB">
        <w:tc>
          <w:tcPr>
            <w:cnfStyle w:val="001000000000" w:firstRow="0" w:lastRow="0" w:firstColumn="1" w:lastColumn="0" w:oddVBand="0" w:evenVBand="0" w:oddHBand="0" w:evenHBand="0" w:firstRowFirstColumn="0" w:firstRowLastColumn="0" w:lastRowFirstColumn="0" w:lastRowLastColumn="0"/>
            <w:tcW w:w="3536" w:type="dxa"/>
          </w:tcPr>
          <w:p w14:paraId="3BFDF28A" w14:textId="77777777" w:rsidR="000729CF" w:rsidRPr="000729CF" w:rsidRDefault="000729CF" w:rsidP="000729CF">
            <w:pPr>
              <w:spacing w:line="276" w:lineRule="auto"/>
              <w:jc w:val="center"/>
              <w:rPr>
                <w:rFonts w:cs="Arial"/>
                <w:color w:val="0D0D0D"/>
                <w:sz w:val="22"/>
                <w:szCs w:val="22"/>
              </w:rPr>
            </w:pPr>
            <w:r w:rsidRPr="000729CF">
              <w:rPr>
                <w:rFonts w:cs="Arial"/>
                <w:color w:val="0D0D0D"/>
                <w:sz w:val="22"/>
                <w:szCs w:val="22"/>
              </w:rPr>
              <w:t>2027/28</w:t>
            </w:r>
          </w:p>
        </w:tc>
        <w:tc>
          <w:tcPr>
            <w:tcW w:w="2252" w:type="dxa"/>
          </w:tcPr>
          <w:p w14:paraId="184E599F" w14:textId="77777777" w:rsidR="000729CF" w:rsidRPr="000729CF" w:rsidRDefault="000729CF" w:rsidP="000729CF">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D0D0D"/>
                <w:sz w:val="22"/>
                <w:szCs w:val="22"/>
              </w:rPr>
            </w:pPr>
            <w:r w:rsidRPr="000729CF">
              <w:rPr>
                <w:rFonts w:cs="Arial"/>
                <w:color w:val="0D0D0D"/>
                <w:sz w:val="22"/>
                <w:szCs w:val="22"/>
              </w:rPr>
              <w:t>3.25%</w:t>
            </w:r>
          </w:p>
        </w:tc>
        <w:tc>
          <w:tcPr>
            <w:tcW w:w="2127" w:type="dxa"/>
          </w:tcPr>
          <w:p w14:paraId="10D0F92A" w14:textId="77777777" w:rsidR="000729CF" w:rsidRPr="000729CF" w:rsidRDefault="000729CF" w:rsidP="000729CF">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D0D0D"/>
                <w:sz w:val="22"/>
                <w:szCs w:val="22"/>
              </w:rPr>
            </w:pPr>
            <w:r w:rsidRPr="000729CF">
              <w:rPr>
                <w:rFonts w:cs="Arial"/>
                <w:color w:val="0D0D0D"/>
                <w:sz w:val="22"/>
                <w:szCs w:val="22"/>
              </w:rPr>
              <w:t>3.25%</w:t>
            </w:r>
          </w:p>
        </w:tc>
      </w:tr>
      <w:tr w:rsidR="000729CF" w:rsidRPr="000729CF" w14:paraId="291B875D" w14:textId="77777777" w:rsidTr="00BC26AB">
        <w:tc>
          <w:tcPr>
            <w:cnfStyle w:val="001000000000" w:firstRow="0" w:lastRow="0" w:firstColumn="1" w:lastColumn="0" w:oddVBand="0" w:evenVBand="0" w:oddHBand="0" w:evenHBand="0" w:firstRowFirstColumn="0" w:firstRowLastColumn="0" w:lastRowFirstColumn="0" w:lastRowLastColumn="0"/>
            <w:tcW w:w="3536" w:type="dxa"/>
          </w:tcPr>
          <w:p w14:paraId="05192B91" w14:textId="77777777" w:rsidR="000729CF" w:rsidRPr="000729CF" w:rsidRDefault="000729CF" w:rsidP="000729CF">
            <w:pPr>
              <w:spacing w:line="276" w:lineRule="auto"/>
              <w:jc w:val="center"/>
              <w:rPr>
                <w:rFonts w:cs="Arial"/>
                <w:color w:val="0D0D0D"/>
                <w:sz w:val="22"/>
                <w:szCs w:val="22"/>
              </w:rPr>
            </w:pPr>
            <w:r w:rsidRPr="000729CF">
              <w:rPr>
                <w:rFonts w:cs="Arial"/>
                <w:color w:val="0D0D0D"/>
                <w:sz w:val="22"/>
                <w:szCs w:val="22"/>
              </w:rPr>
              <w:t>2028/29</w:t>
            </w:r>
          </w:p>
        </w:tc>
        <w:tc>
          <w:tcPr>
            <w:tcW w:w="2252" w:type="dxa"/>
          </w:tcPr>
          <w:p w14:paraId="31A91F10" w14:textId="77777777" w:rsidR="000729CF" w:rsidRPr="000729CF" w:rsidRDefault="000729CF" w:rsidP="000729CF">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D0D0D"/>
                <w:sz w:val="22"/>
                <w:szCs w:val="22"/>
              </w:rPr>
            </w:pPr>
            <w:r w:rsidRPr="000729CF">
              <w:rPr>
                <w:rFonts w:cs="Arial"/>
                <w:color w:val="0D0D0D"/>
                <w:sz w:val="22"/>
                <w:szCs w:val="22"/>
              </w:rPr>
              <w:t>3.25%</w:t>
            </w:r>
          </w:p>
        </w:tc>
        <w:tc>
          <w:tcPr>
            <w:tcW w:w="2127" w:type="dxa"/>
          </w:tcPr>
          <w:p w14:paraId="401963EE" w14:textId="77777777" w:rsidR="000729CF" w:rsidRPr="000729CF" w:rsidRDefault="000729CF" w:rsidP="000729CF">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D0D0D"/>
                <w:sz w:val="22"/>
                <w:szCs w:val="22"/>
              </w:rPr>
            </w:pPr>
            <w:r w:rsidRPr="000729CF">
              <w:rPr>
                <w:rFonts w:cs="Arial"/>
                <w:color w:val="0D0D0D"/>
                <w:sz w:val="22"/>
                <w:szCs w:val="22"/>
              </w:rPr>
              <w:t>3.25%</w:t>
            </w:r>
          </w:p>
        </w:tc>
      </w:tr>
      <w:tr w:rsidR="000729CF" w:rsidRPr="000729CF" w14:paraId="31A765F8" w14:textId="77777777" w:rsidTr="00BC26AB">
        <w:tc>
          <w:tcPr>
            <w:cnfStyle w:val="001000000000" w:firstRow="0" w:lastRow="0" w:firstColumn="1" w:lastColumn="0" w:oddVBand="0" w:evenVBand="0" w:oddHBand="0" w:evenHBand="0" w:firstRowFirstColumn="0" w:firstRowLastColumn="0" w:lastRowFirstColumn="0" w:lastRowLastColumn="0"/>
            <w:tcW w:w="3536" w:type="dxa"/>
          </w:tcPr>
          <w:p w14:paraId="2024D5D3" w14:textId="77777777" w:rsidR="000729CF" w:rsidRPr="000729CF" w:rsidRDefault="000729CF" w:rsidP="000729CF">
            <w:pPr>
              <w:spacing w:line="276" w:lineRule="auto"/>
              <w:jc w:val="center"/>
              <w:rPr>
                <w:rFonts w:cs="Arial"/>
                <w:color w:val="0D0D0D"/>
                <w:sz w:val="22"/>
                <w:szCs w:val="22"/>
              </w:rPr>
            </w:pPr>
            <w:r w:rsidRPr="000729CF">
              <w:rPr>
                <w:rFonts w:cs="Arial"/>
                <w:color w:val="0D0D0D"/>
                <w:sz w:val="22"/>
                <w:szCs w:val="22"/>
              </w:rPr>
              <w:t>Years 6 to 10</w:t>
            </w:r>
          </w:p>
        </w:tc>
        <w:tc>
          <w:tcPr>
            <w:tcW w:w="2252" w:type="dxa"/>
          </w:tcPr>
          <w:p w14:paraId="402BCDBA" w14:textId="77777777" w:rsidR="000729CF" w:rsidRPr="000729CF" w:rsidRDefault="000729CF" w:rsidP="000729CF">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D0D0D"/>
                <w:sz w:val="22"/>
                <w:szCs w:val="22"/>
              </w:rPr>
            </w:pPr>
            <w:r w:rsidRPr="000729CF">
              <w:rPr>
                <w:rFonts w:cs="Arial"/>
                <w:color w:val="0D0D0D"/>
                <w:sz w:val="22"/>
                <w:szCs w:val="22"/>
              </w:rPr>
              <w:t>3.25%</w:t>
            </w:r>
          </w:p>
        </w:tc>
        <w:tc>
          <w:tcPr>
            <w:tcW w:w="2127" w:type="dxa"/>
          </w:tcPr>
          <w:p w14:paraId="6B803CBF" w14:textId="77777777" w:rsidR="000729CF" w:rsidRPr="000729CF" w:rsidRDefault="000729CF" w:rsidP="000729CF">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D0D0D"/>
                <w:sz w:val="22"/>
                <w:szCs w:val="22"/>
              </w:rPr>
            </w:pPr>
            <w:r w:rsidRPr="000729CF">
              <w:rPr>
                <w:rFonts w:cs="Arial"/>
                <w:color w:val="0D0D0D"/>
                <w:sz w:val="22"/>
                <w:szCs w:val="22"/>
              </w:rPr>
              <w:t>3.25%</w:t>
            </w:r>
          </w:p>
        </w:tc>
      </w:tr>
      <w:bookmarkEnd w:id="71"/>
      <w:tr w:rsidR="000729CF" w:rsidRPr="000729CF" w14:paraId="7B938D0A" w14:textId="77777777" w:rsidTr="00BC26AB">
        <w:tc>
          <w:tcPr>
            <w:cnfStyle w:val="001000000000" w:firstRow="0" w:lastRow="0" w:firstColumn="1" w:lastColumn="0" w:oddVBand="0" w:evenVBand="0" w:oddHBand="0" w:evenHBand="0" w:firstRowFirstColumn="0" w:firstRowLastColumn="0" w:lastRowFirstColumn="0" w:lastRowLastColumn="0"/>
            <w:tcW w:w="3536" w:type="dxa"/>
          </w:tcPr>
          <w:p w14:paraId="7DFFBB39" w14:textId="77777777" w:rsidR="000729CF" w:rsidRPr="000729CF" w:rsidRDefault="000729CF" w:rsidP="000729CF">
            <w:pPr>
              <w:spacing w:line="276" w:lineRule="auto"/>
              <w:jc w:val="center"/>
              <w:rPr>
                <w:rFonts w:cs="Arial"/>
                <w:color w:val="0D0D0D"/>
                <w:sz w:val="22"/>
                <w:szCs w:val="22"/>
              </w:rPr>
            </w:pPr>
            <w:r w:rsidRPr="000729CF">
              <w:rPr>
                <w:rFonts w:cs="Arial"/>
                <w:color w:val="0D0D0D"/>
                <w:sz w:val="22"/>
                <w:szCs w:val="22"/>
              </w:rPr>
              <w:t>Years 10+</w:t>
            </w:r>
          </w:p>
        </w:tc>
        <w:tc>
          <w:tcPr>
            <w:tcW w:w="2252" w:type="dxa"/>
          </w:tcPr>
          <w:p w14:paraId="56BE7BA2" w14:textId="77777777" w:rsidR="000729CF" w:rsidRPr="000729CF" w:rsidRDefault="000729CF" w:rsidP="000729CF">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D0D0D"/>
                <w:sz w:val="22"/>
                <w:szCs w:val="22"/>
              </w:rPr>
            </w:pPr>
            <w:r w:rsidRPr="000729CF">
              <w:rPr>
                <w:rFonts w:cs="Arial"/>
                <w:color w:val="0D0D0D"/>
                <w:sz w:val="22"/>
                <w:szCs w:val="22"/>
              </w:rPr>
              <w:t>3.25%</w:t>
            </w:r>
          </w:p>
        </w:tc>
        <w:tc>
          <w:tcPr>
            <w:tcW w:w="2127" w:type="dxa"/>
          </w:tcPr>
          <w:p w14:paraId="6499CE7D" w14:textId="77777777" w:rsidR="000729CF" w:rsidRPr="000729CF" w:rsidRDefault="000729CF" w:rsidP="000729CF">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color w:val="0D0D0D"/>
                <w:sz w:val="22"/>
                <w:szCs w:val="22"/>
              </w:rPr>
            </w:pPr>
            <w:r w:rsidRPr="000729CF">
              <w:rPr>
                <w:rFonts w:cs="Arial"/>
                <w:color w:val="0D0D0D"/>
                <w:sz w:val="22"/>
                <w:szCs w:val="22"/>
              </w:rPr>
              <w:t>3.25%</w:t>
            </w:r>
          </w:p>
        </w:tc>
      </w:tr>
    </w:tbl>
    <w:p w14:paraId="6696AD98" w14:textId="77777777" w:rsidR="000729CF" w:rsidRPr="000729CF" w:rsidRDefault="000729CF" w:rsidP="000729CF">
      <w:pPr>
        <w:spacing w:before="120" w:after="120"/>
        <w:rPr>
          <w:rFonts w:ascii="Arial" w:eastAsia="Arial" w:hAnsi="Arial" w:cs="Arial"/>
          <w:color w:val="0D0D0D"/>
          <w:sz w:val="24"/>
          <w:szCs w:val="24"/>
          <w:lang w:val="en-AU"/>
        </w:rPr>
      </w:pPr>
      <w:r w:rsidRPr="000729CF">
        <w:rPr>
          <w:rFonts w:ascii="Arial" w:eastAsia="Arial" w:hAnsi="Arial" w:cs="Arial"/>
          <w:color w:val="0D0D0D"/>
          <w:sz w:val="24"/>
          <w:szCs w:val="24"/>
          <w:lang w:val="en-AU"/>
        </w:rPr>
        <w:t xml:space="preserve">As there are so many variables at this time, caution must be exercised in respect of all interest rate forecasts.  </w:t>
      </w:r>
    </w:p>
    <w:p w14:paraId="3D8E8EE3" w14:textId="77777777" w:rsidR="000729CF" w:rsidRPr="000729CF" w:rsidRDefault="000729CF" w:rsidP="000729CF">
      <w:pPr>
        <w:spacing w:afterLines="60" w:after="144"/>
        <w:contextualSpacing/>
        <w:rPr>
          <w:rFonts w:ascii="Arial" w:eastAsia="Arial" w:hAnsi="Arial" w:cs="Arial"/>
          <w:bCs/>
          <w:color w:val="1D1B11"/>
          <w:sz w:val="28"/>
          <w:szCs w:val="28"/>
          <w:lang w:val="en-GB"/>
        </w:rPr>
      </w:pPr>
      <w:r w:rsidRPr="000729CF">
        <w:rPr>
          <w:rFonts w:ascii="Arial" w:eastAsia="Arial" w:hAnsi="Arial" w:cs="Arial"/>
          <w:color w:val="0D0D0D"/>
          <w:sz w:val="24"/>
          <w:szCs w:val="24"/>
          <w:lang w:val="en-AU"/>
        </w:rPr>
        <w:t>Our interest rate forecast for Bank Rate is in steps of 25 bps, whereas PWLB forecasts have been rounded to the nearest 10 bps and are central forecasts within bands of + / - 25 bps. Naturally, we continue to monitor events and will update our forecasts as and when appropriate</w:t>
      </w:r>
      <w:r w:rsidRPr="000729CF">
        <w:rPr>
          <w:rFonts w:ascii="Arial" w:eastAsia="Arial" w:hAnsi="Arial" w:cs="Arial"/>
          <w:bCs/>
          <w:color w:val="1D1B11"/>
          <w:sz w:val="28"/>
          <w:szCs w:val="28"/>
          <w:lang w:val="en-GB"/>
        </w:rPr>
        <w:br w:type="page"/>
      </w:r>
    </w:p>
    <w:bookmarkEnd w:id="68"/>
    <w:p w14:paraId="210C7F2C" w14:textId="77777777" w:rsidR="000729CF" w:rsidRPr="000729CF" w:rsidRDefault="000729CF" w:rsidP="000729CF">
      <w:pPr>
        <w:autoSpaceDE w:val="0"/>
        <w:autoSpaceDN w:val="0"/>
        <w:adjustRightInd w:val="0"/>
        <w:spacing w:before="40" w:after="40"/>
        <w:rPr>
          <w:rFonts w:ascii="Arial" w:eastAsia="Calibri" w:hAnsi="Arial" w:cs="Arial"/>
          <w:bCs/>
          <w:color w:val="000000"/>
          <w:sz w:val="24"/>
          <w:szCs w:val="24"/>
          <w:lang w:val="en-GB" w:eastAsia="en-GB"/>
        </w:rPr>
      </w:pPr>
    </w:p>
    <w:p w14:paraId="77777341" w14:textId="77777777" w:rsidR="000729CF" w:rsidRPr="000729CF" w:rsidRDefault="000729CF" w:rsidP="000729CF">
      <w:pPr>
        <w:autoSpaceDE w:val="0"/>
        <w:autoSpaceDN w:val="0"/>
        <w:adjustRightInd w:val="0"/>
        <w:spacing w:after="120"/>
        <w:rPr>
          <w:rFonts w:ascii="Arial" w:eastAsia="Calibri" w:hAnsi="Arial" w:cs="Arial"/>
          <w:b/>
          <w:bCs/>
          <w:color w:val="000000"/>
          <w:sz w:val="24"/>
          <w:szCs w:val="24"/>
          <w:lang w:val="en-GB" w:eastAsia="en-GB"/>
        </w:rPr>
      </w:pPr>
      <w:r w:rsidRPr="000729CF">
        <w:rPr>
          <w:rFonts w:ascii="Arial" w:eastAsia="Calibri" w:hAnsi="Arial" w:cs="Arial"/>
          <w:b/>
          <w:bCs/>
          <w:color w:val="000000"/>
          <w:sz w:val="24"/>
          <w:szCs w:val="24"/>
          <w:lang w:val="en-GB" w:eastAsia="en-GB"/>
        </w:rPr>
        <w:t xml:space="preserve">ANNEX C - PRUDENTIAL AND TREASURY INDICATORS </w:t>
      </w:r>
      <w:bookmarkStart w:id="72" w:name="_Hlk156813152"/>
      <w:r w:rsidRPr="000729CF">
        <w:rPr>
          <w:rFonts w:ascii="Arial" w:eastAsia="Calibri" w:hAnsi="Arial" w:cs="Arial"/>
          <w:b/>
          <w:bCs/>
          <w:color w:val="000000"/>
          <w:sz w:val="24"/>
          <w:szCs w:val="24"/>
          <w:lang w:val="en-GB" w:eastAsia="en-GB"/>
        </w:rPr>
        <w:t>2024/25 to 2026/27</w:t>
      </w:r>
      <w:bookmarkEnd w:id="72"/>
    </w:p>
    <w:p w14:paraId="3C8D6E43" w14:textId="77777777" w:rsidR="000729CF" w:rsidRPr="000729CF" w:rsidRDefault="000729CF" w:rsidP="000729CF">
      <w:pPr>
        <w:autoSpaceDE w:val="0"/>
        <w:autoSpaceDN w:val="0"/>
        <w:adjustRightInd w:val="0"/>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 xml:space="preserve">The council’s capital expenditure plans are a key driver of treasury management activities. The output of the capital expenditure plans are reflected in prudential indicators. Local authorities are required to ‘have regard to’ the Prudential Code and to set Prudential Indicators for the next three years to ensure that the council’s capital investment plans are affordable, prudent and sustainable. The Code sets out the indicators that must be used but does not suggest limits or ratios as these are for the authority to set itself. </w:t>
      </w:r>
    </w:p>
    <w:p w14:paraId="18CBDEAD" w14:textId="77777777" w:rsidR="000729CF" w:rsidRPr="000729CF" w:rsidRDefault="000729CF" w:rsidP="000729CF">
      <w:pPr>
        <w:autoSpaceDE w:val="0"/>
        <w:autoSpaceDN w:val="0"/>
        <w:adjustRightInd w:val="0"/>
        <w:rPr>
          <w:rFonts w:ascii="Arial" w:eastAsia="Calibri" w:hAnsi="Arial" w:cs="Arial"/>
          <w:color w:val="000000"/>
          <w:sz w:val="24"/>
          <w:szCs w:val="24"/>
          <w:lang w:val="en-GB" w:eastAsia="en-GB"/>
        </w:rPr>
      </w:pPr>
    </w:p>
    <w:p w14:paraId="602A609F" w14:textId="77777777" w:rsidR="000729CF" w:rsidRPr="000729CF" w:rsidRDefault="000729CF" w:rsidP="000729CF">
      <w:pPr>
        <w:autoSpaceDE w:val="0"/>
        <w:autoSpaceDN w:val="0"/>
        <w:adjustRightInd w:val="0"/>
        <w:rPr>
          <w:rFonts w:ascii="Arial" w:eastAsia="Calibri" w:hAnsi="Arial" w:cs="Arial"/>
          <w:color w:val="000000"/>
          <w:sz w:val="24"/>
          <w:szCs w:val="24"/>
          <w:highlight w:val="yellow"/>
          <w:lang w:val="en-GB" w:eastAsia="en-GB"/>
        </w:rPr>
      </w:pPr>
      <w:r w:rsidRPr="000729CF">
        <w:rPr>
          <w:rFonts w:ascii="Arial" w:eastAsia="Calibri" w:hAnsi="Arial" w:cs="Arial"/>
          <w:color w:val="000000"/>
          <w:sz w:val="24"/>
          <w:szCs w:val="24"/>
          <w:lang w:val="en-GB" w:eastAsia="en-GB"/>
        </w:rPr>
        <w:t xml:space="preserve">The Prudential Indicators for 2024/25 to 2026/27are set out in </w:t>
      </w:r>
      <w:r w:rsidRPr="000729CF">
        <w:rPr>
          <w:rFonts w:ascii="Arial" w:eastAsia="Calibri" w:hAnsi="Arial" w:cs="Arial"/>
          <w:b/>
          <w:color w:val="000000"/>
          <w:sz w:val="24"/>
          <w:szCs w:val="24"/>
          <w:lang w:val="en-GB" w:eastAsia="en-GB"/>
        </w:rPr>
        <w:t>Table A</w:t>
      </w:r>
      <w:r w:rsidRPr="000729CF">
        <w:rPr>
          <w:rFonts w:ascii="Arial" w:eastAsia="Calibri" w:hAnsi="Arial" w:cs="Arial"/>
          <w:color w:val="000000"/>
          <w:sz w:val="24"/>
          <w:szCs w:val="24"/>
          <w:lang w:val="en-GB" w:eastAsia="en-GB"/>
        </w:rPr>
        <w:t xml:space="preserve"> below:</w:t>
      </w:r>
    </w:p>
    <w:p w14:paraId="54C9A26E" w14:textId="77777777" w:rsidR="000729CF" w:rsidRPr="000729CF" w:rsidRDefault="000729CF" w:rsidP="000729CF">
      <w:pPr>
        <w:autoSpaceDE w:val="0"/>
        <w:autoSpaceDN w:val="0"/>
        <w:adjustRightInd w:val="0"/>
        <w:rPr>
          <w:rFonts w:ascii="Arial" w:eastAsia="Calibri" w:hAnsi="Arial" w:cs="Arial"/>
          <w:color w:val="000000"/>
          <w:sz w:val="24"/>
          <w:szCs w:val="24"/>
          <w:highlight w:val="yellow"/>
          <w:lang w:val="en-GB" w:eastAsia="en-GB"/>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20"/>
        <w:gridCol w:w="1502"/>
        <w:gridCol w:w="1502"/>
        <w:gridCol w:w="1504"/>
      </w:tblGrid>
      <w:tr w:rsidR="000729CF" w:rsidRPr="000729CF" w14:paraId="4B0ACC67" w14:textId="77777777" w:rsidTr="00BC26AB">
        <w:trPr>
          <w:trHeight w:val="225"/>
        </w:trPr>
        <w:tc>
          <w:tcPr>
            <w:tcW w:w="2659" w:type="pct"/>
            <w:shd w:val="clear" w:color="auto" w:fill="1F3864"/>
          </w:tcPr>
          <w:p w14:paraId="56693AAA" w14:textId="77777777" w:rsidR="000729CF" w:rsidRPr="000729CF" w:rsidRDefault="000729CF" w:rsidP="000729CF">
            <w:pPr>
              <w:autoSpaceDE w:val="0"/>
              <w:autoSpaceDN w:val="0"/>
              <w:adjustRightInd w:val="0"/>
              <w:rPr>
                <w:rFonts w:ascii="Arial" w:eastAsia="Calibri" w:hAnsi="Arial" w:cs="Arial"/>
                <w:b/>
                <w:color w:val="FFFFFF"/>
                <w:sz w:val="24"/>
                <w:szCs w:val="24"/>
                <w:lang w:val="en-GB" w:eastAsia="en-GB"/>
              </w:rPr>
            </w:pPr>
            <w:r w:rsidRPr="000729CF">
              <w:rPr>
                <w:rFonts w:ascii="Arial" w:eastAsia="Calibri" w:hAnsi="Arial" w:cs="Arial"/>
                <w:b/>
                <w:color w:val="FFFFFF"/>
                <w:sz w:val="24"/>
                <w:szCs w:val="24"/>
                <w:lang w:val="en-GB" w:eastAsia="en-GB"/>
              </w:rPr>
              <w:t>Table A</w:t>
            </w:r>
          </w:p>
          <w:p w14:paraId="1DFC6A65" w14:textId="77777777" w:rsidR="000729CF" w:rsidRPr="000729CF" w:rsidRDefault="000729CF" w:rsidP="000729CF">
            <w:pPr>
              <w:autoSpaceDE w:val="0"/>
              <w:autoSpaceDN w:val="0"/>
              <w:adjustRightInd w:val="0"/>
              <w:rPr>
                <w:rFonts w:ascii="Arial" w:eastAsia="Calibri" w:hAnsi="Arial" w:cs="Arial"/>
                <w:color w:val="FFFFFF"/>
                <w:sz w:val="24"/>
                <w:szCs w:val="24"/>
                <w:lang w:val="en-GB" w:eastAsia="en-GB"/>
              </w:rPr>
            </w:pPr>
          </w:p>
        </w:tc>
        <w:tc>
          <w:tcPr>
            <w:tcW w:w="780" w:type="pct"/>
            <w:shd w:val="clear" w:color="auto" w:fill="1F3864"/>
          </w:tcPr>
          <w:p w14:paraId="778A67F9" w14:textId="77777777" w:rsidR="000729CF" w:rsidRPr="000729CF" w:rsidRDefault="000729CF" w:rsidP="000729CF">
            <w:pPr>
              <w:autoSpaceDE w:val="0"/>
              <w:autoSpaceDN w:val="0"/>
              <w:adjustRightInd w:val="0"/>
              <w:jc w:val="center"/>
              <w:rPr>
                <w:rFonts w:ascii="Arial" w:eastAsia="Calibri" w:hAnsi="Arial" w:cs="Arial"/>
                <w:color w:val="FFFFFF"/>
                <w:sz w:val="24"/>
                <w:szCs w:val="24"/>
                <w:lang w:val="en-GB" w:eastAsia="en-GB"/>
              </w:rPr>
            </w:pPr>
            <w:r w:rsidRPr="000729CF">
              <w:rPr>
                <w:rFonts w:ascii="Arial" w:eastAsia="Calibri" w:hAnsi="Arial" w:cs="Arial"/>
                <w:b/>
                <w:bCs/>
                <w:color w:val="FFFFFF"/>
                <w:sz w:val="24"/>
                <w:szCs w:val="24"/>
                <w:lang w:val="en-GB" w:eastAsia="en-GB"/>
              </w:rPr>
              <w:t>2024/25</w:t>
            </w:r>
          </w:p>
          <w:p w14:paraId="13C3C002" w14:textId="77777777" w:rsidR="000729CF" w:rsidRPr="000729CF" w:rsidRDefault="000729CF" w:rsidP="000729CF">
            <w:pPr>
              <w:autoSpaceDE w:val="0"/>
              <w:autoSpaceDN w:val="0"/>
              <w:adjustRightInd w:val="0"/>
              <w:jc w:val="center"/>
              <w:rPr>
                <w:rFonts w:ascii="Arial" w:eastAsia="Calibri" w:hAnsi="Arial" w:cs="Arial"/>
                <w:b/>
                <w:bCs/>
                <w:color w:val="FFFFFF"/>
                <w:sz w:val="24"/>
                <w:szCs w:val="24"/>
                <w:lang w:val="en-GB" w:eastAsia="en-GB"/>
              </w:rPr>
            </w:pPr>
            <w:r w:rsidRPr="000729CF">
              <w:rPr>
                <w:rFonts w:ascii="Arial" w:eastAsia="Calibri" w:hAnsi="Arial" w:cs="Arial"/>
                <w:b/>
                <w:bCs/>
                <w:color w:val="FFFFFF"/>
                <w:sz w:val="24"/>
                <w:szCs w:val="24"/>
                <w:lang w:val="en-GB" w:eastAsia="en-GB"/>
              </w:rPr>
              <w:t>Estimate</w:t>
            </w:r>
          </w:p>
        </w:tc>
        <w:tc>
          <w:tcPr>
            <w:tcW w:w="780" w:type="pct"/>
            <w:shd w:val="clear" w:color="auto" w:fill="1F3864"/>
          </w:tcPr>
          <w:p w14:paraId="57A9CCA4" w14:textId="77777777" w:rsidR="000729CF" w:rsidRPr="000729CF" w:rsidRDefault="000729CF" w:rsidP="000729CF">
            <w:pPr>
              <w:autoSpaceDE w:val="0"/>
              <w:autoSpaceDN w:val="0"/>
              <w:adjustRightInd w:val="0"/>
              <w:jc w:val="center"/>
              <w:rPr>
                <w:rFonts w:ascii="Arial" w:eastAsia="Calibri" w:hAnsi="Arial" w:cs="Arial"/>
                <w:color w:val="FFFFFF"/>
                <w:sz w:val="24"/>
                <w:szCs w:val="24"/>
                <w:lang w:val="en-GB" w:eastAsia="en-GB"/>
              </w:rPr>
            </w:pPr>
            <w:r w:rsidRPr="000729CF">
              <w:rPr>
                <w:rFonts w:ascii="Arial" w:eastAsia="Calibri" w:hAnsi="Arial" w:cs="Arial"/>
                <w:b/>
                <w:bCs/>
                <w:color w:val="FFFFFF"/>
                <w:sz w:val="24"/>
                <w:szCs w:val="24"/>
                <w:lang w:val="en-GB" w:eastAsia="en-GB"/>
              </w:rPr>
              <w:t>2025/26</w:t>
            </w:r>
          </w:p>
          <w:p w14:paraId="281C8719" w14:textId="77777777" w:rsidR="000729CF" w:rsidRPr="000729CF" w:rsidRDefault="000729CF" w:rsidP="000729CF">
            <w:pPr>
              <w:autoSpaceDE w:val="0"/>
              <w:autoSpaceDN w:val="0"/>
              <w:adjustRightInd w:val="0"/>
              <w:jc w:val="center"/>
              <w:rPr>
                <w:rFonts w:ascii="Arial" w:eastAsia="Calibri" w:hAnsi="Arial" w:cs="Arial"/>
                <w:b/>
                <w:bCs/>
                <w:color w:val="FFFFFF"/>
                <w:sz w:val="24"/>
                <w:szCs w:val="24"/>
                <w:lang w:val="en-GB" w:eastAsia="en-GB"/>
              </w:rPr>
            </w:pPr>
            <w:r w:rsidRPr="000729CF">
              <w:rPr>
                <w:rFonts w:ascii="Arial" w:eastAsia="Calibri" w:hAnsi="Arial" w:cs="Arial"/>
                <w:b/>
                <w:bCs/>
                <w:color w:val="FFFFFF"/>
                <w:sz w:val="24"/>
                <w:szCs w:val="24"/>
                <w:lang w:val="en-GB" w:eastAsia="en-GB"/>
              </w:rPr>
              <w:t>Estimate</w:t>
            </w:r>
          </w:p>
        </w:tc>
        <w:tc>
          <w:tcPr>
            <w:tcW w:w="781" w:type="pct"/>
            <w:shd w:val="clear" w:color="auto" w:fill="1F3864"/>
          </w:tcPr>
          <w:p w14:paraId="6977838D" w14:textId="77777777" w:rsidR="000729CF" w:rsidRPr="000729CF" w:rsidRDefault="000729CF" w:rsidP="000729CF">
            <w:pPr>
              <w:autoSpaceDE w:val="0"/>
              <w:autoSpaceDN w:val="0"/>
              <w:adjustRightInd w:val="0"/>
              <w:jc w:val="center"/>
              <w:rPr>
                <w:rFonts w:ascii="Arial" w:eastAsia="Calibri" w:hAnsi="Arial" w:cs="Arial"/>
                <w:color w:val="FFFFFF"/>
                <w:sz w:val="24"/>
                <w:szCs w:val="24"/>
                <w:lang w:val="en-GB" w:eastAsia="en-GB"/>
              </w:rPr>
            </w:pPr>
            <w:r w:rsidRPr="000729CF">
              <w:rPr>
                <w:rFonts w:ascii="Arial" w:eastAsia="Calibri" w:hAnsi="Arial" w:cs="Arial"/>
                <w:b/>
                <w:bCs/>
                <w:color w:val="FFFFFF"/>
                <w:sz w:val="24"/>
                <w:szCs w:val="24"/>
                <w:lang w:val="en-GB" w:eastAsia="en-GB"/>
              </w:rPr>
              <w:t>2026/27</w:t>
            </w:r>
          </w:p>
          <w:p w14:paraId="28FE9E47" w14:textId="77777777" w:rsidR="000729CF" w:rsidRPr="000729CF" w:rsidRDefault="000729CF" w:rsidP="000729CF">
            <w:pPr>
              <w:autoSpaceDE w:val="0"/>
              <w:autoSpaceDN w:val="0"/>
              <w:adjustRightInd w:val="0"/>
              <w:jc w:val="center"/>
              <w:rPr>
                <w:rFonts w:ascii="Arial" w:eastAsia="Calibri" w:hAnsi="Arial" w:cs="Arial"/>
                <w:color w:val="FFFFFF"/>
                <w:sz w:val="24"/>
                <w:szCs w:val="24"/>
                <w:lang w:val="en-GB" w:eastAsia="en-GB"/>
              </w:rPr>
            </w:pPr>
            <w:r w:rsidRPr="000729CF">
              <w:rPr>
                <w:rFonts w:ascii="Arial" w:eastAsia="Calibri" w:hAnsi="Arial" w:cs="Arial"/>
                <w:b/>
                <w:bCs/>
                <w:color w:val="FFFFFF"/>
                <w:sz w:val="24"/>
                <w:szCs w:val="24"/>
                <w:lang w:val="en-GB" w:eastAsia="en-GB"/>
              </w:rPr>
              <w:t>Estimate</w:t>
            </w:r>
          </w:p>
        </w:tc>
      </w:tr>
      <w:tr w:rsidR="000729CF" w:rsidRPr="000729CF" w14:paraId="4209A6F7" w14:textId="77777777" w:rsidTr="00BC26AB">
        <w:trPr>
          <w:trHeight w:val="227"/>
        </w:trPr>
        <w:tc>
          <w:tcPr>
            <w:tcW w:w="5000" w:type="pct"/>
            <w:gridSpan w:val="4"/>
            <w:shd w:val="clear" w:color="auto" w:fill="1F3864"/>
          </w:tcPr>
          <w:p w14:paraId="7850779C" w14:textId="77777777" w:rsidR="000729CF" w:rsidRPr="000729CF" w:rsidRDefault="000729CF" w:rsidP="000729CF">
            <w:pPr>
              <w:autoSpaceDE w:val="0"/>
              <w:autoSpaceDN w:val="0"/>
              <w:adjustRightInd w:val="0"/>
              <w:rPr>
                <w:rFonts w:ascii="Arial" w:eastAsia="Calibri" w:hAnsi="Arial" w:cs="Arial"/>
                <w:b/>
                <w:color w:val="FFFFFF"/>
                <w:sz w:val="24"/>
                <w:szCs w:val="24"/>
                <w:highlight w:val="yellow"/>
                <w:lang w:val="en-GB" w:eastAsia="en-GB"/>
              </w:rPr>
            </w:pPr>
            <w:r w:rsidRPr="000729CF">
              <w:rPr>
                <w:rFonts w:ascii="Arial" w:eastAsia="Calibri" w:hAnsi="Arial" w:cs="Arial"/>
                <w:b/>
                <w:color w:val="FFFFFF"/>
                <w:sz w:val="24"/>
                <w:szCs w:val="24"/>
                <w:lang w:val="en-GB" w:eastAsia="en-GB"/>
              </w:rPr>
              <w:t xml:space="preserve">General Fund (GF) Prudential Indicators </w:t>
            </w:r>
          </w:p>
        </w:tc>
      </w:tr>
      <w:tr w:rsidR="000729CF" w:rsidRPr="000729CF" w14:paraId="592E9AE3" w14:textId="77777777" w:rsidTr="00BC26AB">
        <w:trPr>
          <w:trHeight w:val="227"/>
        </w:trPr>
        <w:tc>
          <w:tcPr>
            <w:tcW w:w="2659" w:type="pct"/>
          </w:tcPr>
          <w:p w14:paraId="07571EFC" w14:textId="77777777" w:rsidR="000729CF" w:rsidRPr="000729CF" w:rsidRDefault="000729CF" w:rsidP="000729CF">
            <w:pPr>
              <w:autoSpaceDE w:val="0"/>
              <w:autoSpaceDN w:val="0"/>
              <w:adjustRightInd w:val="0"/>
              <w:rPr>
                <w:rFonts w:ascii="Arial" w:eastAsia="Calibri" w:hAnsi="Arial" w:cs="Arial"/>
                <w:color w:val="000000"/>
                <w:sz w:val="24"/>
                <w:szCs w:val="24"/>
                <w:lang w:val="en-GB" w:eastAsia="en-GB"/>
              </w:rPr>
            </w:pPr>
            <w:r w:rsidRPr="000729CF">
              <w:rPr>
                <w:rFonts w:ascii="Arial" w:eastAsia="Calibri" w:hAnsi="Arial" w:cs="Arial"/>
                <w:b/>
                <w:bCs/>
                <w:color w:val="000000"/>
                <w:sz w:val="24"/>
                <w:szCs w:val="24"/>
                <w:lang w:val="en-GB" w:eastAsia="en-GB"/>
              </w:rPr>
              <w:t>GF Capital Expenditure £m (gross)</w:t>
            </w:r>
          </w:p>
          <w:p w14:paraId="344C6770" w14:textId="77777777" w:rsidR="000729CF" w:rsidRPr="000729CF" w:rsidRDefault="000729CF" w:rsidP="000729CF">
            <w:pPr>
              <w:autoSpaceDE w:val="0"/>
              <w:autoSpaceDN w:val="0"/>
              <w:adjustRightInd w:val="0"/>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 xml:space="preserve">General Fund capital expenditure plans </w:t>
            </w:r>
          </w:p>
        </w:tc>
        <w:tc>
          <w:tcPr>
            <w:tcW w:w="780" w:type="pct"/>
            <w:shd w:val="clear" w:color="auto" w:fill="auto"/>
            <w:vAlign w:val="bottom"/>
          </w:tcPr>
          <w:p w14:paraId="72290EDF" w14:textId="77777777" w:rsidR="000729CF" w:rsidRPr="000729CF" w:rsidRDefault="000729CF" w:rsidP="000729CF">
            <w:pPr>
              <w:autoSpaceDE w:val="0"/>
              <w:autoSpaceDN w:val="0"/>
              <w:adjustRightInd w:val="0"/>
              <w:jc w:val="right"/>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£122m</w:t>
            </w:r>
          </w:p>
        </w:tc>
        <w:tc>
          <w:tcPr>
            <w:tcW w:w="780" w:type="pct"/>
            <w:shd w:val="clear" w:color="auto" w:fill="auto"/>
            <w:vAlign w:val="bottom"/>
          </w:tcPr>
          <w:p w14:paraId="2C2C8363" w14:textId="77777777" w:rsidR="000729CF" w:rsidRPr="000729CF" w:rsidRDefault="000729CF" w:rsidP="000729CF">
            <w:pPr>
              <w:autoSpaceDE w:val="0"/>
              <w:autoSpaceDN w:val="0"/>
              <w:adjustRightInd w:val="0"/>
              <w:jc w:val="right"/>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£90m</w:t>
            </w:r>
          </w:p>
        </w:tc>
        <w:tc>
          <w:tcPr>
            <w:tcW w:w="781" w:type="pct"/>
            <w:shd w:val="clear" w:color="auto" w:fill="auto"/>
            <w:vAlign w:val="bottom"/>
          </w:tcPr>
          <w:p w14:paraId="42B948E7" w14:textId="77777777" w:rsidR="000729CF" w:rsidRPr="000729CF" w:rsidRDefault="000729CF" w:rsidP="000729CF">
            <w:pPr>
              <w:autoSpaceDE w:val="0"/>
              <w:autoSpaceDN w:val="0"/>
              <w:adjustRightInd w:val="0"/>
              <w:jc w:val="right"/>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£30m</w:t>
            </w:r>
          </w:p>
        </w:tc>
      </w:tr>
      <w:tr w:rsidR="000729CF" w:rsidRPr="000729CF" w14:paraId="1AB937E5" w14:textId="77777777" w:rsidTr="00BC26AB">
        <w:trPr>
          <w:trHeight w:val="492"/>
        </w:trPr>
        <w:tc>
          <w:tcPr>
            <w:tcW w:w="2659" w:type="pct"/>
          </w:tcPr>
          <w:p w14:paraId="6BF8CF8D" w14:textId="77777777" w:rsidR="000729CF" w:rsidRPr="000729CF" w:rsidRDefault="000729CF" w:rsidP="000729CF">
            <w:pPr>
              <w:autoSpaceDE w:val="0"/>
              <w:autoSpaceDN w:val="0"/>
              <w:adjustRightInd w:val="0"/>
              <w:rPr>
                <w:rFonts w:ascii="Arial" w:eastAsia="Calibri" w:hAnsi="Arial" w:cs="Arial"/>
                <w:color w:val="000000"/>
                <w:sz w:val="24"/>
                <w:szCs w:val="24"/>
                <w:lang w:val="en-GB" w:eastAsia="en-GB"/>
              </w:rPr>
            </w:pPr>
            <w:r w:rsidRPr="000729CF">
              <w:rPr>
                <w:rFonts w:ascii="Arial" w:eastAsia="Calibri" w:hAnsi="Arial" w:cs="Arial"/>
                <w:b/>
                <w:bCs/>
                <w:color w:val="000000"/>
                <w:sz w:val="24"/>
                <w:szCs w:val="24"/>
                <w:lang w:val="en-GB" w:eastAsia="en-GB"/>
              </w:rPr>
              <w:t>GF Capital Financing Requirement £m*</w:t>
            </w:r>
          </w:p>
          <w:p w14:paraId="433F534D" w14:textId="77777777" w:rsidR="000729CF" w:rsidRPr="000729CF" w:rsidRDefault="000729CF" w:rsidP="000729CF">
            <w:pPr>
              <w:autoSpaceDE w:val="0"/>
              <w:autoSpaceDN w:val="0"/>
              <w:adjustRightInd w:val="0"/>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 xml:space="preserve">Measures the underlying need to borrow for capital purposes (including PFI &amp; Leases) </w:t>
            </w:r>
          </w:p>
        </w:tc>
        <w:tc>
          <w:tcPr>
            <w:tcW w:w="780" w:type="pct"/>
            <w:shd w:val="clear" w:color="auto" w:fill="auto"/>
            <w:vAlign w:val="center"/>
          </w:tcPr>
          <w:p w14:paraId="6F6B8D35" w14:textId="77777777" w:rsidR="000729CF" w:rsidRPr="000729CF" w:rsidRDefault="000729CF" w:rsidP="000729CF">
            <w:pPr>
              <w:autoSpaceDE w:val="0"/>
              <w:autoSpaceDN w:val="0"/>
              <w:adjustRightInd w:val="0"/>
              <w:jc w:val="right"/>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£319m</w:t>
            </w:r>
          </w:p>
        </w:tc>
        <w:tc>
          <w:tcPr>
            <w:tcW w:w="780" w:type="pct"/>
            <w:shd w:val="clear" w:color="auto" w:fill="auto"/>
            <w:vAlign w:val="center"/>
          </w:tcPr>
          <w:p w14:paraId="0C151B19" w14:textId="77777777" w:rsidR="000729CF" w:rsidRPr="000729CF" w:rsidRDefault="000729CF" w:rsidP="000729CF">
            <w:pPr>
              <w:autoSpaceDE w:val="0"/>
              <w:autoSpaceDN w:val="0"/>
              <w:adjustRightInd w:val="0"/>
              <w:jc w:val="right"/>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£356m</w:t>
            </w:r>
          </w:p>
        </w:tc>
        <w:tc>
          <w:tcPr>
            <w:tcW w:w="781" w:type="pct"/>
            <w:shd w:val="clear" w:color="auto" w:fill="auto"/>
            <w:vAlign w:val="center"/>
          </w:tcPr>
          <w:p w14:paraId="20BD56D7" w14:textId="77777777" w:rsidR="000729CF" w:rsidRPr="000729CF" w:rsidRDefault="000729CF" w:rsidP="000729CF">
            <w:pPr>
              <w:autoSpaceDE w:val="0"/>
              <w:autoSpaceDN w:val="0"/>
              <w:adjustRightInd w:val="0"/>
              <w:jc w:val="right"/>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£347m</w:t>
            </w:r>
          </w:p>
        </w:tc>
      </w:tr>
      <w:tr w:rsidR="000729CF" w:rsidRPr="000729CF" w14:paraId="6495854C" w14:textId="77777777" w:rsidTr="00BC26AB">
        <w:trPr>
          <w:trHeight w:val="1429"/>
        </w:trPr>
        <w:tc>
          <w:tcPr>
            <w:tcW w:w="2659" w:type="pct"/>
          </w:tcPr>
          <w:p w14:paraId="4EA21219" w14:textId="77777777" w:rsidR="000729CF" w:rsidRPr="000729CF" w:rsidRDefault="000729CF" w:rsidP="000729CF">
            <w:pPr>
              <w:autoSpaceDE w:val="0"/>
              <w:autoSpaceDN w:val="0"/>
              <w:adjustRightInd w:val="0"/>
              <w:rPr>
                <w:rFonts w:ascii="Arial" w:eastAsia="Calibri" w:hAnsi="Arial" w:cs="Arial"/>
                <w:color w:val="000000"/>
                <w:sz w:val="24"/>
                <w:szCs w:val="24"/>
                <w:lang w:val="en-GB" w:eastAsia="en-GB"/>
              </w:rPr>
            </w:pPr>
            <w:r w:rsidRPr="000729CF">
              <w:rPr>
                <w:rFonts w:ascii="Arial" w:eastAsia="Calibri" w:hAnsi="Arial" w:cs="Arial"/>
                <w:b/>
                <w:bCs/>
                <w:color w:val="000000"/>
                <w:sz w:val="24"/>
                <w:szCs w:val="24"/>
                <w:lang w:val="en-GB" w:eastAsia="en-GB"/>
              </w:rPr>
              <w:t xml:space="preserve">GF Ratio of financing costs to net revenue stream** </w:t>
            </w:r>
          </w:p>
          <w:p w14:paraId="3A9D34FB" w14:textId="77777777" w:rsidR="000729CF" w:rsidRPr="000729CF" w:rsidRDefault="000729CF" w:rsidP="000729CF">
            <w:pPr>
              <w:autoSpaceDE w:val="0"/>
              <w:autoSpaceDN w:val="0"/>
              <w:adjustRightInd w:val="0"/>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 xml:space="preserve">Identifies the trend in the cost of capital (borrowing and other long term obligation costs net of investment income) against net revenue stream </w:t>
            </w:r>
          </w:p>
        </w:tc>
        <w:tc>
          <w:tcPr>
            <w:tcW w:w="780" w:type="pct"/>
            <w:shd w:val="clear" w:color="auto" w:fill="auto"/>
            <w:vAlign w:val="bottom"/>
          </w:tcPr>
          <w:p w14:paraId="3C064A3D" w14:textId="77777777" w:rsidR="000729CF" w:rsidRPr="000729CF" w:rsidRDefault="000729CF" w:rsidP="000729CF">
            <w:pPr>
              <w:spacing w:after="200" w:line="276" w:lineRule="auto"/>
              <w:jc w:val="right"/>
              <w:rPr>
                <w:rFonts w:ascii="Arial" w:eastAsia="Calibri" w:hAnsi="Arial" w:cs="Arial"/>
                <w:sz w:val="24"/>
                <w:szCs w:val="24"/>
                <w:lang w:val="en-GB"/>
              </w:rPr>
            </w:pPr>
            <w:r w:rsidRPr="000729CF">
              <w:rPr>
                <w:rFonts w:ascii="Arial" w:eastAsia="Calibri" w:hAnsi="Arial" w:cs="Arial"/>
                <w:sz w:val="24"/>
                <w:szCs w:val="24"/>
                <w:lang w:val="en-GB"/>
              </w:rPr>
              <w:t>7.03%</w:t>
            </w:r>
          </w:p>
        </w:tc>
        <w:tc>
          <w:tcPr>
            <w:tcW w:w="780" w:type="pct"/>
            <w:shd w:val="clear" w:color="auto" w:fill="auto"/>
            <w:vAlign w:val="bottom"/>
          </w:tcPr>
          <w:p w14:paraId="585AE3D2" w14:textId="77777777" w:rsidR="000729CF" w:rsidRPr="000729CF" w:rsidRDefault="000729CF" w:rsidP="000729CF">
            <w:pPr>
              <w:spacing w:after="200" w:line="276" w:lineRule="auto"/>
              <w:jc w:val="right"/>
              <w:rPr>
                <w:rFonts w:ascii="Arial" w:eastAsia="Calibri" w:hAnsi="Arial" w:cs="Arial"/>
                <w:sz w:val="24"/>
                <w:szCs w:val="24"/>
                <w:lang w:val="en-GB"/>
              </w:rPr>
            </w:pPr>
            <w:r w:rsidRPr="000729CF">
              <w:rPr>
                <w:rFonts w:ascii="Arial" w:eastAsia="Calibri" w:hAnsi="Arial" w:cs="Arial"/>
                <w:sz w:val="24"/>
                <w:szCs w:val="24"/>
                <w:lang w:val="en-GB"/>
              </w:rPr>
              <w:t>7.76%</w:t>
            </w:r>
          </w:p>
        </w:tc>
        <w:tc>
          <w:tcPr>
            <w:tcW w:w="781" w:type="pct"/>
            <w:shd w:val="clear" w:color="auto" w:fill="auto"/>
            <w:vAlign w:val="bottom"/>
          </w:tcPr>
          <w:p w14:paraId="31E2CB14" w14:textId="77777777" w:rsidR="000729CF" w:rsidRPr="000729CF" w:rsidRDefault="000729CF" w:rsidP="000729CF">
            <w:pPr>
              <w:spacing w:after="200" w:line="276" w:lineRule="auto"/>
              <w:jc w:val="right"/>
              <w:rPr>
                <w:rFonts w:ascii="Arial" w:eastAsia="Calibri" w:hAnsi="Arial" w:cs="Arial"/>
                <w:sz w:val="24"/>
                <w:szCs w:val="24"/>
                <w:lang w:val="en-GB"/>
              </w:rPr>
            </w:pPr>
            <w:r w:rsidRPr="000729CF">
              <w:rPr>
                <w:rFonts w:ascii="Arial" w:eastAsia="Calibri" w:hAnsi="Arial" w:cs="Arial"/>
                <w:sz w:val="24"/>
                <w:szCs w:val="24"/>
                <w:lang w:val="en-GB"/>
              </w:rPr>
              <w:t>8.36%</w:t>
            </w:r>
          </w:p>
        </w:tc>
      </w:tr>
      <w:tr w:rsidR="000729CF" w:rsidRPr="000729CF" w14:paraId="24B01685" w14:textId="77777777" w:rsidTr="00BC26AB">
        <w:trPr>
          <w:trHeight w:val="491"/>
        </w:trPr>
        <w:tc>
          <w:tcPr>
            <w:tcW w:w="5000" w:type="pct"/>
            <w:gridSpan w:val="4"/>
            <w:shd w:val="clear" w:color="auto" w:fill="1F3864"/>
          </w:tcPr>
          <w:p w14:paraId="572795F1" w14:textId="77777777" w:rsidR="000729CF" w:rsidRPr="000729CF" w:rsidRDefault="000729CF" w:rsidP="000729CF">
            <w:pPr>
              <w:contextualSpacing/>
              <w:rPr>
                <w:rFonts w:ascii="Arial" w:eastAsia="Calibri" w:hAnsi="Arial" w:cs="Arial"/>
                <w:b/>
                <w:color w:val="FFFFFF"/>
                <w:sz w:val="24"/>
                <w:szCs w:val="24"/>
                <w:lang w:val="en-GB"/>
              </w:rPr>
            </w:pPr>
            <w:r w:rsidRPr="000729CF">
              <w:rPr>
                <w:rFonts w:ascii="Arial" w:eastAsia="Calibri" w:hAnsi="Arial" w:cs="Arial"/>
                <w:b/>
                <w:color w:val="FFFFFF"/>
                <w:sz w:val="24"/>
                <w:szCs w:val="24"/>
                <w:lang w:val="en-GB"/>
              </w:rPr>
              <w:t>Housing Revenue Account (HRA) Prudential Indicators</w:t>
            </w:r>
          </w:p>
        </w:tc>
      </w:tr>
      <w:tr w:rsidR="000729CF" w:rsidRPr="000729CF" w14:paraId="2BC3E627" w14:textId="77777777" w:rsidTr="00BC26AB">
        <w:trPr>
          <w:trHeight w:val="491"/>
        </w:trPr>
        <w:tc>
          <w:tcPr>
            <w:tcW w:w="2659" w:type="pct"/>
          </w:tcPr>
          <w:p w14:paraId="125CA93C" w14:textId="77777777" w:rsidR="000729CF" w:rsidRPr="000729CF" w:rsidRDefault="000729CF" w:rsidP="000729CF">
            <w:pPr>
              <w:autoSpaceDE w:val="0"/>
              <w:autoSpaceDN w:val="0"/>
              <w:adjustRightInd w:val="0"/>
              <w:rPr>
                <w:rFonts w:ascii="Arial" w:eastAsia="Calibri" w:hAnsi="Arial" w:cs="Arial"/>
                <w:color w:val="000000"/>
                <w:sz w:val="24"/>
                <w:szCs w:val="24"/>
                <w:lang w:val="en-GB" w:eastAsia="en-GB"/>
              </w:rPr>
            </w:pPr>
            <w:r w:rsidRPr="000729CF">
              <w:rPr>
                <w:rFonts w:ascii="Arial" w:eastAsia="Calibri" w:hAnsi="Arial" w:cs="Arial"/>
                <w:b/>
                <w:bCs/>
                <w:color w:val="000000"/>
                <w:sz w:val="24"/>
                <w:szCs w:val="24"/>
                <w:lang w:val="en-GB" w:eastAsia="en-GB"/>
              </w:rPr>
              <w:t>HRA Capital Expenditure £m (gross)</w:t>
            </w:r>
          </w:p>
          <w:p w14:paraId="07D53020" w14:textId="77777777" w:rsidR="000729CF" w:rsidRPr="000729CF" w:rsidRDefault="000729CF" w:rsidP="000729CF">
            <w:pPr>
              <w:autoSpaceDE w:val="0"/>
              <w:autoSpaceDN w:val="0"/>
              <w:adjustRightInd w:val="0"/>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 xml:space="preserve">HRA capital expenditure plans </w:t>
            </w:r>
          </w:p>
        </w:tc>
        <w:tc>
          <w:tcPr>
            <w:tcW w:w="780" w:type="pct"/>
            <w:shd w:val="clear" w:color="auto" w:fill="auto"/>
            <w:vAlign w:val="bottom"/>
          </w:tcPr>
          <w:p w14:paraId="18A4007D" w14:textId="77777777" w:rsidR="000729CF" w:rsidRPr="000729CF" w:rsidRDefault="000729CF" w:rsidP="000729CF">
            <w:pPr>
              <w:autoSpaceDE w:val="0"/>
              <w:autoSpaceDN w:val="0"/>
              <w:adjustRightInd w:val="0"/>
              <w:jc w:val="right"/>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£89m</w:t>
            </w:r>
          </w:p>
        </w:tc>
        <w:tc>
          <w:tcPr>
            <w:tcW w:w="780" w:type="pct"/>
            <w:shd w:val="clear" w:color="auto" w:fill="auto"/>
            <w:vAlign w:val="bottom"/>
          </w:tcPr>
          <w:p w14:paraId="66B36C1D" w14:textId="77777777" w:rsidR="000729CF" w:rsidRPr="000729CF" w:rsidRDefault="000729CF" w:rsidP="000729CF">
            <w:pPr>
              <w:autoSpaceDE w:val="0"/>
              <w:autoSpaceDN w:val="0"/>
              <w:adjustRightInd w:val="0"/>
              <w:jc w:val="right"/>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£71m</w:t>
            </w:r>
          </w:p>
        </w:tc>
        <w:tc>
          <w:tcPr>
            <w:tcW w:w="781" w:type="pct"/>
            <w:shd w:val="clear" w:color="auto" w:fill="auto"/>
            <w:vAlign w:val="bottom"/>
          </w:tcPr>
          <w:p w14:paraId="0C4770ED" w14:textId="77777777" w:rsidR="000729CF" w:rsidRPr="000729CF" w:rsidRDefault="000729CF" w:rsidP="000729CF">
            <w:pPr>
              <w:autoSpaceDE w:val="0"/>
              <w:autoSpaceDN w:val="0"/>
              <w:adjustRightInd w:val="0"/>
              <w:jc w:val="right"/>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£60m</w:t>
            </w:r>
          </w:p>
        </w:tc>
      </w:tr>
      <w:tr w:rsidR="000729CF" w:rsidRPr="000729CF" w14:paraId="6EF0D2AA" w14:textId="77777777" w:rsidTr="00BC26AB">
        <w:trPr>
          <w:trHeight w:val="491"/>
        </w:trPr>
        <w:tc>
          <w:tcPr>
            <w:tcW w:w="2659" w:type="pct"/>
          </w:tcPr>
          <w:p w14:paraId="15612689" w14:textId="77777777" w:rsidR="000729CF" w:rsidRPr="000729CF" w:rsidRDefault="000729CF" w:rsidP="000729CF">
            <w:pPr>
              <w:autoSpaceDE w:val="0"/>
              <w:autoSpaceDN w:val="0"/>
              <w:adjustRightInd w:val="0"/>
              <w:rPr>
                <w:rFonts w:ascii="Arial" w:eastAsia="Calibri" w:hAnsi="Arial" w:cs="Arial"/>
                <w:color w:val="000000"/>
                <w:sz w:val="24"/>
                <w:szCs w:val="24"/>
                <w:lang w:val="en-GB" w:eastAsia="en-GB"/>
              </w:rPr>
            </w:pPr>
            <w:r w:rsidRPr="000729CF">
              <w:rPr>
                <w:rFonts w:ascii="Arial" w:eastAsia="Calibri" w:hAnsi="Arial" w:cs="Arial"/>
                <w:b/>
                <w:bCs/>
                <w:color w:val="000000"/>
                <w:sz w:val="24"/>
                <w:szCs w:val="24"/>
                <w:lang w:val="en-GB" w:eastAsia="en-GB"/>
              </w:rPr>
              <w:t>HRA Capital Financing Requirement £m*</w:t>
            </w:r>
          </w:p>
          <w:p w14:paraId="4B100A5E" w14:textId="77777777" w:rsidR="000729CF" w:rsidRPr="000729CF" w:rsidRDefault="000729CF" w:rsidP="000729CF">
            <w:pPr>
              <w:autoSpaceDE w:val="0"/>
              <w:autoSpaceDN w:val="0"/>
              <w:adjustRightInd w:val="0"/>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Measures the underlying need to borrow for capital purposes</w:t>
            </w:r>
          </w:p>
        </w:tc>
        <w:tc>
          <w:tcPr>
            <w:tcW w:w="780" w:type="pct"/>
            <w:shd w:val="clear" w:color="auto" w:fill="auto"/>
            <w:vAlign w:val="center"/>
          </w:tcPr>
          <w:p w14:paraId="416AA59E" w14:textId="77777777" w:rsidR="000729CF" w:rsidRPr="000729CF" w:rsidRDefault="000729CF" w:rsidP="000729CF">
            <w:pPr>
              <w:autoSpaceDE w:val="0"/>
              <w:autoSpaceDN w:val="0"/>
              <w:adjustRightInd w:val="0"/>
              <w:jc w:val="right"/>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£301m</w:t>
            </w:r>
          </w:p>
        </w:tc>
        <w:tc>
          <w:tcPr>
            <w:tcW w:w="780" w:type="pct"/>
            <w:shd w:val="clear" w:color="auto" w:fill="auto"/>
            <w:vAlign w:val="center"/>
          </w:tcPr>
          <w:p w14:paraId="336086B3" w14:textId="77777777" w:rsidR="000729CF" w:rsidRPr="000729CF" w:rsidRDefault="000729CF" w:rsidP="000729CF">
            <w:pPr>
              <w:autoSpaceDE w:val="0"/>
              <w:autoSpaceDN w:val="0"/>
              <w:adjustRightInd w:val="0"/>
              <w:jc w:val="right"/>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£351m</w:t>
            </w:r>
          </w:p>
        </w:tc>
        <w:tc>
          <w:tcPr>
            <w:tcW w:w="781" w:type="pct"/>
            <w:shd w:val="clear" w:color="auto" w:fill="auto"/>
            <w:vAlign w:val="center"/>
          </w:tcPr>
          <w:p w14:paraId="191C54E0" w14:textId="77777777" w:rsidR="000729CF" w:rsidRPr="000729CF" w:rsidRDefault="000729CF" w:rsidP="000729CF">
            <w:pPr>
              <w:autoSpaceDE w:val="0"/>
              <w:autoSpaceDN w:val="0"/>
              <w:adjustRightInd w:val="0"/>
              <w:jc w:val="right"/>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£391m</w:t>
            </w:r>
          </w:p>
        </w:tc>
      </w:tr>
      <w:tr w:rsidR="000729CF" w:rsidRPr="000729CF" w14:paraId="3808F123" w14:textId="77777777" w:rsidTr="00BC26AB">
        <w:trPr>
          <w:trHeight w:val="491"/>
        </w:trPr>
        <w:tc>
          <w:tcPr>
            <w:tcW w:w="2659" w:type="pct"/>
          </w:tcPr>
          <w:p w14:paraId="27CEB3ED" w14:textId="77777777" w:rsidR="000729CF" w:rsidRPr="000729CF" w:rsidRDefault="000729CF" w:rsidP="000729CF">
            <w:pPr>
              <w:autoSpaceDE w:val="0"/>
              <w:autoSpaceDN w:val="0"/>
              <w:adjustRightInd w:val="0"/>
              <w:rPr>
                <w:rFonts w:ascii="Arial" w:eastAsia="Calibri" w:hAnsi="Arial" w:cs="Arial"/>
                <w:color w:val="000000"/>
                <w:sz w:val="24"/>
                <w:szCs w:val="24"/>
                <w:lang w:val="en-GB" w:eastAsia="en-GB"/>
              </w:rPr>
            </w:pPr>
            <w:r w:rsidRPr="000729CF">
              <w:rPr>
                <w:rFonts w:ascii="Arial" w:eastAsia="Calibri" w:hAnsi="Arial" w:cs="Arial"/>
                <w:b/>
                <w:bCs/>
                <w:color w:val="000000"/>
                <w:sz w:val="24"/>
                <w:szCs w:val="24"/>
                <w:lang w:val="en-GB" w:eastAsia="en-GB"/>
              </w:rPr>
              <w:t xml:space="preserve">HRA Ratio of financing costs to net revenue stream** </w:t>
            </w:r>
          </w:p>
          <w:p w14:paraId="3FD961CA" w14:textId="77777777" w:rsidR="000729CF" w:rsidRPr="000729CF" w:rsidRDefault="000729CF" w:rsidP="000729CF">
            <w:pPr>
              <w:autoSpaceDE w:val="0"/>
              <w:autoSpaceDN w:val="0"/>
              <w:adjustRightInd w:val="0"/>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 xml:space="preserve">Identifies the trend in the cost of capital (borrowing and other long term obligation costs net of investment income) against net revenue stream </w:t>
            </w:r>
          </w:p>
        </w:tc>
        <w:tc>
          <w:tcPr>
            <w:tcW w:w="780" w:type="pct"/>
            <w:shd w:val="clear" w:color="auto" w:fill="auto"/>
            <w:vAlign w:val="bottom"/>
          </w:tcPr>
          <w:p w14:paraId="1189624B" w14:textId="77777777" w:rsidR="000729CF" w:rsidRPr="000729CF" w:rsidRDefault="000729CF" w:rsidP="000729CF">
            <w:pPr>
              <w:spacing w:after="200" w:line="276" w:lineRule="auto"/>
              <w:jc w:val="right"/>
              <w:rPr>
                <w:rFonts w:ascii="Arial" w:eastAsia="Calibri" w:hAnsi="Arial" w:cs="Arial"/>
                <w:sz w:val="24"/>
                <w:szCs w:val="24"/>
                <w:lang w:val="en-GB"/>
              </w:rPr>
            </w:pPr>
            <w:r w:rsidRPr="000729CF">
              <w:rPr>
                <w:rFonts w:ascii="Arial" w:eastAsia="Calibri" w:hAnsi="Arial" w:cs="Arial"/>
                <w:sz w:val="24"/>
                <w:szCs w:val="24"/>
                <w:lang w:val="en-GB"/>
              </w:rPr>
              <w:t>12.08%</w:t>
            </w:r>
          </w:p>
        </w:tc>
        <w:tc>
          <w:tcPr>
            <w:tcW w:w="780" w:type="pct"/>
            <w:shd w:val="clear" w:color="auto" w:fill="auto"/>
            <w:vAlign w:val="bottom"/>
          </w:tcPr>
          <w:p w14:paraId="5E8C9DE7" w14:textId="77777777" w:rsidR="000729CF" w:rsidRPr="000729CF" w:rsidRDefault="000729CF" w:rsidP="000729CF">
            <w:pPr>
              <w:spacing w:after="200" w:line="276" w:lineRule="auto"/>
              <w:jc w:val="right"/>
              <w:rPr>
                <w:rFonts w:ascii="Arial" w:eastAsia="Calibri" w:hAnsi="Arial" w:cs="Arial"/>
                <w:sz w:val="24"/>
                <w:szCs w:val="24"/>
                <w:lang w:val="en-GB"/>
              </w:rPr>
            </w:pPr>
            <w:r w:rsidRPr="000729CF">
              <w:rPr>
                <w:rFonts w:ascii="Arial" w:eastAsia="Calibri" w:hAnsi="Arial" w:cs="Arial"/>
                <w:sz w:val="24"/>
                <w:szCs w:val="24"/>
                <w:lang w:val="en-GB"/>
              </w:rPr>
              <w:t>14.67%</w:t>
            </w:r>
          </w:p>
        </w:tc>
        <w:tc>
          <w:tcPr>
            <w:tcW w:w="781" w:type="pct"/>
            <w:shd w:val="clear" w:color="auto" w:fill="auto"/>
            <w:vAlign w:val="bottom"/>
          </w:tcPr>
          <w:p w14:paraId="53928BC5" w14:textId="77777777" w:rsidR="000729CF" w:rsidRPr="000729CF" w:rsidRDefault="000729CF" w:rsidP="000729CF">
            <w:pPr>
              <w:spacing w:after="200" w:line="276" w:lineRule="auto"/>
              <w:jc w:val="right"/>
              <w:rPr>
                <w:rFonts w:ascii="Arial" w:eastAsia="Calibri" w:hAnsi="Arial" w:cs="Arial"/>
                <w:sz w:val="24"/>
                <w:szCs w:val="24"/>
                <w:lang w:val="en-GB"/>
              </w:rPr>
            </w:pPr>
            <w:r w:rsidRPr="000729CF">
              <w:rPr>
                <w:rFonts w:ascii="Arial" w:eastAsia="Calibri" w:hAnsi="Arial" w:cs="Arial"/>
                <w:sz w:val="24"/>
                <w:szCs w:val="24"/>
                <w:lang w:val="en-GB"/>
              </w:rPr>
              <w:t>16.22%</w:t>
            </w:r>
          </w:p>
        </w:tc>
      </w:tr>
    </w:tbl>
    <w:p w14:paraId="4A17AD1F" w14:textId="77777777" w:rsidR="000729CF" w:rsidRPr="000729CF" w:rsidRDefault="000729CF" w:rsidP="000729CF">
      <w:pPr>
        <w:autoSpaceDE w:val="0"/>
        <w:autoSpaceDN w:val="0"/>
        <w:adjustRightInd w:val="0"/>
        <w:spacing w:before="120"/>
        <w:ind w:left="284" w:hanging="284"/>
        <w:jc w:val="both"/>
        <w:rPr>
          <w:rFonts w:ascii="Arial" w:eastAsia="Calibri" w:hAnsi="Arial" w:cs="Arial"/>
          <w:i/>
          <w:color w:val="000000"/>
          <w:szCs w:val="22"/>
          <w:lang w:val="en-GB" w:eastAsia="en-GB"/>
        </w:rPr>
      </w:pPr>
      <w:r w:rsidRPr="000729CF">
        <w:rPr>
          <w:rFonts w:ascii="Arial" w:eastAsia="Calibri" w:hAnsi="Arial" w:cs="Arial"/>
          <w:i/>
          <w:color w:val="000000"/>
          <w:szCs w:val="22"/>
          <w:lang w:val="en-GB" w:eastAsia="en-GB"/>
        </w:rPr>
        <w:t>*</w:t>
      </w:r>
      <w:r w:rsidRPr="000729CF">
        <w:rPr>
          <w:rFonts w:ascii="Arial" w:eastAsia="Calibri" w:hAnsi="Arial" w:cs="Arial"/>
          <w:i/>
          <w:color w:val="000000"/>
          <w:szCs w:val="22"/>
          <w:lang w:val="en-GB" w:eastAsia="en-GB"/>
        </w:rPr>
        <w:tab/>
        <w:t xml:space="preserve">From 2024/25, the CFR includes an estimate for leases that will be bought onto the balance sheet under a change in leasing accounting regulations. </w:t>
      </w:r>
    </w:p>
    <w:p w14:paraId="09595D33" w14:textId="77777777" w:rsidR="000729CF" w:rsidRPr="000729CF" w:rsidRDefault="000729CF" w:rsidP="000729CF">
      <w:pPr>
        <w:autoSpaceDE w:val="0"/>
        <w:autoSpaceDN w:val="0"/>
        <w:adjustRightInd w:val="0"/>
        <w:spacing w:before="120"/>
        <w:ind w:left="284" w:hanging="284"/>
        <w:rPr>
          <w:rFonts w:ascii="Arial" w:eastAsia="Calibri" w:hAnsi="Arial" w:cs="Arial"/>
          <w:i/>
          <w:color w:val="000000"/>
          <w:szCs w:val="22"/>
          <w:lang w:val="en-GB" w:eastAsia="en-GB"/>
        </w:rPr>
      </w:pPr>
      <w:r w:rsidRPr="000729CF">
        <w:rPr>
          <w:rFonts w:ascii="Arial" w:eastAsia="Calibri" w:hAnsi="Arial" w:cs="Arial"/>
          <w:i/>
          <w:color w:val="000000"/>
          <w:szCs w:val="22"/>
          <w:lang w:val="en-GB" w:eastAsia="en-GB"/>
        </w:rPr>
        <w:t>**</w:t>
      </w:r>
      <w:r w:rsidRPr="000729CF">
        <w:rPr>
          <w:rFonts w:ascii="Arial" w:eastAsia="Calibri" w:hAnsi="Arial" w:cs="Arial"/>
          <w:i/>
          <w:color w:val="000000"/>
          <w:szCs w:val="22"/>
          <w:lang w:val="en-GB" w:eastAsia="en-GB"/>
        </w:rPr>
        <w:tab/>
        <w:t xml:space="preserve">The ratio of financing costs to net revenue stream illustrates the percentage of the Council’s net revenue budget being used to finance the council’s borrowing. This includes interest costs relating to the council’s borrowing portfolio and MRP. Previously this was shown net of the investment income from the council’s investment portfolio, but this has been removed following changes to the Treasury Management Code. </w:t>
      </w:r>
    </w:p>
    <w:p w14:paraId="44592653" w14:textId="77777777" w:rsidR="000729CF" w:rsidRPr="000729CF" w:rsidRDefault="000729CF" w:rsidP="000729CF">
      <w:pPr>
        <w:autoSpaceDE w:val="0"/>
        <w:autoSpaceDN w:val="0"/>
        <w:adjustRightInd w:val="0"/>
        <w:rPr>
          <w:rFonts w:ascii="Arial" w:eastAsia="Calibri" w:hAnsi="Arial" w:cs="Arial"/>
          <w:color w:val="000000"/>
          <w:sz w:val="24"/>
          <w:szCs w:val="24"/>
          <w:lang w:val="en-GB" w:eastAsia="en-GB"/>
        </w:rPr>
      </w:pPr>
    </w:p>
    <w:p w14:paraId="2B200BDB" w14:textId="77777777" w:rsidR="000729CF" w:rsidRPr="000729CF" w:rsidRDefault="000729CF" w:rsidP="000729CF">
      <w:pPr>
        <w:autoSpaceDE w:val="0"/>
        <w:autoSpaceDN w:val="0"/>
        <w:adjustRightInd w:val="0"/>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 xml:space="preserve">The Treasury Management Code requires that Local Authorities set a number of indicators for treasury performance in addition to the Prudential Indicators which fall under the Prudential Code. The Treasury Indicators for 2024/25 to 2026/27 are set out in </w:t>
      </w:r>
      <w:r w:rsidRPr="000729CF">
        <w:rPr>
          <w:rFonts w:ascii="Arial" w:eastAsia="Calibri" w:hAnsi="Arial" w:cs="Arial"/>
          <w:b/>
          <w:color w:val="000000"/>
          <w:sz w:val="24"/>
          <w:szCs w:val="24"/>
          <w:lang w:val="en-GB" w:eastAsia="en-GB"/>
        </w:rPr>
        <w:t>Tables B &amp; C</w:t>
      </w:r>
      <w:r w:rsidRPr="000729CF">
        <w:rPr>
          <w:rFonts w:ascii="Arial" w:eastAsia="Calibri" w:hAnsi="Arial" w:cs="Arial"/>
          <w:color w:val="000000"/>
          <w:sz w:val="24"/>
          <w:szCs w:val="24"/>
          <w:lang w:val="en-GB" w:eastAsia="en-GB"/>
        </w:rPr>
        <w:t xml:space="preserve"> below. These have been calculated and determined by Officers in compliance with the Treasury Management Code of Practice:</w:t>
      </w:r>
    </w:p>
    <w:p w14:paraId="077391E6" w14:textId="77777777" w:rsidR="000729CF" w:rsidRPr="000729CF" w:rsidRDefault="000729CF" w:rsidP="000729CF">
      <w:pPr>
        <w:autoSpaceDE w:val="0"/>
        <w:autoSpaceDN w:val="0"/>
        <w:adjustRightInd w:val="0"/>
        <w:rPr>
          <w:rFonts w:ascii="Arial" w:eastAsia="Calibri" w:hAnsi="Arial" w:cs="Arial"/>
          <w:color w:val="000000"/>
          <w:sz w:val="24"/>
          <w:szCs w:val="24"/>
          <w:highlight w:val="yellow"/>
          <w:lang w:val="en-GB" w:eastAsia="en-GB"/>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75"/>
        <w:gridCol w:w="1385"/>
        <w:gridCol w:w="1385"/>
        <w:gridCol w:w="1383"/>
      </w:tblGrid>
      <w:tr w:rsidR="000729CF" w:rsidRPr="000729CF" w14:paraId="7C114933" w14:textId="77777777" w:rsidTr="00BC26AB">
        <w:trPr>
          <w:trHeight w:val="622"/>
        </w:trPr>
        <w:tc>
          <w:tcPr>
            <w:tcW w:w="2843" w:type="pct"/>
            <w:shd w:val="clear" w:color="auto" w:fill="17365D"/>
          </w:tcPr>
          <w:p w14:paraId="77B0E703" w14:textId="77777777" w:rsidR="000729CF" w:rsidRPr="000729CF" w:rsidRDefault="000729CF" w:rsidP="000729CF">
            <w:pPr>
              <w:autoSpaceDE w:val="0"/>
              <w:autoSpaceDN w:val="0"/>
              <w:adjustRightInd w:val="0"/>
              <w:rPr>
                <w:rFonts w:ascii="Arial" w:eastAsia="Calibri" w:hAnsi="Arial" w:cs="Arial"/>
                <w:b/>
                <w:color w:val="FFFFFF"/>
                <w:sz w:val="24"/>
                <w:szCs w:val="24"/>
                <w:lang w:val="en-GB" w:eastAsia="en-GB"/>
              </w:rPr>
            </w:pPr>
            <w:r w:rsidRPr="000729CF">
              <w:rPr>
                <w:rFonts w:ascii="Arial" w:eastAsia="Calibri" w:hAnsi="Arial" w:cs="Arial"/>
                <w:b/>
                <w:color w:val="FFFFFF"/>
                <w:sz w:val="24"/>
                <w:szCs w:val="24"/>
                <w:lang w:val="en-GB" w:eastAsia="en-GB"/>
              </w:rPr>
              <w:t>Table B – Prudential Indicators</w:t>
            </w:r>
          </w:p>
          <w:p w14:paraId="589B62B6" w14:textId="77777777" w:rsidR="000729CF" w:rsidRPr="000729CF" w:rsidRDefault="000729CF" w:rsidP="000729CF">
            <w:pPr>
              <w:autoSpaceDE w:val="0"/>
              <w:autoSpaceDN w:val="0"/>
              <w:adjustRightInd w:val="0"/>
              <w:rPr>
                <w:rFonts w:ascii="Arial" w:eastAsia="Calibri" w:hAnsi="Arial" w:cs="Arial"/>
                <w:b/>
                <w:bCs/>
                <w:color w:val="FFFFFF"/>
                <w:sz w:val="24"/>
                <w:szCs w:val="24"/>
                <w:lang w:val="en-GB" w:eastAsia="en-GB"/>
              </w:rPr>
            </w:pPr>
          </w:p>
        </w:tc>
        <w:tc>
          <w:tcPr>
            <w:tcW w:w="719" w:type="pct"/>
            <w:shd w:val="clear" w:color="auto" w:fill="17365D"/>
          </w:tcPr>
          <w:p w14:paraId="5C26CD70" w14:textId="77777777" w:rsidR="000729CF" w:rsidRPr="000729CF" w:rsidRDefault="000729CF" w:rsidP="000729CF">
            <w:pPr>
              <w:autoSpaceDE w:val="0"/>
              <w:autoSpaceDN w:val="0"/>
              <w:adjustRightInd w:val="0"/>
              <w:jc w:val="center"/>
              <w:rPr>
                <w:rFonts w:ascii="Arial" w:eastAsia="Calibri" w:hAnsi="Arial" w:cs="Arial"/>
                <w:color w:val="FFFFFF"/>
                <w:sz w:val="24"/>
                <w:szCs w:val="24"/>
                <w:lang w:val="en-GB" w:eastAsia="en-GB"/>
              </w:rPr>
            </w:pPr>
            <w:r w:rsidRPr="000729CF">
              <w:rPr>
                <w:rFonts w:ascii="Arial" w:eastAsia="Calibri" w:hAnsi="Arial" w:cs="Arial"/>
                <w:b/>
                <w:bCs/>
                <w:color w:val="FFFFFF"/>
                <w:sz w:val="24"/>
                <w:szCs w:val="24"/>
                <w:lang w:val="en-GB" w:eastAsia="en-GB"/>
              </w:rPr>
              <w:t>2024/25</w:t>
            </w:r>
          </w:p>
          <w:p w14:paraId="57A41C0D" w14:textId="77777777" w:rsidR="000729CF" w:rsidRPr="000729CF" w:rsidRDefault="000729CF" w:rsidP="000729CF">
            <w:pPr>
              <w:autoSpaceDE w:val="0"/>
              <w:autoSpaceDN w:val="0"/>
              <w:adjustRightInd w:val="0"/>
              <w:jc w:val="center"/>
              <w:rPr>
                <w:rFonts w:ascii="Arial" w:eastAsia="Calibri" w:hAnsi="Arial" w:cs="Arial"/>
                <w:b/>
                <w:bCs/>
                <w:color w:val="FFFFFF"/>
                <w:sz w:val="24"/>
                <w:szCs w:val="24"/>
                <w:lang w:val="en-GB" w:eastAsia="en-GB"/>
              </w:rPr>
            </w:pPr>
            <w:r w:rsidRPr="000729CF">
              <w:rPr>
                <w:rFonts w:ascii="Arial" w:eastAsia="Calibri" w:hAnsi="Arial" w:cs="Arial"/>
                <w:b/>
                <w:bCs/>
                <w:color w:val="FFFFFF"/>
                <w:sz w:val="24"/>
                <w:szCs w:val="24"/>
                <w:lang w:val="en-GB" w:eastAsia="en-GB"/>
              </w:rPr>
              <w:t>Estimate</w:t>
            </w:r>
          </w:p>
        </w:tc>
        <w:tc>
          <w:tcPr>
            <w:tcW w:w="719" w:type="pct"/>
            <w:shd w:val="clear" w:color="auto" w:fill="17365D"/>
          </w:tcPr>
          <w:p w14:paraId="4DD4FACF" w14:textId="77777777" w:rsidR="000729CF" w:rsidRPr="000729CF" w:rsidRDefault="000729CF" w:rsidP="000729CF">
            <w:pPr>
              <w:autoSpaceDE w:val="0"/>
              <w:autoSpaceDN w:val="0"/>
              <w:adjustRightInd w:val="0"/>
              <w:jc w:val="center"/>
              <w:rPr>
                <w:rFonts w:ascii="Arial" w:eastAsia="Calibri" w:hAnsi="Arial" w:cs="Arial"/>
                <w:color w:val="FFFFFF"/>
                <w:sz w:val="24"/>
                <w:szCs w:val="24"/>
                <w:lang w:val="en-GB" w:eastAsia="en-GB"/>
              </w:rPr>
            </w:pPr>
            <w:r w:rsidRPr="000729CF">
              <w:rPr>
                <w:rFonts w:ascii="Arial" w:eastAsia="Calibri" w:hAnsi="Arial" w:cs="Arial"/>
                <w:b/>
                <w:bCs/>
                <w:color w:val="FFFFFF"/>
                <w:sz w:val="24"/>
                <w:szCs w:val="24"/>
                <w:lang w:val="en-GB" w:eastAsia="en-GB"/>
              </w:rPr>
              <w:t>2025/26</w:t>
            </w:r>
          </w:p>
          <w:p w14:paraId="7EA6BA1A" w14:textId="77777777" w:rsidR="000729CF" w:rsidRPr="000729CF" w:rsidRDefault="000729CF" w:rsidP="000729CF">
            <w:pPr>
              <w:autoSpaceDE w:val="0"/>
              <w:autoSpaceDN w:val="0"/>
              <w:adjustRightInd w:val="0"/>
              <w:jc w:val="center"/>
              <w:rPr>
                <w:rFonts w:ascii="Arial" w:eastAsia="Calibri" w:hAnsi="Arial" w:cs="Arial"/>
                <w:b/>
                <w:bCs/>
                <w:color w:val="FFFFFF"/>
                <w:sz w:val="24"/>
                <w:szCs w:val="24"/>
                <w:lang w:val="en-GB" w:eastAsia="en-GB"/>
              </w:rPr>
            </w:pPr>
            <w:r w:rsidRPr="000729CF">
              <w:rPr>
                <w:rFonts w:ascii="Arial" w:eastAsia="Calibri" w:hAnsi="Arial" w:cs="Arial"/>
                <w:b/>
                <w:bCs/>
                <w:color w:val="FFFFFF"/>
                <w:sz w:val="24"/>
                <w:szCs w:val="24"/>
                <w:lang w:val="en-GB" w:eastAsia="en-GB"/>
              </w:rPr>
              <w:t>Estimate</w:t>
            </w:r>
          </w:p>
        </w:tc>
        <w:tc>
          <w:tcPr>
            <w:tcW w:w="718" w:type="pct"/>
            <w:shd w:val="clear" w:color="auto" w:fill="17365D"/>
          </w:tcPr>
          <w:p w14:paraId="5D3E6EA8" w14:textId="77777777" w:rsidR="000729CF" w:rsidRPr="000729CF" w:rsidRDefault="000729CF" w:rsidP="000729CF">
            <w:pPr>
              <w:autoSpaceDE w:val="0"/>
              <w:autoSpaceDN w:val="0"/>
              <w:adjustRightInd w:val="0"/>
              <w:jc w:val="center"/>
              <w:rPr>
                <w:rFonts w:ascii="Arial" w:eastAsia="Calibri" w:hAnsi="Arial" w:cs="Arial"/>
                <w:color w:val="FFFFFF"/>
                <w:sz w:val="24"/>
                <w:szCs w:val="24"/>
                <w:lang w:val="en-GB" w:eastAsia="en-GB"/>
              </w:rPr>
            </w:pPr>
            <w:r w:rsidRPr="000729CF">
              <w:rPr>
                <w:rFonts w:ascii="Arial" w:eastAsia="Calibri" w:hAnsi="Arial" w:cs="Arial"/>
                <w:b/>
                <w:bCs/>
                <w:color w:val="FFFFFF"/>
                <w:sz w:val="24"/>
                <w:szCs w:val="24"/>
                <w:lang w:val="en-GB" w:eastAsia="en-GB"/>
              </w:rPr>
              <w:t>2026/27</w:t>
            </w:r>
          </w:p>
          <w:p w14:paraId="3F27FC92" w14:textId="77777777" w:rsidR="000729CF" w:rsidRPr="000729CF" w:rsidRDefault="000729CF" w:rsidP="000729CF">
            <w:pPr>
              <w:autoSpaceDE w:val="0"/>
              <w:autoSpaceDN w:val="0"/>
              <w:adjustRightInd w:val="0"/>
              <w:jc w:val="center"/>
              <w:rPr>
                <w:rFonts w:ascii="Arial" w:eastAsia="Calibri" w:hAnsi="Arial" w:cs="Arial"/>
                <w:color w:val="FFFFFF"/>
                <w:sz w:val="24"/>
                <w:szCs w:val="24"/>
                <w:lang w:val="en-GB" w:eastAsia="en-GB"/>
              </w:rPr>
            </w:pPr>
            <w:r w:rsidRPr="000729CF">
              <w:rPr>
                <w:rFonts w:ascii="Arial" w:eastAsia="Calibri" w:hAnsi="Arial" w:cs="Arial"/>
                <w:b/>
                <w:bCs/>
                <w:color w:val="FFFFFF"/>
                <w:sz w:val="24"/>
                <w:szCs w:val="24"/>
                <w:lang w:val="en-GB" w:eastAsia="en-GB"/>
              </w:rPr>
              <w:t>Estimate</w:t>
            </w:r>
          </w:p>
        </w:tc>
      </w:tr>
      <w:tr w:rsidR="000729CF" w:rsidRPr="000729CF" w14:paraId="6022E086" w14:textId="77777777" w:rsidTr="00BC26AB">
        <w:trPr>
          <w:trHeight w:val="622"/>
        </w:trPr>
        <w:tc>
          <w:tcPr>
            <w:tcW w:w="2843" w:type="pct"/>
          </w:tcPr>
          <w:p w14:paraId="3E321367" w14:textId="77777777" w:rsidR="000729CF" w:rsidRPr="000729CF" w:rsidRDefault="000729CF" w:rsidP="000729CF">
            <w:pPr>
              <w:autoSpaceDE w:val="0"/>
              <w:autoSpaceDN w:val="0"/>
              <w:adjustRightInd w:val="0"/>
              <w:rPr>
                <w:rFonts w:ascii="Arial" w:eastAsia="Calibri" w:hAnsi="Arial" w:cs="Arial"/>
                <w:color w:val="000000"/>
                <w:sz w:val="24"/>
                <w:szCs w:val="24"/>
                <w:lang w:val="en-GB" w:eastAsia="en-GB"/>
              </w:rPr>
            </w:pPr>
            <w:r w:rsidRPr="000729CF">
              <w:rPr>
                <w:rFonts w:ascii="Arial" w:eastAsia="Calibri" w:hAnsi="Arial" w:cs="Arial"/>
                <w:b/>
                <w:bCs/>
                <w:color w:val="000000"/>
                <w:sz w:val="24"/>
                <w:szCs w:val="24"/>
                <w:lang w:val="en-GB" w:eastAsia="en-GB"/>
              </w:rPr>
              <w:t>Authorised Limit for External Debt £m*</w:t>
            </w:r>
          </w:p>
          <w:p w14:paraId="221F2339" w14:textId="77777777" w:rsidR="000729CF" w:rsidRPr="000729CF" w:rsidRDefault="000729CF" w:rsidP="000729CF">
            <w:pPr>
              <w:autoSpaceDE w:val="0"/>
              <w:autoSpaceDN w:val="0"/>
              <w:adjustRightInd w:val="0"/>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The council is expected to set a maximum authorised limit for external debt. This represents a limit beyond which external debt is prohibited, and this limit needs to be set or revised by Full Council.</w:t>
            </w:r>
          </w:p>
        </w:tc>
        <w:tc>
          <w:tcPr>
            <w:tcW w:w="719" w:type="pct"/>
            <w:shd w:val="clear" w:color="auto" w:fill="auto"/>
            <w:vAlign w:val="center"/>
          </w:tcPr>
          <w:p w14:paraId="1F96FC27" w14:textId="77777777" w:rsidR="000729CF" w:rsidRPr="000729CF" w:rsidRDefault="000729CF" w:rsidP="000729CF">
            <w:pPr>
              <w:autoSpaceDE w:val="0"/>
              <w:autoSpaceDN w:val="0"/>
              <w:adjustRightInd w:val="0"/>
              <w:jc w:val="right"/>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£680m</w:t>
            </w:r>
          </w:p>
        </w:tc>
        <w:tc>
          <w:tcPr>
            <w:tcW w:w="719" w:type="pct"/>
            <w:shd w:val="clear" w:color="auto" w:fill="auto"/>
            <w:vAlign w:val="center"/>
          </w:tcPr>
          <w:p w14:paraId="7E5431B7" w14:textId="77777777" w:rsidR="000729CF" w:rsidRPr="000729CF" w:rsidRDefault="000729CF" w:rsidP="000729CF">
            <w:pPr>
              <w:autoSpaceDE w:val="0"/>
              <w:autoSpaceDN w:val="0"/>
              <w:adjustRightInd w:val="0"/>
              <w:jc w:val="right"/>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£766m</w:t>
            </w:r>
          </w:p>
        </w:tc>
        <w:tc>
          <w:tcPr>
            <w:tcW w:w="718" w:type="pct"/>
            <w:shd w:val="clear" w:color="auto" w:fill="auto"/>
            <w:vAlign w:val="center"/>
          </w:tcPr>
          <w:p w14:paraId="7F04399B" w14:textId="77777777" w:rsidR="000729CF" w:rsidRPr="000729CF" w:rsidRDefault="000729CF" w:rsidP="000729CF">
            <w:pPr>
              <w:autoSpaceDE w:val="0"/>
              <w:autoSpaceDN w:val="0"/>
              <w:adjustRightInd w:val="0"/>
              <w:jc w:val="right"/>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£798m</w:t>
            </w:r>
          </w:p>
        </w:tc>
      </w:tr>
      <w:tr w:rsidR="000729CF" w:rsidRPr="000729CF" w14:paraId="65160020" w14:textId="77777777" w:rsidTr="00BC26AB">
        <w:trPr>
          <w:trHeight w:val="623"/>
        </w:trPr>
        <w:tc>
          <w:tcPr>
            <w:tcW w:w="2843" w:type="pct"/>
          </w:tcPr>
          <w:p w14:paraId="350C6034" w14:textId="77777777" w:rsidR="000729CF" w:rsidRPr="000729CF" w:rsidRDefault="000729CF" w:rsidP="000729CF">
            <w:pPr>
              <w:autoSpaceDE w:val="0"/>
              <w:autoSpaceDN w:val="0"/>
              <w:adjustRightInd w:val="0"/>
              <w:rPr>
                <w:rFonts w:ascii="Arial" w:eastAsia="Calibri" w:hAnsi="Arial" w:cs="Arial"/>
                <w:color w:val="000000"/>
                <w:sz w:val="24"/>
                <w:szCs w:val="24"/>
                <w:lang w:val="en-GB" w:eastAsia="en-GB"/>
              </w:rPr>
            </w:pPr>
            <w:r w:rsidRPr="000729CF">
              <w:rPr>
                <w:rFonts w:ascii="Arial" w:eastAsia="Calibri" w:hAnsi="Arial" w:cs="Arial"/>
                <w:b/>
                <w:bCs/>
                <w:color w:val="000000"/>
                <w:sz w:val="24"/>
                <w:szCs w:val="24"/>
                <w:lang w:val="en-GB" w:eastAsia="en-GB"/>
              </w:rPr>
              <w:t>Operational boundary for external debt £m*</w:t>
            </w:r>
          </w:p>
          <w:p w14:paraId="36D37778" w14:textId="77777777" w:rsidR="000729CF" w:rsidRPr="000729CF" w:rsidRDefault="000729CF" w:rsidP="000729CF">
            <w:pPr>
              <w:autoSpaceDE w:val="0"/>
              <w:autoSpaceDN w:val="0"/>
              <w:adjustRightInd w:val="0"/>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 xml:space="preserve">The council is required to set an operational boundary for external debt. This is the limit which external debt is not normally expected to exceed. This indicator may be breached temporarily for operational reasons. </w:t>
            </w:r>
          </w:p>
        </w:tc>
        <w:tc>
          <w:tcPr>
            <w:tcW w:w="719" w:type="pct"/>
            <w:shd w:val="clear" w:color="auto" w:fill="auto"/>
            <w:vAlign w:val="center"/>
          </w:tcPr>
          <w:p w14:paraId="699B027E" w14:textId="77777777" w:rsidR="000729CF" w:rsidRPr="000729CF" w:rsidRDefault="000729CF" w:rsidP="000729CF">
            <w:pPr>
              <w:autoSpaceDE w:val="0"/>
              <w:autoSpaceDN w:val="0"/>
              <w:adjustRightInd w:val="0"/>
              <w:jc w:val="right"/>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£630m</w:t>
            </w:r>
          </w:p>
        </w:tc>
        <w:tc>
          <w:tcPr>
            <w:tcW w:w="719" w:type="pct"/>
            <w:shd w:val="clear" w:color="auto" w:fill="auto"/>
            <w:vAlign w:val="center"/>
          </w:tcPr>
          <w:p w14:paraId="7ABB9C0C" w14:textId="77777777" w:rsidR="000729CF" w:rsidRPr="000729CF" w:rsidRDefault="000729CF" w:rsidP="000729CF">
            <w:pPr>
              <w:autoSpaceDE w:val="0"/>
              <w:autoSpaceDN w:val="0"/>
              <w:adjustRightInd w:val="0"/>
              <w:jc w:val="right"/>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£716m</w:t>
            </w:r>
          </w:p>
        </w:tc>
        <w:tc>
          <w:tcPr>
            <w:tcW w:w="718" w:type="pct"/>
            <w:shd w:val="clear" w:color="auto" w:fill="auto"/>
            <w:vAlign w:val="center"/>
          </w:tcPr>
          <w:p w14:paraId="0A5E775E" w14:textId="77777777" w:rsidR="000729CF" w:rsidRPr="000729CF" w:rsidRDefault="000729CF" w:rsidP="000729CF">
            <w:pPr>
              <w:autoSpaceDE w:val="0"/>
              <w:autoSpaceDN w:val="0"/>
              <w:adjustRightInd w:val="0"/>
              <w:jc w:val="right"/>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£748m</w:t>
            </w:r>
          </w:p>
        </w:tc>
      </w:tr>
      <w:tr w:rsidR="000729CF" w:rsidRPr="000729CF" w14:paraId="6AEC0EBE" w14:textId="77777777" w:rsidTr="00BC26AB">
        <w:trPr>
          <w:trHeight w:val="623"/>
        </w:trPr>
        <w:tc>
          <w:tcPr>
            <w:tcW w:w="2843" w:type="pct"/>
          </w:tcPr>
          <w:p w14:paraId="180FC78F" w14:textId="77777777" w:rsidR="000729CF" w:rsidRPr="000729CF" w:rsidRDefault="000729CF" w:rsidP="000729CF">
            <w:pPr>
              <w:autoSpaceDE w:val="0"/>
              <w:autoSpaceDN w:val="0"/>
              <w:adjustRightInd w:val="0"/>
              <w:rPr>
                <w:rFonts w:ascii="Arial" w:eastAsia="Calibri" w:hAnsi="Arial" w:cs="Arial"/>
                <w:b/>
                <w:bCs/>
                <w:color w:val="000000"/>
                <w:sz w:val="24"/>
                <w:szCs w:val="24"/>
                <w:lang w:val="en-GB" w:eastAsia="en-GB"/>
              </w:rPr>
            </w:pPr>
            <w:r w:rsidRPr="000729CF">
              <w:rPr>
                <w:rFonts w:ascii="Arial" w:eastAsia="Calibri" w:hAnsi="Arial" w:cs="Arial"/>
                <w:b/>
                <w:bCs/>
                <w:color w:val="000000"/>
                <w:sz w:val="24"/>
                <w:szCs w:val="24"/>
                <w:lang w:val="en-GB" w:eastAsia="en-GB"/>
              </w:rPr>
              <w:t>Principal Sums invested for longer than 365 days</w:t>
            </w:r>
          </w:p>
        </w:tc>
        <w:tc>
          <w:tcPr>
            <w:tcW w:w="719" w:type="pct"/>
            <w:shd w:val="clear" w:color="auto" w:fill="auto"/>
            <w:vAlign w:val="center"/>
          </w:tcPr>
          <w:p w14:paraId="30677D0F" w14:textId="77777777" w:rsidR="000729CF" w:rsidRPr="000729CF" w:rsidRDefault="000729CF" w:rsidP="000729CF">
            <w:pPr>
              <w:autoSpaceDE w:val="0"/>
              <w:autoSpaceDN w:val="0"/>
              <w:adjustRightInd w:val="0"/>
              <w:jc w:val="right"/>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£40m</w:t>
            </w:r>
          </w:p>
        </w:tc>
        <w:tc>
          <w:tcPr>
            <w:tcW w:w="719" w:type="pct"/>
            <w:shd w:val="clear" w:color="auto" w:fill="auto"/>
            <w:vAlign w:val="center"/>
          </w:tcPr>
          <w:p w14:paraId="0D358690" w14:textId="77777777" w:rsidR="000729CF" w:rsidRPr="000729CF" w:rsidRDefault="000729CF" w:rsidP="000729CF">
            <w:pPr>
              <w:autoSpaceDE w:val="0"/>
              <w:autoSpaceDN w:val="0"/>
              <w:adjustRightInd w:val="0"/>
              <w:jc w:val="right"/>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£40m</w:t>
            </w:r>
          </w:p>
        </w:tc>
        <w:tc>
          <w:tcPr>
            <w:tcW w:w="718" w:type="pct"/>
            <w:shd w:val="clear" w:color="auto" w:fill="auto"/>
            <w:vAlign w:val="center"/>
          </w:tcPr>
          <w:p w14:paraId="5977FB2F" w14:textId="77777777" w:rsidR="000729CF" w:rsidRPr="000729CF" w:rsidRDefault="000729CF" w:rsidP="000729CF">
            <w:pPr>
              <w:autoSpaceDE w:val="0"/>
              <w:autoSpaceDN w:val="0"/>
              <w:adjustRightInd w:val="0"/>
              <w:jc w:val="right"/>
              <w:rPr>
                <w:rFonts w:ascii="Arial" w:eastAsia="Calibri" w:hAnsi="Arial" w:cs="Arial"/>
                <w:color w:val="000000"/>
                <w:sz w:val="24"/>
                <w:szCs w:val="24"/>
                <w:lang w:val="en-GB" w:eastAsia="en-GB"/>
              </w:rPr>
            </w:pPr>
            <w:r w:rsidRPr="000729CF">
              <w:rPr>
                <w:rFonts w:ascii="Arial" w:eastAsia="Calibri" w:hAnsi="Arial" w:cs="Arial"/>
                <w:color w:val="000000"/>
                <w:sz w:val="24"/>
                <w:szCs w:val="24"/>
                <w:lang w:val="en-GB" w:eastAsia="en-GB"/>
              </w:rPr>
              <w:t>£40m</w:t>
            </w:r>
          </w:p>
        </w:tc>
      </w:tr>
    </w:tbl>
    <w:p w14:paraId="7CFE729A" w14:textId="77777777" w:rsidR="000729CF" w:rsidRPr="000729CF" w:rsidRDefault="000729CF" w:rsidP="000729CF">
      <w:pPr>
        <w:autoSpaceDE w:val="0"/>
        <w:autoSpaceDN w:val="0"/>
        <w:adjustRightInd w:val="0"/>
        <w:spacing w:before="120"/>
        <w:jc w:val="both"/>
        <w:rPr>
          <w:rFonts w:ascii="Arial" w:eastAsia="Calibri" w:hAnsi="Arial" w:cs="Arial"/>
          <w:bCs/>
          <w:i/>
          <w:color w:val="000000"/>
          <w:lang w:val="en-GB" w:eastAsia="en-GB"/>
        </w:rPr>
      </w:pPr>
      <w:r w:rsidRPr="000729CF">
        <w:rPr>
          <w:rFonts w:ascii="Arial" w:eastAsia="Calibri" w:hAnsi="Arial" w:cs="Arial"/>
          <w:bCs/>
          <w:i/>
          <w:color w:val="000000"/>
          <w:lang w:val="en-GB" w:eastAsia="en-GB"/>
        </w:rPr>
        <w:t>*From 2024/25 The Authorised Limit and Operational Boundary includes an estimate for leases that will be bought onto the balance sheet under a change in leasing accounting regulations.</w:t>
      </w:r>
    </w:p>
    <w:p w14:paraId="487F6738" w14:textId="77777777" w:rsidR="000729CF" w:rsidRPr="000729CF" w:rsidRDefault="000729CF" w:rsidP="000729CF">
      <w:pPr>
        <w:autoSpaceDE w:val="0"/>
        <w:autoSpaceDN w:val="0"/>
        <w:adjustRightInd w:val="0"/>
        <w:rPr>
          <w:rFonts w:ascii="Arial" w:eastAsia="Calibri" w:hAnsi="Arial" w:cs="Arial"/>
          <w:b/>
          <w:bCs/>
          <w:color w:val="000000"/>
          <w:sz w:val="24"/>
          <w:szCs w:val="24"/>
          <w:highlight w:val="yellow"/>
          <w:lang w:val="en-GB" w:eastAsia="en-GB"/>
        </w:rPr>
      </w:pPr>
    </w:p>
    <w:p w14:paraId="5AA7B120" w14:textId="77777777" w:rsidR="000729CF" w:rsidRPr="000729CF" w:rsidRDefault="000729CF" w:rsidP="000729CF">
      <w:pPr>
        <w:autoSpaceDE w:val="0"/>
        <w:autoSpaceDN w:val="0"/>
        <w:adjustRightInd w:val="0"/>
        <w:rPr>
          <w:rFonts w:ascii="Arial" w:eastAsia="Calibri" w:hAnsi="Arial" w:cs="Arial"/>
          <w:b/>
          <w:bCs/>
          <w:color w:val="000000"/>
          <w:sz w:val="24"/>
          <w:szCs w:val="24"/>
          <w:highlight w:val="yellow"/>
          <w:lang w:val="en-GB" w:eastAsia="en-GB"/>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2"/>
        <w:gridCol w:w="1637"/>
        <w:gridCol w:w="1639"/>
      </w:tblGrid>
      <w:tr w:rsidR="000729CF" w:rsidRPr="000729CF" w14:paraId="1998EE30" w14:textId="77777777" w:rsidTr="00BC26AB">
        <w:tc>
          <w:tcPr>
            <w:tcW w:w="5000" w:type="pct"/>
            <w:gridSpan w:val="3"/>
            <w:shd w:val="clear" w:color="auto" w:fill="1F3864"/>
          </w:tcPr>
          <w:p w14:paraId="6E42F409" w14:textId="77777777" w:rsidR="000729CF" w:rsidRPr="000729CF" w:rsidRDefault="000729CF" w:rsidP="000729CF">
            <w:pPr>
              <w:autoSpaceDE w:val="0"/>
              <w:autoSpaceDN w:val="0"/>
              <w:adjustRightInd w:val="0"/>
              <w:rPr>
                <w:rFonts w:ascii="Arial" w:eastAsia="Calibri" w:hAnsi="Arial" w:cs="Arial"/>
                <w:b/>
                <w:bCs/>
                <w:color w:val="FFFFFF"/>
                <w:sz w:val="24"/>
                <w:szCs w:val="24"/>
                <w:lang w:val="en-GB" w:eastAsia="en-GB"/>
              </w:rPr>
            </w:pPr>
            <w:r w:rsidRPr="000729CF">
              <w:rPr>
                <w:rFonts w:ascii="Arial" w:eastAsia="Calibri" w:hAnsi="Arial" w:cs="Arial"/>
                <w:b/>
                <w:bCs/>
                <w:color w:val="FFFFFF"/>
                <w:sz w:val="24"/>
                <w:szCs w:val="24"/>
                <w:lang w:val="en-GB" w:eastAsia="en-GB"/>
              </w:rPr>
              <w:t>Table C – Prudential Indicators</w:t>
            </w:r>
          </w:p>
        </w:tc>
      </w:tr>
      <w:tr w:rsidR="000729CF" w:rsidRPr="000729CF" w14:paraId="12F79E7D" w14:textId="77777777" w:rsidTr="00BC26AB">
        <w:tc>
          <w:tcPr>
            <w:tcW w:w="5000" w:type="pct"/>
            <w:gridSpan w:val="3"/>
            <w:shd w:val="clear" w:color="auto" w:fill="1F3864"/>
          </w:tcPr>
          <w:p w14:paraId="1AF67717" w14:textId="77777777" w:rsidR="000729CF" w:rsidRPr="000729CF" w:rsidRDefault="000729CF" w:rsidP="000729CF">
            <w:pPr>
              <w:autoSpaceDE w:val="0"/>
              <w:autoSpaceDN w:val="0"/>
              <w:adjustRightInd w:val="0"/>
              <w:rPr>
                <w:rFonts w:ascii="Arial" w:eastAsia="Calibri" w:hAnsi="Arial" w:cs="Arial"/>
                <w:b/>
                <w:bCs/>
                <w:color w:val="FFFFFF"/>
                <w:sz w:val="24"/>
                <w:szCs w:val="24"/>
                <w:lang w:val="en-GB" w:eastAsia="en-GB"/>
              </w:rPr>
            </w:pPr>
            <w:r w:rsidRPr="000729CF">
              <w:rPr>
                <w:rFonts w:ascii="Arial" w:eastAsia="Calibri" w:hAnsi="Arial" w:cs="Arial"/>
                <w:b/>
                <w:bCs/>
                <w:color w:val="FFFFFF"/>
                <w:sz w:val="24"/>
                <w:szCs w:val="24"/>
                <w:lang w:val="en-GB" w:eastAsia="en-GB"/>
              </w:rPr>
              <w:t>Maturity Structure of fixed interest rate borrowing*</w:t>
            </w:r>
          </w:p>
          <w:p w14:paraId="7C43640D" w14:textId="77777777" w:rsidR="000729CF" w:rsidRPr="000729CF" w:rsidRDefault="000729CF" w:rsidP="000729CF">
            <w:pPr>
              <w:autoSpaceDE w:val="0"/>
              <w:autoSpaceDN w:val="0"/>
              <w:adjustRightInd w:val="0"/>
              <w:rPr>
                <w:rFonts w:ascii="Arial" w:eastAsia="Calibri" w:hAnsi="Arial" w:cs="Arial"/>
                <w:color w:val="FFFFFF"/>
                <w:sz w:val="24"/>
                <w:szCs w:val="24"/>
                <w:lang w:val="en-GB" w:eastAsia="en-GB"/>
              </w:rPr>
            </w:pPr>
            <w:r w:rsidRPr="000729CF">
              <w:rPr>
                <w:rFonts w:ascii="Arial" w:eastAsia="Calibri" w:hAnsi="Arial" w:cs="Arial"/>
                <w:color w:val="FFFFFF"/>
                <w:sz w:val="24"/>
                <w:szCs w:val="24"/>
                <w:lang w:val="en-GB" w:eastAsia="en-GB"/>
              </w:rPr>
              <w:t xml:space="preserve">The council needs to set upper and lower limits with respect to the maturity structure of its borrowing. </w:t>
            </w:r>
          </w:p>
          <w:p w14:paraId="4062377D" w14:textId="77777777" w:rsidR="000729CF" w:rsidRPr="000729CF" w:rsidRDefault="000729CF" w:rsidP="000729CF">
            <w:pPr>
              <w:autoSpaceDE w:val="0"/>
              <w:autoSpaceDN w:val="0"/>
              <w:adjustRightInd w:val="0"/>
              <w:rPr>
                <w:rFonts w:ascii="Arial" w:eastAsia="Calibri" w:hAnsi="Arial" w:cs="Arial"/>
                <w:b/>
                <w:bCs/>
                <w:color w:val="FFFFFF"/>
                <w:sz w:val="24"/>
                <w:szCs w:val="24"/>
                <w:lang w:val="en-GB" w:eastAsia="en-GB"/>
              </w:rPr>
            </w:pPr>
          </w:p>
        </w:tc>
      </w:tr>
      <w:tr w:rsidR="000729CF" w:rsidRPr="000729CF" w14:paraId="4ADAAB0F" w14:textId="77777777" w:rsidTr="00BC26AB">
        <w:tc>
          <w:tcPr>
            <w:tcW w:w="3299" w:type="pct"/>
            <w:shd w:val="clear" w:color="auto" w:fill="1F3864"/>
          </w:tcPr>
          <w:p w14:paraId="4087E05A" w14:textId="77777777" w:rsidR="000729CF" w:rsidRPr="000729CF" w:rsidRDefault="000729CF" w:rsidP="000729CF">
            <w:pPr>
              <w:autoSpaceDE w:val="0"/>
              <w:autoSpaceDN w:val="0"/>
              <w:adjustRightInd w:val="0"/>
              <w:rPr>
                <w:rFonts w:ascii="Arial" w:eastAsia="Calibri" w:hAnsi="Arial" w:cs="Arial"/>
                <w:b/>
                <w:bCs/>
                <w:color w:val="FFFFFF"/>
                <w:sz w:val="24"/>
                <w:szCs w:val="24"/>
                <w:highlight w:val="yellow"/>
                <w:lang w:val="en-GB" w:eastAsia="en-GB"/>
              </w:rPr>
            </w:pPr>
          </w:p>
        </w:tc>
        <w:tc>
          <w:tcPr>
            <w:tcW w:w="850" w:type="pct"/>
            <w:shd w:val="clear" w:color="auto" w:fill="1F3864"/>
          </w:tcPr>
          <w:p w14:paraId="37B6A65A" w14:textId="77777777" w:rsidR="000729CF" w:rsidRPr="000729CF" w:rsidRDefault="000729CF" w:rsidP="000729CF">
            <w:pPr>
              <w:autoSpaceDE w:val="0"/>
              <w:autoSpaceDN w:val="0"/>
              <w:adjustRightInd w:val="0"/>
              <w:rPr>
                <w:rFonts w:ascii="Arial" w:eastAsia="Calibri" w:hAnsi="Arial" w:cs="Arial"/>
                <w:bCs/>
                <w:color w:val="FFFFFF"/>
                <w:sz w:val="24"/>
                <w:szCs w:val="24"/>
                <w:lang w:val="en-GB" w:eastAsia="en-GB"/>
              </w:rPr>
            </w:pPr>
            <w:r w:rsidRPr="000729CF">
              <w:rPr>
                <w:rFonts w:ascii="Arial" w:eastAsia="Calibri" w:hAnsi="Arial" w:cs="Arial"/>
                <w:bCs/>
                <w:color w:val="FFFFFF"/>
                <w:sz w:val="24"/>
                <w:szCs w:val="24"/>
                <w:lang w:val="en-GB" w:eastAsia="en-GB"/>
              </w:rPr>
              <w:t>Lower</w:t>
            </w:r>
          </w:p>
        </w:tc>
        <w:tc>
          <w:tcPr>
            <w:tcW w:w="851" w:type="pct"/>
            <w:shd w:val="clear" w:color="auto" w:fill="1F3864"/>
          </w:tcPr>
          <w:p w14:paraId="7518935F" w14:textId="77777777" w:rsidR="000729CF" w:rsidRPr="000729CF" w:rsidRDefault="000729CF" w:rsidP="000729CF">
            <w:pPr>
              <w:autoSpaceDE w:val="0"/>
              <w:autoSpaceDN w:val="0"/>
              <w:adjustRightInd w:val="0"/>
              <w:rPr>
                <w:rFonts w:ascii="Arial" w:eastAsia="Calibri" w:hAnsi="Arial" w:cs="Arial"/>
                <w:bCs/>
                <w:color w:val="FFFFFF"/>
                <w:sz w:val="24"/>
                <w:szCs w:val="24"/>
                <w:lang w:val="en-GB" w:eastAsia="en-GB"/>
              </w:rPr>
            </w:pPr>
            <w:r w:rsidRPr="000729CF">
              <w:rPr>
                <w:rFonts w:ascii="Arial" w:eastAsia="Calibri" w:hAnsi="Arial" w:cs="Arial"/>
                <w:bCs/>
                <w:color w:val="FFFFFF"/>
                <w:sz w:val="24"/>
                <w:szCs w:val="24"/>
                <w:lang w:val="en-GB" w:eastAsia="en-GB"/>
              </w:rPr>
              <w:t>Upper</w:t>
            </w:r>
          </w:p>
        </w:tc>
      </w:tr>
      <w:tr w:rsidR="000729CF" w:rsidRPr="000729CF" w14:paraId="3BF15A8A" w14:textId="77777777" w:rsidTr="00BC26AB">
        <w:tc>
          <w:tcPr>
            <w:tcW w:w="3299" w:type="pct"/>
            <w:shd w:val="clear" w:color="auto" w:fill="auto"/>
          </w:tcPr>
          <w:p w14:paraId="41E1288E" w14:textId="77777777" w:rsidR="000729CF" w:rsidRPr="000729CF" w:rsidRDefault="000729CF" w:rsidP="000729CF">
            <w:pPr>
              <w:autoSpaceDE w:val="0"/>
              <w:autoSpaceDN w:val="0"/>
              <w:adjustRightInd w:val="0"/>
              <w:rPr>
                <w:rFonts w:ascii="Arial" w:eastAsia="Calibri" w:hAnsi="Arial" w:cs="Arial"/>
                <w:bCs/>
                <w:color w:val="000000"/>
                <w:sz w:val="24"/>
                <w:szCs w:val="24"/>
                <w:lang w:val="en-GB" w:eastAsia="en-GB"/>
              </w:rPr>
            </w:pPr>
            <w:r w:rsidRPr="000729CF">
              <w:rPr>
                <w:rFonts w:ascii="Arial" w:eastAsia="Calibri" w:hAnsi="Arial" w:cs="Arial"/>
                <w:bCs/>
                <w:color w:val="000000"/>
                <w:sz w:val="24"/>
                <w:szCs w:val="24"/>
                <w:lang w:val="en-GB" w:eastAsia="en-GB"/>
              </w:rPr>
              <w:t>Under 12 months</w:t>
            </w:r>
          </w:p>
        </w:tc>
        <w:tc>
          <w:tcPr>
            <w:tcW w:w="850" w:type="pct"/>
            <w:shd w:val="clear" w:color="auto" w:fill="auto"/>
          </w:tcPr>
          <w:p w14:paraId="75DD9BB6" w14:textId="77777777" w:rsidR="000729CF" w:rsidRPr="000729CF" w:rsidRDefault="000729CF" w:rsidP="000729CF">
            <w:pPr>
              <w:autoSpaceDE w:val="0"/>
              <w:autoSpaceDN w:val="0"/>
              <w:adjustRightInd w:val="0"/>
              <w:jc w:val="center"/>
              <w:rPr>
                <w:rFonts w:ascii="Arial" w:eastAsia="Calibri" w:hAnsi="Arial" w:cs="Arial"/>
                <w:bCs/>
                <w:color w:val="000000"/>
                <w:sz w:val="24"/>
                <w:szCs w:val="24"/>
                <w:lang w:val="en-GB" w:eastAsia="en-GB"/>
              </w:rPr>
            </w:pPr>
            <w:r w:rsidRPr="000729CF">
              <w:rPr>
                <w:rFonts w:ascii="Arial" w:eastAsia="Calibri" w:hAnsi="Arial" w:cs="Arial"/>
                <w:bCs/>
                <w:color w:val="000000"/>
                <w:sz w:val="24"/>
                <w:szCs w:val="24"/>
                <w:lang w:val="en-GB" w:eastAsia="en-GB"/>
              </w:rPr>
              <w:t>0%</w:t>
            </w:r>
          </w:p>
        </w:tc>
        <w:tc>
          <w:tcPr>
            <w:tcW w:w="851" w:type="pct"/>
            <w:shd w:val="clear" w:color="auto" w:fill="auto"/>
          </w:tcPr>
          <w:p w14:paraId="51AB83EF" w14:textId="77777777" w:rsidR="000729CF" w:rsidRPr="000729CF" w:rsidRDefault="000729CF" w:rsidP="000729CF">
            <w:pPr>
              <w:autoSpaceDE w:val="0"/>
              <w:autoSpaceDN w:val="0"/>
              <w:adjustRightInd w:val="0"/>
              <w:jc w:val="center"/>
              <w:rPr>
                <w:rFonts w:ascii="Arial" w:eastAsia="Calibri" w:hAnsi="Arial" w:cs="Arial"/>
                <w:bCs/>
                <w:color w:val="000000"/>
                <w:sz w:val="24"/>
                <w:szCs w:val="24"/>
                <w:lang w:val="en-GB" w:eastAsia="en-GB"/>
              </w:rPr>
            </w:pPr>
            <w:r w:rsidRPr="000729CF">
              <w:rPr>
                <w:rFonts w:ascii="Arial" w:eastAsia="Calibri" w:hAnsi="Arial" w:cs="Arial"/>
                <w:bCs/>
                <w:color w:val="000000"/>
                <w:sz w:val="24"/>
                <w:szCs w:val="24"/>
                <w:lang w:val="en-GB" w:eastAsia="en-GB"/>
              </w:rPr>
              <w:t>40%</w:t>
            </w:r>
          </w:p>
        </w:tc>
      </w:tr>
      <w:tr w:rsidR="000729CF" w:rsidRPr="000729CF" w14:paraId="348D9EFF" w14:textId="77777777" w:rsidTr="00BC26AB">
        <w:tc>
          <w:tcPr>
            <w:tcW w:w="3299" w:type="pct"/>
            <w:shd w:val="clear" w:color="auto" w:fill="auto"/>
          </w:tcPr>
          <w:p w14:paraId="352B3D7F" w14:textId="77777777" w:rsidR="000729CF" w:rsidRPr="000729CF" w:rsidRDefault="000729CF" w:rsidP="000729CF">
            <w:pPr>
              <w:autoSpaceDE w:val="0"/>
              <w:autoSpaceDN w:val="0"/>
              <w:adjustRightInd w:val="0"/>
              <w:rPr>
                <w:rFonts w:ascii="Arial" w:eastAsia="Calibri" w:hAnsi="Arial" w:cs="Arial"/>
                <w:bCs/>
                <w:color w:val="000000"/>
                <w:sz w:val="24"/>
                <w:szCs w:val="24"/>
                <w:lang w:val="en-GB" w:eastAsia="en-GB"/>
              </w:rPr>
            </w:pPr>
            <w:r w:rsidRPr="000729CF">
              <w:rPr>
                <w:rFonts w:ascii="Arial" w:eastAsia="Calibri" w:hAnsi="Arial" w:cs="Arial"/>
                <w:bCs/>
                <w:color w:val="000000"/>
                <w:sz w:val="24"/>
                <w:szCs w:val="24"/>
                <w:lang w:val="en-GB" w:eastAsia="en-GB"/>
              </w:rPr>
              <w:t>12 months to 2 years</w:t>
            </w:r>
          </w:p>
        </w:tc>
        <w:tc>
          <w:tcPr>
            <w:tcW w:w="850" w:type="pct"/>
            <w:shd w:val="clear" w:color="auto" w:fill="auto"/>
          </w:tcPr>
          <w:p w14:paraId="56E2F10D" w14:textId="77777777" w:rsidR="000729CF" w:rsidRPr="000729CF" w:rsidRDefault="000729CF" w:rsidP="000729CF">
            <w:pPr>
              <w:autoSpaceDE w:val="0"/>
              <w:autoSpaceDN w:val="0"/>
              <w:adjustRightInd w:val="0"/>
              <w:jc w:val="center"/>
              <w:rPr>
                <w:rFonts w:ascii="Arial" w:eastAsia="Calibri" w:hAnsi="Arial" w:cs="Arial"/>
                <w:bCs/>
                <w:color w:val="000000"/>
                <w:sz w:val="24"/>
                <w:szCs w:val="24"/>
                <w:lang w:val="en-GB" w:eastAsia="en-GB"/>
              </w:rPr>
            </w:pPr>
            <w:r w:rsidRPr="000729CF">
              <w:rPr>
                <w:rFonts w:ascii="Arial" w:eastAsia="Calibri" w:hAnsi="Arial" w:cs="Arial"/>
                <w:bCs/>
                <w:color w:val="000000"/>
                <w:sz w:val="24"/>
                <w:szCs w:val="24"/>
                <w:lang w:val="en-GB" w:eastAsia="en-GB"/>
              </w:rPr>
              <w:t>0%</w:t>
            </w:r>
          </w:p>
        </w:tc>
        <w:tc>
          <w:tcPr>
            <w:tcW w:w="851" w:type="pct"/>
            <w:shd w:val="clear" w:color="auto" w:fill="auto"/>
          </w:tcPr>
          <w:p w14:paraId="5B46573D" w14:textId="77777777" w:rsidR="000729CF" w:rsidRPr="000729CF" w:rsidRDefault="000729CF" w:rsidP="000729CF">
            <w:pPr>
              <w:autoSpaceDE w:val="0"/>
              <w:autoSpaceDN w:val="0"/>
              <w:adjustRightInd w:val="0"/>
              <w:jc w:val="center"/>
              <w:rPr>
                <w:rFonts w:ascii="Arial" w:eastAsia="Calibri" w:hAnsi="Arial" w:cs="Arial"/>
                <w:bCs/>
                <w:color w:val="000000"/>
                <w:sz w:val="24"/>
                <w:szCs w:val="24"/>
                <w:lang w:val="en-GB" w:eastAsia="en-GB"/>
              </w:rPr>
            </w:pPr>
            <w:r w:rsidRPr="000729CF">
              <w:rPr>
                <w:rFonts w:ascii="Arial" w:eastAsia="Calibri" w:hAnsi="Arial" w:cs="Arial"/>
                <w:bCs/>
                <w:color w:val="000000"/>
                <w:sz w:val="24"/>
                <w:szCs w:val="24"/>
                <w:lang w:val="en-GB" w:eastAsia="en-GB"/>
              </w:rPr>
              <w:t>40%</w:t>
            </w:r>
          </w:p>
        </w:tc>
      </w:tr>
      <w:tr w:rsidR="000729CF" w:rsidRPr="000729CF" w14:paraId="32C08538" w14:textId="77777777" w:rsidTr="00BC26AB">
        <w:tc>
          <w:tcPr>
            <w:tcW w:w="3299" w:type="pct"/>
            <w:shd w:val="clear" w:color="auto" w:fill="auto"/>
          </w:tcPr>
          <w:p w14:paraId="38195C54" w14:textId="77777777" w:rsidR="000729CF" w:rsidRPr="000729CF" w:rsidRDefault="000729CF" w:rsidP="000729CF">
            <w:pPr>
              <w:autoSpaceDE w:val="0"/>
              <w:autoSpaceDN w:val="0"/>
              <w:adjustRightInd w:val="0"/>
              <w:rPr>
                <w:rFonts w:ascii="Arial" w:eastAsia="Calibri" w:hAnsi="Arial" w:cs="Arial"/>
                <w:bCs/>
                <w:color w:val="000000"/>
                <w:sz w:val="24"/>
                <w:szCs w:val="24"/>
                <w:lang w:val="en-GB" w:eastAsia="en-GB"/>
              </w:rPr>
            </w:pPr>
            <w:r w:rsidRPr="000729CF">
              <w:rPr>
                <w:rFonts w:ascii="Arial" w:eastAsia="Calibri" w:hAnsi="Arial" w:cs="Arial"/>
                <w:bCs/>
                <w:color w:val="000000"/>
                <w:sz w:val="24"/>
                <w:szCs w:val="24"/>
                <w:lang w:val="en-GB" w:eastAsia="en-GB"/>
              </w:rPr>
              <w:t>2 years to 5 years</w:t>
            </w:r>
          </w:p>
        </w:tc>
        <w:tc>
          <w:tcPr>
            <w:tcW w:w="850" w:type="pct"/>
            <w:shd w:val="clear" w:color="auto" w:fill="auto"/>
          </w:tcPr>
          <w:p w14:paraId="3FF7C521" w14:textId="77777777" w:rsidR="000729CF" w:rsidRPr="000729CF" w:rsidRDefault="000729CF" w:rsidP="000729CF">
            <w:pPr>
              <w:autoSpaceDE w:val="0"/>
              <w:autoSpaceDN w:val="0"/>
              <w:adjustRightInd w:val="0"/>
              <w:jc w:val="center"/>
              <w:rPr>
                <w:rFonts w:ascii="Arial" w:eastAsia="Calibri" w:hAnsi="Arial" w:cs="Arial"/>
                <w:bCs/>
                <w:color w:val="000000"/>
                <w:sz w:val="24"/>
                <w:szCs w:val="24"/>
                <w:lang w:val="en-GB" w:eastAsia="en-GB"/>
              </w:rPr>
            </w:pPr>
            <w:r w:rsidRPr="000729CF">
              <w:rPr>
                <w:rFonts w:ascii="Arial" w:eastAsia="Calibri" w:hAnsi="Arial" w:cs="Arial"/>
                <w:bCs/>
                <w:color w:val="000000"/>
                <w:sz w:val="24"/>
                <w:szCs w:val="24"/>
                <w:lang w:val="en-GB" w:eastAsia="en-GB"/>
              </w:rPr>
              <w:t>0%</w:t>
            </w:r>
          </w:p>
        </w:tc>
        <w:tc>
          <w:tcPr>
            <w:tcW w:w="851" w:type="pct"/>
            <w:shd w:val="clear" w:color="auto" w:fill="auto"/>
          </w:tcPr>
          <w:p w14:paraId="1F5248D3" w14:textId="77777777" w:rsidR="000729CF" w:rsidRPr="000729CF" w:rsidRDefault="000729CF" w:rsidP="000729CF">
            <w:pPr>
              <w:autoSpaceDE w:val="0"/>
              <w:autoSpaceDN w:val="0"/>
              <w:adjustRightInd w:val="0"/>
              <w:jc w:val="center"/>
              <w:rPr>
                <w:rFonts w:ascii="Arial" w:eastAsia="Calibri" w:hAnsi="Arial" w:cs="Arial"/>
                <w:bCs/>
                <w:color w:val="000000"/>
                <w:sz w:val="24"/>
                <w:szCs w:val="24"/>
                <w:lang w:val="en-GB" w:eastAsia="en-GB"/>
              </w:rPr>
            </w:pPr>
            <w:r w:rsidRPr="000729CF">
              <w:rPr>
                <w:rFonts w:ascii="Arial" w:eastAsia="Calibri" w:hAnsi="Arial" w:cs="Arial"/>
                <w:bCs/>
                <w:color w:val="000000"/>
                <w:sz w:val="24"/>
                <w:szCs w:val="24"/>
                <w:lang w:val="en-GB" w:eastAsia="en-GB"/>
              </w:rPr>
              <w:t>50%</w:t>
            </w:r>
          </w:p>
        </w:tc>
      </w:tr>
      <w:tr w:rsidR="000729CF" w:rsidRPr="000729CF" w14:paraId="4237CD40" w14:textId="77777777" w:rsidTr="00BC26AB">
        <w:tc>
          <w:tcPr>
            <w:tcW w:w="3299" w:type="pct"/>
            <w:shd w:val="clear" w:color="auto" w:fill="auto"/>
          </w:tcPr>
          <w:p w14:paraId="1EC38286" w14:textId="77777777" w:rsidR="000729CF" w:rsidRPr="000729CF" w:rsidRDefault="000729CF" w:rsidP="000729CF">
            <w:pPr>
              <w:autoSpaceDE w:val="0"/>
              <w:autoSpaceDN w:val="0"/>
              <w:adjustRightInd w:val="0"/>
              <w:rPr>
                <w:rFonts w:ascii="Arial" w:eastAsia="Calibri" w:hAnsi="Arial" w:cs="Arial"/>
                <w:bCs/>
                <w:color w:val="000000"/>
                <w:sz w:val="24"/>
                <w:szCs w:val="24"/>
                <w:lang w:val="en-GB" w:eastAsia="en-GB"/>
              </w:rPr>
            </w:pPr>
            <w:r w:rsidRPr="000729CF">
              <w:rPr>
                <w:rFonts w:ascii="Arial" w:eastAsia="Calibri" w:hAnsi="Arial" w:cs="Arial"/>
                <w:bCs/>
                <w:color w:val="000000"/>
                <w:sz w:val="24"/>
                <w:szCs w:val="24"/>
                <w:lang w:val="en-GB" w:eastAsia="en-GB"/>
              </w:rPr>
              <w:t>5 years to 10 years</w:t>
            </w:r>
          </w:p>
        </w:tc>
        <w:tc>
          <w:tcPr>
            <w:tcW w:w="850" w:type="pct"/>
            <w:shd w:val="clear" w:color="auto" w:fill="auto"/>
          </w:tcPr>
          <w:p w14:paraId="4D73059A" w14:textId="77777777" w:rsidR="000729CF" w:rsidRPr="000729CF" w:rsidRDefault="000729CF" w:rsidP="000729CF">
            <w:pPr>
              <w:autoSpaceDE w:val="0"/>
              <w:autoSpaceDN w:val="0"/>
              <w:adjustRightInd w:val="0"/>
              <w:jc w:val="center"/>
              <w:rPr>
                <w:rFonts w:ascii="Arial" w:eastAsia="Calibri" w:hAnsi="Arial" w:cs="Arial"/>
                <w:bCs/>
                <w:color w:val="000000"/>
                <w:sz w:val="24"/>
                <w:szCs w:val="24"/>
                <w:lang w:val="en-GB" w:eastAsia="en-GB"/>
              </w:rPr>
            </w:pPr>
            <w:r w:rsidRPr="000729CF">
              <w:rPr>
                <w:rFonts w:ascii="Arial" w:eastAsia="Calibri" w:hAnsi="Arial" w:cs="Arial"/>
                <w:bCs/>
                <w:color w:val="000000"/>
                <w:sz w:val="24"/>
                <w:szCs w:val="24"/>
                <w:lang w:val="en-GB" w:eastAsia="en-GB"/>
              </w:rPr>
              <w:t>0%</w:t>
            </w:r>
          </w:p>
        </w:tc>
        <w:tc>
          <w:tcPr>
            <w:tcW w:w="851" w:type="pct"/>
            <w:shd w:val="clear" w:color="auto" w:fill="auto"/>
          </w:tcPr>
          <w:p w14:paraId="50AAC441" w14:textId="77777777" w:rsidR="000729CF" w:rsidRPr="000729CF" w:rsidRDefault="000729CF" w:rsidP="000729CF">
            <w:pPr>
              <w:autoSpaceDE w:val="0"/>
              <w:autoSpaceDN w:val="0"/>
              <w:adjustRightInd w:val="0"/>
              <w:jc w:val="center"/>
              <w:rPr>
                <w:rFonts w:ascii="Arial" w:eastAsia="Calibri" w:hAnsi="Arial" w:cs="Arial"/>
                <w:bCs/>
                <w:color w:val="000000"/>
                <w:sz w:val="24"/>
                <w:szCs w:val="24"/>
                <w:lang w:val="en-GB" w:eastAsia="en-GB"/>
              </w:rPr>
            </w:pPr>
            <w:r w:rsidRPr="000729CF">
              <w:rPr>
                <w:rFonts w:ascii="Arial" w:eastAsia="Calibri" w:hAnsi="Arial" w:cs="Arial"/>
                <w:bCs/>
                <w:color w:val="000000"/>
                <w:sz w:val="24"/>
                <w:szCs w:val="24"/>
                <w:lang w:val="en-GB" w:eastAsia="en-GB"/>
              </w:rPr>
              <w:t>75%</w:t>
            </w:r>
          </w:p>
        </w:tc>
      </w:tr>
      <w:tr w:rsidR="000729CF" w:rsidRPr="000729CF" w14:paraId="4A542534" w14:textId="77777777" w:rsidTr="00BC26AB">
        <w:tc>
          <w:tcPr>
            <w:tcW w:w="3299" w:type="pct"/>
            <w:shd w:val="clear" w:color="auto" w:fill="auto"/>
          </w:tcPr>
          <w:p w14:paraId="71C9EFB5" w14:textId="77777777" w:rsidR="000729CF" w:rsidRPr="000729CF" w:rsidRDefault="000729CF" w:rsidP="000729CF">
            <w:pPr>
              <w:autoSpaceDE w:val="0"/>
              <w:autoSpaceDN w:val="0"/>
              <w:adjustRightInd w:val="0"/>
              <w:rPr>
                <w:rFonts w:ascii="Arial" w:eastAsia="Calibri" w:hAnsi="Arial" w:cs="Arial"/>
                <w:bCs/>
                <w:color w:val="000000"/>
                <w:sz w:val="24"/>
                <w:szCs w:val="24"/>
                <w:lang w:val="en-GB" w:eastAsia="en-GB"/>
              </w:rPr>
            </w:pPr>
            <w:r w:rsidRPr="000729CF">
              <w:rPr>
                <w:rFonts w:ascii="Arial" w:eastAsia="Calibri" w:hAnsi="Arial" w:cs="Arial"/>
                <w:bCs/>
                <w:color w:val="000000"/>
                <w:sz w:val="24"/>
                <w:szCs w:val="24"/>
                <w:lang w:val="en-GB" w:eastAsia="en-GB"/>
              </w:rPr>
              <w:t>Over 10 years</w:t>
            </w:r>
          </w:p>
        </w:tc>
        <w:tc>
          <w:tcPr>
            <w:tcW w:w="850" w:type="pct"/>
            <w:shd w:val="clear" w:color="auto" w:fill="auto"/>
          </w:tcPr>
          <w:p w14:paraId="6AFDDC53" w14:textId="77777777" w:rsidR="000729CF" w:rsidRPr="000729CF" w:rsidRDefault="000729CF" w:rsidP="000729CF">
            <w:pPr>
              <w:autoSpaceDE w:val="0"/>
              <w:autoSpaceDN w:val="0"/>
              <w:adjustRightInd w:val="0"/>
              <w:jc w:val="center"/>
              <w:rPr>
                <w:rFonts w:ascii="Arial" w:eastAsia="Calibri" w:hAnsi="Arial" w:cs="Arial"/>
                <w:bCs/>
                <w:color w:val="000000"/>
                <w:sz w:val="24"/>
                <w:szCs w:val="24"/>
                <w:lang w:val="en-GB" w:eastAsia="en-GB"/>
              </w:rPr>
            </w:pPr>
            <w:r w:rsidRPr="000729CF">
              <w:rPr>
                <w:rFonts w:ascii="Arial" w:eastAsia="Calibri" w:hAnsi="Arial" w:cs="Arial"/>
                <w:bCs/>
                <w:color w:val="000000"/>
                <w:sz w:val="24"/>
                <w:szCs w:val="24"/>
                <w:lang w:val="en-GB" w:eastAsia="en-GB"/>
              </w:rPr>
              <w:t>40%</w:t>
            </w:r>
          </w:p>
        </w:tc>
        <w:tc>
          <w:tcPr>
            <w:tcW w:w="851" w:type="pct"/>
            <w:shd w:val="clear" w:color="auto" w:fill="auto"/>
          </w:tcPr>
          <w:p w14:paraId="27FA59CF" w14:textId="77777777" w:rsidR="000729CF" w:rsidRPr="000729CF" w:rsidRDefault="000729CF" w:rsidP="000729CF">
            <w:pPr>
              <w:autoSpaceDE w:val="0"/>
              <w:autoSpaceDN w:val="0"/>
              <w:adjustRightInd w:val="0"/>
              <w:jc w:val="center"/>
              <w:rPr>
                <w:rFonts w:ascii="Arial" w:eastAsia="Calibri" w:hAnsi="Arial" w:cs="Arial"/>
                <w:bCs/>
                <w:color w:val="000000"/>
                <w:sz w:val="24"/>
                <w:szCs w:val="24"/>
                <w:lang w:val="en-GB" w:eastAsia="en-GB"/>
              </w:rPr>
            </w:pPr>
            <w:r w:rsidRPr="000729CF">
              <w:rPr>
                <w:rFonts w:ascii="Arial" w:eastAsia="Calibri" w:hAnsi="Arial" w:cs="Arial"/>
                <w:bCs/>
                <w:color w:val="000000"/>
                <w:sz w:val="24"/>
                <w:szCs w:val="24"/>
                <w:lang w:val="en-GB" w:eastAsia="en-GB"/>
              </w:rPr>
              <w:t>100%</w:t>
            </w:r>
          </w:p>
        </w:tc>
      </w:tr>
    </w:tbl>
    <w:p w14:paraId="19240EEA" w14:textId="77777777" w:rsidR="000729CF" w:rsidRPr="000729CF" w:rsidRDefault="000729CF" w:rsidP="000729CF">
      <w:pPr>
        <w:autoSpaceDE w:val="0"/>
        <w:autoSpaceDN w:val="0"/>
        <w:adjustRightInd w:val="0"/>
        <w:rPr>
          <w:rFonts w:ascii="Arial" w:eastAsia="Calibri" w:hAnsi="Arial" w:cs="Arial"/>
          <w:b/>
          <w:bCs/>
          <w:color w:val="000000"/>
          <w:sz w:val="24"/>
          <w:szCs w:val="24"/>
          <w:lang w:val="en-GB" w:eastAsia="en-GB"/>
        </w:rPr>
      </w:pPr>
    </w:p>
    <w:p w14:paraId="175CE460" w14:textId="77777777" w:rsidR="000729CF" w:rsidRPr="000729CF" w:rsidRDefault="000729CF" w:rsidP="000729CF">
      <w:pPr>
        <w:autoSpaceDE w:val="0"/>
        <w:autoSpaceDN w:val="0"/>
        <w:adjustRightInd w:val="0"/>
        <w:spacing w:after="120"/>
        <w:rPr>
          <w:rFonts w:ascii="Arial" w:eastAsia="Calibri" w:hAnsi="Arial" w:cs="Arial"/>
          <w:b/>
          <w:bCs/>
          <w:color w:val="000000"/>
          <w:sz w:val="24"/>
          <w:szCs w:val="24"/>
          <w:lang w:val="en-GB" w:eastAsia="en-GB"/>
        </w:rPr>
      </w:pPr>
      <w:r w:rsidRPr="000729CF">
        <w:rPr>
          <w:rFonts w:ascii="Arial" w:eastAsia="Calibri" w:hAnsi="Arial" w:cs="Arial"/>
          <w:b/>
          <w:bCs/>
          <w:color w:val="000000"/>
          <w:sz w:val="24"/>
          <w:szCs w:val="24"/>
          <w:highlight w:val="yellow"/>
          <w:lang w:val="en-GB" w:eastAsia="en-GB"/>
        </w:rPr>
        <w:br w:type="page"/>
      </w:r>
      <w:r w:rsidRPr="000729CF">
        <w:rPr>
          <w:rFonts w:ascii="Arial" w:eastAsia="Calibri" w:hAnsi="Arial" w:cs="Arial"/>
          <w:b/>
          <w:bCs/>
          <w:color w:val="000000"/>
          <w:sz w:val="24"/>
          <w:szCs w:val="24"/>
          <w:lang w:val="en-GB" w:eastAsia="en-GB"/>
        </w:rPr>
        <w:t>ANNEX D - SCHEME OF DELEGATION</w:t>
      </w:r>
    </w:p>
    <w:p w14:paraId="61B207A5" w14:textId="77777777" w:rsidR="000729CF" w:rsidRPr="000729CF" w:rsidRDefault="000729CF" w:rsidP="00CE70A3">
      <w:pPr>
        <w:numPr>
          <w:ilvl w:val="0"/>
          <w:numId w:val="76"/>
        </w:numPr>
        <w:spacing w:after="120" w:line="276" w:lineRule="auto"/>
        <w:ind w:left="567" w:hanging="567"/>
        <w:rPr>
          <w:rFonts w:ascii="Arial" w:eastAsia="Calibri" w:hAnsi="Arial" w:cs="Arial"/>
          <w:b/>
          <w:sz w:val="24"/>
          <w:szCs w:val="24"/>
          <w:lang w:val="en-GB"/>
        </w:rPr>
      </w:pPr>
      <w:r w:rsidRPr="000729CF">
        <w:rPr>
          <w:rFonts w:ascii="Arial" w:eastAsia="Calibri" w:hAnsi="Arial" w:cs="Arial"/>
          <w:b/>
          <w:sz w:val="24"/>
          <w:szCs w:val="24"/>
          <w:lang w:val="en-GB"/>
        </w:rPr>
        <w:t xml:space="preserve">Full Council </w:t>
      </w:r>
    </w:p>
    <w:p w14:paraId="05DC3DCE" w14:textId="77777777" w:rsidR="000729CF" w:rsidRPr="000729CF" w:rsidRDefault="000729CF" w:rsidP="00CE70A3">
      <w:pPr>
        <w:numPr>
          <w:ilvl w:val="0"/>
          <w:numId w:val="77"/>
        </w:numPr>
        <w:tabs>
          <w:tab w:val="left" w:pos="851"/>
        </w:tabs>
        <w:spacing w:after="120" w:line="276" w:lineRule="auto"/>
        <w:ind w:left="851" w:hanging="284"/>
        <w:contextualSpacing/>
        <w:rPr>
          <w:rFonts w:ascii="Arial" w:eastAsia="Calibri" w:hAnsi="Arial" w:cs="Arial"/>
          <w:sz w:val="24"/>
          <w:szCs w:val="24"/>
          <w:lang w:val="en-GB"/>
        </w:rPr>
      </w:pPr>
      <w:r w:rsidRPr="000729CF">
        <w:rPr>
          <w:rFonts w:ascii="Arial" w:eastAsia="Calibri" w:hAnsi="Arial" w:cs="Arial"/>
          <w:sz w:val="24"/>
          <w:szCs w:val="24"/>
          <w:lang w:val="en-GB"/>
        </w:rPr>
        <w:t xml:space="preserve">Approval of Annual Investment Strategy, Treasury Management Strategy Statement, Capital Strategy, Treasury Management Policy Statement; </w:t>
      </w:r>
    </w:p>
    <w:p w14:paraId="6D3BBAC9" w14:textId="77777777" w:rsidR="000729CF" w:rsidRPr="000729CF" w:rsidRDefault="000729CF" w:rsidP="00CE70A3">
      <w:pPr>
        <w:numPr>
          <w:ilvl w:val="0"/>
          <w:numId w:val="77"/>
        </w:numPr>
        <w:tabs>
          <w:tab w:val="left" w:pos="851"/>
        </w:tabs>
        <w:spacing w:after="120" w:line="276" w:lineRule="auto"/>
        <w:ind w:left="851" w:hanging="284"/>
        <w:contextualSpacing/>
        <w:rPr>
          <w:rFonts w:ascii="Arial" w:eastAsia="Calibri" w:hAnsi="Arial" w:cs="Arial"/>
          <w:sz w:val="24"/>
          <w:szCs w:val="24"/>
          <w:lang w:val="en-GB"/>
        </w:rPr>
      </w:pPr>
      <w:r w:rsidRPr="000729CF">
        <w:rPr>
          <w:rFonts w:ascii="Arial" w:eastAsia="Calibri" w:hAnsi="Arial" w:cs="Arial"/>
          <w:sz w:val="24"/>
          <w:szCs w:val="24"/>
          <w:lang w:val="en-GB"/>
        </w:rPr>
        <w:t>Approval of the Minimum Revenue Provision Policy;</w:t>
      </w:r>
    </w:p>
    <w:p w14:paraId="27799EA4" w14:textId="77777777" w:rsidR="000729CF" w:rsidRPr="000729CF" w:rsidRDefault="000729CF" w:rsidP="00CE70A3">
      <w:pPr>
        <w:numPr>
          <w:ilvl w:val="0"/>
          <w:numId w:val="77"/>
        </w:numPr>
        <w:tabs>
          <w:tab w:val="left" w:pos="851"/>
        </w:tabs>
        <w:spacing w:after="120" w:line="276" w:lineRule="auto"/>
        <w:ind w:left="851" w:hanging="284"/>
        <w:contextualSpacing/>
        <w:rPr>
          <w:rFonts w:ascii="Arial" w:eastAsia="Calibri" w:hAnsi="Arial" w:cs="Arial"/>
          <w:sz w:val="24"/>
          <w:szCs w:val="24"/>
          <w:lang w:val="en-GB"/>
        </w:rPr>
      </w:pPr>
      <w:r w:rsidRPr="000729CF">
        <w:rPr>
          <w:rFonts w:ascii="Arial" w:eastAsia="Calibri" w:hAnsi="Arial" w:cs="Arial"/>
          <w:sz w:val="24"/>
          <w:szCs w:val="24"/>
          <w:lang w:val="en-GB"/>
        </w:rPr>
        <w:t>Approval of the Prudential and Treasury indicators, including the Affordable borrowing limits;</w:t>
      </w:r>
    </w:p>
    <w:p w14:paraId="7FC7C986" w14:textId="77777777" w:rsidR="000729CF" w:rsidRPr="000729CF" w:rsidRDefault="000729CF" w:rsidP="00CE70A3">
      <w:pPr>
        <w:numPr>
          <w:ilvl w:val="0"/>
          <w:numId w:val="77"/>
        </w:numPr>
        <w:tabs>
          <w:tab w:val="left" w:pos="851"/>
        </w:tabs>
        <w:spacing w:after="120" w:line="276" w:lineRule="auto"/>
        <w:ind w:left="851" w:hanging="284"/>
        <w:contextualSpacing/>
        <w:rPr>
          <w:rFonts w:ascii="Arial" w:eastAsia="Calibri" w:hAnsi="Arial" w:cs="Arial"/>
          <w:sz w:val="24"/>
          <w:szCs w:val="24"/>
          <w:lang w:val="en-GB"/>
        </w:rPr>
      </w:pPr>
      <w:r w:rsidRPr="000729CF">
        <w:rPr>
          <w:rFonts w:ascii="Arial" w:eastAsia="Calibri" w:hAnsi="Arial" w:cs="Arial"/>
          <w:sz w:val="24"/>
          <w:szCs w:val="24"/>
          <w:lang w:val="en-GB"/>
        </w:rPr>
        <w:t>Approval of the annual revenue budget for financing costs.</w:t>
      </w:r>
    </w:p>
    <w:p w14:paraId="2E8B129E" w14:textId="77777777" w:rsidR="000729CF" w:rsidRPr="000729CF" w:rsidRDefault="000729CF" w:rsidP="000729CF">
      <w:pPr>
        <w:spacing w:after="120"/>
        <w:ind w:left="567"/>
        <w:rPr>
          <w:rFonts w:ascii="Arial" w:eastAsia="Calibri" w:hAnsi="Arial" w:cs="Arial"/>
          <w:sz w:val="24"/>
          <w:szCs w:val="24"/>
          <w:lang w:val="en-GB"/>
        </w:rPr>
      </w:pPr>
      <w:r w:rsidRPr="000729CF">
        <w:rPr>
          <w:rFonts w:ascii="Arial" w:eastAsia="Calibri" w:hAnsi="Arial" w:cs="Arial"/>
          <w:sz w:val="24"/>
          <w:szCs w:val="24"/>
          <w:lang w:val="en-GB"/>
        </w:rPr>
        <w:t>The requirements are all contained within this appendix (TMSS incorporating the AIS) and Appendix 2 (Capital Strategy) of the budget report.</w:t>
      </w:r>
    </w:p>
    <w:p w14:paraId="2855F178" w14:textId="77777777" w:rsidR="000729CF" w:rsidRPr="000729CF" w:rsidRDefault="000729CF" w:rsidP="00CE70A3">
      <w:pPr>
        <w:numPr>
          <w:ilvl w:val="0"/>
          <w:numId w:val="67"/>
        </w:numPr>
        <w:tabs>
          <w:tab w:val="left" w:pos="851"/>
        </w:tabs>
        <w:spacing w:after="120" w:line="276" w:lineRule="auto"/>
        <w:ind w:left="851" w:hanging="284"/>
        <w:contextualSpacing/>
        <w:rPr>
          <w:rFonts w:ascii="Arial" w:eastAsia="Calibri" w:hAnsi="Arial" w:cs="Arial"/>
          <w:sz w:val="24"/>
          <w:szCs w:val="24"/>
          <w:lang w:val="en-GB"/>
        </w:rPr>
      </w:pPr>
      <w:r w:rsidRPr="000729CF">
        <w:rPr>
          <w:rFonts w:ascii="Arial" w:eastAsia="Calibri" w:hAnsi="Arial" w:cs="Arial"/>
          <w:sz w:val="24"/>
          <w:szCs w:val="24"/>
          <w:lang w:val="en-GB"/>
        </w:rPr>
        <w:t>Any changes to the Annual Investment Strategy during the year require approval by full Council.</w:t>
      </w:r>
    </w:p>
    <w:p w14:paraId="041D59AC" w14:textId="77777777" w:rsidR="000729CF" w:rsidRPr="000729CF" w:rsidRDefault="000729CF" w:rsidP="00CE70A3">
      <w:pPr>
        <w:numPr>
          <w:ilvl w:val="0"/>
          <w:numId w:val="67"/>
        </w:numPr>
        <w:tabs>
          <w:tab w:val="left" w:pos="851"/>
        </w:tabs>
        <w:spacing w:after="120" w:line="276" w:lineRule="auto"/>
        <w:ind w:left="851" w:hanging="284"/>
        <w:contextualSpacing/>
        <w:rPr>
          <w:rFonts w:ascii="Arial" w:eastAsia="Calibri" w:hAnsi="Arial" w:cs="Arial"/>
          <w:sz w:val="24"/>
          <w:szCs w:val="24"/>
          <w:lang w:val="en-GB"/>
        </w:rPr>
      </w:pPr>
      <w:r w:rsidRPr="000729CF">
        <w:rPr>
          <w:rFonts w:ascii="Arial" w:eastAsia="Calibri" w:hAnsi="Arial" w:cs="Arial"/>
          <w:sz w:val="24"/>
          <w:szCs w:val="24"/>
          <w:lang w:val="en-GB"/>
        </w:rPr>
        <w:t>Full Council are able to delegate the implementation and monitoring of the treasury management function. This function is delegated to the Strategy, Finance &amp; City Regeneration Committee.</w:t>
      </w:r>
    </w:p>
    <w:p w14:paraId="7505BD20" w14:textId="77777777" w:rsidR="000729CF" w:rsidRPr="000729CF" w:rsidRDefault="000729CF" w:rsidP="000729CF">
      <w:pPr>
        <w:ind w:left="1080"/>
        <w:contextualSpacing/>
        <w:rPr>
          <w:rFonts w:ascii="Arial" w:eastAsia="Calibri" w:hAnsi="Arial" w:cs="Arial"/>
          <w:b/>
          <w:sz w:val="24"/>
          <w:szCs w:val="24"/>
          <w:highlight w:val="yellow"/>
          <w:lang w:val="en-GB"/>
        </w:rPr>
      </w:pPr>
    </w:p>
    <w:p w14:paraId="783563D1" w14:textId="77777777" w:rsidR="000729CF" w:rsidRPr="000729CF" w:rsidRDefault="000729CF" w:rsidP="00CE70A3">
      <w:pPr>
        <w:numPr>
          <w:ilvl w:val="0"/>
          <w:numId w:val="76"/>
        </w:numPr>
        <w:spacing w:after="120" w:line="276" w:lineRule="auto"/>
        <w:ind w:left="567" w:hanging="567"/>
        <w:rPr>
          <w:rFonts w:ascii="Arial" w:eastAsia="Calibri" w:hAnsi="Arial" w:cs="Arial"/>
          <w:b/>
          <w:sz w:val="24"/>
          <w:szCs w:val="24"/>
          <w:lang w:val="en-GB"/>
        </w:rPr>
      </w:pPr>
      <w:r w:rsidRPr="000729CF">
        <w:rPr>
          <w:rFonts w:ascii="Arial" w:eastAsia="Calibri" w:hAnsi="Arial" w:cs="Arial"/>
          <w:b/>
          <w:sz w:val="24"/>
          <w:szCs w:val="24"/>
          <w:lang w:val="en-GB"/>
        </w:rPr>
        <w:t>Strategy, Finance &amp; City Regeneration Committee</w:t>
      </w:r>
    </w:p>
    <w:p w14:paraId="3343380C" w14:textId="77777777" w:rsidR="000729CF" w:rsidRPr="000729CF" w:rsidRDefault="000729CF" w:rsidP="00CE70A3">
      <w:pPr>
        <w:numPr>
          <w:ilvl w:val="0"/>
          <w:numId w:val="77"/>
        </w:numPr>
        <w:tabs>
          <w:tab w:val="left" w:pos="851"/>
        </w:tabs>
        <w:spacing w:after="120" w:line="276" w:lineRule="auto"/>
        <w:ind w:left="851" w:hanging="284"/>
        <w:contextualSpacing/>
        <w:rPr>
          <w:rFonts w:ascii="Arial" w:eastAsia="Calibri" w:hAnsi="Arial" w:cs="Arial"/>
          <w:sz w:val="24"/>
          <w:szCs w:val="24"/>
          <w:lang w:val="en-GB"/>
        </w:rPr>
      </w:pPr>
      <w:r w:rsidRPr="000729CF">
        <w:rPr>
          <w:rFonts w:ascii="Arial" w:eastAsia="Calibri" w:hAnsi="Arial" w:cs="Arial"/>
          <w:sz w:val="24"/>
          <w:szCs w:val="24"/>
          <w:lang w:val="en-GB"/>
        </w:rPr>
        <w:t>Approval of/amendments to the organisation’s adopted clauses, treasury management policy statement and treasury management practices;</w:t>
      </w:r>
    </w:p>
    <w:p w14:paraId="34C9E639" w14:textId="77777777" w:rsidR="000729CF" w:rsidRPr="000729CF" w:rsidRDefault="000729CF" w:rsidP="00CE70A3">
      <w:pPr>
        <w:numPr>
          <w:ilvl w:val="0"/>
          <w:numId w:val="77"/>
        </w:numPr>
        <w:tabs>
          <w:tab w:val="left" w:pos="851"/>
        </w:tabs>
        <w:spacing w:after="120" w:line="276" w:lineRule="auto"/>
        <w:ind w:left="851" w:hanging="284"/>
        <w:contextualSpacing/>
        <w:rPr>
          <w:rFonts w:ascii="Arial" w:eastAsia="Calibri" w:hAnsi="Arial" w:cs="Arial"/>
          <w:sz w:val="24"/>
          <w:szCs w:val="24"/>
          <w:lang w:val="en-GB"/>
        </w:rPr>
      </w:pPr>
      <w:r w:rsidRPr="000729CF">
        <w:rPr>
          <w:rFonts w:ascii="Arial" w:eastAsia="Calibri" w:hAnsi="Arial" w:cs="Arial"/>
          <w:sz w:val="24"/>
          <w:szCs w:val="24"/>
          <w:lang w:val="en-GB"/>
        </w:rPr>
        <w:t>Budget development, consideration and approval;</w:t>
      </w:r>
    </w:p>
    <w:p w14:paraId="4091E595" w14:textId="77777777" w:rsidR="000729CF" w:rsidRPr="000729CF" w:rsidRDefault="000729CF" w:rsidP="00CE70A3">
      <w:pPr>
        <w:numPr>
          <w:ilvl w:val="0"/>
          <w:numId w:val="77"/>
        </w:numPr>
        <w:tabs>
          <w:tab w:val="left" w:pos="851"/>
        </w:tabs>
        <w:spacing w:after="120" w:line="276" w:lineRule="auto"/>
        <w:ind w:left="851" w:hanging="284"/>
        <w:contextualSpacing/>
        <w:rPr>
          <w:rFonts w:ascii="Arial" w:eastAsia="Calibri" w:hAnsi="Arial" w:cs="Arial"/>
          <w:sz w:val="24"/>
          <w:szCs w:val="24"/>
          <w:lang w:val="en-GB"/>
        </w:rPr>
      </w:pPr>
      <w:r w:rsidRPr="000729CF">
        <w:rPr>
          <w:rFonts w:ascii="Arial" w:eastAsia="Calibri" w:hAnsi="Arial" w:cs="Arial"/>
          <w:sz w:val="24"/>
          <w:szCs w:val="24"/>
          <w:lang w:val="en-GB"/>
        </w:rPr>
        <w:t>Approval of the division of responsibilities;</w:t>
      </w:r>
    </w:p>
    <w:p w14:paraId="38216CE8" w14:textId="77777777" w:rsidR="000729CF" w:rsidRPr="000729CF" w:rsidRDefault="000729CF" w:rsidP="00CE70A3">
      <w:pPr>
        <w:numPr>
          <w:ilvl w:val="0"/>
          <w:numId w:val="77"/>
        </w:numPr>
        <w:tabs>
          <w:tab w:val="left" w:pos="851"/>
        </w:tabs>
        <w:spacing w:after="120" w:line="276" w:lineRule="auto"/>
        <w:ind w:left="851" w:hanging="284"/>
        <w:contextualSpacing/>
        <w:rPr>
          <w:rFonts w:ascii="Arial" w:eastAsia="Calibri" w:hAnsi="Arial" w:cs="Arial"/>
          <w:sz w:val="24"/>
          <w:szCs w:val="24"/>
          <w:lang w:val="en-GB"/>
        </w:rPr>
      </w:pPr>
      <w:r w:rsidRPr="000729CF">
        <w:rPr>
          <w:rFonts w:ascii="Arial" w:eastAsia="Calibri" w:hAnsi="Arial" w:cs="Arial"/>
          <w:sz w:val="24"/>
          <w:szCs w:val="24"/>
          <w:lang w:val="en-GB"/>
        </w:rPr>
        <w:t>Receiving and reviewing regular monitoring reports and acting on recommendations.</w:t>
      </w:r>
    </w:p>
    <w:p w14:paraId="755BC9B5" w14:textId="77777777" w:rsidR="000729CF" w:rsidRPr="000729CF" w:rsidRDefault="000729CF" w:rsidP="000729CF">
      <w:pPr>
        <w:spacing w:after="120"/>
        <w:ind w:left="567"/>
        <w:rPr>
          <w:rFonts w:ascii="Arial" w:eastAsia="Calibri" w:hAnsi="Arial" w:cs="Arial"/>
          <w:sz w:val="24"/>
          <w:szCs w:val="24"/>
          <w:lang w:val="en-GB"/>
        </w:rPr>
      </w:pPr>
      <w:r w:rsidRPr="000729CF">
        <w:rPr>
          <w:rFonts w:ascii="Arial" w:eastAsia="Calibri" w:hAnsi="Arial" w:cs="Arial"/>
          <w:sz w:val="24"/>
          <w:szCs w:val="24"/>
          <w:lang w:val="en-GB"/>
        </w:rPr>
        <w:t>SFCR Committee receives the following reports in order to fulfil these requirements:</w:t>
      </w:r>
    </w:p>
    <w:p w14:paraId="5D562541" w14:textId="77777777" w:rsidR="000729CF" w:rsidRPr="000729CF" w:rsidRDefault="000729CF" w:rsidP="00CE70A3">
      <w:pPr>
        <w:numPr>
          <w:ilvl w:val="0"/>
          <w:numId w:val="77"/>
        </w:numPr>
        <w:tabs>
          <w:tab w:val="left" w:pos="851"/>
        </w:tabs>
        <w:spacing w:after="120" w:line="276" w:lineRule="auto"/>
        <w:ind w:left="851" w:hanging="284"/>
        <w:rPr>
          <w:rFonts w:ascii="Arial" w:eastAsia="Calibri" w:hAnsi="Arial" w:cs="Arial"/>
          <w:sz w:val="24"/>
          <w:szCs w:val="24"/>
          <w:lang w:val="en-GB"/>
        </w:rPr>
      </w:pPr>
      <w:r w:rsidRPr="000729CF">
        <w:rPr>
          <w:rFonts w:ascii="Arial" w:eastAsia="Calibri" w:hAnsi="Arial" w:cs="Arial"/>
          <w:sz w:val="24"/>
          <w:szCs w:val="24"/>
          <w:lang w:val="en-GB"/>
        </w:rPr>
        <w:t xml:space="preserve">A </w:t>
      </w:r>
      <w:r w:rsidRPr="000729CF">
        <w:rPr>
          <w:rFonts w:ascii="Arial" w:eastAsia="Calibri" w:hAnsi="Arial" w:cs="Arial"/>
          <w:b/>
          <w:sz w:val="24"/>
          <w:szCs w:val="24"/>
          <w:lang w:val="en-GB"/>
        </w:rPr>
        <w:t>Mid-Year Review Report</w:t>
      </w:r>
      <w:r w:rsidRPr="000729CF">
        <w:rPr>
          <w:rFonts w:ascii="Arial" w:eastAsia="Calibri" w:hAnsi="Arial" w:cs="Arial"/>
          <w:sz w:val="24"/>
          <w:szCs w:val="24"/>
          <w:lang w:val="en-GB"/>
        </w:rPr>
        <w:t xml:space="preserve"> – an update on progress of the treasury and investment strategy against budget and the treasury &amp; prudential indicators for the first six months of the year. Any amendments to the indicators or investment strategy require SFCR committee to recommend that full Council approve the changes.</w:t>
      </w:r>
    </w:p>
    <w:p w14:paraId="4CE01C3C" w14:textId="77777777" w:rsidR="000729CF" w:rsidRPr="000729CF" w:rsidRDefault="000729CF" w:rsidP="00CE70A3">
      <w:pPr>
        <w:numPr>
          <w:ilvl w:val="0"/>
          <w:numId w:val="77"/>
        </w:numPr>
        <w:tabs>
          <w:tab w:val="left" w:pos="851"/>
        </w:tabs>
        <w:spacing w:after="120" w:line="276" w:lineRule="auto"/>
        <w:ind w:left="851" w:hanging="284"/>
        <w:rPr>
          <w:rFonts w:ascii="Arial" w:eastAsia="Calibri" w:hAnsi="Arial" w:cs="Arial"/>
          <w:sz w:val="24"/>
          <w:szCs w:val="24"/>
          <w:lang w:val="en-GB"/>
        </w:rPr>
      </w:pPr>
      <w:r w:rsidRPr="000729CF">
        <w:rPr>
          <w:rFonts w:ascii="Arial" w:eastAsia="Calibri" w:hAnsi="Arial" w:cs="Arial"/>
          <w:b/>
          <w:sz w:val="24"/>
          <w:szCs w:val="24"/>
          <w:lang w:val="en-GB"/>
        </w:rPr>
        <w:t>End of Year Review report</w:t>
      </w:r>
      <w:r w:rsidRPr="000729CF">
        <w:rPr>
          <w:rFonts w:ascii="Arial" w:eastAsia="Calibri" w:hAnsi="Arial" w:cs="Arial"/>
          <w:sz w:val="24"/>
          <w:szCs w:val="24"/>
          <w:lang w:val="en-GB"/>
        </w:rPr>
        <w:t xml:space="preserve"> – an update regarding the actual outturn of the treasury position provides details of a selection of actual prudential and treasury indicators and actual treasury operations compared to the estimates within the strategy.</w:t>
      </w:r>
    </w:p>
    <w:p w14:paraId="4CA7F9AC" w14:textId="77777777" w:rsidR="000729CF" w:rsidRPr="000729CF" w:rsidRDefault="000729CF" w:rsidP="00CE70A3">
      <w:pPr>
        <w:numPr>
          <w:ilvl w:val="0"/>
          <w:numId w:val="77"/>
        </w:numPr>
        <w:tabs>
          <w:tab w:val="left" w:pos="851"/>
        </w:tabs>
        <w:spacing w:after="120" w:line="276" w:lineRule="auto"/>
        <w:ind w:left="851" w:hanging="284"/>
        <w:rPr>
          <w:rFonts w:ascii="Arial" w:eastAsia="Calibri" w:hAnsi="Arial" w:cs="Arial"/>
          <w:sz w:val="24"/>
          <w:szCs w:val="24"/>
          <w:lang w:val="en-GB"/>
        </w:rPr>
      </w:pPr>
      <w:r w:rsidRPr="000729CF">
        <w:rPr>
          <w:rFonts w:ascii="Arial" w:eastAsia="Calibri" w:hAnsi="Arial" w:cs="Arial"/>
          <w:b/>
          <w:sz w:val="24"/>
          <w:szCs w:val="24"/>
          <w:lang w:val="en-GB"/>
        </w:rPr>
        <w:t>Regular TBM reports</w:t>
      </w:r>
      <w:r w:rsidRPr="000729CF">
        <w:rPr>
          <w:rFonts w:ascii="Arial" w:eastAsia="Calibri" w:hAnsi="Arial" w:cs="Arial"/>
          <w:sz w:val="24"/>
          <w:szCs w:val="24"/>
          <w:lang w:val="en-GB"/>
        </w:rPr>
        <w:t xml:space="preserve"> - includes the revenue impact of the financing cost budget.</w:t>
      </w:r>
    </w:p>
    <w:p w14:paraId="63220716" w14:textId="77777777" w:rsidR="000729CF" w:rsidRPr="000729CF" w:rsidRDefault="000729CF" w:rsidP="000729CF">
      <w:pPr>
        <w:spacing w:after="120"/>
        <w:ind w:left="567"/>
        <w:rPr>
          <w:rFonts w:ascii="Arial" w:eastAsia="Calibri" w:hAnsi="Arial" w:cs="Arial"/>
          <w:sz w:val="24"/>
          <w:szCs w:val="24"/>
          <w:lang w:val="en-GB"/>
        </w:rPr>
      </w:pPr>
      <w:r w:rsidRPr="000729CF">
        <w:rPr>
          <w:rFonts w:ascii="Arial" w:eastAsia="Calibri" w:hAnsi="Arial" w:cs="Arial"/>
          <w:sz w:val="24"/>
          <w:szCs w:val="24"/>
          <w:lang w:val="en-GB"/>
        </w:rPr>
        <w:t>SFCR Committee is the body held responsible for the scrutiny of the actual performance of the treasury activities against the strategy.</w:t>
      </w:r>
    </w:p>
    <w:p w14:paraId="2B76BB66" w14:textId="77777777" w:rsidR="000729CF" w:rsidRPr="000729CF" w:rsidRDefault="000729CF" w:rsidP="000729CF">
      <w:pPr>
        <w:ind w:left="1080"/>
        <w:rPr>
          <w:rFonts w:ascii="Arial" w:eastAsia="Calibri" w:hAnsi="Arial" w:cs="Arial"/>
          <w:sz w:val="24"/>
          <w:szCs w:val="24"/>
          <w:highlight w:val="yellow"/>
          <w:lang w:val="en-GB"/>
        </w:rPr>
      </w:pPr>
    </w:p>
    <w:p w14:paraId="04FFFAD2" w14:textId="77777777" w:rsidR="000729CF" w:rsidRPr="000729CF" w:rsidRDefault="000729CF" w:rsidP="00CE70A3">
      <w:pPr>
        <w:numPr>
          <w:ilvl w:val="0"/>
          <w:numId w:val="76"/>
        </w:numPr>
        <w:spacing w:after="120" w:line="276" w:lineRule="auto"/>
        <w:ind w:left="567" w:hanging="567"/>
        <w:rPr>
          <w:rFonts w:ascii="Arial" w:eastAsia="Calibri" w:hAnsi="Arial" w:cs="Arial"/>
          <w:b/>
          <w:sz w:val="24"/>
          <w:szCs w:val="24"/>
          <w:lang w:val="en-GB"/>
        </w:rPr>
      </w:pPr>
      <w:r w:rsidRPr="000729CF">
        <w:rPr>
          <w:rFonts w:ascii="Arial" w:eastAsia="Calibri" w:hAnsi="Arial" w:cs="Arial"/>
          <w:b/>
          <w:sz w:val="24"/>
          <w:szCs w:val="24"/>
          <w:lang w:val="en-GB"/>
        </w:rPr>
        <w:t>Role of the Section 151 Officer</w:t>
      </w:r>
    </w:p>
    <w:p w14:paraId="6B45F7B1" w14:textId="77777777" w:rsidR="000729CF" w:rsidRPr="000729CF" w:rsidRDefault="000729CF" w:rsidP="000729CF">
      <w:pPr>
        <w:spacing w:after="120"/>
        <w:ind w:left="567"/>
        <w:rPr>
          <w:rFonts w:ascii="Arial" w:eastAsia="Calibri" w:hAnsi="Arial" w:cs="Arial"/>
          <w:sz w:val="24"/>
          <w:szCs w:val="24"/>
          <w:lang w:val="en-GB"/>
        </w:rPr>
      </w:pPr>
      <w:r w:rsidRPr="000729CF">
        <w:rPr>
          <w:rFonts w:ascii="Arial" w:eastAsia="Calibri" w:hAnsi="Arial" w:cs="Arial"/>
          <w:sz w:val="24"/>
          <w:szCs w:val="24"/>
          <w:lang w:val="en-GB"/>
        </w:rPr>
        <w:t>The council’s appointed Section 151 Chief Financial Officer is responsible for:</w:t>
      </w:r>
    </w:p>
    <w:p w14:paraId="763C4459" w14:textId="77777777" w:rsidR="000729CF" w:rsidRPr="000729CF" w:rsidRDefault="000729CF" w:rsidP="00CE70A3">
      <w:pPr>
        <w:numPr>
          <w:ilvl w:val="0"/>
          <w:numId w:val="77"/>
        </w:numPr>
        <w:tabs>
          <w:tab w:val="left" w:pos="851"/>
        </w:tabs>
        <w:spacing w:after="120" w:line="276" w:lineRule="auto"/>
        <w:ind w:left="851" w:hanging="284"/>
        <w:contextualSpacing/>
        <w:rPr>
          <w:rFonts w:ascii="Arial" w:eastAsia="Calibri" w:hAnsi="Arial" w:cs="Arial"/>
          <w:sz w:val="24"/>
          <w:szCs w:val="24"/>
          <w:lang w:val="en-GB"/>
        </w:rPr>
      </w:pPr>
      <w:r w:rsidRPr="000729CF">
        <w:rPr>
          <w:rFonts w:ascii="Arial" w:eastAsia="Calibri" w:hAnsi="Arial" w:cs="Arial"/>
          <w:sz w:val="24"/>
          <w:szCs w:val="24"/>
          <w:lang w:val="en-GB"/>
        </w:rPr>
        <w:t xml:space="preserve">recommending clauses, treasury management policy/practices for approval, reviewing the same regularly, and monitoring compliance; </w:t>
      </w:r>
    </w:p>
    <w:p w14:paraId="0116FEB3" w14:textId="77777777" w:rsidR="000729CF" w:rsidRPr="000729CF" w:rsidRDefault="000729CF" w:rsidP="00CE70A3">
      <w:pPr>
        <w:numPr>
          <w:ilvl w:val="0"/>
          <w:numId w:val="77"/>
        </w:numPr>
        <w:tabs>
          <w:tab w:val="left" w:pos="851"/>
        </w:tabs>
        <w:spacing w:after="120" w:line="276" w:lineRule="auto"/>
        <w:ind w:left="851" w:hanging="284"/>
        <w:contextualSpacing/>
        <w:rPr>
          <w:rFonts w:ascii="Arial" w:eastAsia="Calibri" w:hAnsi="Arial" w:cs="Arial"/>
          <w:sz w:val="24"/>
          <w:szCs w:val="24"/>
          <w:lang w:val="en-GB"/>
        </w:rPr>
      </w:pPr>
      <w:r w:rsidRPr="000729CF">
        <w:rPr>
          <w:rFonts w:ascii="Arial" w:eastAsia="Calibri" w:hAnsi="Arial" w:cs="Arial"/>
          <w:sz w:val="24"/>
          <w:szCs w:val="24"/>
          <w:lang w:val="en-GB"/>
        </w:rPr>
        <w:t>submitting regular treasury management policy reports;</w:t>
      </w:r>
    </w:p>
    <w:p w14:paraId="6A35CFF3" w14:textId="77777777" w:rsidR="000729CF" w:rsidRPr="000729CF" w:rsidRDefault="000729CF" w:rsidP="00CE70A3">
      <w:pPr>
        <w:numPr>
          <w:ilvl w:val="0"/>
          <w:numId w:val="77"/>
        </w:numPr>
        <w:tabs>
          <w:tab w:val="left" w:pos="851"/>
        </w:tabs>
        <w:spacing w:after="120" w:line="276" w:lineRule="auto"/>
        <w:ind w:left="851" w:hanging="284"/>
        <w:contextualSpacing/>
        <w:rPr>
          <w:rFonts w:ascii="Arial" w:eastAsia="Calibri" w:hAnsi="Arial" w:cs="Arial"/>
          <w:sz w:val="24"/>
          <w:szCs w:val="24"/>
          <w:lang w:val="en-GB"/>
        </w:rPr>
      </w:pPr>
      <w:r w:rsidRPr="000729CF">
        <w:rPr>
          <w:rFonts w:ascii="Arial" w:eastAsia="Calibri" w:hAnsi="Arial" w:cs="Arial"/>
          <w:sz w:val="24"/>
          <w:szCs w:val="24"/>
          <w:lang w:val="en-GB"/>
        </w:rPr>
        <w:t xml:space="preserve">submitting budgets and budget variations; </w:t>
      </w:r>
    </w:p>
    <w:p w14:paraId="2D777C97" w14:textId="77777777" w:rsidR="000729CF" w:rsidRPr="000729CF" w:rsidRDefault="000729CF" w:rsidP="00CE70A3">
      <w:pPr>
        <w:numPr>
          <w:ilvl w:val="0"/>
          <w:numId w:val="77"/>
        </w:numPr>
        <w:tabs>
          <w:tab w:val="left" w:pos="851"/>
        </w:tabs>
        <w:spacing w:after="120" w:line="276" w:lineRule="auto"/>
        <w:ind w:left="851" w:hanging="284"/>
        <w:contextualSpacing/>
        <w:rPr>
          <w:rFonts w:ascii="Arial" w:eastAsia="Calibri" w:hAnsi="Arial" w:cs="Arial"/>
          <w:sz w:val="24"/>
          <w:szCs w:val="24"/>
          <w:lang w:val="en-GB"/>
        </w:rPr>
      </w:pPr>
      <w:r w:rsidRPr="000729CF">
        <w:rPr>
          <w:rFonts w:ascii="Arial" w:eastAsia="Calibri" w:hAnsi="Arial" w:cs="Arial"/>
          <w:sz w:val="24"/>
          <w:szCs w:val="24"/>
          <w:lang w:val="en-GB"/>
        </w:rPr>
        <w:t xml:space="preserve">receiving and reviewing management information reports; </w:t>
      </w:r>
    </w:p>
    <w:p w14:paraId="5BF36D98" w14:textId="77777777" w:rsidR="000729CF" w:rsidRPr="000729CF" w:rsidRDefault="000729CF" w:rsidP="00CE70A3">
      <w:pPr>
        <w:numPr>
          <w:ilvl w:val="0"/>
          <w:numId w:val="77"/>
        </w:numPr>
        <w:tabs>
          <w:tab w:val="left" w:pos="851"/>
        </w:tabs>
        <w:spacing w:after="120" w:line="276" w:lineRule="auto"/>
        <w:ind w:left="851" w:hanging="284"/>
        <w:contextualSpacing/>
        <w:rPr>
          <w:rFonts w:ascii="Arial" w:eastAsia="Calibri" w:hAnsi="Arial" w:cs="Arial"/>
          <w:sz w:val="24"/>
          <w:szCs w:val="24"/>
          <w:lang w:val="en-GB"/>
        </w:rPr>
      </w:pPr>
      <w:r w:rsidRPr="000729CF">
        <w:rPr>
          <w:rFonts w:ascii="Arial" w:eastAsia="Calibri" w:hAnsi="Arial" w:cs="Arial"/>
          <w:sz w:val="24"/>
          <w:szCs w:val="24"/>
          <w:lang w:val="en-GB"/>
        </w:rPr>
        <w:t xml:space="preserve">reviewing the performance of the treasury management function; </w:t>
      </w:r>
    </w:p>
    <w:p w14:paraId="24C037A9" w14:textId="77777777" w:rsidR="000729CF" w:rsidRPr="000729CF" w:rsidRDefault="000729CF" w:rsidP="00CE70A3">
      <w:pPr>
        <w:numPr>
          <w:ilvl w:val="0"/>
          <w:numId w:val="77"/>
        </w:numPr>
        <w:tabs>
          <w:tab w:val="left" w:pos="851"/>
        </w:tabs>
        <w:spacing w:after="120" w:line="276" w:lineRule="auto"/>
        <w:ind w:left="851" w:hanging="284"/>
        <w:contextualSpacing/>
        <w:rPr>
          <w:rFonts w:ascii="Arial" w:eastAsia="Calibri" w:hAnsi="Arial" w:cs="Arial"/>
          <w:sz w:val="24"/>
          <w:szCs w:val="24"/>
          <w:lang w:val="en-GB"/>
        </w:rPr>
      </w:pPr>
      <w:r w:rsidRPr="000729CF">
        <w:rPr>
          <w:rFonts w:ascii="Arial" w:eastAsia="Calibri" w:hAnsi="Arial" w:cs="Arial"/>
          <w:sz w:val="24"/>
          <w:szCs w:val="24"/>
          <w:lang w:val="en-GB"/>
        </w:rPr>
        <w:t xml:space="preserve">ensuring the adequacy of treasury management resources and skills, and the effective division of responsibilities within the treasury management function; </w:t>
      </w:r>
    </w:p>
    <w:p w14:paraId="7D242742" w14:textId="77777777" w:rsidR="000729CF" w:rsidRPr="000729CF" w:rsidRDefault="000729CF" w:rsidP="00CE70A3">
      <w:pPr>
        <w:numPr>
          <w:ilvl w:val="0"/>
          <w:numId w:val="77"/>
        </w:numPr>
        <w:tabs>
          <w:tab w:val="left" w:pos="851"/>
        </w:tabs>
        <w:spacing w:after="120" w:line="276" w:lineRule="auto"/>
        <w:ind w:left="851" w:hanging="284"/>
        <w:contextualSpacing/>
        <w:rPr>
          <w:rFonts w:ascii="Arial" w:eastAsia="Calibri" w:hAnsi="Arial" w:cs="Arial"/>
          <w:sz w:val="24"/>
          <w:szCs w:val="24"/>
          <w:lang w:val="en-GB"/>
        </w:rPr>
      </w:pPr>
      <w:r w:rsidRPr="000729CF">
        <w:rPr>
          <w:rFonts w:ascii="Arial" w:eastAsia="Calibri" w:hAnsi="Arial" w:cs="Arial"/>
          <w:sz w:val="24"/>
          <w:szCs w:val="24"/>
          <w:lang w:val="en-GB"/>
        </w:rPr>
        <w:t xml:space="preserve">ensuring the adequacy of internal audit, and liaising with external audit; </w:t>
      </w:r>
    </w:p>
    <w:p w14:paraId="6F02F926" w14:textId="77777777" w:rsidR="000729CF" w:rsidRPr="000729CF" w:rsidRDefault="000729CF" w:rsidP="00CE70A3">
      <w:pPr>
        <w:numPr>
          <w:ilvl w:val="0"/>
          <w:numId w:val="77"/>
        </w:numPr>
        <w:tabs>
          <w:tab w:val="left" w:pos="851"/>
        </w:tabs>
        <w:spacing w:after="120" w:line="276" w:lineRule="auto"/>
        <w:ind w:left="851" w:hanging="284"/>
        <w:contextualSpacing/>
        <w:rPr>
          <w:rFonts w:ascii="Arial" w:eastAsia="Calibri" w:hAnsi="Arial" w:cs="Arial"/>
          <w:sz w:val="24"/>
          <w:szCs w:val="24"/>
          <w:lang w:val="en-GB"/>
        </w:rPr>
      </w:pPr>
      <w:r w:rsidRPr="000729CF">
        <w:rPr>
          <w:rFonts w:ascii="Arial" w:eastAsia="Calibri" w:hAnsi="Arial" w:cs="Arial"/>
          <w:sz w:val="24"/>
          <w:szCs w:val="24"/>
          <w:lang w:val="en-GB"/>
        </w:rPr>
        <w:t>recommending the appointment of external service providers.</w:t>
      </w:r>
    </w:p>
    <w:p w14:paraId="601D0F7A" w14:textId="77777777" w:rsidR="000729CF" w:rsidRPr="000729CF" w:rsidRDefault="000729CF" w:rsidP="000729CF">
      <w:pPr>
        <w:spacing w:after="120"/>
        <w:ind w:left="567"/>
        <w:rPr>
          <w:rFonts w:ascii="Arial" w:eastAsia="Calibri" w:hAnsi="Arial" w:cs="Arial"/>
          <w:sz w:val="24"/>
          <w:szCs w:val="24"/>
          <w:highlight w:val="yellow"/>
          <w:lang w:val="en-GB"/>
        </w:rPr>
      </w:pPr>
      <w:r w:rsidRPr="000729CF">
        <w:rPr>
          <w:rFonts w:ascii="Arial" w:eastAsia="Calibri" w:hAnsi="Arial" w:cs="Arial"/>
          <w:sz w:val="24"/>
          <w:szCs w:val="24"/>
          <w:lang w:val="en-GB"/>
        </w:rPr>
        <w:t>There are further responsibilities for the S151 Officer identified within the 2021 Code in respect of non-financial investments. They are identified and listed in the Capital Strategy where relevant.</w:t>
      </w:r>
    </w:p>
    <w:p w14:paraId="55E7B215" w14:textId="77777777" w:rsidR="000729CF" w:rsidRPr="000729CF" w:rsidRDefault="000729CF" w:rsidP="000729CF">
      <w:pPr>
        <w:autoSpaceDE w:val="0"/>
        <w:autoSpaceDN w:val="0"/>
        <w:adjustRightInd w:val="0"/>
        <w:jc w:val="both"/>
        <w:rPr>
          <w:rFonts w:ascii="Arial" w:eastAsia="Calibri" w:hAnsi="Arial" w:cs="Arial"/>
          <w:sz w:val="24"/>
          <w:szCs w:val="24"/>
          <w:highlight w:val="yellow"/>
          <w:lang w:val="en-GB"/>
        </w:rPr>
      </w:pPr>
    </w:p>
    <w:p w14:paraId="34A7A5A6" w14:textId="77777777" w:rsidR="000729CF" w:rsidRPr="000729CF" w:rsidRDefault="000729CF" w:rsidP="000729CF">
      <w:pPr>
        <w:autoSpaceDE w:val="0"/>
        <w:autoSpaceDN w:val="0"/>
        <w:adjustRightInd w:val="0"/>
        <w:rPr>
          <w:rFonts w:ascii="Arial" w:eastAsia="Calibri" w:hAnsi="Arial" w:cs="Arial"/>
          <w:b/>
          <w:bCs/>
          <w:color w:val="000000"/>
          <w:sz w:val="24"/>
          <w:szCs w:val="24"/>
          <w:highlight w:val="yellow"/>
          <w:lang w:val="en-GB" w:eastAsia="en-GB"/>
        </w:rPr>
      </w:pPr>
    </w:p>
    <w:p w14:paraId="1E8A98DD" w14:textId="77777777" w:rsidR="000729CF" w:rsidRPr="000729CF" w:rsidRDefault="000729CF" w:rsidP="000729CF">
      <w:pPr>
        <w:autoSpaceDE w:val="0"/>
        <w:autoSpaceDN w:val="0"/>
        <w:adjustRightInd w:val="0"/>
        <w:rPr>
          <w:rFonts w:ascii="Arial" w:eastAsia="Calibri" w:hAnsi="Arial" w:cs="Arial"/>
          <w:b/>
          <w:bCs/>
          <w:color w:val="000000"/>
          <w:sz w:val="24"/>
          <w:szCs w:val="24"/>
          <w:highlight w:val="yellow"/>
          <w:lang w:val="en-GB" w:eastAsia="en-GB"/>
        </w:rPr>
      </w:pPr>
    </w:p>
    <w:p w14:paraId="5BDBE7AE" w14:textId="77777777" w:rsidR="000729CF" w:rsidRDefault="000729CF" w:rsidP="009B058F">
      <w:pPr>
        <w:rPr>
          <w:rFonts w:ascii="Arial" w:hAnsi="Arial" w:cs="Arial"/>
          <w:sz w:val="24"/>
          <w:szCs w:val="24"/>
          <w:lang w:val="en-GB"/>
        </w:rPr>
        <w:sectPr w:rsidR="000729CF" w:rsidSect="0066752A">
          <w:pgSz w:w="11906" w:h="16838"/>
          <w:pgMar w:top="1560" w:right="1134" w:bottom="851" w:left="1134" w:header="709" w:footer="709" w:gutter="0"/>
          <w:cols w:space="708"/>
          <w:docGrid w:linePitch="360"/>
        </w:sectPr>
      </w:pPr>
    </w:p>
    <w:p w14:paraId="5B5D0D8F" w14:textId="77777777" w:rsidR="000729CF" w:rsidRPr="000729CF" w:rsidRDefault="000729CF" w:rsidP="000729CF">
      <w:pPr>
        <w:spacing w:before="120" w:after="120"/>
        <w:rPr>
          <w:rFonts w:ascii="Arial" w:eastAsia="Calibri" w:hAnsi="Arial" w:cs="Arial"/>
          <w:b/>
          <w:sz w:val="24"/>
          <w:szCs w:val="24"/>
          <w:lang w:val="en-GB"/>
        </w:rPr>
      </w:pPr>
      <w:r w:rsidRPr="000729CF">
        <w:rPr>
          <w:rFonts w:ascii="Arial" w:eastAsia="Calibri" w:hAnsi="Arial" w:cs="Arial"/>
          <w:b/>
          <w:sz w:val="24"/>
          <w:szCs w:val="24"/>
          <w:lang w:val="en-GB"/>
        </w:rPr>
        <w:t>Review of Reserves</w:t>
      </w:r>
    </w:p>
    <w:p w14:paraId="1BDE079C" w14:textId="77777777" w:rsidR="000729CF" w:rsidRPr="000729CF" w:rsidRDefault="000729CF" w:rsidP="000729CF">
      <w:pPr>
        <w:spacing w:before="120" w:after="120"/>
        <w:rPr>
          <w:rFonts w:ascii="Arial" w:eastAsia="Calibri" w:hAnsi="Arial" w:cs="Arial"/>
          <w:b/>
          <w:i/>
          <w:sz w:val="24"/>
          <w:szCs w:val="24"/>
          <w:lang w:val="en-GB"/>
        </w:rPr>
      </w:pPr>
      <w:r w:rsidRPr="000729CF">
        <w:rPr>
          <w:rFonts w:ascii="Arial" w:eastAsia="Calibri" w:hAnsi="Arial" w:cs="Arial"/>
          <w:b/>
          <w:i/>
          <w:sz w:val="24"/>
          <w:szCs w:val="24"/>
          <w:lang w:val="en-GB"/>
        </w:rPr>
        <w:t>Adequacy of Reserves and Working Balance</w:t>
      </w:r>
    </w:p>
    <w:p w14:paraId="2FD6AB4A" w14:textId="77777777" w:rsidR="000729CF" w:rsidRPr="000729CF" w:rsidRDefault="000729CF" w:rsidP="000729CF">
      <w:pPr>
        <w:spacing w:before="120" w:after="120"/>
        <w:rPr>
          <w:rFonts w:ascii="Arial" w:eastAsia="Calibri" w:hAnsi="Arial" w:cs="Arial"/>
          <w:sz w:val="24"/>
          <w:szCs w:val="24"/>
          <w:lang w:val="en-GB"/>
        </w:rPr>
      </w:pPr>
      <w:r w:rsidRPr="000729CF">
        <w:rPr>
          <w:rFonts w:ascii="Arial" w:eastAsia="Calibri" w:hAnsi="Arial" w:cs="Arial"/>
          <w:sz w:val="24"/>
          <w:szCs w:val="24"/>
          <w:lang w:val="en-GB"/>
        </w:rPr>
        <w:t xml:space="preserve">The working balance is recommended to be maintained at £9m over the period of the Medium Term Financial Strategy. The consequences of not keeping a minimum prudent level of balances can be serious and in the event of a major problem or a series of events, the council would run a serious risk of a deficit or of being forced to cut spending during the year in a potentially damaging and arbitrary way. The working balance was used to fund the 2022/23 General Fund overspend and therefore replenishing it is a high priority and this will be completed over the next 3 financial years. The budget for 2024/25 includes a first year repayment of £1.125m. </w:t>
      </w:r>
    </w:p>
    <w:p w14:paraId="5975F186" w14:textId="77777777" w:rsidR="000729CF" w:rsidRPr="000729CF" w:rsidRDefault="000729CF" w:rsidP="000729CF">
      <w:pPr>
        <w:spacing w:before="120" w:after="120"/>
        <w:rPr>
          <w:rFonts w:ascii="Arial" w:eastAsia="Calibri" w:hAnsi="Arial" w:cs="Arial"/>
          <w:sz w:val="24"/>
          <w:szCs w:val="24"/>
          <w:lang w:val="en-GB"/>
        </w:rPr>
      </w:pPr>
      <w:r w:rsidRPr="000729CF">
        <w:rPr>
          <w:rFonts w:ascii="Arial" w:eastAsia="Calibri" w:hAnsi="Arial" w:cs="Arial"/>
          <w:sz w:val="24"/>
          <w:szCs w:val="24"/>
          <w:lang w:val="en-GB"/>
        </w:rPr>
        <w:t>The current level of balances has been based on the robustness of estimates information and the Corporate Risk Register. In addition, the other strategic, operational and financial risks taken into account when considering the minimum level of the working balance include:</w:t>
      </w:r>
    </w:p>
    <w:p w14:paraId="1CBF9200" w14:textId="77777777" w:rsidR="000729CF" w:rsidRPr="000729CF" w:rsidRDefault="000729CF" w:rsidP="00CE70A3">
      <w:pPr>
        <w:numPr>
          <w:ilvl w:val="0"/>
          <w:numId w:val="95"/>
        </w:numPr>
        <w:spacing w:before="80" w:after="8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The level of mitigation against the ongoing financial impacts of the pandemic;</w:t>
      </w:r>
    </w:p>
    <w:p w14:paraId="7C50C830" w14:textId="77777777" w:rsidR="000729CF" w:rsidRPr="000729CF" w:rsidRDefault="000729CF" w:rsidP="00CE70A3">
      <w:pPr>
        <w:numPr>
          <w:ilvl w:val="0"/>
          <w:numId w:val="95"/>
        </w:numPr>
        <w:spacing w:before="80" w:after="8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The complexity and degree of uncertainty associated with planned economy and efficiency measures and/or service changes and the likelihood of achieving them in full;</w:t>
      </w:r>
    </w:p>
    <w:p w14:paraId="421CD080" w14:textId="77777777" w:rsidR="000729CF" w:rsidRPr="000729CF" w:rsidRDefault="000729CF" w:rsidP="00CE70A3">
      <w:pPr>
        <w:numPr>
          <w:ilvl w:val="0"/>
          <w:numId w:val="95"/>
        </w:numPr>
        <w:spacing w:before="80" w:after="8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 xml:space="preserve">The level of balances required to complement resources potentially available under the </w:t>
      </w:r>
      <w:proofErr w:type="spellStart"/>
      <w:r w:rsidRPr="000729CF">
        <w:rPr>
          <w:rFonts w:ascii="Arial" w:eastAsia="Calibri" w:hAnsi="Arial" w:cs="Arial"/>
          <w:sz w:val="24"/>
          <w:szCs w:val="24"/>
          <w:lang w:val="en-GB"/>
        </w:rPr>
        <w:t>Bellwin</w:t>
      </w:r>
      <w:proofErr w:type="spellEnd"/>
      <w:r w:rsidRPr="000729CF">
        <w:rPr>
          <w:rFonts w:ascii="Arial" w:eastAsia="Calibri" w:hAnsi="Arial" w:cs="Arial"/>
          <w:sz w:val="24"/>
          <w:szCs w:val="24"/>
          <w:lang w:val="en-GB"/>
        </w:rPr>
        <w:t xml:space="preserve"> Scheme for Emergency Financial Assistance to Local Authorities in the event of a major emergency;</w:t>
      </w:r>
    </w:p>
    <w:p w14:paraId="66778A1A" w14:textId="77777777" w:rsidR="000729CF" w:rsidRPr="000729CF" w:rsidRDefault="000729CF" w:rsidP="00CE70A3">
      <w:pPr>
        <w:numPr>
          <w:ilvl w:val="0"/>
          <w:numId w:val="95"/>
        </w:numPr>
        <w:spacing w:before="80" w:after="8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Risks of rising demand, increasing costs and/or falling income due to economic conditions or potential legislative changes;</w:t>
      </w:r>
    </w:p>
    <w:p w14:paraId="12F9EBDA" w14:textId="77777777" w:rsidR="000729CF" w:rsidRPr="000729CF" w:rsidRDefault="000729CF" w:rsidP="00CE70A3">
      <w:pPr>
        <w:numPr>
          <w:ilvl w:val="0"/>
          <w:numId w:val="95"/>
        </w:numPr>
        <w:spacing w:before="80" w:after="8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The risk of major legal challenges, both current and in the future;</w:t>
      </w:r>
    </w:p>
    <w:p w14:paraId="18D9CCF6" w14:textId="77777777" w:rsidR="000729CF" w:rsidRPr="000729CF" w:rsidRDefault="000729CF" w:rsidP="00CE70A3">
      <w:pPr>
        <w:numPr>
          <w:ilvl w:val="0"/>
          <w:numId w:val="95"/>
        </w:numPr>
        <w:spacing w:before="80" w:after="8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Risks in the financial inter-relationship between NHS partners and the council;</w:t>
      </w:r>
    </w:p>
    <w:p w14:paraId="7698A6C5" w14:textId="77777777" w:rsidR="000729CF" w:rsidRPr="000729CF" w:rsidRDefault="000729CF" w:rsidP="00CE70A3">
      <w:pPr>
        <w:numPr>
          <w:ilvl w:val="0"/>
          <w:numId w:val="95"/>
        </w:numPr>
        <w:spacing w:before="80" w:after="8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The need to retain a general contingency to provide against unforeseen circumstances that may arise, for example, delays in council tax billing which could arise from a major systems or power outage;</w:t>
      </w:r>
    </w:p>
    <w:p w14:paraId="5942D69D" w14:textId="77777777" w:rsidR="000729CF" w:rsidRPr="000729CF" w:rsidRDefault="000729CF" w:rsidP="00CE70A3">
      <w:pPr>
        <w:numPr>
          <w:ilvl w:val="0"/>
          <w:numId w:val="95"/>
        </w:numPr>
        <w:spacing w:before="80" w:after="80" w:line="276" w:lineRule="auto"/>
        <w:ind w:left="709" w:hanging="709"/>
        <w:rPr>
          <w:rFonts w:ascii="Arial" w:eastAsia="Calibri" w:hAnsi="Arial" w:cs="Arial"/>
          <w:sz w:val="24"/>
          <w:szCs w:val="24"/>
          <w:lang w:val="en-GB"/>
        </w:rPr>
      </w:pPr>
      <w:r w:rsidRPr="000729CF">
        <w:rPr>
          <w:rFonts w:ascii="Arial" w:eastAsia="Calibri" w:hAnsi="Arial" w:cs="Arial"/>
          <w:sz w:val="24"/>
          <w:szCs w:val="24"/>
          <w:lang w:val="en-GB"/>
        </w:rPr>
        <w:t>The need to retain reserves for general day-to-day cash flow needs.</w:t>
      </w:r>
    </w:p>
    <w:p w14:paraId="74303965" w14:textId="77777777" w:rsidR="000729CF" w:rsidRPr="000729CF" w:rsidRDefault="000729CF" w:rsidP="000729CF">
      <w:pPr>
        <w:spacing w:before="120" w:after="120"/>
        <w:rPr>
          <w:rFonts w:ascii="Arial" w:eastAsia="Calibri" w:hAnsi="Arial" w:cs="Arial"/>
          <w:sz w:val="24"/>
          <w:szCs w:val="24"/>
          <w:lang w:val="en-GB"/>
        </w:rPr>
      </w:pPr>
      <w:r w:rsidRPr="000729CF">
        <w:rPr>
          <w:rFonts w:ascii="Arial" w:eastAsia="Calibri" w:hAnsi="Arial" w:cs="Arial"/>
          <w:sz w:val="24"/>
          <w:szCs w:val="24"/>
          <w:lang w:val="en-GB"/>
        </w:rPr>
        <w:t>In addition, the cash flow risk for unitary authorities is significant given the full range of services provided. Taking all of these factors into account, a £9m working balance is considered the minimum appropriate, representing about 2.5 weeks of council tax revenue.</w:t>
      </w:r>
    </w:p>
    <w:p w14:paraId="7916DB43" w14:textId="77777777" w:rsidR="000729CF" w:rsidRPr="000729CF" w:rsidRDefault="000729CF" w:rsidP="000729CF">
      <w:pPr>
        <w:spacing w:before="120" w:after="120"/>
        <w:rPr>
          <w:rFonts w:ascii="Arial" w:eastAsia="Calibri" w:hAnsi="Arial" w:cs="Arial"/>
          <w:b/>
          <w:i/>
          <w:sz w:val="24"/>
          <w:szCs w:val="24"/>
          <w:lang w:val="en-GB"/>
        </w:rPr>
      </w:pPr>
      <w:r w:rsidRPr="000729CF">
        <w:rPr>
          <w:rFonts w:ascii="Arial" w:eastAsia="Calibri" w:hAnsi="Arial" w:cs="Arial"/>
          <w:b/>
          <w:i/>
          <w:sz w:val="24"/>
          <w:szCs w:val="24"/>
          <w:lang w:val="en-GB"/>
        </w:rPr>
        <w:t>Schools’ Balances</w:t>
      </w:r>
    </w:p>
    <w:p w14:paraId="7CE6980A" w14:textId="77777777" w:rsidR="000729CF" w:rsidRPr="000729CF" w:rsidRDefault="000729CF" w:rsidP="000729CF">
      <w:pPr>
        <w:spacing w:before="120" w:after="120"/>
        <w:rPr>
          <w:rFonts w:ascii="Arial" w:eastAsia="Calibri" w:hAnsi="Arial" w:cs="Arial"/>
          <w:sz w:val="24"/>
          <w:szCs w:val="24"/>
          <w:lang w:val="en-GB"/>
        </w:rPr>
      </w:pPr>
      <w:r w:rsidRPr="000729CF">
        <w:rPr>
          <w:rFonts w:ascii="Arial" w:eastAsia="Calibri" w:hAnsi="Arial" w:cs="Arial"/>
          <w:sz w:val="24"/>
          <w:szCs w:val="24"/>
          <w:lang w:val="en-GB"/>
        </w:rPr>
        <w:t>Schools’ balances, while consolidated into the council’ s overall accounts, are a matter for Governing Bodies.  Nevertheless, under the council’s Scheme for Financing Schools the council has a duty to scrutinise whether any school holds surplus balances. The council’s Scheme for Financing Schools is in line with the requirements of the Secretary of State for Education and the arrangements in place are considered adequate.</w:t>
      </w:r>
    </w:p>
    <w:p w14:paraId="3563BDD5" w14:textId="77777777" w:rsidR="000729CF" w:rsidRPr="000729CF" w:rsidRDefault="000729CF" w:rsidP="000729CF">
      <w:pPr>
        <w:spacing w:before="120" w:after="120"/>
        <w:rPr>
          <w:rFonts w:ascii="Arial" w:eastAsia="Calibri" w:hAnsi="Arial" w:cs="Arial"/>
          <w:b/>
          <w:i/>
          <w:sz w:val="24"/>
          <w:szCs w:val="24"/>
          <w:lang w:val="en-GB"/>
        </w:rPr>
      </w:pPr>
      <w:r w:rsidRPr="000729CF">
        <w:rPr>
          <w:rFonts w:ascii="Arial" w:eastAsia="Calibri" w:hAnsi="Arial" w:cs="Arial"/>
          <w:b/>
          <w:i/>
          <w:sz w:val="24"/>
          <w:szCs w:val="24"/>
          <w:lang w:val="en-GB"/>
        </w:rPr>
        <w:t>Estimated Earmarked General Fund Revenue Reserves</w:t>
      </w:r>
    </w:p>
    <w:p w14:paraId="4E765424" w14:textId="77777777" w:rsidR="000729CF" w:rsidRPr="000729CF" w:rsidRDefault="000729CF" w:rsidP="000729CF">
      <w:pPr>
        <w:spacing w:before="120" w:after="120"/>
        <w:rPr>
          <w:rFonts w:ascii="Arial" w:eastAsia="Calibri" w:hAnsi="Arial" w:cs="Arial"/>
          <w:sz w:val="24"/>
          <w:szCs w:val="24"/>
          <w:lang w:val="en-GB"/>
        </w:rPr>
      </w:pPr>
      <w:r w:rsidRPr="000729CF">
        <w:rPr>
          <w:rFonts w:ascii="Arial" w:eastAsia="Calibri" w:hAnsi="Arial" w:cs="Arial"/>
          <w:sz w:val="24"/>
          <w:szCs w:val="24"/>
          <w:lang w:val="en-GB"/>
        </w:rPr>
        <w:t xml:space="preserve">Processes are in place to regularly review the council’s earmarked revenue reserves. Details of the review of reserves are included in the table below. </w:t>
      </w:r>
    </w:p>
    <w:p w14:paraId="2C86D906" w14:textId="77777777" w:rsidR="000729CF" w:rsidRPr="000729CF" w:rsidRDefault="000729CF" w:rsidP="000729CF">
      <w:pPr>
        <w:spacing w:before="120" w:after="120"/>
        <w:rPr>
          <w:rFonts w:ascii="Arial" w:eastAsia="Calibri" w:hAnsi="Arial" w:cs="Arial"/>
          <w:sz w:val="24"/>
          <w:szCs w:val="24"/>
          <w:lang w:val="en-GB"/>
        </w:rPr>
      </w:pPr>
      <w:r w:rsidRPr="000729CF">
        <w:rPr>
          <w:rFonts w:ascii="Arial" w:eastAsia="Calibri" w:hAnsi="Arial" w:cs="Arial"/>
          <w:sz w:val="24"/>
          <w:szCs w:val="24"/>
          <w:lang w:val="en-GB"/>
        </w:rPr>
        <w:t>The Chief Finance Officer is required, under Section 25 of the LG Act 2003, to review the adequacy of reserves and provisions. The review of reserves assesses the purpose and appropriateness of holding a reserve or provision and assesses the level of the reserve against identified risks and commitments. Following the review, £0.545m can be released from the following reserves in 2024/25:</w:t>
      </w:r>
    </w:p>
    <w:p w14:paraId="4C407CE4" w14:textId="77777777" w:rsidR="000729CF" w:rsidRPr="000729CF" w:rsidRDefault="000729CF" w:rsidP="000729CF">
      <w:pPr>
        <w:spacing w:before="120" w:after="120"/>
        <w:rPr>
          <w:rFonts w:ascii="Arial" w:eastAsia="Calibri" w:hAnsi="Arial" w:cs="Arial"/>
          <w:sz w:val="24"/>
          <w:szCs w:val="24"/>
          <w:lang w:val="en-GB"/>
        </w:rPr>
      </w:pPr>
    </w:p>
    <w:tbl>
      <w:tblPr>
        <w:tblStyle w:val="TableGrid"/>
        <w:tblW w:w="0" w:type="auto"/>
        <w:tblLook w:val="04A0" w:firstRow="1" w:lastRow="0" w:firstColumn="1" w:lastColumn="0" w:noHBand="0" w:noVBand="1"/>
      </w:tblPr>
      <w:tblGrid>
        <w:gridCol w:w="7225"/>
        <w:gridCol w:w="1791"/>
      </w:tblGrid>
      <w:tr w:rsidR="000729CF" w:rsidRPr="000729CF" w14:paraId="30FE2B69" w14:textId="77777777" w:rsidTr="000729CF">
        <w:trPr>
          <w:trHeight w:val="1044"/>
        </w:trPr>
        <w:tc>
          <w:tcPr>
            <w:tcW w:w="7225" w:type="dxa"/>
            <w:shd w:val="clear" w:color="auto" w:fill="D9D9D9"/>
            <w:vAlign w:val="bottom"/>
          </w:tcPr>
          <w:p w14:paraId="61041C21"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Reserve</w:t>
            </w:r>
          </w:p>
        </w:tc>
        <w:tc>
          <w:tcPr>
            <w:tcW w:w="1791" w:type="dxa"/>
            <w:shd w:val="clear" w:color="auto" w:fill="D9D9D9"/>
            <w:vAlign w:val="bottom"/>
          </w:tcPr>
          <w:p w14:paraId="75B80E01" w14:textId="77777777" w:rsidR="000729CF" w:rsidRPr="000729CF" w:rsidRDefault="000729CF" w:rsidP="000729CF">
            <w:pPr>
              <w:jc w:val="center"/>
              <w:rPr>
                <w:rFonts w:ascii="Arial" w:eastAsia="Calibri" w:hAnsi="Arial" w:cs="Arial"/>
                <w:b/>
                <w:bCs/>
                <w:sz w:val="24"/>
                <w:szCs w:val="24"/>
              </w:rPr>
            </w:pPr>
            <w:r w:rsidRPr="000729CF">
              <w:rPr>
                <w:rFonts w:ascii="Arial" w:eastAsia="Calibri" w:hAnsi="Arial" w:cs="Arial"/>
                <w:b/>
                <w:bCs/>
                <w:sz w:val="24"/>
                <w:szCs w:val="24"/>
              </w:rPr>
              <w:t>Amount to be Released £’000</w:t>
            </w:r>
          </w:p>
        </w:tc>
      </w:tr>
      <w:tr w:rsidR="000729CF" w:rsidRPr="000729CF" w14:paraId="0B41C7C9" w14:textId="77777777" w:rsidTr="00BC26AB">
        <w:trPr>
          <w:trHeight w:val="20"/>
        </w:trPr>
        <w:tc>
          <w:tcPr>
            <w:tcW w:w="7225" w:type="dxa"/>
          </w:tcPr>
          <w:p w14:paraId="21D4161E"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Section 106 Interest</w:t>
            </w:r>
          </w:p>
        </w:tc>
        <w:tc>
          <w:tcPr>
            <w:tcW w:w="1791" w:type="dxa"/>
            <w:vAlign w:val="center"/>
          </w:tcPr>
          <w:p w14:paraId="60612E80" w14:textId="77777777" w:rsidR="000729CF" w:rsidRPr="000729CF" w:rsidRDefault="000729CF" w:rsidP="000729CF">
            <w:pPr>
              <w:jc w:val="right"/>
              <w:rPr>
                <w:rFonts w:ascii="Arial" w:eastAsia="Calibri" w:hAnsi="Arial" w:cs="Arial"/>
                <w:sz w:val="24"/>
                <w:szCs w:val="24"/>
              </w:rPr>
            </w:pPr>
            <w:r w:rsidRPr="000729CF">
              <w:rPr>
                <w:rFonts w:ascii="Arial" w:eastAsia="Calibri" w:hAnsi="Arial" w:cs="Arial"/>
                <w:sz w:val="24"/>
                <w:szCs w:val="24"/>
              </w:rPr>
              <w:t>500</w:t>
            </w:r>
          </w:p>
        </w:tc>
      </w:tr>
      <w:tr w:rsidR="000729CF" w:rsidRPr="000729CF" w14:paraId="006E64ED" w14:textId="77777777" w:rsidTr="00BC26AB">
        <w:trPr>
          <w:trHeight w:val="20"/>
        </w:trPr>
        <w:tc>
          <w:tcPr>
            <w:tcW w:w="7225" w:type="dxa"/>
          </w:tcPr>
          <w:p w14:paraId="759A10FB"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Customer Access &amp; Accommodation Strategies &amp; The Link Network Upgrade Reserve</w:t>
            </w:r>
          </w:p>
        </w:tc>
        <w:tc>
          <w:tcPr>
            <w:tcW w:w="1791" w:type="dxa"/>
          </w:tcPr>
          <w:p w14:paraId="328A5868" w14:textId="77777777" w:rsidR="000729CF" w:rsidRPr="000729CF" w:rsidRDefault="000729CF" w:rsidP="000729CF">
            <w:pPr>
              <w:jc w:val="right"/>
              <w:rPr>
                <w:rFonts w:ascii="Arial" w:eastAsia="Calibri" w:hAnsi="Arial" w:cs="Arial"/>
                <w:sz w:val="24"/>
                <w:szCs w:val="24"/>
              </w:rPr>
            </w:pPr>
            <w:r w:rsidRPr="000729CF">
              <w:rPr>
                <w:rFonts w:ascii="Arial" w:eastAsia="Calibri" w:hAnsi="Arial" w:cs="Arial"/>
                <w:sz w:val="24"/>
                <w:szCs w:val="24"/>
              </w:rPr>
              <w:t>25</w:t>
            </w:r>
          </w:p>
        </w:tc>
      </w:tr>
      <w:tr w:rsidR="000729CF" w:rsidRPr="000729CF" w14:paraId="7E9B3DE7" w14:textId="77777777" w:rsidTr="00BC26AB">
        <w:trPr>
          <w:trHeight w:val="20"/>
        </w:trPr>
        <w:tc>
          <w:tcPr>
            <w:tcW w:w="7225" w:type="dxa"/>
          </w:tcPr>
          <w:p w14:paraId="26229517"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Portslade Adult Learning</w:t>
            </w:r>
          </w:p>
        </w:tc>
        <w:tc>
          <w:tcPr>
            <w:tcW w:w="1791" w:type="dxa"/>
            <w:vAlign w:val="center"/>
          </w:tcPr>
          <w:p w14:paraId="17BE67A7" w14:textId="77777777" w:rsidR="000729CF" w:rsidRPr="000729CF" w:rsidRDefault="000729CF" w:rsidP="000729CF">
            <w:pPr>
              <w:jc w:val="right"/>
              <w:rPr>
                <w:rFonts w:ascii="Arial" w:eastAsia="Calibri" w:hAnsi="Arial" w:cs="Arial"/>
                <w:sz w:val="24"/>
                <w:szCs w:val="24"/>
              </w:rPr>
            </w:pPr>
            <w:r w:rsidRPr="000729CF">
              <w:rPr>
                <w:rFonts w:ascii="Arial" w:eastAsia="Calibri" w:hAnsi="Arial" w:cs="Arial"/>
                <w:sz w:val="24"/>
                <w:szCs w:val="24"/>
              </w:rPr>
              <w:t>20</w:t>
            </w:r>
          </w:p>
        </w:tc>
      </w:tr>
      <w:tr w:rsidR="000729CF" w:rsidRPr="000729CF" w14:paraId="5FC2B824" w14:textId="77777777" w:rsidTr="00BC26AB">
        <w:trPr>
          <w:trHeight w:val="20"/>
        </w:trPr>
        <w:tc>
          <w:tcPr>
            <w:tcW w:w="7225" w:type="dxa"/>
          </w:tcPr>
          <w:p w14:paraId="24A2D360"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Total Reserves to be released</w:t>
            </w:r>
          </w:p>
        </w:tc>
        <w:tc>
          <w:tcPr>
            <w:tcW w:w="1791" w:type="dxa"/>
            <w:vAlign w:val="center"/>
          </w:tcPr>
          <w:p w14:paraId="1593BCE7" w14:textId="77777777" w:rsidR="000729CF" w:rsidRPr="000729CF" w:rsidRDefault="000729CF" w:rsidP="000729CF">
            <w:pPr>
              <w:jc w:val="right"/>
              <w:rPr>
                <w:rFonts w:ascii="Arial" w:eastAsia="Calibri" w:hAnsi="Arial" w:cs="Arial"/>
                <w:b/>
                <w:bCs/>
                <w:sz w:val="24"/>
                <w:szCs w:val="24"/>
              </w:rPr>
            </w:pPr>
            <w:r w:rsidRPr="000729CF">
              <w:rPr>
                <w:rFonts w:ascii="Arial" w:eastAsia="Calibri" w:hAnsi="Arial" w:cs="Arial"/>
                <w:b/>
                <w:bCs/>
                <w:sz w:val="24"/>
                <w:szCs w:val="24"/>
              </w:rPr>
              <w:t>545</w:t>
            </w:r>
          </w:p>
        </w:tc>
      </w:tr>
    </w:tbl>
    <w:p w14:paraId="4C1F2F32" w14:textId="77777777" w:rsidR="000729CF" w:rsidRPr="000729CF" w:rsidRDefault="000729CF" w:rsidP="000729CF">
      <w:pPr>
        <w:spacing w:before="120" w:after="120"/>
        <w:rPr>
          <w:rFonts w:ascii="Arial" w:eastAsia="Calibri" w:hAnsi="Arial" w:cs="Arial"/>
          <w:sz w:val="24"/>
          <w:szCs w:val="24"/>
          <w:lang w:val="en-GB"/>
        </w:rPr>
      </w:pPr>
    </w:p>
    <w:p w14:paraId="63625D24" w14:textId="77777777" w:rsidR="000729CF" w:rsidRPr="000729CF" w:rsidRDefault="000729CF" w:rsidP="000729CF">
      <w:pPr>
        <w:spacing w:after="200" w:line="276" w:lineRule="auto"/>
        <w:rPr>
          <w:rFonts w:ascii="Arial" w:eastAsia="Calibri" w:hAnsi="Arial" w:cs="Arial"/>
          <w:sz w:val="24"/>
          <w:szCs w:val="24"/>
          <w:lang w:val="en-GB"/>
        </w:rPr>
        <w:sectPr w:rsidR="000729CF" w:rsidRPr="000729CF" w:rsidSect="000729CF">
          <w:headerReference w:type="default" r:id="rId31"/>
          <w:pgSz w:w="11906" w:h="16838"/>
          <w:pgMar w:top="1440" w:right="1440" w:bottom="1440" w:left="1440" w:header="709" w:footer="709" w:gutter="0"/>
          <w:cols w:space="708"/>
          <w:docGrid w:linePitch="360"/>
        </w:sectPr>
      </w:pPr>
    </w:p>
    <w:p w14:paraId="4F9C0EF6" w14:textId="77777777" w:rsidR="000729CF" w:rsidRPr="000729CF" w:rsidRDefault="000729CF" w:rsidP="000729CF">
      <w:pPr>
        <w:spacing w:after="200" w:line="276" w:lineRule="auto"/>
        <w:rPr>
          <w:rFonts w:ascii="Arial" w:eastAsia="Calibri" w:hAnsi="Arial" w:cs="Arial"/>
          <w:sz w:val="24"/>
          <w:szCs w:val="24"/>
          <w:lang w:val="en-GB"/>
        </w:rPr>
      </w:pPr>
    </w:p>
    <w:tbl>
      <w:tblPr>
        <w:tblW w:w="5000" w:type="pct"/>
        <w:tblLayout w:type="fixed"/>
        <w:tblLook w:val="04A0" w:firstRow="1" w:lastRow="0" w:firstColumn="1" w:lastColumn="0" w:noHBand="0" w:noVBand="1"/>
      </w:tblPr>
      <w:tblGrid>
        <w:gridCol w:w="1838"/>
        <w:gridCol w:w="1276"/>
        <w:gridCol w:w="1134"/>
        <w:gridCol w:w="1276"/>
        <w:gridCol w:w="1701"/>
        <w:gridCol w:w="3231"/>
      </w:tblGrid>
      <w:tr w:rsidR="000729CF" w:rsidRPr="000729CF" w14:paraId="306FD775" w14:textId="77777777" w:rsidTr="00BC26AB">
        <w:trPr>
          <w:trHeight w:val="1035"/>
          <w:tblHeader/>
        </w:trPr>
        <w:tc>
          <w:tcPr>
            <w:tcW w:w="183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0F6C7E3" w14:textId="77777777" w:rsidR="000729CF" w:rsidRPr="000729CF" w:rsidRDefault="000729CF" w:rsidP="000729CF">
            <w:pPr>
              <w:jc w:val="center"/>
              <w:rPr>
                <w:rFonts w:ascii="Arial" w:hAnsi="Arial" w:cs="Arial"/>
                <w:color w:val="FFFFFF"/>
                <w:lang w:val="en-GB" w:eastAsia="en-GB"/>
              </w:rPr>
            </w:pPr>
            <w:r w:rsidRPr="000729CF">
              <w:rPr>
                <w:rFonts w:ascii="Arial" w:hAnsi="Arial" w:cs="Arial"/>
                <w:color w:val="FFFFFF"/>
                <w:lang w:val="en-GB" w:eastAsia="en-GB"/>
              </w:rPr>
              <w:t> </w:t>
            </w:r>
          </w:p>
        </w:tc>
        <w:tc>
          <w:tcPr>
            <w:tcW w:w="1276" w:type="dxa"/>
            <w:tcBorders>
              <w:top w:val="single" w:sz="4" w:space="0" w:color="auto"/>
              <w:left w:val="nil"/>
              <w:bottom w:val="single" w:sz="4" w:space="0" w:color="auto"/>
              <w:right w:val="single" w:sz="4" w:space="0" w:color="auto"/>
            </w:tcBorders>
            <w:shd w:val="clear" w:color="000000" w:fill="BFBFBF"/>
            <w:vAlign w:val="bottom"/>
            <w:hideMark/>
          </w:tcPr>
          <w:p w14:paraId="065F251D" w14:textId="77777777" w:rsidR="000729CF" w:rsidRPr="000729CF" w:rsidRDefault="000729CF" w:rsidP="000729CF">
            <w:pPr>
              <w:jc w:val="center"/>
              <w:rPr>
                <w:rFonts w:ascii="Arial" w:hAnsi="Arial" w:cs="Arial"/>
                <w:b/>
                <w:bCs/>
                <w:lang w:val="en-GB" w:eastAsia="en-GB"/>
              </w:rPr>
            </w:pPr>
            <w:r w:rsidRPr="000729CF">
              <w:rPr>
                <w:rFonts w:ascii="Arial" w:hAnsi="Arial" w:cs="Arial"/>
                <w:b/>
                <w:bCs/>
                <w:lang w:val="en-GB" w:eastAsia="en-GB"/>
              </w:rPr>
              <w:t>Estimated Balance as at 01/04/24 £'000</w:t>
            </w:r>
          </w:p>
        </w:tc>
        <w:tc>
          <w:tcPr>
            <w:tcW w:w="1134" w:type="dxa"/>
            <w:tcBorders>
              <w:top w:val="single" w:sz="4" w:space="0" w:color="auto"/>
              <w:left w:val="nil"/>
              <w:bottom w:val="single" w:sz="4" w:space="0" w:color="auto"/>
              <w:right w:val="single" w:sz="4" w:space="0" w:color="auto"/>
            </w:tcBorders>
            <w:shd w:val="clear" w:color="000000" w:fill="BFBFBF"/>
            <w:vAlign w:val="bottom"/>
            <w:hideMark/>
          </w:tcPr>
          <w:p w14:paraId="0B1F6E41" w14:textId="77777777" w:rsidR="000729CF" w:rsidRPr="000729CF" w:rsidRDefault="000729CF" w:rsidP="000729CF">
            <w:pPr>
              <w:jc w:val="center"/>
              <w:rPr>
                <w:rFonts w:ascii="Arial" w:hAnsi="Arial" w:cs="Arial"/>
                <w:b/>
                <w:bCs/>
                <w:lang w:val="en-GB" w:eastAsia="en-GB"/>
              </w:rPr>
            </w:pPr>
            <w:r w:rsidRPr="000729CF">
              <w:rPr>
                <w:rFonts w:ascii="Arial" w:hAnsi="Arial" w:cs="Arial"/>
                <w:b/>
                <w:bCs/>
                <w:lang w:val="en-GB" w:eastAsia="en-GB"/>
              </w:rPr>
              <w:t>Planned Use 2024/25    £'000</w:t>
            </w:r>
          </w:p>
        </w:tc>
        <w:tc>
          <w:tcPr>
            <w:tcW w:w="1276" w:type="dxa"/>
            <w:tcBorders>
              <w:top w:val="single" w:sz="4" w:space="0" w:color="auto"/>
              <w:left w:val="nil"/>
              <w:bottom w:val="single" w:sz="4" w:space="0" w:color="auto"/>
              <w:right w:val="single" w:sz="4" w:space="0" w:color="auto"/>
            </w:tcBorders>
            <w:shd w:val="clear" w:color="000000" w:fill="BFBFBF"/>
            <w:vAlign w:val="bottom"/>
            <w:hideMark/>
          </w:tcPr>
          <w:p w14:paraId="4FD5673D" w14:textId="77777777" w:rsidR="000729CF" w:rsidRPr="000729CF" w:rsidRDefault="000729CF" w:rsidP="000729CF">
            <w:pPr>
              <w:jc w:val="center"/>
              <w:rPr>
                <w:rFonts w:ascii="Arial" w:hAnsi="Arial" w:cs="Arial"/>
                <w:b/>
                <w:bCs/>
                <w:lang w:val="en-GB" w:eastAsia="en-GB"/>
              </w:rPr>
            </w:pPr>
            <w:r w:rsidRPr="000729CF">
              <w:rPr>
                <w:rFonts w:ascii="Arial" w:hAnsi="Arial" w:cs="Arial"/>
                <w:b/>
                <w:bCs/>
                <w:lang w:val="en-GB" w:eastAsia="en-GB"/>
              </w:rPr>
              <w:t>Estimated Balance as at 31/03/25 £'000</w:t>
            </w:r>
          </w:p>
        </w:tc>
        <w:tc>
          <w:tcPr>
            <w:tcW w:w="1701" w:type="dxa"/>
            <w:tcBorders>
              <w:top w:val="single" w:sz="4" w:space="0" w:color="auto"/>
              <w:left w:val="nil"/>
              <w:bottom w:val="single" w:sz="4" w:space="0" w:color="auto"/>
              <w:right w:val="single" w:sz="4" w:space="0" w:color="auto"/>
            </w:tcBorders>
            <w:shd w:val="clear" w:color="000000" w:fill="BFBFBF"/>
            <w:vAlign w:val="bottom"/>
            <w:hideMark/>
          </w:tcPr>
          <w:p w14:paraId="48E66EC5" w14:textId="77777777" w:rsidR="000729CF" w:rsidRPr="000729CF" w:rsidRDefault="000729CF" w:rsidP="000729CF">
            <w:pPr>
              <w:jc w:val="center"/>
              <w:rPr>
                <w:rFonts w:ascii="Arial" w:hAnsi="Arial" w:cs="Arial"/>
                <w:b/>
                <w:bCs/>
                <w:lang w:val="en-GB" w:eastAsia="en-GB"/>
              </w:rPr>
            </w:pPr>
            <w:r w:rsidRPr="000729CF">
              <w:rPr>
                <w:rFonts w:ascii="Arial" w:hAnsi="Arial" w:cs="Arial"/>
                <w:b/>
                <w:bCs/>
                <w:lang w:val="en-GB" w:eastAsia="en-GB"/>
              </w:rPr>
              <w:t>Review Arrangements</w:t>
            </w:r>
          </w:p>
        </w:tc>
        <w:tc>
          <w:tcPr>
            <w:tcW w:w="3231" w:type="dxa"/>
            <w:tcBorders>
              <w:top w:val="single" w:sz="4" w:space="0" w:color="auto"/>
              <w:left w:val="nil"/>
              <w:bottom w:val="single" w:sz="4" w:space="0" w:color="auto"/>
              <w:right w:val="single" w:sz="4" w:space="0" w:color="auto"/>
            </w:tcBorders>
            <w:shd w:val="clear" w:color="000000" w:fill="BFBFBF"/>
            <w:vAlign w:val="bottom"/>
            <w:hideMark/>
          </w:tcPr>
          <w:p w14:paraId="4B344CB7" w14:textId="77777777" w:rsidR="000729CF" w:rsidRPr="000729CF" w:rsidRDefault="000729CF" w:rsidP="000729CF">
            <w:pPr>
              <w:jc w:val="center"/>
              <w:rPr>
                <w:rFonts w:ascii="Arial" w:hAnsi="Arial" w:cs="Arial"/>
                <w:b/>
                <w:bCs/>
                <w:lang w:val="en-GB" w:eastAsia="en-GB"/>
              </w:rPr>
            </w:pPr>
            <w:r w:rsidRPr="000729CF">
              <w:rPr>
                <w:rFonts w:ascii="Arial" w:hAnsi="Arial" w:cs="Arial"/>
                <w:b/>
                <w:bCs/>
                <w:lang w:val="en-GB" w:eastAsia="en-GB"/>
              </w:rPr>
              <w:t>Conclusion</w:t>
            </w:r>
          </w:p>
        </w:tc>
      </w:tr>
      <w:tr w:rsidR="000729CF" w:rsidRPr="000729CF" w14:paraId="770FCF1C" w14:textId="77777777" w:rsidTr="00BC26AB">
        <w:trPr>
          <w:trHeight w:val="255"/>
        </w:trPr>
        <w:tc>
          <w:tcPr>
            <w:tcW w:w="10456" w:type="dxa"/>
            <w:gridSpan w:val="6"/>
            <w:tcBorders>
              <w:top w:val="single" w:sz="4" w:space="0" w:color="auto"/>
              <w:left w:val="single" w:sz="4" w:space="0" w:color="auto"/>
              <w:bottom w:val="single" w:sz="4" w:space="0" w:color="auto"/>
              <w:right w:val="single" w:sz="4" w:space="0" w:color="auto"/>
            </w:tcBorders>
            <w:shd w:val="clear" w:color="000000" w:fill="000000"/>
            <w:vAlign w:val="center"/>
            <w:hideMark/>
          </w:tcPr>
          <w:p w14:paraId="4DA96836" w14:textId="77777777" w:rsidR="000729CF" w:rsidRPr="000729CF" w:rsidRDefault="000729CF" w:rsidP="000729CF">
            <w:pPr>
              <w:rPr>
                <w:rFonts w:ascii="Arial" w:hAnsi="Arial" w:cs="Arial"/>
                <w:b/>
                <w:bCs/>
                <w:color w:val="FFFFFF"/>
                <w:lang w:val="en-GB" w:eastAsia="en-GB"/>
              </w:rPr>
            </w:pPr>
            <w:r w:rsidRPr="000729CF">
              <w:rPr>
                <w:rFonts w:ascii="Arial" w:hAnsi="Arial" w:cs="Arial"/>
                <w:b/>
                <w:bCs/>
                <w:color w:val="FFFFFF"/>
                <w:lang w:val="en-GB" w:eastAsia="en-GB"/>
              </w:rPr>
              <w:t>General Fund Reserves</w:t>
            </w:r>
          </w:p>
        </w:tc>
      </w:tr>
      <w:tr w:rsidR="000729CF" w:rsidRPr="000729CF" w14:paraId="788350DA" w14:textId="77777777" w:rsidTr="00BC26AB">
        <w:trPr>
          <w:trHeight w:val="2436"/>
        </w:trPr>
        <w:tc>
          <w:tcPr>
            <w:tcW w:w="1838" w:type="dxa"/>
            <w:tcBorders>
              <w:top w:val="nil"/>
              <w:left w:val="single" w:sz="4" w:space="0" w:color="auto"/>
              <w:bottom w:val="single" w:sz="4" w:space="0" w:color="auto"/>
              <w:right w:val="single" w:sz="4" w:space="0" w:color="auto"/>
            </w:tcBorders>
            <w:shd w:val="clear" w:color="auto" w:fill="auto"/>
            <w:hideMark/>
          </w:tcPr>
          <w:p w14:paraId="348949CD"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General Fund Working Balance/General Reserves</w:t>
            </w:r>
          </w:p>
        </w:tc>
        <w:tc>
          <w:tcPr>
            <w:tcW w:w="1276" w:type="dxa"/>
            <w:tcBorders>
              <w:top w:val="nil"/>
              <w:left w:val="nil"/>
              <w:bottom w:val="single" w:sz="4" w:space="0" w:color="auto"/>
              <w:right w:val="single" w:sz="4" w:space="0" w:color="auto"/>
            </w:tcBorders>
            <w:shd w:val="clear" w:color="auto" w:fill="auto"/>
            <w:noWrap/>
            <w:hideMark/>
          </w:tcPr>
          <w:p w14:paraId="11E11538"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5,624</w:t>
            </w:r>
          </w:p>
        </w:tc>
        <w:tc>
          <w:tcPr>
            <w:tcW w:w="1134" w:type="dxa"/>
            <w:tcBorders>
              <w:top w:val="nil"/>
              <w:left w:val="nil"/>
              <w:bottom w:val="single" w:sz="4" w:space="0" w:color="auto"/>
              <w:right w:val="single" w:sz="4" w:space="0" w:color="auto"/>
            </w:tcBorders>
            <w:shd w:val="clear" w:color="auto" w:fill="auto"/>
            <w:noWrap/>
            <w:hideMark/>
          </w:tcPr>
          <w:p w14:paraId="02F7AD5C"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1,125</w:t>
            </w:r>
          </w:p>
        </w:tc>
        <w:tc>
          <w:tcPr>
            <w:tcW w:w="1276" w:type="dxa"/>
            <w:tcBorders>
              <w:top w:val="nil"/>
              <w:left w:val="nil"/>
              <w:bottom w:val="single" w:sz="4" w:space="0" w:color="auto"/>
              <w:right w:val="single" w:sz="4" w:space="0" w:color="auto"/>
            </w:tcBorders>
            <w:shd w:val="clear" w:color="auto" w:fill="auto"/>
            <w:noWrap/>
            <w:hideMark/>
          </w:tcPr>
          <w:p w14:paraId="72C255BF"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6,749</w:t>
            </w:r>
          </w:p>
        </w:tc>
        <w:tc>
          <w:tcPr>
            <w:tcW w:w="1701" w:type="dxa"/>
            <w:tcBorders>
              <w:top w:val="nil"/>
              <w:left w:val="nil"/>
              <w:bottom w:val="single" w:sz="4" w:space="0" w:color="auto"/>
              <w:right w:val="single" w:sz="4" w:space="0" w:color="auto"/>
            </w:tcBorders>
            <w:shd w:val="clear" w:color="auto" w:fill="auto"/>
            <w:hideMark/>
          </w:tcPr>
          <w:p w14:paraId="24606A7D"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Reviewed against the register of financial risks, taking into account the requirements of the Local Government Act 2003.</w:t>
            </w:r>
          </w:p>
        </w:tc>
        <w:tc>
          <w:tcPr>
            <w:tcW w:w="3231" w:type="dxa"/>
            <w:tcBorders>
              <w:top w:val="nil"/>
              <w:left w:val="nil"/>
              <w:bottom w:val="single" w:sz="4" w:space="0" w:color="auto"/>
              <w:right w:val="single" w:sz="4" w:space="0" w:color="auto"/>
            </w:tcBorders>
            <w:shd w:val="clear" w:color="auto" w:fill="auto"/>
            <w:hideMark/>
          </w:tcPr>
          <w:p w14:paraId="21E20FC2"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A minimum working balance of £9.000m is recommended by the Chief Finance Officer in accordance with the requirements of Section 25 of the Local Government Act 2003. The Working Balance is being replenished over three years with the first repayment included in the 2024/25 budget.</w:t>
            </w:r>
          </w:p>
        </w:tc>
      </w:tr>
      <w:tr w:rsidR="000729CF" w:rsidRPr="000729CF" w14:paraId="58A9BF1A" w14:textId="77777777" w:rsidTr="00BC26AB">
        <w:trPr>
          <w:trHeight w:val="1266"/>
        </w:trPr>
        <w:tc>
          <w:tcPr>
            <w:tcW w:w="1838" w:type="dxa"/>
            <w:tcBorders>
              <w:top w:val="nil"/>
              <w:left w:val="single" w:sz="4" w:space="0" w:color="auto"/>
              <w:bottom w:val="single" w:sz="4" w:space="0" w:color="auto"/>
              <w:right w:val="single" w:sz="4" w:space="0" w:color="auto"/>
            </w:tcBorders>
            <w:shd w:val="clear" w:color="auto" w:fill="auto"/>
            <w:hideMark/>
          </w:tcPr>
          <w:p w14:paraId="60C1B10E"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Capital Receipts Reserve</w:t>
            </w:r>
          </w:p>
        </w:tc>
        <w:tc>
          <w:tcPr>
            <w:tcW w:w="1276" w:type="dxa"/>
            <w:tcBorders>
              <w:top w:val="nil"/>
              <w:left w:val="nil"/>
              <w:bottom w:val="single" w:sz="4" w:space="0" w:color="auto"/>
              <w:right w:val="single" w:sz="4" w:space="0" w:color="auto"/>
            </w:tcBorders>
            <w:shd w:val="clear" w:color="auto" w:fill="auto"/>
            <w:noWrap/>
            <w:hideMark/>
          </w:tcPr>
          <w:p w14:paraId="01B25BA7"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2,720</w:t>
            </w:r>
          </w:p>
        </w:tc>
        <w:tc>
          <w:tcPr>
            <w:tcW w:w="1134" w:type="dxa"/>
            <w:tcBorders>
              <w:top w:val="nil"/>
              <w:left w:val="nil"/>
              <w:bottom w:val="single" w:sz="4" w:space="0" w:color="auto"/>
              <w:right w:val="single" w:sz="4" w:space="0" w:color="auto"/>
            </w:tcBorders>
            <w:shd w:val="clear" w:color="auto" w:fill="auto"/>
            <w:noWrap/>
            <w:hideMark/>
          </w:tcPr>
          <w:p w14:paraId="3272C8EC"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4,524</w:t>
            </w:r>
          </w:p>
        </w:tc>
        <w:tc>
          <w:tcPr>
            <w:tcW w:w="1276" w:type="dxa"/>
            <w:tcBorders>
              <w:top w:val="nil"/>
              <w:left w:val="nil"/>
              <w:bottom w:val="single" w:sz="4" w:space="0" w:color="auto"/>
              <w:right w:val="single" w:sz="4" w:space="0" w:color="auto"/>
            </w:tcBorders>
            <w:shd w:val="clear" w:color="auto" w:fill="auto"/>
            <w:noWrap/>
            <w:hideMark/>
          </w:tcPr>
          <w:p w14:paraId="7892C280"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7,244</w:t>
            </w:r>
          </w:p>
        </w:tc>
        <w:tc>
          <w:tcPr>
            <w:tcW w:w="1701" w:type="dxa"/>
            <w:tcBorders>
              <w:top w:val="nil"/>
              <w:left w:val="nil"/>
              <w:bottom w:val="single" w:sz="4" w:space="0" w:color="auto"/>
              <w:right w:val="single" w:sz="4" w:space="0" w:color="auto"/>
            </w:tcBorders>
            <w:shd w:val="clear" w:color="auto" w:fill="auto"/>
            <w:hideMark/>
          </w:tcPr>
          <w:p w14:paraId="313CA542"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Ongoing review as part of TBM process.</w:t>
            </w:r>
          </w:p>
        </w:tc>
        <w:tc>
          <w:tcPr>
            <w:tcW w:w="3231" w:type="dxa"/>
            <w:tcBorders>
              <w:top w:val="nil"/>
              <w:left w:val="nil"/>
              <w:bottom w:val="single" w:sz="4" w:space="0" w:color="auto"/>
              <w:right w:val="single" w:sz="4" w:space="0" w:color="auto"/>
            </w:tcBorders>
            <w:shd w:val="clear" w:color="auto" w:fill="auto"/>
            <w:hideMark/>
          </w:tcPr>
          <w:p w14:paraId="7E9C9915"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Committed to fund the Capital Investment programme including HRA Capital Programme and support for the council's modernisation investment plans.</w:t>
            </w:r>
          </w:p>
        </w:tc>
      </w:tr>
      <w:tr w:rsidR="000729CF" w:rsidRPr="000729CF" w14:paraId="3305EABF" w14:textId="77777777" w:rsidTr="00BC26AB">
        <w:trPr>
          <w:trHeight w:val="1002"/>
        </w:trPr>
        <w:tc>
          <w:tcPr>
            <w:tcW w:w="1838" w:type="dxa"/>
            <w:tcBorders>
              <w:top w:val="nil"/>
              <w:left w:val="single" w:sz="4" w:space="0" w:color="auto"/>
              <w:bottom w:val="single" w:sz="4" w:space="0" w:color="auto"/>
              <w:right w:val="single" w:sz="4" w:space="0" w:color="auto"/>
            </w:tcBorders>
            <w:shd w:val="clear" w:color="auto" w:fill="auto"/>
            <w:hideMark/>
          </w:tcPr>
          <w:p w14:paraId="031527AF"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Library PFI Reserve</w:t>
            </w:r>
          </w:p>
        </w:tc>
        <w:tc>
          <w:tcPr>
            <w:tcW w:w="1276" w:type="dxa"/>
            <w:tcBorders>
              <w:top w:val="nil"/>
              <w:left w:val="nil"/>
              <w:bottom w:val="single" w:sz="4" w:space="0" w:color="auto"/>
              <w:right w:val="single" w:sz="4" w:space="0" w:color="auto"/>
            </w:tcBorders>
            <w:shd w:val="clear" w:color="auto" w:fill="auto"/>
            <w:noWrap/>
            <w:hideMark/>
          </w:tcPr>
          <w:p w14:paraId="5DA012E1"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825</w:t>
            </w:r>
          </w:p>
        </w:tc>
        <w:tc>
          <w:tcPr>
            <w:tcW w:w="1134" w:type="dxa"/>
            <w:tcBorders>
              <w:top w:val="nil"/>
              <w:left w:val="nil"/>
              <w:bottom w:val="single" w:sz="4" w:space="0" w:color="auto"/>
              <w:right w:val="single" w:sz="4" w:space="0" w:color="auto"/>
            </w:tcBorders>
            <w:shd w:val="clear" w:color="auto" w:fill="auto"/>
            <w:noWrap/>
            <w:hideMark/>
          </w:tcPr>
          <w:p w14:paraId="61012552"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-158</w:t>
            </w:r>
          </w:p>
        </w:tc>
        <w:tc>
          <w:tcPr>
            <w:tcW w:w="1276" w:type="dxa"/>
            <w:tcBorders>
              <w:top w:val="nil"/>
              <w:left w:val="nil"/>
              <w:bottom w:val="single" w:sz="4" w:space="0" w:color="auto"/>
              <w:right w:val="single" w:sz="4" w:space="0" w:color="auto"/>
            </w:tcBorders>
            <w:shd w:val="clear" w:color="auto" w:fill="auto"/>
            <w:noWrap/>
            <w:hideMark/>
          </w:tcPr>
          <w:p w14:paraId="040194A2"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667</w:t>
            </w:r>
          </w:p>
        </w:tc>
        <w:tc>
          <w:tcPr>
            <w:tcW w:w="1701" w:type="dxa"/>
            <w:tcBorders>
              <w:top w:val="nil"/>
              <w:left w:val="nil"/>
              <w:bottom w:val="single" w:sz="4" w:space="0" w:color="auto"/>
              <w:right w:val="single" w:sz="4" w:space="0" w:color="auto"/>
            </w:tcBorders>
            <w:shd w:val="clear" w:color="auto" w:fill="auto"/>
            <w:hideMark/>
          </w:tcPr>
          <w:p w14:paraId="4BAFB629"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Following closure of accounts.</w:t>
            </w:r>
          </w:p>
        </w:tc>
        <w:tc>
          <w:tcPr>
            <w:tcW w:w="3231" w:type="dxa"/>
            <w:tcBorders>
              <w:top w:val="nil"/>
              <w:left w:val="nil"/>
              <w:bottom w:val="single" w:sz="4" w:space="0" w:color="auto"/>
              <w:right w:val="single" w:sz="4" w:space="0" w:color="auto"/>
            </w:tcBorders>
            <w:shd w:val="clear" w:color="auto" w:fill="auto"/>
            <w:hideMark/>
          </w:tcPr>
          <w:p w14:paraId="2EEC1C49"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Use for funding the project over the lifetime of the PFI scheme. Expected to be increased contributions from reserves, due to inflationary pressures. Contributions to the reserve may be required in future years.</w:t>
            </w:r>
          </w:p>
        </w:tc>
      </w:tr>
      <w:tr w:rsidR="000729CF" w:rsidRPr="000729CF" w14:paraId="57F61405" w14:textId="77777777" w:rsidTr="00BC26AB">
        <w:trPr>
          <w:trHeight w:val="1492"/>
        </w:trPr>
        <w:tc>
          <w:tcPr>
            <w:tcW w:w="1838" w:type="dxa"/>
            <w:tcBorders>
              <w:top w:val="nil"/>
              <w:left w:val="single" w:sz="4" w:space="0" w:color="auto"/>
              <w:bottom w:val="single" w:sz="4" w:space="0" w:color="auto"/>
              <w:right w:val="single" w:sz="4" w:space="0" w:color="auto"/>
            </w:tcBorders>
            <w:shd w:val="clear" w:color="auto" w:fill="auto"/>
            <w:hideMark/>
          </w:tcPr>
          <w:p w14:paraId="050B6D25"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Waste PFI Project Reserve</w:t>
            </w:r>
          </w:p>
        </w:tc>
        <w:tc>
          <w:tcPr>
            <w:tcW w:w="1276" w:type="dxa"/>
            <w:tcBorders>
              <w:top w:val="nil"/>
              <w:left w:val="nil"/>
              <w:bottom w:val="single" w:sz="4" w:space="0" w:color="auto"/>
              <w:right w:val="single" w:sz="4" w:space="0" w:color="auto"/>
            </w:tcBorders>
            <w:shd w:val="clear" w:color="auto" w:fill="auto"/>
            <w:noWrap/>
            <w:hideMark/>
          </w:tcPr>
          <w:p w14:paraId="2266CA0F"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7,463</w:t>
            </w:r>
          </w:p>
        </w:tc>
        <w:tc>
          <w:tcPr>
            <w:tcW w:w="1134" w:type="dxa"/>
            <w:tcBorders>
              <w:top w:val="nil"/>
              <w:left w:val="nil"/>
              <w:bottom w:val="single" w:sz="4" w:space="0" w:color="auto"/>
              <w:right w:val="single" w:sz="4" w:space="0" w:color="auto"/>
            </w:tcBorders>
            <w:shd w:val="clear" w:color="auto" w:fill="auto"/>
            <w:noWrap/>
            <w:hideMark/>
          </w:tcPr>
          <w:p w14:paraId="5C625BF8"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-266</w:t>
            </w:r>
          </w:p>
        </w:tc>
        <w:tc>
          <w:tcPr>
            <w:tcW w:w="1276" w:type="dxa"/>
            <w:tcBorders>
              <w:top w:val="nil"/>
              <w:left w:val="nil"/>
              <w:bottom w:val="single" w:sz="4" w:space="0" w:color="auto"/>
              <w:right w:val="single" w:sz="4" w:space="0" w:color="auto"/>
            </w:tcBorders>
            <w:shd w:val="clear" w:color="auto" w:fill="auto"/>
            <w:noWrap/>
            <w:hideMark/>
          </w:tcPr>
          <w:p w14:paraId="446F0D9D"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7,197</w:t>
            </w:r>
          </w:p>
        </w:tc>
        <w:tc>
          <w:tcPr>
            <w:tcW w:w="1701" w:type="dxa"/>
            <w:tcBorders>
              <w:top w:val="nil"/>
              <w:left w:val="nil"/>
              <w:bottom w:val="single" w:sz="4" w:space="0" w:color="auto"/>
              <w:right w:val="single" w:sz="4" w:space="0" w:color="auto"/>
            </w:tcBorders>
            <w:shd w:val="clear" w:color="auto" w:fill="auto"/>
            <w:hideMark/>
          </w:tcPr>
          <w:p w14:paraId="736A15AD"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Following closure of accounts.</w:t>
            </w:r>
          </w:p>
        </w:tc>
        <w:tc>
          <w:tcPr>
            <w:tcW w:w="3231" w:type="dxa"/>
            <w:tcBorders>
              <w:top w:val="nil"/>
              <w:left w:val="nil"/>
              <w:bottom w:val="single" w:sz="4" w:space="0" w:color="auto"/>
              <w:right w:val="single" w:sz="4" w:space="0" w:color="auto"/>
            </w:tcBorders>
            <w:shd w:val="clear" w:color="auto" w:fill="auto"/>
            <w:hideMark/>
          </w:tcPr>
          <w:p w14:paraId="47CE7F4A"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Use for funding the project over the lifetime of the PFI. This reserve has been used to fund the Term Time only costs and will be replenished in time to meet existing Waste PFI commitments.</w:t>
            </w:r>
          </w:p>
        </w:tc>
      </w:tr>
      <w:tr w:rsidR="000729CF" w:rsidRPr="000729CF" w14:paraId="2AF49647" w14:textId="77777777" w:rsidTr="00BC26AB">
        <w:trPr>
          <w:trHeight w:val="1400"/>
        </w:trPr>
        <w:tc>
          <w:tcPr>
            <w:tcW w:w="1838" w:type="dxa"/>
            <w:tcBorders>
              <w:top w:val="nil"/>
              <w:left w:val="single" w:sz="4" w:space="0" w:color="auto"/>
              <w:bottom w:val="single" w:sz="4" w:space="0" w:color="auto"/>
              <w:right w:val="single" w:sz="4" w:space="0" w:color="auto"/>
            </w:tcBorders>
            <w:shd w:val="clear" w:color="auto" w:fill="auto"/>
            <w:hideMark/>
          </w:tcPr>
          <w:p w14:paraId="166AF15D"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Section 106 Receipts (Revenue)</w:t>
            </w:r>
          </w:p>
        </w:tc>
        <w:tc>
          <w:tcPr>
            <w:tcW w:w="1276" w:type="dxa"/>
            <w:tcBorders>
              <w:top w:val="nil"/>
              <w:left w:val="nil"/>
              <w:bottom w:val="single" w:sz="4" w:space="0" w:color="auto"/>
              <w:right w:val="single" w:sz="4" w:space="0" w:color="auto"/>
            </w:tcBorders>
            <w:shd w:val="clear" w:color="auto" w:fill="auto"/>
            <w:noWrap/>
            <w:hideMark/>
          </w:tcPr>
          <w:p w14:paraId="1FBA45B1"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608</w:t>
            </w:r>
          </w:p>
        </w:tc>
        <w:tc>
          <w:tcPr>
            <w:tcW w:w="1134" w:type="dxa"/>
            <w:tcBorders>
              <w:top w:val="nil"/>
              <w:left w:val="nil"/>
              <w:bottom w:val="single" w:sz="4" w:space="0" w:color="auto"/>
              <w:right w:val="single" w:sz="4" w:space="0" w:color="auto"/>
            </w:tcBorders>
            <w:shd w:val="clear" w:color="auto" w:fill="auto"/>
            <w:noWrap/>
            <w:hideMark/>
          </w:tcPr>
          <w:p w14:paraId="48106706"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0</w:t>
            </w:r>
          </w:p>
        </w:tc>
        <w:tc>
          <w:tcPr>
            <w:tcW w:w="1276" w:type="dxa"/>
            <w:tcBorders>
              <w:top w:val="nil"/>
              <w:left w:val="nil"/>
              <w:bottom w:val="single" w:sz="4" w:space="0" w:color="auto"/>
              <w:right w:val="single" w:sz="4" w:space="0" w:color="auto"/>
            </w:tcBorders>
            <w:shd w:val="clear" w:color="auto" w:fill="auto"/>
            <w:noWrap/>
            <w:hideMark/>
          </w:tcPr>
          <w:p w14:paraId="384D3536"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608</w:t>
            </w:r>
          </w:p>
        </w:tc>
        <w:tc>
          <w:tcPr>
            <w:tcW w:w="1701" w:type="dxa"/>
            <w:tcBorders>
              <w:top w:val="nil"/>
              <w:left w:val="nil"/>
              <w:bottom w:val="single" w:sz="4" w:space="0" w:color="auto"/>
              <w:right w:val="single" w:sz="4" w:space="0" w:color="auto"/>
            </w:tcBorders>
            <w:shd w:val="clear" w:color="auto" w:fill="auto"/>
            <w:hideMark/>
          </w:tcPr>
          <w:p w14:paraId="04FF1EE7"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Reviewed throughout the year to reflect agreed liabilities and new agreements.</w:t>
            </w:r>
          </w:p>
        </w:tc>
        <w:tc>
          <w:tcPr>
            <w:tcW w:w="3231" w:type="dxa"/>
            <w:tcBorders>
              <w:top w:val="nil"/>
              <w:left w:val="nil"/>
              <w:bottom w:val="single" w:sz="4" w:space="0" w:color="auto"/>
              <w:right w:val="single" w:sz="4" w:space="0" w:color="auto"/>
            </w:tcBorders>
            <w:shd w:val="clear" w:color="auto" w:fill="auto"/>
            <w:hideMark/>
          </w:tcPr>
          <w:p w14:paraId="4A5145EE"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Retain for specified purpose.</w:t>
            </w:r>
          </w:p>
        </w:tc>
      </w:tr>
      <w:tr w:rsidR="000729CF" w:rsidRPr="000729CF" w14:paraId="2561D7AC" w14:textId="77777777" w:rsidTr="00BC26AB">
        <w:trPr>
          <w:trHeight w:val="1002"/>
        </w:trPr>
        <w:tc>
          <w:tcPr>
            <w:tcW w:w="1838" w:type="dxa"/>
            <w:tcBorders>
              <w:top w:val="nil"/>
              <w:left w:val="single" w:sz="4" w:space="0" w:color="auto"/>
              <w:bottom w:val="single" w:sz="4" w:space="0" w:color="auto"/>
              <w:right w:val="single" w:sz="4" w:space="0" w:color="auto"/>
            </w:tcBorders>
            <w:shd w:val="clear" w:color="auto" w:fill="auto"/>
            <w:hideMark/>
          </w:tcPr>
          <w:p w14:paraId="0435DAF8"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Section 106 Interest</w:t>
            </w:r>
          </w:p>
        </w:tc>
        <w:tc>
          <w:tcPr>
            <w:tcW w:w="1276" w:type="dxa"/>
            <w:tcBorders>
              <w:top w:val="nil"/>
              <w:left w:val="nil"/>
              <w:bottom w:val="single" w:sz="4" w:space="0" w:color="auto"/>
              <w:right w:val="single" w:sz="4" w:space="0" w:color="auto"/>
            </w:tcBorders>
            <w:shd w:val="clear" w:color="auto" w:fill="auto"/>
            <w:noWrap/>
            <w:hideMark/>
          </w:tcPr>
          <w:p w14:paraId="211DFFE9"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531</w:t>
            </w:r>
          </w:p>
        </w:tc>
        <w:tc>
          <w:tcPr>
            <w:tcW w:w="1134" w:type="dxa"/>
            <w:tcBorders>
              <w:top w:val="nil"/>
              <w:left w:val="nil"/>
              <w:bottom w:val="single" w:sz="4" w:space="0" w:color="auto"/>
              <w:right w:val="single" w:sz="4" w:space="0" w:color="auto"/>
            </w:tcBorders>
            <w:shd w:val="clear" w:color="auto" w:fill="auto"/>
            <w:noWrap/>
            <w:hideMark/>
          </w:tcPr>
          <w:p w14:paraId="16EF60BE"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-31</w:t>
            </w:r>
          </w:p>
        </w:tc>
        <w:tc>
          <w:tcPr>
            <w:tcW w:w="1276" w:type="dxa"/>
            <w:tcBorders>
              <w:top w:val="nil"/>
              <w:left w:val="nil"/>
              <w:bottom w:val="single" w:sz="4" w:space="0" w:color="auto"/>
              <w:right w:val="single" w:sz="4" w:space="0" w:color="auto"/>
            </w:tcBorders>
            <w:shd w:val="clear" w:color="auto" w:fill="auto"/>
            <w:noWrap/>
            <w:hideMark/>
          </w:tcPr>
          <w:p w14:paraId="785F1D5B"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500</w:t>
            </w:r>
          </w:p>
        </w:tc>
        <w:tc>
          <w:tcPr>
            <w:tcW w:w="1701" w:type="dxa"/>
            <w:tcBorders>
              <w:top w:val="nil"/>
              <w:left w:val="nil"/>
              <w:bottom w:val="single" w:sz="4" w:space="0" w:color="auto"/>
              <w:right w:val="single" w:sz="4" w:space="0" w:color="auto"/>
            </w:tcBorders>
            <w:shd w:val="clear" w:color="auto" w:fill="auto"/>
            <w:hideMark/>
          </w:tcPr>
          <w:p w14:paraId="73F61F12"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Reviewed throughout the year to reflect agreed liabilities and new agreements.</w:t>
            </w:r>
          </w:p>
        </w:tc>
        <w:tc>
          <w:tcPr>
            <w:tcW w:w="3231" w:type="dxa"/>
            <w:tcBorders>
              <w:top w:val="nil"/>
              <w:left w:val="nil"/>
              <w:bottom w:val="single" w:sz="4" w:space="0" w:color="auto"/>
              <w:right w:val="single" w:sz="4" w:space="0" w:color="auto"/>
            </w:tcBorders>
            <w:shd w:val="clear" w:color="auto" w:fill="auto"/>
            <w:hideMark/>
          </w:tcPr>
          <w:p w14:paraId="4412EED9" w14:textId="77777777" w:rsidR="000729CF" w:rsidRPr="000729CF" w:rsidRDefault="000729CF" w:rsidP="000729CF">
            <w:pPr>
              <w:rPr>
                <w:rFonts w:ascii="Arial" w:hAnsi="Arial" w:cs="Arial"/>
                <w:color w:val="000000"/>
                <w:lang w:val="en-GB" w:eastAsia="en-GB"/>
              </w:rPr>
            </w:pPr>
            <w:r w:rsidRPr="000729CF">
              <w:rPr>
                <w:rFonts w:ascii="Arial" w:hAnsi="Arial" w:cs="Arial"/>
                <w:b/>
                <w:bCs/>
                <w:color w:val="000000"/>
                <w:u w:val="single"/>
                <w:lang w:val="en-GB" w:eastAsia="en-GB"/>
              </w:rPr>
              <w:t>Release £0.500m to support the 2024/25 budget</w:t>
            </w:r>
            <w:r w:rsidRPr="000729CF">
              <w:rPr>
                <w:rFonts w:ascii="Arial" w:hAnsi="Arial" w:cs="Arial"/>
                <w:color w:val="000000"/>
                <w:lang w:val="en-GB" w:eastAsia="en-GB"/>
              </w:rPr>
              <w:t>. This reserve relates to accumulated interest on S106 receipts. A review of the council's obligations to accrue interest has allowed the release of the majority of the funds which would otherwise have been reflected in the Financing Costs budget.</w:t>
            </w:r>
          </w:p>
        </w:tc>
      </w:tr>
      <w:tr w:rsidR="000729CF" w:rsidRPr="000729CF" w14:paraId="380AB871" w14:textId="77777777" w:rsidTr="00BC26AB">
        <w:trPr>
          <w:trHeight w:val="1800"/>
        </w:trPr>
        <w:tc>
          <w:tcPr>
            <w:tcW w:w="1838" w:type="dxa"/>
            <w:tcBorders>
              <w:top w:val="nil"/>
              <w:left w:val="single" w:sz="4" w:space="0" w:color="auto"/>
              <w:bottom w:val="single" w:sz="4" w:space="0" w:color="auto"/>
              <w:right w:val="single" w:sz="4" w:space="0" w:color="auto"/>
            </w:tcBorders>
            <w:shd w:val="clear" w:color="auto" w:fill="auto"/>
            <w:hideMark/>
          </w:tcPr>
          <w:p w14:paraId="359B96FC"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Developer Contributions Unapplied (S106 Capital)</w:t>
            </w:r>
          </w:p>
        </w:tc>
        <w:tc>
          <w:tcPr>
            <w:tcW w:w="1276" w:type="dxa"/>
            <w:tcBorders>
              <w:top w:val="nil"/>
              <w:left w:val="nil"/>
              <w:bottom w:val="single" w:sz="4" w:space="0" w:color="auto"/>
              <w:right w:val="single" w:sz="4" w:space="0" w:color="auto"/>
            </w:tcBorders>
            <w:shd w:val="clear" w:color="auto" w:fill="auto"/>
            <w:noWrap/>
            <w:hideMark/>
          </w:tcPr>
          <w:p w14:paraId="2CFC0F8C"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346</w:t>
            </w:r>
          </w:p>
        </w:tc>
        <w:tc>
          <w:tcPr>
            <w:tcW w:w="1134" w:type="dxa"/>
            <w:tcBorders>
              <w:top w:val="nil"/>
              <w:left w:val="nil"/>
              <w:bottom w:val="single" w:sz="4" w:space="0" w:color="auto"/>
              <w:right w:val="single" w:sz="4" w:space="0" w:color="auto"/>
            </w:tcBorders>
            <w:shd w:val="clear" w:color="auto" w:fill="auto"/>
            <w:noWrap/>
            <w:hideMark/>
          </w:tcPr>
          <w:p w14:paraId="5CED4B12"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0</w:t>
            </w:r>
          </w:p>
        </w:tc>
        <w:tc>
          <w:tcPr>
            <w:tcW w:w="1276" w:type="dxa"/>
            <w:tcBorders>
              <w:top w:val="nil"/>
              <w:left w:val="nil"/>
              <w:bottom w:val="single" w:sz="4" w:space="0" w:color="auto"/>
              <w:right w:val="single" w:sz="4" w:space="0" w:color="auto"/>
            </w:tcBorders>
            <w:shd w:val="clear" w:color="auto" w:fill="auto"/>
            <w:noWrap/>
            <w:hideMark/>
          </w:tcPr>
          <w:p w14:paraId="1665C9E2"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346</w:t>
            </w:r>
          </w:p>
        </w:tc>
        <w:tc>
          <w:tcPr>
            <w:tcW w:w="1701" w:type="dxa"/>
            <w:tcBorders>
              <w:top w:val="nil"/>
              <w:left w:val="nil"/>
              <w:bottom w:val="single" w:sz="4" w:space="0" w:color="auto"/>
              <w:right w:val="single" w:sz="4" w:space="0" w:color="auto"/>
            </w:tcBorders>
            <w:shd w:val="clear" w:color="auto" w:fill="auto"/>
            <w:hideMark/>
          </w:tcPr>
          <w:p w14:paraId="59FE9C7F"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Reviewed throughout the year to reflect agreed liabilities and new agreements.</w:t>
            </w:r>
          </w:p>
        </w:tc>
        <w:tc>
          <w:tcPr>
            <w:tcW w:w="3231" w:type="dxa"/>
            <w:tcBorders>
              <w:top w:val="nil"/>
              <w:left w:val="nil"/>
              <w:bottom w:val="single" w:sz="4" w:space="0" w:color="auto"/>
              <w:right w:val="single" w:sz="4" w:space="0" w:color="auto"/>
            </w:tcBorders>
            <w:shd w:val="clear" w:color="auto" w:fill="auto"/>
            <w:hideMark/>
          </w:tcPr>
          <w:p w14:paraId="17C69339"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Retain for specified purpose.</w:t>
            </w:r>
          </w:p>
        </w:tc>
      </w:tr>
      <w:tr w:rsidR="000729CF" w:rsidRPr="000729CF" w14:paraId="3508B472" w14:textId="77777777" w:rsidTr="00BC26AB">
        <w:trPr>
          <w:trHeight w:val="1235"/>
        </w:trPr>
        <w:tc>
          <w:tcPr>
            <w:tcW w:w="1838" w:type="dxa"/>
            <w:tcBorders>
              <w:top w:val="nil"/>
              <w:left w:val="single" w:sz="4" w:space="0" w:color="auto"/>
              <w:bottom w:val="single" w:sz="4" w:space="0" w:color="auto"/>
              <w:right w:val="single" w:sz="4" w:space="0" w:color="auto"/>
            </w:tcBorders>
            <w:shd w:val="clear" w:color="auto" w:fill="auto"/>
            <w:hideMark/>
          </w:tcPr>
          <w:p w14:paraId="0E528C83"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Brighton Centre Redevelopment Reserve</w:t>
            </w:r>
          </w:p>
        </w:tc>
        <w:tc>
          <w:tcPr>
            <w:tcW w:w="1276" w:type="dxa"/>
            <w:tcBorders>
              <w:top w:val="nil"/>
              <w:left w:val="nil"/>
              <w:bottom w:val="single" w:sz="4" w:space="0" w:color="auto"/>
              <w:right w:val="single" w:sz="4" w:space="0" w:color="auto"/>
            </w:tcBorders>
            <w:shd w:val="clear" w:color="auto" w:fill="auto"/>
            <w:noWrap/>
            <w:hideMark/>
          </w:tcPr>
          <w:p w14:paraId="0FE53FAE"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287</w:t>
            </w:r>
          </w:p>
        </w:tc>
        <w:tc>
          <w:tcPr>
            <w:tcW w:w="1134" w:type="dxa"/>
            <w:tcBorders>
              <w:top w:val="nil"/>
              <w:left w:val="nil"/>
              <w:bottom w:val="single" w:sz="4" w:space="0" w:color="auto"/>
              <w:right w:val="single" w:sz="4" w:space="0" w:color="auto"/>
            </w:tcBorders>
            <w:shd w:val="clear" w:color="auto" w:fill="auto"/>
            <w:noWrap/>
            <w:hideMark/>
          </w:tcPr>
          <w:p w14:paraId="68C8B1A0"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-287</w:t>
            </w:r>
          </w:p>
        </w:tc>
        <w:tc>
          <w:tcPr>
            <w:tcW w:w="1276" w:type="dxa"/>
            <w:tcBorders>
              <w:top w:val="nil"/>
              <w:left w:val="nil"/>
              <w:bottom w:val="single" w:sz="4" w:space="0" w:color="auto"/>
              <w:right w:val="single" w:sz="4" w:space="0" w:color="auto"/>
            </w:tcBorders>
            <w:shd w:val="clear" w:color="auto" w:fill="auto"/>
            <w:noWrap/>
            <w:hideMark/>
          </w:tcPr>
          <w:p w14:paraId="765348E6"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0</w:t>
            </w:r>
          </w:p>
        </w:tc>
        <w:tc>
          <w:tcPr>
            <w:tcW w:w="1701" w:type="dxa"/>
            <w:tcBorders>
              <w:top w:val="nil"/>
              <w:left w:val="nil"/>
              <w:bottom w:val="single" w:sz="4" w:space="0" w:color="auto"/>
              <w:right w:val="single" w:sz="4" w:space="0" w:color="auto"/>
            </w:tcBorders>
            <w:shd w:val="clear" w:color="auto" w:fill="auto"/>
            <w:hideMark/>
          </w:tcPr>
          <w:p w14:paraId="74209078"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Following closure of accounts.</w:t>
            </w:r>
          </w:p>
        </w:tc>
        <w:tc>
          <w:tcPr>
            <w:tcW w:w="3231" w:type="dxa"/>
            <w:tcBorders>
              <w:top w:val="nil"/>
              <w:left w:val="nil"/>
              <w:bottom w:val="single" w:sz="4" w:space="0" w:color="auto"/>
              <w:right w:val="single" w:sz="4" w:space="0" w:color="auto"/>
            </w:tcBorders>
            <w:shd w:val="clear" w:color="auto" w:fill="auto"/>
            <w:hideMark/>
          </w:tcPr>
          <w:p w14:paraId="2053419C"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This reserve has been redirected to support essential maintenance at the Brighton Centre which is included in the 2023/24 and 2024/25 capital programme.</w:t>
            </w:r>
          </w:p>
        </w:tc>
      </w:tr>
      <w:tr w:rsidR="000729CF" w:rsidRPr="000729CF" w14:paraId="72032823" w14:textId="77777777" w:rsidTr="00BC26AB">
        <w:trPr>
          <w:trHeight w:val="1002"/>
        </w:trPr>
        <w:tc>
          <w:tcPr>
            <w:tcW w:w="1838" w:type="dxa"/>
            <w:tcBorders>
              <w:top w:val="nil"/>
              <w:left w:val="single" w:sz="4" w:space="0" w:color="auto"/>
              <w:bottom w:val="single" w:sz="4" w:space="0" w:color="auto"/>
              <w:right w:val="single" w:sz="4" w:space="0" w:color="auto"/>
            </w:tcBorders>
            <w:shd w:val="clear" w:color="auto" w:fill="auto"/>
            <w:hideMark/>
          </w:tcPr>
          <w:p w14:paraId="29FF4ACA"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Customer Access &amp; Accommodation Strategies &amp; The Link Network Upgrade Reserve</w:t>
            </w:r>
          </w:p>
        </w:tc>
        <w:tc>
          <w:tcPr>
            <w:tcW w:w="1276" w:type="dxa"/>
            <w:tcBorders>
              <w:top w:val="nil"/>
              <w:left w:val="nil"/>
              <w:bottom w:val="single" w:sz="4" w:space="0" w:color="auto"/>
              <w:right w:val="single" w:sz="4" w:space="0" w:color="auto"/>
            </w:tcBorders>
            <w:shd w:val="clear" w:color="auto" w:fill="auto"/>
            <w:noWrap/>
            <w:hideMark/>
          </w:tcPr>
          <w:p w14:paraId="41E4E4E6"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25</w:t>
            </w:r>
          </w:p>
        </w:tc>
        <w:tc>
          <w:tcPr>
            <w:tcW w:w="1134" w:type="dxa"/>
            <w:tcBorders>
              <w:top w:val="nil"/>
              <w:left w:val="nil"/>
              <w:bottom w:val="single" w:sz="4" w:space="0" w:color="auto"/>
              <w:right w:val="single" w:sz="4" w:space="0" w:color="auto"/>
            </w:tcBorders>
            <w:shd w:val="clear" w:color="auto" w:fill="auto"/>
            <w:noWrap/>
            <w:hideMark/>
          </w:tcPr>
          <w:p w14:paraId="052E2A45"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0</w:t>
            </w:r>
          </w:p>
        </w:tc>
        <w:tc>
          <w:tcPr>
            <w:tcW w:w="1276" w:type="dxa"/>
            <w:tcBorders>
              <w:top w:val="nil"/>
              <w:left w:val="nil"/>
              <w:bottom w:val="single" w:sz="4" w:space="0" w:color="auto"/>
              <w:right w:val="single" w:sz="4" w:space="0" w:color="auto"/>
            </w:tcBorders>
            <w:shd w:val="clear" w:color="auto" w:fill="auto"/>
            <w:noWrap/>
            <w:hideMark/>
          </w:tcPr>
          <w:p w14:paraId="57183CF5"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25</w:t>
            </w:r>
          </w:p>
        </w:tc>
        <w:tc>
          <w:tcPr>
            <w:tcW w:w="1701" w:type="dxa"/>
            <w:tcBorders>
              <w:top w:val="nil"/>
              <w:left w:val="nil"/>
              <w:bottom w:val="single" w:sz="4" w:space="0" w:color="auto"/>
              <w:right w:val="single" w:sz="4" w:space="0" w:color="auto"/>
            </w:tcBorders>
            <w:shd w:val="clear" w:color="auto" w:fill="auto"/>
            <w:hideMark/>
          </w:tcPr>
          <w:p w14:paraId="57E75D11"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Following closure of accounts.</w:t>
            </w:r>
          </w:p>
        </w:tc>
        <w:tc>
          <w:tcPr>
            <w:tcW w:w="3231" w:type="dxa"/>
            <w:tcBorders>
              <w:top w:val="nil"/>
              <w:left w:val="nil"/>
              <w:bottom w:val="single" w:sz="4" w:space="0" w:color="auto"/>
              <w:right w:val="single" w:sz="4" w:space="0" w:color="auto"/>
            </w:tcBorders>
            <w:shd w:val="clear" w:color="auto" w:fill="auto"/>
            <w:hideMark/>
          </w:tcPr>
          <w:p w14:paraId="61EA3BC0" w14:textId="77777777" w:rsidR="000729CF" w:rsidRPr="000729CF" w:rsidRDefault="000729CF" w:rsidP="000729CF">
            <w:pPr>
              <w:rPr>
                <w:rFonts w:ascii="Arial" w:hAnsi="Arial" w:cs="Arial"/>
                <w:color w:val="000000"/>
                <w:lang w:val="en-GB" w:eastAsia="en-GB"/>
              </w:rPr>
            </w:pPr>
            <w:r w:rsidRPr="000729CF">
              <w:rPr>
                <w:rFonts w:ascii="Arial" w:hAnsi="Arial" w:cs="Arial"/>
                <w:b/>
                <w:bCs/>
                <w:color w:val="000000"/>
                <w:u w:val="single"/>
                <w:lang w:val="en-GB" w:eastAsia="en-GB"/>
              </w:rPr>
              <w:t>Release £0.025m to support the 2024/25 budget.</w:t>
            </w:r>
            <w:r w:rsidRPr="000729CF">
              <w:rPr>
                <w:rFonts w:ascii="Arial" w:hAnsi="Arial" w:cs="Arial"/>
                <w:color w:val="000000"/>
                <w:lang w:val="en-GB" w:eastAsia="en-GB"/>
              </w:rPr>
              <w:t xml:space="preserve"> The balance of this reserve is no longer required.</w:t>
            </w:r>
          </w:p>
        </w:tc>
      </w:tr>
      <w:tr w:rsidR="000729CF" w:rsidRPr="000729CF" w14:paraId="47A91D80" w14:textId="77777777" w:rsidTr="00BC26AB">
        <w:trPr>
          <w:trHeight w:val="816"/>
        </w:trPr>
        <w:tc>
          <w:tcPr>
            <w:tcW w:w="1838" w:type="dxa"/>
            <w:tcBorders>
              <w:top w:val="nil"/>
              <w:left w:val="single" w:sz="4" w:space="0" w:color="auto"/>
              <w:bottom w:val="single" w:sz="4" w:space="0" w:color="auto"/>
              <w:right w:val="single" w:sz="4" w:space="0" w:color="auto"/>
            </w:tcBorders>
            <w:shd w:val="clear" w:color="auto" w:fill="auto"/>
            <w:hideMark/>
          </w:tcPr>
          <w:p w14:paraId="7E27BC6C"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ICT Investment Reserve</w:t>
            </w:r>
          </w:p>
        </w:tc>
        <w:tc>
          <w:tcPr>
            <w:tcW w:w="1276" w:type="dxa"/>
            <w:tcBorders>
              <w:top w:val="nil"/>
              <w:left w:val="nil"/>
              <w:bottom w:val="single" w:sz="4" w:space="0" w:color="auto"/>
              <w:right w:val="single" w:sz="4" w:space="0" w:color="auto"/>
            </w:tcBorders>
            <w:shd w:val="clear" w:color="auto" w:fill="auto"/>
            <w:noWrap/>
            <w:hideMark/>
          </w:tcPr>
          <w:p w14:paraId="55748939"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546</w:t>
            </w:r>
          </w:p>
        </w:tc>
        <w:tc>
          <w:tcPr>
            <w:tcW w:w="1134" w:type="dxa"/>
            <w:tcBorders>
              <w:top w:val="nil"/>
              <w:left w:val="nil"/>
              <w:bottom w:val="single" w:sz="4" w:space="0" w:color="auto"/>
              <w:right w:val="single" w:sz="4" w:space="0" w:color="auto"/>
            </w:tcBorders>
            <w:shd w:val="clear" w:color="auto" w:fill="auto"/>
            <w:noWrap/>
            <w:hideMark/>
          </w:tcPr>
          <w:p w14:paraId="72C131A3"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-300</w:t>
            </w:r>
          </w:p>
        </w:tc>
        <w:tc>
          <w:tcPr>
            <w:tcW w:w="1276" w:type="dxa"/>
            <w:tcBorders>
              <w:top w:val="nil"/>
              <w:left w:val="nil"/>
              <w:bottom w:val="single" w:sz="4" w:space="0" w:color="auto"/>
              <w:right w:val="single" w:sz="4" w:space="0" w:color="auto"/>
            </w:tcBorders>
            <w:shd w:val="clear" w:color="auto" w:fill="auto"/>
            <w:noWrap/>
            <w:hideMark/>
          </w:tcPr>
          <w:p w14:paraId="789A2390"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246</w:t>
            </w:r>
          </w:p>
        </w:tc>
        <w:tc>
          <w:tcPr>
            <w:tcW w:w="1701" w:type="dxa"/>
            <w:tcBorders>
              <w:top w:val="nil"/>
              <w:left w:val="nil"/>
              <w:bottom w:val="single" w:sz="4" w:space="0" w:color="auto"/>
              <w:right w:val="single" w:sz="4" w:space="0" w:color="auto"/>
            </w:tcBorders>
            <w:shd w:val="clear" w:color="auto" w:fill="auto"/>
            <w:hideMark/>
          </w:tcPr>
          <w:p w14:paraId="4C533423"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Following closure of accounts.</w:t>
            </w:r>
          </w:p>
        </w:tc>
        <w:tc>
          <w:tcPr>
            <w:tcW w:w="3231" w:type="dxa"/>
            <w:tcBorders>
              <w:top w:val="nil"/>
              <w:left w:val="nil"/>
              <w:bottom w:val="single" w:sz="4" w:space="0" w:color="auto"/>
              <w:right w:val="single" w:sz="4" w:space="0" w:color="auto"/>
            </w:tcBorders>
            <w:shd w:val="clear" w:color="auto" w:fill="auto"/>
            <w:hideMark/>
          </w:tcPr>
          <w:p w14:paraId="2F04010D"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 xml:space="preserve">Held to support planned IT&amp;D expenditure over the next two years. </w:t>
            </w:r>
          </w:p>
        </w:tc>
      </w:tr>
      <w:tr w:rsidR="000729CF" w:rsidRPr="000729CF" w14:paraId="1514A397" w14:textId="77777777" w:rsidTr="00BC26AB">
        <w:trPr>
          <w:trHeight w:val="600"/>
        </w:trPr>
        <w:tc>
          <w:tcPr>
            <w:tcW w:w="1838" w:type="dxa"/>
            <w:tcBorders>
              <w:top w:val="nil"/>
              <w:left w:val="single" w:sz="4" w:space="0" w:color="auto"/>
              <w:bottom w:val="single" w:sz="4" w:space="0" w:color="auto"/>
              <w:right w:val="single" w:sz="4" w:space="0" w:color="auto"/>
            </w:tcBorders>
            <w:shd w:val="clear" w:color="auto" w:fill="auto"/>
            <w:hideMark/>
          </w:tcPr>
          <w:p w14:paraId="3DDD7FCE"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Winter Maintenance</w:t>
            </w:r>
          </w:p>
        </w:tc>
        <w:tc>
          <w:tcPr>
            <w:tcW w:w="1276" w:type="dxa"/>
            <w:tcBorders>
              <w:top w:val="nil"/>
              <w:left w:val="nil"/>
              <w:bottom w:val="single" w:sz="4" w:space="0" w:color="auto"/>
              <w:right w:val="single" w:sz="4" w:space="0" w:color="auto"/>
            </w:tcBorders>
            <w:shd w:val="clear" w:color="auto" w:fill="auto"/>
            <w:noWrap/>
            <w:hideMark/>
          </w:tcPr>
          <w:p w14:paraId="757CE689"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371</w:t>
            </w:r>
          </w:p>
        </w:tc>
        <w:tc>
          <w:tcPr>
            <w:tcW w:w="1134" w:type="dxa"/>
            <w:tcBorders>
              <w:top w:val="nil"/>
              <w:left w:val="nil"/>
              <w:bottom w:val="single" w:sz="4" w:space="0" w:color="auto"/>
              <w:right w:val="single" w:sz="4" w:space="0" w:color="auto"/>
            </w:tcBorders>
            <w:shd w:val="clear" w:color="auto" w:fill="auto"/>
            <w:noWrap/>
            <w:hideMark/>
          </w:tcPr>
          <w:p w14:paraId="53A51AC4"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0</w:t>
            </w:r>
          </w:p>
        </w:tc>
        <w:tc>
          <w:tcPr>
            <w:tcW w:w="1276" w:type="dxa"/>
            <w:tcBorders>
              <w:top w:val="nil"/>
              <w:left w:val="nil"/>
              <w:bottom w:val="single" w:sz="4" w:space="0" w:color="auto"/>
              <w:right w:val="single" w:sz="4" w:space="0" w:color="auto"/>
            </w:tcBorders>
            <w:shd w:val="clear" w:color="auto" w:fill="auto"/>
            <w:noWrap/>
            <w:hideMark/>
          </w:tcPr>
          <w:p w14:paraId="0000BAEE"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371</w:t>
            </w:r>
          </w:p>
        </w:tc>
        <w:tc>
          <w:tcPr>
            <w:tcW w:w="1701" w:type="dxa"/>
            <w:tcBorders>
              <w:top w:val="nil"/>
              <w:left w:val="nil"/>
              <w:bottom w:val="single" w:sz="4" w:space="0" w:color="auto"/>
              <w:right w:val="single" w:sz="4" w:space="0" w:color="auto"/>
            </w:tcBorders>
            <w:shd w:val="clear" w:color="auto" w:fill="auto"/>
            <w:hideMark/>
          </w:tcPr>
          <w:p w14:paraId="370FFB40"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Following closure of accounts.</w:t>
            </w:r>
          </w:p>
        </w:tc>
        <w:tc>
          <w:tcPr>
            <w:tcW w:w="3231" w:type="dxa"/>
            <w:tcBorders>
              <w:top w:val="nil"/>
              <w:left w:val="nil"/>
              <w:bottom w:val="single" w:sz="4" w:space="0" w:color="auto"/>
              <w:right w:val="single" w:sz="4" w:space="0" w:color="auto"/>
            </w:tcBorders>
            <w:shd w:val="clear" w:color="auto" w:fill="auto"/>
            <w:hideMark/>
          </w:tcPr>
          <w:p w14:paraId="7B26A854"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 xml:space="preserve">Held to fund exceptional costs of extreme weather.  </w:t>
            </w:r>
          </w:p>
        </w:tc>
      </w:tr>
      <w:tr w:rsidR="000729CF" w:rsidRPr="000729CF" w14:paraId="5496E280" w14:textId="77777777" w:rsidTr="00BC26AB">
        <w:trPr>
          <w:trHeight w:val="851"/>
        </w:trPr>
        <w:tc>
          <w:tcPr>
            <w:tcW w:w="1838" w:type="dxa"/>
            <w:tcBorders>
              <w:top w:val="nil"/>
              <w:left w:val="single" w:sz="4" w:space="0" w:color="auto"/>
              <w:bottom w:val="single" w:sz="4" w:space="0" w:color="auto"/>
              <w:right w:val="single" w:sz="4" w:space="0" w:color="auto"/>
            </w:tcBorders>
            <w:shd w:val="clear" w:color="auto" w:fill="auto"/>
            <w:hideMark/>
          </w:tcPr>
          <w:p w14:paraId="53D4A21C"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Dome Planned Maintenance</w:t>
            </w:r>
          </w:p>
        </w:tc>
        <w:tc>
          <w:tcPr>
            <w:tcW w:w="1276" w:type="dxa"/>
            <w:tcBorders>
              <w:top w:val="nil"/>
              <w:left w:val="nil"/>
              <w:bottom w:val="single" w:sz="4" w:space="0" w:color="auto"/>
              <w:right w:val="single" w:sz="4" w:space="0" w:color="auto"/>
            </w:tcBorders>
            <w:shd w:val="clear" w:color="auto" w:fill="auto"/>
            <w:noWrap/>
            <w:hideMark/>
          </w:tcPr>
          <w:p w14:paraId="1F5BE63D"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210</w:t>
            </w:r>
          </w:p>
        </w:tc>
        <w:tc>
          <w:tcPr>
            <w:tcW w:w="1134" w:type="dxa"/>
            <w:tcBorders>
              <w:top w:val="nil"/>
              <w:left w:val="nil"/>
              <w:bottom w:val="single" w:sz="4" w:space="0" w:color="auto"/>
              <w:right w:val="single" w:sz="4" w:space="0" w:color="auto"/>
            </w:tcBorders>
            <w:shd w:val="clear" w:color="auto" w:fill="auto"/>
            <w:noWrap/>
            <w:hideMark/>
          </w:tcPr>
          <w:p w14:paraId="239C7260"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0</w:t>
            </w:r>
          </w:p>
        </w:tc>
        <w:tc>
          <w:tcPr>
            <w:tcW w:w="1276" w:type="dxa"/>
            <w:tcBorders>
              <w:top w:val="nil"/>
              <w:left w:val="nil"/>
              <w:bottom w:val="single" w:sz="4" w:space="0" w:color="auto"/>
              <w:right w:val="single" w:sz="4" w:space="0" w:color="auto"/>
            </w:tcBorders>
            <w:shd w:val="clear" w:color="auto" w:fill="auto"/>
            <w:noWrap/>
            <w:hideMark/>
          </w:tcPr>
          <w:p w14:paraId="43DC99E7"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210</w:t>
            </w:r>
          </w:p>
        </w:tc>
        <w:tc>
          <w:tcPr>
            <w:tcW w:w="1701" w:type="dxa"/>
            <w:tcBorders>
              <w:top w:val="nil"/>
              <w:left w:val="nil"/>
              <w:bottom w:val="single" w:sz="4" w:space="0" w:color="auto"/>
              <w:right w:val="single" w:sz="4" w:space="0" w:color="auto"/>
            </w:tcBorders>
            <w:shd w:val="clear" w:color="auto" w:fill="auto"/>
            <w:hideMark/>
          </w:tcPr>
          <w:p w14:paraId="01090245"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Following closure of accounts.</w:t>
            </w:r>
          </w:p>
        </w:tc>
        <w:tc>
          <w:tcPr>
            <w:tcW w:w="3231" w:type="dxa"/>
            <w:tcBorders>
              <w:top w:val="nil"/>
              <w:left w:val="nil"/>
              <w:bottom w:val="single" w:sz="4" w:space="0" w:color="auto"/>
              <w:right w:val="single" w:sz="4" w:space="0" w:color="auto"/>
            </w:tcBorders>
            <w:shd w:val="clear" w:color="auto" w:fill="auto"/>
            <w:hideMark/>
          </w:tcPr>
          <w:p w14:paraId="51A8D241"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Retain - subject to lease agreement with Brighton Dome &amp; Festival Society.</w:t>
            </w:r>
          </w:p>
        </w:tc>
      </w:tr>
      <w:tr w:rsidR="000729CF" w:rsidRPr="000729CF" w14:paraId="5225DB7B" w14:textId="77777777" w:rsidTr="00BC26AB">
        <w:trPr>
          <w:trHeight w:val="1002"/>
        </w:trPr>
        <w:tc>
          <w:tcPr>
            <w:tcW w:w="1838" w:type="dxa"/>
            <w:tcBorders>
              <w:top w:val="nil"/>
              <w:left w:val="single" w:sz="4" w:space="0" w:color="auto"/>
              <w:bottom w:val="single" w:sz="4" w:space="0" w:color="auto"/>
              <w:right w:val="single" w:sz="4" w:space="0" w:color="auto"/>
            </w:tcBorders>
            <w:shd w:val="clear" w:color="auto" w:fill="auto"/>
            <w:hideMark/>
          </w:tcPr>
          <w:p w14:paraId="3B7C3A77"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Hove Park 3G Pitch Renewal</w:t>
            </w:r>
          </w:p>
        </w:tc>
        <w:tc>
          <w:tcPr>
            <w:tcW w:w="1276" w:type="dxa"/>
            <w:tcBorders>
              <w:top w:val="nil"/>
              <w:left w:val="nil"/>
              <w:bottom w:val="single" w:sz="4" w:space="0" w:color="auto"/>
              <w:right w:val="single" w:sz="4" w:space="0" w:color="auto"/>
            </w:tcBorders>
            <w:shd w:val="clear" w:color="auto" w:fill="auto"/>
            <w:noWrap/>
            <w:hideMark/>
          </w:tcPr>
          <w:p w14:paraId="27DBCBA3"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15</w:t>
            </w:r>
          </w:p>
        </w:tc>
        <w:tc>
          <w:tcPr>
            <w:tcW w:w="1134" w:type="dxa"/>
            <w:tcBorders>
              <w:top w:val="nil"/>
              <w:left w:val="nil"/>
              <w:bottom w:val="single" w:sz="4" w:space="0" w:color="auto"/>
              <w:right w:val="single" w:sz="4" w:space="0" w:color="auto"/>
            </w:tcBorders>
            <w:shd w:val="clear" w:color="auto" w:fill="auto"/>
            <w:noWrap/>
            <w:hideMark/>
          </w:tcPr>
          <w:p w14:paraId="361FEEFA"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0</w:t>
            </w:r>
          </w:p>
        </w:tc>
        <w:tc>
          <w:tcPr>
            <w:tcW w:w="1276" w:type="dxa"/>
            <w:tcBorders>
              <w:top w:val="nil"/>
              <w:left w:val="nil"/>
              <w:bottom w:val="single" w:sz="4" w:space="0" w:color="auto"/>
              <w:right w:val="single" w:sz="4" w:space="0" w:color="auto"/>
            </w:tcBorders>
            <w:shd w:val="clear" w:color="auto" w:fill="auto"/>
            <w:noWrap/>
            <w:hideMark/>
          </w:tcPr>
          <w:p w14:paraId="021FC098"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15</w:t>
            </w:r>
          </w:p>
        </w:tc>
        <w:tc>
          <w:tcPr>
            <w:tcW w:w="1701" w:type="dxa"/>
            <w:tcBorders>
              <w:top w:val="nil"/>
              <w:left w:val="nil"/>
              <w:bottom w:val="single" w:sz="4" w:space="0" w:color="auto"/>
              <w:right w:val="single" w:sz="4" w:space="0" w:color="auto"/>
            </w:tcBorders>
            <w:shd w:val="clear" w:color="auto" w:fill="auto"/>
            <w:hideMark/>
          </w:tcPr>
          <w:p w14:paraId="172C3D8B"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Following closure of accounts.</w:t>
            </w:r>
          </w:p>
        </w:tc>
        <w:tc>
          <w:tcPr>
            <w:tcW w:w="3231" w:type="dxa"/>
            <w:tcBorders>
              <w:top w:val="nil"/>
              <w:left w:val="nil"/>
              <w:bottom w:val="single" w:sz="4" w:space="0" w:color="auto"/>
              <w:right w:val="single" w:sz="4" w:space="0" w:color="auto"/>
            </w:tcBorders>
            <w:shd w:val="clear" w:color="auto" w:fill="auto"/>
            <w:hideMark/>
          </w:tcPr>
          <w:p w14:paraId="1741CB6D"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Held to replace pitch at the end of its useful life.  Timing to be confirmed.</w:t>
            </w:r>
          </w:p>
        </w:tc>
      </w:tr>
      <w:tr w:rsidR="000729CF" w:rsidRPr="000729CF" w14:paraId="487576FE" w14:textId="77777777" w:rsidTr="00BC26AB">
        <w:trPr>
          <w:trHeight w:val="1814"/>
        </w:trPr>
        <w:tc>
          <w:tcPr>
            <w:tcW w:w="1838" w:type="dxa"/>
            <w:tcBorders>
              <w:top w:val="nil"/>
              <w:left w:val="single" w:sz="4" w:space="0" w:color="auto"/>
              <w:bottom w:val="single" w:sz="4" w:space="0" w:color="auto"/>
              <w:right w:val="single" w:sz="4" w:space="0" w:color="auto"/>
            </w:tcBorders>
            <w:shd w:val="clear" w:color="auto" w:fill="auto"/>
            <w:hideMark/>
          </w:tcPr>
          <w:p w14:paraId="1161D115"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Surface Water Management Plan Reserve</w:t>
            </w:r>
          </w:p>
        </w:tc>
        <w:tc>
          <w:tcPr>
            <w:tcW w:w="1276" w:type="dxa"/>
            <w:tcBorders>
              <w:top w:val="nil"/>
              <w:left w:val="nil"/>
              <w:bottom w:val="single" w:sz="4" w:space="0" w:color="auto"/>
              <w:right w:val="single" w:sz="4" w:space="0" w:color="auto"/>
            </w:tcBorders>
            <w:shd w:val="clear" w:color="auto" w:fill="auto"/>
            <w:noWrap/>
            <w:hideMark/>
          </w:tcPr>
          <w:p w14:paraId="709ECC79"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405</w:t>
            </w:r>
          </w:p>
        </w:tc>
        <w:tc>
          <w:tcPr>
            <w:tcW w:w="1134" w:type="dxa"/>
            <w:tcBorders>
              <w:top w:val="nil"/>
              <w:left w:val="nil"/>
              <w:bottom w:val="single" w:sz="4" w:space="0" w:color="auto"/>
              <w:right w:val="single" w:sz="4" w:space="0" w:color="auto"/>
            </w:tcBorders>
            <w:shd w:val="clear" w:color="auto" w:fill="auto"/>
            <w:noWrap/>
            <w:hideMark/>
          </w:tcPr>
          <w:p w14:paraId="1717207E"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-161</w:t>
            </w:r>
          </w:p>
        </w:tc>
        <w:tc>
          <w:tcPr>
            <w:tcW w:w="1276" w:type="dxa"/>
            <w:tcBorders>
              <w:top w:val="nil"/>
              <w:left w:val="nil"/>
              <w:bottom w:val="single" w:sz="4" w:space="0" w:color="auto"/>
              <w:right w:val="single" w:sz="4" w:space="0" w:color="auto"/>
            </w:tcBorders>
            <w:shd w:val="clear" w:color="auto" w:fill="auto"/>
            <w:noWrap/>
            <w:hideMark/>
          </w:tcPr>
          <w:p w14:paraId="6D462FDA"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244</w:t>
            </w:r>
          </w:p>
        </w:tc>
        <w:tc>
          <w:tcPr>
            <w:tcW w:w="1701" w:type="dxa"/>
            <w:tcBorders>
              <w:top w:val="nil"/>
              <w:left w:val="nil"/>
              <w:bottom w:val="single" w:sz="4" w:space="0" w:color="auto"/>
              <w:right w:val="single" w:sz="4" w:space="0" w:color="auto"/>
            </w:tcBorders>
            <w:shd w:val="clear" w:color="auto" w:fill="auto"/>
            <w:hideMark/>
          </w:tcPr>
          <w:p w14:paraId="38A6B33C"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Following closure of accounts.</w:t>
            </w:r>
          </w:p>
        </w:tc>
        <w:tc>
          <w:tcPr>
            <w:tcW w:w="3231" w:type="dxa"/>
            <w:tcBorders>
              <w:top w:val="nil"/>
              <w:left w:val="nil"/>
              <w:bottom w:val="single" w:sz="4" w:space="0" w:color="auto"/>
              <w:right w:val="single" w:sz="4" w:space="0" w:color="auto"/>
            </w:tcBorders>
            <w:shd w:val="clear" w:color="auto" w:fill="auto"/>
            <w:hideMark/>
          </w:tcPr>
          <w:p w14:paraId="6E36D425"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Retain to support planned SWMP related works, emergency work and to contribute to any carbon neutral opportunities.</w:t>
            </w:r>
            <w:r w:rsidRPr="000729CF">
              <w:rPr>
                <w:rFonts w:ascii="Arial" w:hAnsi="Arial" w:cs="Arial"/>
                <w:color w:val="000000"/>
                <w:lang w:val="en-GB" w:eastAsia="en-GB"/>
              </w:rPr>
              <w:br/>
              <w:t xml:space="preserve">This reserve is retained to meet our statutory obligations as the Lead Local Flood Authority. </w:t>
            </w:r>
          </w:p>
        </w:tc>
      </w:tr>
      <w:tr w:rsidR="000729CF" w:rsidRPr="000729CF" w14:paraId="516D258C" w14:textId="77777777" w:rsidTr="00BC26AB">
        <w:trPr>
          <w:trHeight w:val="1002"/>
        </w:trPr>
        <w:tc>
          <w:tcPr>
            <w:tcW w:w="1838" w:type="dxa"/>
            <w:tcBorders>
              <w:top w:val="nil"/>
              <w:left w:val="single" w:sz="4" w:space="0" w:color="auto"/>
              <w:bottom w:val="single" w:sz="4" w:space="0" w:color="auto"/>
              <w:right w:val="single" w:sz="4" w:space="0" w:color="auto"/>
            </w:tcBorders>
            <w:shd w:val="clear" w:color="auto" w:fill="auto"/>
            <w:hideMark/>
          </w:tcPr>
          <w:p w14:paraId="5D62C94F"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Sports Facilities Reserve</w:t>
            </w:r>
          </w:p>
        </w:tc>
        <w:tc>
          <w:tcPr>
            <w:tcW w:w="1276" w:type="dxa"/>
            <w:tcBorders>
              <w:top w:val="nil"/>
              <w:left w:val="nil"/>
              <w:bottom w:val="single" w:sz="4" w:space="0" w:color="auto"/>
              <w:right w:val="single" w:sz="4" w:space="0" w:color="auto"/>
            </w:tcBorders>
            <w:shd w:val="clear" w:color="auto" w:fill="auto"/>
            <w:noWrap/>
            <w:hideMark/>
          </w:tcPr>
          <w:p w14:paraId="31D1D024"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358</w:t>
            </w:r>
          </w:p>
        </w:tc>
        <w:tc>
          <w:tcPr>
            <w:tcW w:w="1134" w:type="dxa"/>
            <w:tcBorders>
              <w:top w:val="nil"/>
              <w:left w:val="nil"/>
              <w:bottom w:val="single" w:sz="4" w:space="0" w:color="auto"/>
              <w:right w:val="single" w:sz="4" w:space="0" w:color="auto"/>
            </w:tcBorders>
            <w:shd w:val="clear" w:color="auto" w:fill="auto"/>
            <w:noWrap/>
            <w:hideMark/>
          </w:tcPr>
          <w:p w14:paraId="592AB2E5"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-200</w:t>
            </w:r>
          </w:p>
        </w:tc>
        <w:tc>
          <w:tcPr>
            <w:tcW w:w="1276" w:type="dxa"/>
            <w:tcBorders>
              <w:top w:val="nil"/>
              <w:left w:val="nil"/>
              <w:bottom w:val="single" w:sz="4" w:space="0" w:color="auto"/>
              <w:right w:val="single" w:sz="4" w:space="0" w:color="auto"/>
            </w:tcBorders>
            <w:shd w:val="clear" w:color="auto" w:fill="auto"/>
            <w:noWrap/>
            <w:hideMark/>
          </w:tcPr>
          <w:p w14:paraId="561DCF69"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158</w:t>
            </w:r>
          </w:p>
        </w:tc>
        <w:tc>
          <w:tcPr>
            <w:tcW w:w="1701" w:type="dxa"/>
            <w:tcBorders>
              <w:top w:val="nil"/>
              <w:left w:val="nil"/>
              <w:bottom w:val="single" w:sz="4" w:space="0" w:color="auto"/>
              <w:right w:val="single" w:sz="4" w:space="0" w:color="auto"/>
            </w:tcBorders>
            <w:shd w:val="clear" w:color="auto" w:fill="auto"/>
            <w:hideMark/>
          </w:tcPr>
          <w:p w14:paraId="50AACF47"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Following closure of accounts.</w:t>
            </w:r>
          </w:p>
        </w:tc>
        <w:tc>
          <w:tcPr>
            <w:tcW w:w="3231" w:type="dxa"/>
            <w:tcBorders>
              <w:top w:val="nil"/>
              <w:left w:val="nil"/>
              <w:bottom w:val="single" w:sz="4" w:space="0" w:color="auto"/>
              <w:right w:val="single" w:sz="4" w:space="0" w:color="auto"/>
            </w:tcBorders>
            <w:shd w:val="clear" w:color="auto" w:fill="auto"/>
            <w:hideMark/>
          </w:tcPr>
          <w:p w14:paraId="43DEB25B"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Retain to support Sports Facilities.</w:t>
            </w:r>
          </w:p>
        </w:tc>
      </w:tr>
      <w:tr w:rsidR="000729CF" w:rsidRPr="000729CF" w14:paraId="38CB2FA8" w14:textId="77777777" w:rsidTr="00BC26AB">
        <w:trPr>
          <w:trHeight w:val="1002"/>
        </w:trPr>
        <w:tc>
          <w:tcPr>
            <w:tcW w:w="1838" w:type="dxa"/>
            <w:tcBorders>
              <w:top w:val="nil"/>
              <w:left w:val="single" w:sz="4" w:space="0" w:color="auto"/>
              <w:bottom w:val="single" w:sz="4" w:space="0" w:color="auto"/>
              <w:right w:val="single" w:sz="4" w:space="0" w:color="auto"/>
            </w:tcBorders>
            <w:shd w:val="clear" w:color="auto" w:fill="auto"/>
            <w:hideMark/>
          </w:tcPr>
          <w:p w14:paraId="6346598D"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Licensing - other reserve</w:t>
            </w:r>
          </w:p>
        </w:tc>
        <w:tc>
          <w:tcPr>
            <w:tcW w:w="1276" w:type="dxa"/>
            <w:tcBorders>
              <w:top w:val="nil"/>
              <w:left w:val="nil"/>
              <w:bottom w:val="single" w:sz="4" w:space="0" w:color="auto"/>
              <w:right w:val="single" w:sz="4" w:space="0" w:color="auto"/>
            </w:tcBorders>
            <w:shd w:val="clear" w:color="auto" w:fill="auto"/>
            <w:noWrap/>
            <w:hideMark/>
          </w:tcPr>
          <w:p w14:paraId="1CE6736E"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18</w:t>
            </w:r>
          </w:p>
        </w:tc>
        <w:tc>
          <w:tcPr>
            <w:tcW w:w="1134" w:type="dxa"/>
            <w:tcBorders>
              <w:top w:val="nil"/>
              <w:left w:val="nil"/>
              <w:bottom w:val="single" w:sz="4" w:space="0" w:color="auto"/>
              <w:right w:val="single" w:sz="4" w:space="0" w:color="auto"/>
            </w:tcBorders>
            <w:shd w:val="clear" w:color="auto" w:fill="auto"/>
            <w:noWrap/>
            <w:hideMark/>
          </w:tcPr>
          <w:p w14:paraId="4FE70A71"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0</w:t>
            </w:r>
          </w:p>
        </w:tc>
        <w:tc>
          <w:tcPr>
            <w:tcW w:w="1276" w:type="dxa"/>
            <w:tcBorders>
              <w:top w:val="nil"/>
              <w:left w:val="nil"/>
              <w:bottom w:val="single" w:sz="4" w:space="0" w:color="auto"/>
              <w:right w:val="single" w:sz="4" w:space="0" w:color="auto"/>
            </w:tcBorders>
            <w:shd w:val="clear" w:color="auto" w:fill="auto"/>
            <w:noWrap/>
            <w:hideMark/>
          </w:tcPr>
          <w:p w14:paraId="6D8875D4"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18</w:t>
            </w:r>
          </w:p>
        </w:tc>
        <w:tc>
          <w:tcPr>
            <w:tcW w:w="1701" w:type="dxa"/>
            <w:tcBorders>
              <w:top w:val="nil"/>
              <w:left w:val="nil"/>
              <w:bottom w:val="single" w:sz="4" w:space="0" w:color="auto"/>
              <w:right w:val="single" w:sz="4" w:space="0" w:color="auto"/>
            </w:tcBorders>
            <w:shd w:val="clear" w:color="auto" w:fill="auto"/>
            <w:hideMark/>
          </w:tcPr>
          <w:p w14:paraId="271D2B9F"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Following closure of accounts.</w:t>
            </w:r>
          </w:p>
        </w:tc>
        <w:tc>
          <w:tcPr>
            <w:tcW w:w="3231" w:type="dxa"/>
            <w:tcBorders>
              <w:top w:val="nil"/>
              <w:left w:val="nil"/>
              <w:bottom w:val="single" w:sz="4" w:space="0" w:color="auto"/>
              <w:right w:val="single" w:sz="4" w:space="0" w:color="auto"/>
            </w:tcBorders>
            <w:shd w:val="clear" w:color="auto" w:fill="auto"/>
            <w:hideMark/>
          </w:tcPr>
          <w:p w14:paraId="251F31EE"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Retain for specified purpose - to fund potential future deficits or repayment to licensees.  Reserve irons out fluctuations in volumes of licences issued each year.</w:t>
            </w:r>
          </w:p>
        </w:tc>
      </w:tr>
      <w:tr w:rsidR="000729CF" w:rsidRPr="000729CF" w14:paraId="15B65140" w14:textId="77777777" w:rsidTr="00BC26AB">
        <w:trPr>
          <w:trHeight w:val="1002"/>
        </w:trPr>
        <w:tc>
          <w:tcPr>
            <w:tcW w:w="1838" w:type="dxa"/>
            <w:tcBorders>
              <w:top w:val="nil"/>
              <w:left w:val="single" w:sz="4" w:space="0" w:color="auto"/>
              <w:bottom w:val="single" w:sz="4" w:space="0" w:color="auto"/>
              <w:right w:val="single" w:sz="4" w:space="0" w:color="auto"/>
            </w:tcBorders>
            <w:shd w:val="clear" w:color="auto" w:fill="auto"/>
            <w:hideMark/>
          </w:tcPr>
          <w:p w14:paraId="65F022B6"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Taxi Licensing</w:t>
            </w:r>
          </w:p>
        </w:tc>
        <w:tc>
          <w:tcPr>
            <w:tcW w:w="1276" w:type="dxa"/>
            <w:tcBorders>
              <w:top w:val="nil"/>
              <w:left w:val="nil"/>
              <w:bottom w:val="single" w:sz="4" w:space="0" w:color="auto"/>
              <w:right w:val="single" w:sz="4" w:space="0" w:color="auto"/>
            </w:tcBorders>
            <w:shd w:val="clear" w:color="auto" w:fill="auto"/>
            <w:noWrap/>
            <w:hideMark/>
          </w:tcPr>
          <w:p w14:paraId="4870826C"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61</w:t>
            </w:r>
          </w:p>
        </w:tc>
        <w:tc>
          <w:tcPr>
            <w:tcW w:w="1134" w:type="dxa"/>
            <w:tcBorders>
              <w:top w:val="nil"/>
              <w:left w:val="nil"/>
              <w:bottom w:val="single" w:sz="4" w:space="0" w:color="auto"/>
              <w:right w:val="single" w:sz="4" w:space="0" w:color="auto"/>
            </w:tcBorders>
            <w:shd w:val="clear" w:color="auto" w:fill="auto"/>
            <w:noWrap/>
            <w:hideMark/>
          </w:tcPr>
          <w:p w14:paraId="1F484F10"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0</w:t>
            </w:r>
          </w:p>
        </w:tc>
        <w:tc>
          <w:tcPr>
            <w:tcW w:w="1276" w:type="dxa"/>
            <w:tcBorders>
              <w:top w:val="nil"/>
              <w:left w:val="nil"/>
              <w:bottom w:val="single" w:sz="4" w:space="0" w:color="auto"/>
              <w:right w:val="single" w:sz="4" w:space="0" w:color="auto"/>
            </w:tcBorders>
            <w:shd w:val="clear" w:color="auto" w:fill="auto"/>
            <w:noWrap/>
            <w:hideMark/>
          </w:tcPr>
          <w:p w14:paraId="340DECE2"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61</w:t>
            </w:r>
          </w:p>
        </w:tc>
        <w:tc>
          <w:tcPr>
            <w:tcW w:w="1701" w:type="dxa"/>
            <w:tcBorders>
              <w:top w:val="nil"/>
              <w:left w:val="nil"/>
              <w:bottom w:val="single" w:sz="4" w:space="0" w:color="auto"/>
              <w:right w:val="single" w:sz="4" w:space="0" w:color="auto"/>
            </w:tcBorders>
            <w:shd w:val="clear" w:color="auto" w:fill="auto"/>
            <w:hideMark/>
          </w:tcPr>
          <w:p w14:paraId="15456C4D"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Following closure of accounts.</w:t>
            </w:r>
          </w:p>
        </w:tc>
        <w:tc>
          <w:tcPr>
            <w:tcW w:w="3231" w:type="dxa"/>
            <w:tcBorders>
              <w:top w:val="nil"/>
              <w:left w:val="nil"/>
              <w:bottom w:val="single" w:sz="4" w:space="0" w:color="auto"/>
              <w:right w:val="single" w:sz="4" w:space="0" w:color="auto"/>
            </w:tcBorders>
            <w:shd w:val="clear" w:color="auto" w:fill="auto"/>
            <w:hideMark/>
          </w:tcPr>
          <w:p w14:paraId="2358836A"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Retain for specified purpose - to fund potential future deficits or repayment to licensees. This smooths out fluctuations in volumes of licences issued each year.</w:t>
            </w:r>
          </w:p>
        </w:tc>
      </w:tr>
      <w:tr w:rsidR="000729CF" w:rsidRPr="000729CF" w14:paraId="1D6C509A" w14:textId="77777777" w:rsidTr="00BC26AB">
        <w:trPr>
          <w:trHeight w:val="1002"/>
        </w:trPr>
        <w:tc>
          <w:tcPr>
            <w:tcW w:w="1838" w:type="dxa"/>
            <w:tcBorders>
              <w:top w:val="nil"/>
              <w:left w:val="single" w:sz="4" w:space="0" w:color="auto"/>
              <w:bottom w:val="single" w:sz="4" w:space="0" w:color="auto"/>
              <w:right w:val="single" w:sz="4" w:space="0" w:color="auto"/>
            </w:tcBorders>
            <w:shd w:val="clear" w:color="auto" w:fill="auto"/>
            <w:hideMark/>
          </w:tcPr>
          <w:p w14:paraId="0E57D2A1"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Trading Standards Seized Goods</w:t>
            </w:r>
          </w:p>
        </w:tc>
        <w:tc>
          <w:tcPr>
            <w:tcW w:w="1276" w:type="dxa"/>
            <w:tcBorders>
              <w:top w:val="nil"/>
              <w:left w:val="nil"/>
              <w:bottom w:val="single" w:sz="4" w:space="0" w:color="auto"/>
              <w:right w:val="single" w:sz="4" w:space="0" w:color="auto"/>
            </w:tcBorders>
            <w:shd w:val="clear" w:color="auto" w:fill="auto"/>
            <w:noWrap/>
            <w:hideMark/>
          </w:tcPr>
          <w:p w14:paraId="5A381DD0"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7</w:t>
            </w:r>
          </w:p>
        </w:tc>
        <w:tc>
          <w:tcPr>
            <w:tcW w:w="1134" w:type="dxa"/>
            <w:tcBorders>
              <w:top w:val="nil"/>
              <w:left w:val="nil"/>
              <w:bottom w:val="single" w:sz="4" w:space="0" w:color="auto"/>
              <w:right w:val="single" w:sz="4" w:space="0" w:color="auto"/>
            </w:tcBorders>
            <w:shd w:val="clear" w:color="auto" w:fill="auto"/>
            <w:noWrap/>
            <w:hideMark/>
          </w:tcPr>
          <w:p w14:paraId="35DC9EA9"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0</w:t>
            </w:r>
          </w:p>
        </w:tc>
        <w:tc>
          <w:tcPr>
            <w:tcW w:w="1276" w:type="dxa"/>
            <w:tcBorders>
              <w:top w:val="nil"/>
              <w:left w:val="nil"/>
              <w:bottom w:val="single" w:sz="4" w:space="0" w:color="auto"/>
              <w:right w:val="single" w:sz="4" w:space="0" w:color="auto"/>
            </w:tcBorders>
            <w:shd w:val="clear" w:color="auto" w:fill="auto"/>
            <w:noWrap/>
            <w:hideMark/>
          </w:tcPr>
          <w:p w14:paraId="6BBF9B06"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7</w:t>
            </w:r>
          </w:p>
        </w:tc>
        <w:tc>
          <w:tcPr>
            <w:tcW w:w="1701" w:type="dxa"/>
            <w:tcBorders>
              <w:top w:val="nil"/>
              <w:left w:val="nil"/>
              <w:bottom w:val="single" w:sz="4" w:space="0" w:color="auto"/>
              <w:right w:val="single" w:sz="4" w:space="0" w:color="auto"/>
            </w:tcBorders>
            <w:shd w:val="clear" w:color="auto" w:fill="auto"/>
            <w:hideMark/>
          </w:tcPr>
          <w:p w14:paraId="30AB2905"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Following closure of accounts.</w:t>
            </w:r>
          </w:p>
        </w:tc>
        <w:tc>
          <w:tcPr>
            <w:tcW w:w="3231" w:type="dxa"/>
            <w:tcBorders>
              <w:top w:val="nil"/>
              <w:left w:val="nil"/>
              <w:bottom w:val="single" w:sz="4" w:space="0" w:color="auto"/>
              <w:right w:val="single" w:sz="4" w:space="0" w:color="auto"/>
            </w:tcBorders>
            <w:shd w:val="clear" w:color="auto" w:fill="auto"/>
            <w:hideMark/>
          </w:tcPr>
          <w:p w14:paraId="315177C3"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 xml:space="preserve">Retain for specified purpose - to fund potential future repayments. </w:t>
            </w:r>
          </w:p>
        </w:tc>
      </w:tr>
      <w:tr w:rsidR="000729CF" w:rsidRPr="000729CF" w14:paraId="542E96AE" w14:textId="77777777" w:rsidTr="00BC26AB">
        <w:trPr>
          <w:trHeight w:val="1002"/>
        </w:trPr>
        <w:tc>
          <w:tcPr>
            <w:tcW w:w="1838" w:type="dxa"/>
            <w:tcBorders>
              <w:top w:val="nil"/>
              <w:left w:val="single" w:sz="4" w:space="0" w:color="auto"/>
              <w:bottom w:val="single" w:sz="4" w:space="0" w:color="auto"/>
              <w:right w:val="single" w:sz="4" w:space="0" w:color="auto"/>
            </w:tcBorders>
            <w:shd w:val="clear" w:color="auto" w:fill="auto"/>
            <w:hideMark/>
          </w:tcPr>
          <w:p w14:paraId="5F5CF8D6"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Stanmer Park Parking Surplus</w:t>
            </w:r>
          </w:p>
        </w:tc>
        <w:tc>
          <w:tcPr>
            <w:tcW w:w="1276" w:type="dxa"/>
            <w:tcBorders>
              <w:top w:val="nil"/>
              <w:left w:val="nil"/>
              <w:bottom w:val="single" w:sz="4" w:space="0" w:color="auto"/>
              <w:right w:val="single" w:sz="4" w:space="0" w:color="auto"/>
            </w:tcBorders>
            <w:shd w:val="clear" w:color="auto" w:fill="auto"/>
            <w:noWrap/>
            <w:hideMark/>
          </w:tcPr>
          <w:p w14:paraId="0CC3223B"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250</w:t>
            </w:r>
          </w:p>
        </w:tc>
        <w:tc>
          <w:tcPr>
            <w:tcW w:w="1134" w:type="dxa"/>
            <w:tcBorders>
              <w:top w:val="nil"/>
              <w:left w:val="nil"/>
              <w:bottom w:val="single" w:sz="4" w:space="0" w:color="auto"/>
              <w:right w:val="single" w:sz="4" w:space="0" w:color="auto"/>
            </w:tcBorders>
            <w:shd w:val="clear" w:color="auto" w:fill="auto"/>
            <w:noWrap/>
            <w:hideMark/>
          </w:tcPr>
          <w:p w14:paraId="3504E7E8"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0</w:t>
            </w:r>
          </w:p>
        </w:tc>
        <w:tc>
          <w:tcPr>
            <w:tcW w:w="1276" w:type="dxa"/>
            <w:tcBorders>
              <w:top w:val="nil"/>
              <w:left w:val="nil"/>
              <w:bottom w:val="single" w:sz="4" w:space="0" w:color="auto"/>
              <w:right w:val="single" w:sz="4" w:space="0" w:color="auto"/>
            </w:tcBorders>
            <w:shd w:val="clear" w:color="auto" w:fill="auto"/>
            <w:noWrap/>
            <w:hideMark/>
          </w:tcPr>
          <w:p w14:paraId="18418B25"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250</w:t>
            </w:r>
          </w:p>
        </w:tc>
        <w:tc>
          <w:tcPr>
            <w:tcW w:w="1701" w:type="dxa"/>
            <w:tcBorders>
              <w:top w:val="nil"/>
              <w:left w:val="nil"/>
              <w:bottom w:val="single" w:sz="4" w:space="0" w:color="auto"/>
              <w:right w:val="single" w:sz="4" w:space="0" w:color="auto"/>
            </w:tcBorders>
            <w:shd w:val="clear" w:color="auto" w:fill="auto"/>
            <w:hideMark/>
          </w:tcPr>
          <w:p w14:paraId="2583D872"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Following closure of accounts.</w:t>
            </w:r>
          </w:p>
        </w:tc>
        <w:tc>
          <w:tcPr>
            <w:tcW w:w="3231" w:type="dxa"/>
            <w:tcBorders>
              <w:top w:val="nil"/>
              <w:left w:val="nil"/>
              <w:bottom w:val="single" w:sz="4" w:space="0" w:color="auto"/>
              <w:right w:val="single" w:sz="4" w:space="0" w:color="auto"/>
            </w:tcBorders>
            <w:shd w:val="clear" w:color="auto" w:fill="auto"/>
            <w:hideMark/>
          </w:tcPr>
          <w:p w14:paraId="4E134443"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Ringfenced to support expenditure on Stanmer Park as part of the Heritage Lottery funding agreement.</w:t>
            </w:r>
          </w:p>
        </w:tc>
      </w:tr>
      <w:tr w:rsidR="000729CF" w:rsidRPr="000729CF" w14:paraId="3A7F6FB9" w14:textId="77777777" w:rsidTr="00BC26AB">
        <w:trPr>
          <w:trHeight w:val="1002"/>
        </w:trPr>
        <w:tc>
          <w:tcPr>
            <w:tcW w:w="1838" w:type="dxa"/>
            <w:tcBorders>
              <w:top w:val="nil"/>
              <w:left w:val="single" w:sz="4" w:space="0" w:color="auto"/>
              <w:bottom w:val="single" w:sz="4" w:space="0" w:color="auto"/>
              <w:right w:val="single" w:sz="4" w:space="0" w:color="auto"/>
            </w:tcBorders>
            <w:shd w:val="clear" w:color="auto" w:fill="auto"/>
            <w:hideMark/>
          </w:tcPr>
          <w:p w14:paraId="1A5770F9"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East Brighton Parking Surplus</w:t>
            </w:r>
          </w:p>
        </w:tc>
        <w:tc>
          <w:tcPr>
            <w:tcW w:w="1276" w:type="dxa"/>
            <w:tcBorders>
              <w:top w:val="nil"/>
              <w:left w:val="nil"/>
              <w:bottom w:val="single" w:sz="4" w:space="0" w:color="auto"/>
              <w:right w:val="single" w:sz="4" w:space="0" w:color="auto"/>
            </w:tcBorders>
            <w:shd w:val="clear" w:color="auto" w:fill="auto"/>
            <w:noWrap/>
            <w:hideMark/>
          </w:tcPr>
          <w:p w14:paraId="2795B92E"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0</w:t>
            </w:r>
          </w:p>
        </w:tc>
        <w:tc>
          <w:tcPr>
            <w:tcW w:w="1134" w:type="dxa"/>
            <w:tcBorders>
              <w:top w:val="nil"/>
              <w:left w:val="nil"/>
              <w:bottom w:val="single" w:sz="4" w:space="0" w:color="auto"/>
              <w:right w:val="single" w:sz="4" w:space="0" w:color="auto"/>
            </w:tcBorders>
            <w:shd w:val="clear" w:color="auto" w:fill="auto"/>
            <w:noWrap/>
            <w:hideMark/>
          </w:tcPr>
          <w:p w14:paraId="35EDE072"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-63</w:t>
            </w:r>
          </w:p>
        </w:tc>
        <w:tc>
          <w:tcPr>
            <w:tcW w:w="1276" w:type="dxa"/>
            <w:tcBorders>
              <w:top w:val="nil"/>
              <w:left w:val="nil"/>
              <w:bottom w:val="single" w:sz="4" w:space="0" w:color="auto"/>
              <w:right w:val="single" w:sz="4" w:space="0" w:color="auto"/>
            </w:tcBorders>
            <w:shd w:val="clear" w:color="auto" w:fill="auto"/>
            <w:noWrap/>
            <w:hideMark/>
          </w:tcPr>
          <w:p w14:paraId="01C83AE0"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-63</w:t>
            </w:r>
          </w:p>
        </w:tc>
        <w:tc>
          <w:tcPr>
            <w:tcW w:w="1701" w:type="dxa"/>
            <w:tcBorders>
              <w:top w:val="nil"/>
              <w:left w:val="nil"/>
              <w:bottom w:val="single" w:sz="4" w:space="0" w:color="auto"/>
              <w:right w:val="single" w:sz="4" w:space="0" w:color="auto"/>
            </w:tcBorders>
            <w:shd w:val="clear" w:color="auto" w:fill="auto"/>
            <w:hideMark/>
          </w:tcPr>
          <w:p w14:paraId="79876575"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Following closure of accounts.</w:t>
            </w:r>
          </w:p>
        </w:tc>
        <w:tc>
          <w:tcPr>
            <w:tcW w:w="3231" w:type="dxa"/>
            <w:tcBorders>
              <w:top w:val="nil"/>
              <w:left w:val="nil"/>
              <w:bottom w:val="single" w:sz="4" w:space="0" w:color="auto"/>
              <w:right w:val="single" w:sz="4" w:space="0" w:color="auto"/>
            </w:tcBorders>
            <w:shd w:val="clear" w:color="auto" w:fill="auto"/>
            <w:hideMark/>
          </w:tcPr>
          <w:p w14:paraId="5A4C41A6"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Retain to support expenditure on East Brighton Park</w:t>
            </w:r>
          </w:p>
        </w:tc>
      </w:tr>
      <w:tr w:rsidR="000729CF" w:rsidRPr="000729CF" w14:paraId="1DDC4D4C" w14:textId="77777777" w:rsidTr="00BC26AB">
        <w:trPr>
          <w:trHeight w:val="1002"/>
        </w:trPr>
        <w:tc>
          <w:tcPr>
            <w:tcW w:w="1838" w:type="dxa"/>
            <w:tcBorders>
              <w:top w:val="nil"/>
              <w:left w:val="single" w:sz="4" w:space="0" w:color="auto"/>
              <w:bottom w:val="single" w:sz="4" w:space="0" w:color="auto"/>
              <w:right w:val="single" w:sz="4" w:space="0" w:color="auto"/>
            </w:tcBorders>
            <w:shd w:val="clear" w:color="auto" w:fill="auto"/>
            <w:hideMark/>
          </w:tcPr>
          <w:p w14:paraId="45EDCDB2"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Preston Park Parking Surplus</w:t>
            </w:r>
          </w:p>
        </w:tc>
        <w:tc>
          <w:tcPr>
            <w:tcW w:w="1276" w:type="dxa"/>
            <w:tcBorders>
              <w:top w:val="nil"/>
              <w:left w:val="nil"/>
              <w:bottom w:val="single" w:sz="4" w:space="0" w:color="auto"/>
              <w:right w:val="single" w:sz="4" w:space="0" w:color="auto"/>
            </w:tcBorders>
            <w:shd w:val="clear" w:color="auto" w:fill="auto"/>
            <w:noWrap/>
            <w:hideMark/>
          </w:tcPr>
          <w:p w14:paraId="4EF8F610"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187</w:t>
            </w:r>
          </w:p>
        </w:tc>
        <w:tc>
          <w:tcPr>
            <w:tcW w:w="1134" w:type="dxa"/>
            <w:tcBorders>
              <w:top w:val="nil"/>
              <w:left w:val="nil"/>
              <w:bottom w:val="single" w:sz="4" w:space="0" w:color="auto"/>
              <w:right w:val="single" w:sz="4" w:space="0" w:color="auto"/>
            </w:tcBorders>
            <w:shd w:val="clear" w:color="auto" w:fill="auto"/>
            <w:noWrap/>
            <w:hideMark/>
          </w:tcPr>
          <w:p w14:paraId="400499D5"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-80</w:t>
            </w:r>
          </w:p>
        </w:tc>
        <w:tc>
          <w:tcPr>
            <w:tcW w:w="1276" w:type="dxa"/>
            <w:tcBorders>
              <w:top w:val="nil"/>
              <w:left w:val="nil"/>
              <w:bottom w:val="single" w:sz="4" w:space="0" w:color="auto"/>
              <w:right w:val="single" w:sz="4" w:space="0" w:color="auto"/>
            </w:tcBorders>
            <w:shd w:val="clear" w:color="auto" w:fill="auto"/>
            <w:noWrap/>
            <w:hideMark/>
          </w:tcPr>
          <w:p w14:paraId="0B8E47F0"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107</w:t>
            </w:r>
          </w:p>
        </w:tc>
        <w:tc>
          <w:tcPr>
            <w:tcW w:w="1701" w:type="dxa"/>
            <w:tcBorders>
              <w:top w:val="nil"/>
              <w:left w:val="nil"/>
              <w:bottom w:val="single" w:sz="4" w:space="0" w:color="auto"/>
              <w:right w:val="single" w:sz="4" w:space="0" w:color="auto"/>
            </w:tcBorders>
            <w:shd w:val="clear" w:color="auto" w:fill="auto"/>
            <w:hideMark/>
          </w:tcPr>
          <w:p w14:paraId="6C6A8792"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Following closure of accounts.</w:t>
            </w:r>
          </w:p>
        </w:tc>
        <w:tc>
          <w:tcPr>
            <w:tcW w:w="3231" w:type="dxa"/>
            <w:tcBorders>
              <w:top w:val="nil"/>
              <w:left w:val="nil"/>
              <w:bottom w:val="single" w:sz="4" w:space="0" w:color="auto"/>
              <w:right w:val="single" w:sz="4" w:space="0" w:color="auto"/>
            </w:tcBorders>
            <w:shd w:val="clear" w:color="auto" w:fill="auto"/>
            <w:hideMark/>
          </w:tcPr>
          <w:p w14:paraId="4DDFCD85"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 xml:space="preserve">Retain to support expenditure on Preston Park.  </w:t>
            </w:r>
          </w:p>
        </w:tc>
      </w:tr>
      <w:tr w:rsidR="000729CF" w:rsidRPr="000729CF" w14:paraId="41084B3B" w14:textId="77777777" w:rsidTr="00BC26AB">
        <w:trPr>
          <w:trHeight w:val="1002"/>
        </w:trPr>
        <w:tc>
          <w:tcPr>
            <w:tcW w:w="1838" w:type="dxa"/>
            <w:tcBorders>
              <w:top w:val="nil"/>
              <w:left w:val="single" w:sz="4" w:space="0" w:color="auto"/>
              <w:bottom w:val="single" w:sz="4" w:space="0" w:color="auto"/>
              <w:right w:val="single" w:sz="4" w:space="0" w:color="auto"/>
            </w:tcBorders>
            <w:shd w:val="clear" w:color="auto" w:fill="auto"/>
            <w:hideMark/>
          </w:tcPr>
          <w:p w14:paraId="278E1841"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Road Works Permit Scheme</w:t>
            </w:r>
          </w:p>
        </w:tc>
        <w:tc>
          <w:tcPr>
            <w:tcW w:w="1276" w:type="dxa"/>
            <w:tcBorders>
              <w:top w:val="nil"/>
              <w:left w:val="nil"/>
              <w:bottom w:val="single" w:sz="4" w:space="0" w:color="auto"/>
              <w:right w:val="single" w:sz="4" w:space="0" w:color="auto"/>
            </w:tcBorders>
            <w:shd w:val="clear" w:color="auto" w:fill="auto"/>
            <w:noWrap/>
            <w:hideMark/>
          </w:tcPr>
          <w:p w14:paraId="11453F92"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53</w:t>
            </w:r>
          </w:p>
        </w:tc>
        <w:tc>
          <w:tcPr>
            <w:tcW w:w="1134" w:type="dxa"/>
            <w:tcBorders>
              <w:top w:val="nil"/>
              <w:left w:val="nil"/>
              <w:bottom w:val="single" w:sz="4" w:space="0" w:color="auto"/>
              <w:right w:val="single" w:sz="4" w:space="0" w:color="auto"/>
            </w:tcBorders>
            <w:shd w:val="clear" w:color="auto" w:fill="auto"/>
            <w:noWrap/>
            <w:hideMark/>
          </w:tcPr>
          <w:p w14:paraId="28A4823B"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0</w:t>
            </w:r>
          </w:p>
        </w:tc>
        <w:tc>
          <w:tcPr>
            <w:tcW w:w="1276" w:type="dxa"/>
            <w:tcBorders>
              <w:top w:val="nil"/>
              <w:left w:val="nil"/>
              <w:bottom w:val="single" w:sz="4" w:space="0" w:color="auto"/>
              <w:right w:val="single" w:sz="4" w:space="0" w:color="auto"/>
            </w:tcBorders>
            <w:shd w:val="clear" w:color="auto" w:fill="auto"/>
            <w:noWrap/>
            <w:hideMark/>
          </w:tcPr>
          <w:p w14:paraId="4A24E222"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53</w:t>
            </w:r>
          </w:p>
        </w:tc>
        <w:tc>
          <w:tcPr>
            <w:tcW w:w="1701" w:type="dxa"/>
            <w:tcBorders>
              <w:top w:val="nil"/>
              <w:left w:val="nil"/>
              <w:bottom w:val="single" w:sz="4" w:space="0" w:color="auto"/>
              <w:right w:val="single" w:sz="4" w:space="0" w:color="auto"/>
            </w:tcBorders>
            <w:shd w:val="clear" w:color="auto" w:fill="auto"/>
            <w:hideMark/>
          </w:tcPr>
          <w:p w14:paraId="0403FDE2"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Following closure of accounts.</w:t>
            </w:r>
          </w:p>
        </w:tc>
        <w:tc>
          <w:tcPr>
            <w:tcW w:w="3231" w:type="dxa"/>
            <w:tcBorders>
              <w:top w:val="nil"/>
              <w:left w:val="nil"/>
              <w:bottom w:val="single" w:sz="4" w:space="0" w:color="auto"/>
              <w:right w:val="single" w:sz="4" w:space="0" w:color="auto"/>
            </w:tcBorders>
            <w:shd w:val="clear" w:color="auto" w:fill="auto"/>
            <w:hideMark/>
          </w:tcPr>
          <w:p w14:paraId="282F7E2D"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The reserve is required to ensure that the permit scheme can meet its costs as in accordance with the legislation.  The service is demand led depending on the volume of works in the city and the reserve reduces this risk of pressure on the wider council’s revenue budgets.</w:t>
            </w:r>
          </w:p>
        </w:tc>
      </w:tr>
      <w:tr w:rsidR="000729CF" w:rsidRPr="000729CF" w14:paraId="5E32D1CC" w14:textId="77777777" w:rsidTr="00BC26AB">
        <w:trPr>
          <w:trHeight w:val="1002"/>
        </w:trPr>
        <w:tc>
          <w:tcPr>
            <w:tcW w:w="1838" w:type="dxa"/>
            <w:tcBorders>
              <w:top w:val="nil"/>
              <w:left w:val="single" w:sz="4" w:space="0" w:color="auto"/>
              <w:bottom w:val="single" w:sz="4" w:space="0" w:color="auto"/>
              <w:right w:val="single" w:sz="4" w:space="0" w:color="auto"/>
            </w:tcBorders>
            <w:shd w:val="clear" w:color="auto" w:fill="auto"/>
            <w:hideMark/>
          </w:tcPr>
          <w:p w14:paraId="763AE9D3" w14:textId="77777777" w:rsidR="000729CF" w:rsidRPr="000729CF" w:rsidRDefault="000729CF" w:rsidP="000729CF">
            <w:pPr>
              <w:rPr>
                <w:rFonts w:ascii="Arial" w:hAnsi="Arial" w:cs="Arial"/>
                <w:color w:val="000000"/>
                <w:lang w:val="en-GB" w:eastAsia="en-GB"/>
              </w:rPr>
            </w:pPr>
            <w:proofErr w:type="spellStart"/>
            <w:r w:rsidRPr="000729CF">
              <w:rPr>
                <w:rFonts w:ascii="Arial" w:hAnsi="Arial" w:cs="Arial"/>
                <w:color w:val="000000"/>
                <w:lang w:val="en-GB" w:eastAsia="en-GB"/>
              </w:rPr>
              <w:t>Overdown</w:t>
            </w:r>
            <w:proofErr w:type="spellEnd"/>
            <w:r w:rsidRPr="000729CF">
              <w:rPr>
                <w:rFonts w:ascii="Arial" w:hAnsi="Arial" w:cs="Arial"/>
                <w:color w:val="000000"/>
                <w:lang w:val="en-GB" w:eastAsia="en-GB"/>
              </w:rPr>
              <w:t xml:space="preserve"> Rise Footpath Maintenance</w:t>
            </w:r>
          </w:p>
        </w:tc>
        <w:tc>
          <w:tcPr>
            <w:tcW w:w="1276" w:type="dxa"/>
            <w:tcBorders>
              <w:top w:val="nil"/>
              <w:left w:val="nil"/>
              <w:bottom w:val="single" w:sz="4" w:space="0" w:color="auto"/>
              <w:right w:val="single" w:sz="4" w:space="0" w:color="auto"/>
            </w:tcBorders>
            <w:shd w:val="clear" w:color="auto" w:fill="auto"/>
            <w:noWrap/>
            <w:hideMark/>
          </w:tcPr>
          <w:p w14:paraId="4D294A39"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20</w:t>
            </w:r>
          </w:p>
        </w:tc>
        <w:tc>
          <w:tcPr>
            <w:tcW w:w="1134" w:type="dxa"/>
            <w:tcBorders>
              <w:top w:val="nil"/>
              <w:left w:val="nil"/>
              <w:bottom w:val="single" w:sz="4" w:space="0" w:color="auto"/>
              <w:right w:val="single" w:sz="4" w:space="0" w:color="auto"/>
            </w:tcBorders>
            <w:shd w:val="clear" w:color="auto" w:fill="auto"/>
            <w:noWrap/>
            <w:hideMark/>
          </w:tcPr>
          <w:p w14:paraId="44114F3D"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0</w:t>
            </w:r>
          </w:p>
        </w:tc>
        <w:tc>
          <w:tcPr>
            <w:tcW w:w="1276" w:type="dxa"/>
            <w:tcBorders>
              <w:top w:val="nil"/>
              <w:left w:val="nil"/>
              <w:bottom w:val="single" w:sz="4" w:space="0" w:color="auto"/>
              <w:right w:val="single" w:sz="4" w:space="0" w:color="auto"/>
            </w:tcBorders>
            <w:shd w:val="clear" w:color="auto" w:fill="auto"/>
            <w:noWrap/>
            <w:hideMark/>
          </w:tcPr>
          <w:p w14:paraId="6719AB87"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20</w:t>
            </w:r>
          </w:p>
        </w:tc>
        <w:tc>
          <w:tcPr>
            <w:tcW w:w="1701" w:type="dxa"/>
            <w:tcBorders>
              <w:top w:val="nil"/>
              <w:left w:val="nil"/>
              <w:bottom w:val="single" w:sz="4" w:space="0" w:color="auto"/>
              <w:right w:val="single" w:sz="4" w:space="0" w:color="auto"/>
            </w:tcBorders>
            <w:shd w:val="clear" w:color="auto" w:fill="auto"/>
            <w:hideMark/>
          </w:tcPr>
          <w:p w14:paraId="5ED6481C"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Following closure of accounts.</w:t>
            </w:r>
          </w:p>
        </w:tc>
        <w:tc>
          <w:tcPr>
            <w:tcW w:w="3231" w:type="dxa"/>
            <w:tcBorders>
              <w:top w:val="nil"/>
              <w:left w:val="nil"/>
              <w:bottom w:val="single" w:sz="4" w:space="0" w:color="auto"/>
              <w:right w:val="single" w:sz="4" w:space="0" w:color="auto"/>
            </w:tcBorders>
            <w:shd w:val="clear" w:color="auto" w:fill="auto"/>
            <w:hideMark/>
          </w:tcPr>
          <w:p w14:paraId="5D9953DB"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 xml:space="preserve">Hold for future years maintenance costs of the foot path at </w:t>
            </w:r>
            <w:proofErr w:type="spellStart"/>
            <w:r w:rsidRPr="000729CF">
              <w:rPr>
                <w:rFonts w:ascii="Arial" w:hAnsi="Arial" w:cs="Arial"/>
                <w:color w:val="000000"/>
                <w:lang w:val="en-GB" w:eastAsia="en-GB"/>
              </w:rPr>
              <w:t>Overdown</w:t>
            </w:r>
            <w:proofErr w:type="spellEnd"/>
            <w:r w:rsidRPr="000729CF">
              <w:rPr>
                <w:rFonts w:ascii="Arial" w:hAnsi="Arial" w:cs="Arial"/>
                <w:color w:val="000000"/>
                <w:lang w:val="en-GB" w:eastAsia="en-GB"/>
              </w:rPr>
              <w:t xml:space="preserve"> Rise</w:t>
            </w:r>
          </w:p>
        </w:tc>
      </w:tr>
      <w:tr w:rsidR="000729CF" w:rsidRPr="000729CF" w14:paraId="61D1EC47" w14:textId="77777777" w:rsidTr="00BC26AB">
        <w:trPr>
          <w:trHeight w:val="900"/>
        </w:trPr>
        <w:tc>
          <w:tcPr>
            <w:tcW w:w="1838" w:type="dxa"/>
            <w:tcBorders>
              <w:top w:val="nil"/>
              <w:left w:val="single" w:sz="4" w:space="0" w:color="auto"/>
              <w:bottom w:val="single" w:sz="4" w:space="0" w:color="auto"/>
              <w:right w:val="single" w:sz="4" w:space="0" w:color="auto"/>
            </w:tcBorders>
            <w:shd w:val="clear" w:color="auto" w:fill="auto"/>
            <w:hideMark/>
          </w:tcPr>
          <w:p w14:paraId="5EA765C2"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HMO Licensing Fees Reserve</w:t>
            </w:r>
          </w:p>
        </w:tc>
        <w:tc>
          <w:tcPr>
            <w:tcW w:w="1276" w:type="dxa"/>
            <w:tcBorders>
              <w:top w:val="nil"/>
              <w:left w:val="nil"/>
              <w:bottom w:val="single" w:sz="4" w:space="0" w:color="auto"/>
              <w:right w:val="single" w:sz="4" w:space="0" w:color="auto"/>
            </w:tcBorders>
            <w:shd w:val="clear" w:color="auto" w:fill="auto"/>
            <w:noWrap/>
            <w:hideMark/>
          </w:tcPr>
          <w:p w14:paraId="56F7BDD5"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456</w:t>
            </w:r>
          </w:p>
        </w:tc>
        <w:tc>
          <w:tcPr>
            <w:tcW w:w="1134" w:type="dxa"/>
            <w:tcBorders>
              <w:top w:val="nil"/>
              <w:left w:val="nil"/>
              <w:bottom w:val="single" w:sz="4" w:space="0" w:color="auto"/>
              <w:right w:val="single" w:sz="4" w:space="0" w:color="auto"/>
            </w:tcBorders>
            <w:shd w:val="clear" w:color="auto" w:fill="auto"/>
            <w:noWrap/>
            <w:hideMark/>
          </w:tcPr>
          <w:p w14:paraId="793A85F8"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-75</w:t>
            </w:r>
          </w:p>
        </w:tc>
        <w:tc>
          <w:tcPr>
            <w:tcW w:w="1276" w:type="dxa"/>
            <w:tcBorders>
              <w:top w:val="nil"/>
              <w:left w:val="nil"/>
              <w:bottom w:val="single" w:sz="4" w:space="0" w:color="auto"/>
              <w:right w:val="single" w:sz="4" w:space="0" w:color="auto"/>
            </w:tcBorders>
            <w:shd w:val="clear" w:color="auto" w:fill="auto"/>
            <w:noWrap/>
            <w:hideMark/>
          </w:tcPr>
          <w:p w14:paraId="55326305"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381</w:t>
            </w:r>
          </w:p>
        </w:tc>
        <w:tc>
          <w:tcPr>
            <w:tcW w:w="1701" w:type="dxa"/>
            <w:tcBorders>
              <w:top w:val="nil"/>
              <w:left w:val="nil"/>
              <w:bottom w:val="single" w:sz="4" w:space="0" w:color="auto"/>
              <w:right w:val="single" w:sz="4" w:space="0" w:color="auto"/>
            </w:tcBorders>
            <w:shd w:val="clear" w:color="auto" w:fill="auto"/>
            <w:hideMark/>
          </w:tcPr>
          <w:p w14:paraId="090D8E43"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Following closure of accounts.</w:t>
            </w:r>
          </w:p>
        </w:tc>
        <w:tc>
          <w:tcPr>
            <w:tcW w:w="3231" w:type="dxa"/>
            <w:tcBorders>
              <w:top w:val="nil"/>
              <w:left w:val="nil"/>
              <w:bottom w:val="single" w:sz="4" w:space="0" w:color="auto"/>
              <w:right w:val="single" w:sz="4" w:space="0" w:color="auto"/>
            </w:tcBorders>
            <w:shd w:val="clear" w:color="auto" w:fill="auto"/>
            <w:hideMark/>
          </w:tcPr>
          <w:p w14:paraId="681752D7"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Retain to support annual inspections of HMO licenses - this is a statutory function</w:t>
            </w:r>
          </w:p>
        </w:tc>
      </w:tr>
      <w:tr w:rsidR="000729CF" w:rsidRPr="000729CF" w14:paraId="4960277E" w14:textId="77777777" w:rsidTr="00BC26AB">
        <w:trPr>
          <w:trHeight w:val="1002"/>
        </w:trPr>
        <w:tc>
          <w:tcPr>
            <w:tcW w:w="1838" w:type="dxa"/>
            <w:tcBorders>
              <w:top w:val="nil"/>
              <w:left w:val="single" w:sz="4" w:space="0" w:color="auto"/>
              <w:bottom w:val="single" w:sz="4" w:space="0" w:color="auto"/>
              <w:right w:val="single" w:sz="4" w:space="0" w:color="auto"/>
            </w:tcBorders>
            <w:shd w:val="clear" w:color="auto" w:fill="auto"/>
            <w:hideMark/>
          </w:tcPr>
          <w:p w14:paraId="4D624864"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Phoenix House Sinking Fund</w:t>
            </w:r>
          </w:p>
        </w:tc>
        <w:tc>
          <w:tcPr>
            <w:tcW w:w="1276" w:type="dxa"/>
            <w:tcBorders>
              <w:top w:val="nil"/>
              <w:left w:val="nil"/>
              <w:bottom w:val="single" w:sz="4" w:space="0" w:color="auto"/>
              <w:right w:val="single" w:sz="4" w:space="0" w:color="auto"/>
            </w:tcBorders>
            <w:shd w:val="clear" w:color="auto" w:fill="auto"/>
            <w:noWrap/>
            <w:hideMark/>
          </w:tcPr>
          <w:p w14:paraId="4E80140C"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60</w:t>
            </w:r>
          </w:p>
        </w:tc>
        <w:tc>
          <w:tcPr>
            <w:tcW w:w="1134" w:type="dxa"/>
            <w:tcBorders>
              <w:top w:val="nil"/>
              <w:left w:val="nil"/>
              <w:bottom w:val="single" w:sz="4" w:space="0" w:color="auto"/>
              <w:right w:val="single" w:sz="4" w:space="0" w:color="auto"/>
            </w:tcBorders>
            <w:shd w:val="clear" w:color="auto" w:fill="auto"/>
            <w:noWrap/>
            <w:hideMark/>
          </w:tcPr>
          <w:p w14:paraId="228DE388"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0</w:t>
            </w:r>
          </w:p>
        </w:tc>
        <w:tc>
          <w:tcPr>
            <w:tcW w:w="1276" w:type="dxa"/>
            <w:tcBorders>
              <w:top w:val="nil"/>
              <w:left w:val="nil"/>
              <w:bottom w:val="single" w:sz="4" w:space="0" w:color="auto"/>
              <w:right w:val="single" w:sz="4" w:space="0" w:color="auto"/>
            </w:tcBorders>
            <w:shd w:val="clear" w:color="auto" w:fill="auto"/>
            <w:noWrap/>
            <w:hideMark/>
          </w:tcPr>
          <w:p w14:paraId="385EA3B6"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60</w:t>
            </w:r>
          </w:p>
        </w:tc>
        <w:tc>
          <w:tcPr>
            <w:tcW w:w="1701" w:type="dxa"/>
            <w:tcBorders>
              <w:top w:val="nil"/>
              <w:left w:val="nil"/>
              <w:bottom w:val="single" w:sz="4" w:space="0" w:color="auto"/>
              <w:right w:val="single" w:sz="4" w:space="0" w:color="auto"/>
            </w:tcBorders>
            <w:shd w:val="clear" w:color="auto" w:fill="auto"/>
            <w:hideMark/>
          </w:tcPr>
          <w:p w14:paraId="21BB45A6"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Following closure of accounts.</w:t>
            </w:r>
          </w:p>
        </w:tc>
        <w:tc>
          <w:tcPr>
            <w:tcW w:w="3231" w:type="dxa"/>
            <w:tcBorders>
              <w:top w:val="nil"/>
              <w:left w:val="nil"/>
              <w:bottom w:val="single" w:sz="4" w:space="0" w:color="auto"/>
              <w:right w:val="single" w:sz="4" w:space="0" w:color="auto"/>
            </w:tcBorders>
            <w:shd w:val="clear" w:color="auto" w:fill="auto"/>
            <w:hideMark/>
          </w:tcPr>
          <w:p w14:paraId="286BC48D"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Tenants’ contributions to be retained for maintenance requirements at Phoenix House.</w:t>
            </w:r>
          </w:p>
        </w:tc>
      </w:tr>
      <w:tr w:rsidR="000729CF" w:rsidRPr="000729CF" w14:paraId="082AC07D" w14:textId="77777777" w:rsidTr="00BC26AB">
        <w:trPr>
          <w:trHeight w:val="1500"/>
        </w:trPr>
        <w:tc>
          <w:tcPr>
            <w:tcW w:w="1838" w:type="dxa"/>
            <w:tcBorders>
              <w:top w:val="nil"/>
              <w:left w:val="single" w:sz="4" w:space="0" w:color="auto"/>
              <w:bottom w:val="single" w:sz="4" w:space="0" w:color="auto"/>
              <w:right w:val="single" w:sz="4" w:space="0" w:color="auto"/>
            </w:tcBorders>
            <w:shd w:val="clear" w:color="auto" w:fill="auto"/>
            <w:hideMark/>
          </w:tcPr>
          <w:p w14:paraId="08D7F78D"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Damage Deposit Guarantee Scheme</w:t>
            </w:r>
          </w:p>
        </w:tc>
        <w:tc>
          <w:tcPr>
            <w:tcW w:w="1276" w:type="dxa"/>
            <w:tcBorders>
              <w:top w:val="nil"/>
              <w:left w:val="nil"/>
              <w:bottom w:val="single" w:sz="4" w:space="0" w:color="auto"/>
              <w:right w:val="single" w:sz="4" w:space="0" w:color="auto"/>
            </w:tcBorders>
            <w:shd w:val="clear" w:color="auto" w:fill="auto"/>
            <w:noWrap/>
            <w:hideMark/>
          </w:tcPr>
          <w:p w14:paraId="6040897A"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94</w:t>
            </w:r>
          </w:p>
        </w:tc>
        <w:tc>
          <w:tcPr>
            <w:tcW w:w="1134" w:type="dxa"/>
            <w:tcBorders>
              <w:top w:val="nil"/>
              <w:left w:val="nil"/>
              <w:bottom w:val="single" w:sz="4" w:space="0" w:color="auto"/>
              <w:right w:val="single" w:sz="4" w:space="0" w:color="auto"/>
            </w:tcBorders>
            <w:shd w:val="clear" w:color="auto" w:fill="auto"/>
            <w:noWrap/>
            <w:hideMark/>
          </w:tcPr>
          <w:p w14:paraId="26E7026F"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0</w:t>
            </w:r>
          </w:p>
        </w:tc>
        <w:tc>
          <w:tcPr>
            <w:tcW w:w="1276" w:type="dxa"/>
            <w:tcBorders>
              <w:top w:val="nil"/>
              <w:left w:val="nil"/>
              <w:bottom w:val="single" w:sz="4" w:space="0" w:color="auto"/>
              <w:right w:val="single" w:sz="4" w:space="0" w:color="auto"/>
            </w:tcBorders>
            <w:shd w:val="clear" w:color="auto" w:fill="auto"/>
            <w:noWrap/>
            <w:hideMark/>
          </w:tcPr>
          <w:p w14:paraId="0755327F"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94</w:t>
            </w:r>
          </w:p>
        </w:tc>
        <w:tc>
          <w:tcPr>
            <w:tcW w:w="1701" w:type="dxa"/>
            <w:tcBorders>
              <w:top w:val="nil"/>
              <w:left w:val="nil"/>
              <w:bottom w:val="single" w:sz="4" w:space="0" w:color="auto"/>
              <w:right w:val="single" w:sz="4" w:space="0" w:color="auto"/>
            </w:tcBorders>
            <w:shd w:val="clear" w:color="auto" w:fill="auto"/>
            <w:hideMark/>
          </w:tcPr>
          <w:p w14:paraId="6A7EE144"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Reviewed during the year as part of budget monitoring process</w:t>
            </w:r>
          </w:p>
        </w:tc>
        <w:tc>
          <w:tcPr>
            <w:tcW w:w="3231" w:type="dxa"/>
            <w:tcBorders>
              <w:top w:val="nil"/>
              <w:left w:val="nil"/>
              <w:bottom w:val="single" w:sz="4" w:space="0" w:color="auto"/>
              <w:right w:val="single" w:sz="4" w:space="0" w:color="auto"/>
            </w:tcBorders>
            <w:shd w:val="clear" w:color="auto" w:fill="auto"/>
            <w:hideMark/>
          </w:tcPr>
          <w:p w14:paraId="2094D136"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 xml:space="preserve">Retained for specified purpose but required level will continue to be reviewed. </w:t>
            </w:r>
          </w:p>
        </w:tc>
      </w:tr>
      <w:tr w:rsidR="000729CF" w:rsidRPr="000729CF" w14:paraId="75BD2E21" w14:textId="77777777" w:rsidTr="00BC26AB">
        <w:trPr>
          <w:trHeight w:val="600"/>
        </w:trPr>
        <w:tc>
          <w:tcPr>
            <w:tcW w:w="1838" w:type="dxa"/>
            <w:tcBorders>
              <w:top w:val="nil"/>
              <w:left w:val="single" w:sz="4" w:space="0" w:color="auto"/>
              <w:bottom w:val="single" w:sz="4" w:space="0" w:color="auto"/>
              <w:right w:val="single" w:sz="4" w:space="0" w:color="auto"/>
            </w:tcBorders>
            <w:shd w:val="clear" w:color="auto" w:fill="auto"/>
            <w:hideMark/>
          </w:tcPr>
          <w:p w14:paraId="6B2733E7"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RP&amp;M Trust Sinking Fund</w:t>
            </w:r>
          </w:p>
        </w:tc>
        <w:tc>
          <w:tcPr>
            <w:tcW w:w="1276" w:type="dxa"/>
            <w:tcBorders>
              <w:top w:val="nil"/>
              <w:left w:val="nil"/>
              <w:bottom w:val="single" w:sz="4" w:space="0" w:color="auto"/>
              <w:right w:val="single" w:sz="4" w:space="0" w:color="auto"/>
            </w:tcBorders>
            <w:shd w:val="clear" w:color="auto" w:fill="auto"/>
            <w:noWrap/>
            <w:hideMark/>
          </w:tcPr>
          <w:p w14:paraId="59FF2378"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402</w:t>
            </w:r>
          </w:p>
        </w:tc>
        <w:tc>
          <w:tcPr>
            <w:tcW w:w="1134" w:type="dxa"/>
            <w:tcBorders>
              <w:top w:val="nil"/>
              <w:left w:val="nil"/>
              <w:bottom w:val="single" w:sz="4" w:space="0" w:color="auto"/>
              <w:right w:val="single" w:sz="4" w:space="0" w:color="auto"/>
            </w:tcBorders>
            <w:shd w:val="clear" w:color="auto" w:fill="auto"/>
            <w:noWrap/>
            <w:hideMark/>
          </w:tcPr>
          <w:p w14:paraId="2C00AADB"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0</w:t>
            </w:r>
          </w:p>
        </w:tc>
        <w:tc>
          <w:tcPr>
            <w:tcW w:w="1276" w:type="dxa"/>
            <w:tcBorders>
              <w:top w:val="nil"/>
              <w:left w:val="nil"/>
              <w:bottom w:val="single" w:sz="4" w:space="0" w:color="auto"/>
              <w:right w:val="single" w:sz="4" w:space="0" w:color="auto"/>
            </w:tcBorders>
            <w:shd w:val="clear" w:color="auto" w:fill="auto"/>
            <w:noWrap/>
            <w:hideMark/>
          </w:tcPr>
          <w:p w14:paraId="30A75B7E"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402</w:t>
            </w:r>
          </w:p>
        </w:tc>
        <w:tc>
          <w:tcPr>
            <w:tcW w:w="1701" w:type="dxa"/>
            <w:tcBorders>
              <w:top w:val="nil"/>
              <w:left w:val="nil"/>
              <w:bottom w:val="single" w:sz="4" w:space="0" w:color="auto"/>
              <w:right w:val="single" w:sz="4" w:space="0" w:color="auto"/>
            </w:tcBorders>
            <w:shd w:val="clear" w:color="auto" w:fill="auto"/>
            <w:hideMark/>
          </w:tcPr>
          <w:p w14:paraId="1F6DB2A3"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Following closure of accounts.</w:t>
            </w:r>
          </w:p>
        </w:tc>
        <w:tc>
          <w:tcPr>
            <w:tcW w:w="3231" w:type="dxa"/>
            <w:tcBorders>
              <w:top w:val="nil"/>
              <w:left w:val="nil"/>
              <w:bottom w:val="single" w:sz="4" w:space="0" w:color="auto"/>
              <w:right w:val="single" w:sz="4" w:space="0" w:color="auto"/>
            </w:tcBorders>
            <w:shd w:val="clear" w:color="auto" w:fill="auto"/>
            <w:hideMark/>
          </w:tcPr>
          <w:p w14:paraId="4E6AE417"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Retain - subject to lease agreement with RPMT</w:t>
            </w:r>
          </w:p>
        </w:tc>
      </w:tr>
      <w:tr w:rsidR="000729CF" w:rsidRPr="000729CF" w14:paraId="0A6A9A73" w14:textId="77777777" w:rsidTr="00BC26AB">
        <w:trPr>
          <w:trHeight w:val="600"/>
        </w:trPr>
        <w:tc>
          <w:tcPr>
            <w:tcW w:w="1838" w:type="dxa"/>
            <w:tcBorders>
              <w:top w:val="nil"/>
              <w:left w:val="single" w:sz="4" w:space="0" w:color="auto"/>
              <w:bottom w:val="single" w:sz="4" w:space="0" w:color="auto"/>
              <w:right w:val="single" w:sz="4" w:space="0" w:color="auto"/>
            </w:tcBorders>
            <w:shd w:val="clear" w:color="auto" w:fill="auto"/>
            <w:hideMark/>
          </w:tcPr>
          <w:p w14:paraId="759F97C7"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Cemeteries Maintenance Reserve</w:t>
            </w:r>
          </w:p>
        </w:tc>
        <w:tc>
          <w:tcPr>
            <w:tcW w:w="1276" w:type="dxa"/>
            <w:tcBorders>
              <w:top w:val="nil"/>
              <w:left w:val="nil"/>
              <w:bottom w:val="single" w:sz="4" w:space="0" w:color="auto"/>
              <w:right w:val="single" w:sz="4" w:space="0" w:color="auto"/>
            </w:tcBorders>
            <w:shd w:val="clear" w:color="auto" w:fill="auto"/>
            <w:noWrap/>
            <w:hideMark/>
          </w:tcPr>
          <w:p w14:paraId="068EADCC"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59</w:t>
            </w:r>
          </w:p>
        </w:tc>
        <w:tc>
          <w:tcPr>
            <w:tcW w:w="1134" w:type="dxa"/>
            <w:tcBorders>
              <w:top w:val="nil"/>
              <w:left w:val="nil"/>
              <w:bottom w:val="single" w:sz="4" w:space="0" w:color="auto"/>
              <w:right w:val="single" w:sz="4" w:space="0" w:color="auto"/>
            </w:tcBorders>
            <w:shd w:val="clear" w:color="auto" w:fill="auto"/>
            <w:noWrap/>
            <w:hideMark/>
          </w:tcPr>
          <w:p w14:paraId="2AAE325E"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-5</w:t>
            </w:r>
          </w:p>
        </w:tc>
        <w:tc>
          <w:tcPr>
            <w:tcW w:w="1276" w:type="dxa"/>
            <w:tcBorders>
              <w:top w:val="nil"/>
              <w:left w:val="nil"/>
              <w:bottom w:val="single" w:sz="4" w:space="0" w:color="auto"/>
              <w:right w:val="single" w:sz="4" w:space="0" w:color="auto"/>
            </w:tcBorders>
            <w:shd w:val="clear" w:color="auto" w:fill="auto"/>
            <w:noWrap/>
            <w:hideMark/>
          </w:tcPr>
          <w:p w14:paraId="77CF1005"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54</w:t>
            </w:r>
          </w:p>
        </w:tc>
        <w:tc>
          <w:tcPr>
            <w:tcW w:w="1701" w:type="dxa"/>
            <w:tcBorders>
              <w:top w:val="nil"/>
              <w:left w:val="nil"/>
              <w:bottom w:val="single" w:sz="4" w:space="0" w:color="auto"/>
              <w:right w:val="single" w:sz="4" w:space="0" w:color="auto"/>
            </w:tcBorders>
            <w:shd w:val="clear" w:color="auto" w:fill="auto"/>
            <w:hideMark/>
          </w:tcPr>
          <w:p w14:paraId="5DA681C8"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Following closure of accounts.</w:t>
            </w:r>
          </w:p>
        </w:tc>
        <w:tc>
          <w:tcPr>
            <w:tcW w:w="3231" w:type="dxa"/>
            <w:tcBorders>
              <w:top w:val="nil"/>
              <w:left w:val="nil"/>
              <w:bottom w:val="single" w:sz="4" w:space="0" w:color="auto"/>
              <w:right w:val="single" w:sz="4" w:space="0" w:color="auto"/>
            </w:tcBorders>
            <w:shd w:val="clear" w:color="auto" w:fill="auto"/>
            <w:hideMark/>
          </w:tcPr>
          <w:p w14:paraId="57CDBA22"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Retain for maintenance of cemeteries, tree clearance etc</w:t>
            </w:r>
          </w:p>
        </w:tc>
      </w:tr>
      <w:tr w:rsidR="000729CF" w:rsidRPr="000729CF" w14:paraId="1A27C297" w14:textId="77777777" w:rsidTr="00BC26AB">
        <w:trPr>
          <w:trHeight w:val="900"/>
        </w:trPr>
        <w:tc>
          <w:tcPr>
            <w:tcW w:w="1838" w:type="dxa"/>
            <w:tcBorders>
              <w:top w:val="nil"/>
              <w:left w:val="single" w:sz="4" w:space="0" w:color="auto"/>
              <w:bottom w:val="single" w:sz="4" w:space="0" w:color="auto"/>
              <w:right w:val="single" w:sz="4" w:space="0" w:color="auto"/>
            </w:tcBorders>
            <w:shd w:val="clear" w:color="auto" w:fill="auto"/>
            <w:hideMark/>
          </w:tcPr>
          <w:p w14:paraId="36B3D710"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Travellers Site Capital Reserve</w:t>
            </w:r>
          </w:p>
        </w:tc>
        <w:tc>
          <w:tcPr>
            <w:tcW w:w="1276" w:type="dxa"/>
            <w:tcBorders>
              <w:top w:val="nil"/>
              <w:left w:val="nil"/>
              <w:bottom w:val="single" w:sz="4" w:space="0" w:color="auto"/>
              <w:right w:val="single" w:sz="4" w:space="0" w:color="auto"/>
            </w:tcBorders>
            <w:shd w:val="clear" w:color="auto" w:fill="auto"/>
            <w:noWrap/>
            <w:hideMark/>
          </w:tcPr>
          <w:p w14:paraId="2C4E5DE0"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79</w:t>
            </w:r>
          </w:p>
        </w:tc>
        <w:tc>
          <w:tcPr>
            <w:tcW w:w="1134" w:type="dxa"/>
            <w:tcBorders>
              <w:top w:val="nil"/>
              <w:left w:val="nil"/>
              <w:bottom w:val="single" w:sz="4" w:space="0" w:color="auto"/>
              <w:right w:val="single" w:sz="4" w:space="0" w:color="auto"/>
            </w:tcBorders>
            <w:shd w:val="clear" w:color="auto" w:fill="auto"/>
            <w:noWrap/>
            <w:hideMark/>
          </w:tcPr>
          <w:p w14:paraId="557424C7"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-50</w:t>
            </w:r>
          </w:p>
        </w:tc>
        <w:tc>
          <w:tcPr>
            <w:tcW w:w="1276" w:type="dxa"/>
            <w:tcBorders>
              <w:top w:val="nil"/>
              <w:left w:val="nil"/>
              <w:bottom w:val="single" w:sz="4" w:space="0" w:color="auto"/>
              <w:right w:val="single" w:sz="4" w:space="0" w:color="auto"/>
            </w:tcBorders>
            <w:shd w:val="clear" w:color="auto" w:fill="auto"/>
            <w:noWrap/>
            <w:hideMark/>
          </w:tcPr>
          <w:p w14:paraId="63B3CE4B"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29</w:t>
            </w:r>
          </w:p>
        </w:tc>
        <w:tc>
          <w:tcPr>
            <w:tcW w:w="1701" w:type="dxa"/>
            <w:tcBorders>
              <w:top w:val="nil"/>
              <w:left w:val="nil"/>
              <w:bottom w:val="single" w:sz="4" w:space="0" w:color="auto"/>
              <w:right w:val="single" w:sz="4" w:space="0" w:color="auto"/>
            </w:tcBorders>
            <w:shd w:val="clear" w:color="auto" w:fill="auto"/>
            <w:hideMark/>
          </w:tcPr>
          <w:p w14:paraId="03FDF196"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Following closure of accounts.</w:t>
            </w:r>
          </w:p>
        </w:tc>
        <w:tc>
          <w:tcPr>
            <w:tcW w:w="3231" w:type="dxa"/>
            <w:tcBorders>
              <w:top w:val="nil"/>
              <w:left w:val="nil"/>
              <w:bottom w:val="single" w:sz="4" w:space="0" w:color="auto"/>
              <w:right w:val="single" w:sz="4" w:space="0" w:color="auto"/>
            </w:tcBorders>
            <w:shd w:val="clear" w:color="auto" w:fill="auto"/>
            <w:hideMark/>
          </w:tcPr>
          <w:p w14:paraId="4029AEE8"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Contribution each year to reserves for future major works costs of the Travellers site.</w:t>
            </w:r>
          </w:p>
        </w:tc>
      </w:tr>
      <w:tr w:rsidR="000729CF" w:rsidRPr="000729CF" w14:paraId="285D2310" w14:textId="77777777" w:rsidTr="00BC26AB">
        <w:trPr>
          <w:trHeight w:val="1200"/>
        </w:trPr>
        <w:tc>
          <w:tcPr>
            <w:tcW w:w="1838" w:type="dxa"/>
            <w:tcBorders>
              <w:top w:val="nil"/>
              <w:left w:val="single" w:sz="4" w:space="0" w:color="auto"/>
              <w:bottom w:val="single" w:sz="4" w:space="0" w:color="auto"/>
              <w:right w:val="single" w:sz="4" w:space="0" w:color="auto"/>
            </w:tcBorders>
            <w:shd w:val="clear" w:color="auto" w:fill="auto"/>
            <w:hideMark/>
          </w:tcPr>
          <w:p w14:paraId="0260D933"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Restructure Redundancy Reserve</w:t>
            </w:r>
          </w:p>
        </w:tc>
        <w:tc>
          <w:tcPr>
            <w:tcW w:w="1276" w:type="dxa"/>
            <w:tcBorders>
              <w:top w:val="nil"/>
              <w:left w:val="nil"/>
              <w:bottom w:val="single" w:sz="4" w:space="0" w:color="auto"/>
              <w:right w:val="single" w:sz="4" w:space="0" w:color="auto"/>
            </w:tcBorders>
            <w:shd w:val="clear" w:color="auto" w:fill="auto"/>
            <w:noWrap/>
            <w:hideMark/>
          </w:tcPr>
          <w:p w14:paraId="587931CC"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86</w:t>
            </w:r>
          </w:p>
        </w:tc>
        <w:tc>
          <w:tcPr>
            <w:tcW w:w="1134" w:type="dxa"/>
            <w:tcBorders>
              <w:top w:val="nil"/>
              <w:left w:val="nil"/>
              <w:bottom w:val="single" w:sz="4" w:space="0" w:color="auto"/>
              <w:right w:val="single" w:sz="4" w:space="0" w:color="auto"/>
            </w:tcBorders>
            <w:shd w:val="clear" w:color="auto" w:fill="auto"/>
            <w:noWrap/>
            <w:hideMark/>
          </w:tcPr>
          <w:p w14:paraId="3C7848C3"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0</w:t>
            </w:r>
          </w:p>
        </w:tc>
        <w:tc>
          <w:tcPr>
            <w:tcW w:w="1276" w:type="dxa"/>
            <w:tcBorders>
              <w:top w:val="nil"/>
              <w:left w:val="nil"/>
              <w:bottom w:val="single" w:sz="4" w:space="0" w:color="auto"/>
              <w:right w:val="single" w:sz="4" w:space="0" w:color="auto"/>
            </w:tcBorders>
            <w:shd w:val="clear" w:color="auto" w:fill="auto"/>
            <w:noWrap/>
            <w:hideMark/>
          </w:tcPr>
          <w:p w14:paraId="6D8C2FA9"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86</w:t>
            </w:r>
          </w:p>
        </w:tc>
        <w:tc>
          <w:tcPr>
            <w:tcW w:w="1701" w:type="dxa"/>
            <w:tcBorders>
              <w:top w:val="nil"/>
              <w:left w:val="nil"/>
              <w:bottom w:val="single" w:sz="4" w:space="0" w:color="auto"/>
              <w:right w:val="single" w:sz="4" w:space="0" w:color="auto"/>
            </w:tcBorders>
            <w:shd w:val="clear" w:color="auto" w:fill="auto"/>
            <w:hideMark/>
          </w:tcPr>
          <w:p w14:paraId="360D69E5"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As part of closure of accounts.</w:t>
            </w:r>
          </w:p>
        </w:tc>
        <w:tc>
          <w:tcPr>
            <w:tcW w:w="3231" w:type="dxa"/>
            <w:tcBorders>
              <w:top w:val="nil"/>
              <w:left w:val="nil"/>
              <w:bottom w:val="single" w:sz="4" w:space="0" w:color="auto"/>
              <w:right w:val="single" w:sz="4" w:space="0" w:color="auto"/>
            </w:tcBorders>
            <w:shd w:val="clear" w:color="auto" w:fill="auto"/>
            <w:hideMark/>
          </w:tcPr>
          <w:p w14:paraId="3BA447A4"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Restructure &amp; Redundancy costs are funded within the capital programme as part of the capitalisation direction.</w:t>
            </w:r>
          </w:p>
        </w:tc>
      </w:tr>
      <w:tr w:rsidR="000729CF" w:rsidRPr="000729CF" w14:paraId="360E2FF8" w14:textId="77777777" w:rsidTr="00BC26AB">
        <w:trPr>
          <w:trHeight w:val="1235"/>
        </w:trPr>
        <w:tc>
          <w:tcPr>
            <w:tcW w:w="1838" w:type="dxa"/>
            <w:tcBorders>
              <w:top w:val="nil"/>
              <w:left w:val="single" w:sz="4" w:space="0" w:color="auto"/>
              <w:bottom w:val="single" w:sz="4" w:space="0" w:color="auto"/>
              <w:right w:val="single" w:sz="4" w:space="0" w:color="auto"/>
            </w:tcBorders>
            <w:shd w:val="clear" w:color="auto" w:fill="auto"/>
            <w:hideMark/>
          </w:tcPr>
          <w:p w14:paraId="1816F767"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CIL - Neighbourhood reserve</w:t>
            </w:r>
          </w:p>
        </w:tc>
        <w:tc>
          <w:tcPr>
            <w:tcW w:w="1276" w:type="dxa"/>
            <w:tcBorders>
              <w:top w:val="nil"/>
              <w:left w:val="nil"/>
              <w:bottom w:val="single" w:sz="4" w:space="0" w:color="auto"/>
              <w:right w:val="single" w:sz="4" w:space="0" w:color="auto"/>
            </w:tcBorders>
            <w:shd w:val="clear" w:color="auto" w:fill="auto"/>
            <w:noWrap/>
            <w:hideMark/>
          </w:tcPr>
          <w:p w14:paraId="441DF50C"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491</w:t>
            </w:r>
          </w:p>
        </w:tc>
        <w:tc>
          <w:tcPr>
            <w:tcW w:w="1134" w:type="dxa"/>
            <w:tcBorders>
              <w:top w:val="nil"/>
              <w:left w:val="nil"/>
              <w:bottom w:val="single" w:sz="4" w:space="0" w:color="auto"/>
              <w:right w:val="single" w:sz="4" w:space="0" w:color="auto"/>
            </w:tcBorders>
            <w:shd w:val="clear" w:color="auto" w:fill="auto"/>
            <w:noWrap/>
            <w:hideMark/>
          </w:tcPr>
          <w:p w14:paraId="4C4EA3E7"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0</w:t>
            </w:r>
          </w:p>
        </w:tc>
        <w:tc>
          <w:tcPr>
            <w:tcW w:w="1276" w:type="dxa"/>
            <w:tcBorders>
              <w:top w:val="nil"/>
              <w:left w:val="nil"/>
              <w:bottom w:val="single" w:sz="4" w:space="0" w:color="auto"/>
              <w:right w:val="single" w:sz="4" w:space="0" w:color="auto"/>
            </w:tcBorders>
            <w:shd w:val="clear" w:color="auto" w:fill="auto"/>
            <w:noWrap/>
            <w:hideMark/>
          </w:tcPr>
          <w:p w14:paraId="7FF2A6E3"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491</w:t>
            </w:r>
          </w:p>
        </w:tc>
        <w:tc>
          <w:tcPr>
            <w:tcW w:w="1701" w:type="dxa"/>
            <w:tcBorders>
              <w:top w:val="nil"/>
              <w:left w:val="nil"/>
              <w:bottom w:val="single" w:sz="4" w:space="0" w:color="auto"/>
              <w:right w:val="single" w:sz="4" w:space="0" w:color="auto"/>
            </w:tcBorders>
            <w:shd w:val="clear" w:color="auto" w:fill="auto"/>
            <w:hideMark/>
          </w:tcPr>
          <w:p w14:paraId="1AF947BB"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Following closure of accounts.</w:t>
            </w:r>
          </w:p>
        </w:tc>
        <w:tc>
          <w:tcPr>
            <w:tcW w:w="3231" w:type="dxa"/>
            <w:tcBorders>
              <w:top w:val="nil"/>
              <w:left w:val="nil"/>
              <w:bottom w:val="single" w:sz="4" w:space="0" w:color="auto"/>
              <w:right w:val="single" w:sz="4" w:space="0" w:color="auto"/>
            </w:tcBorders>
            <w:shd w:val="clear" w:color="auto" w:fill="auto"/>
            <w:hideMark/>
          </w:tcPr>
          <w:p w14:paraId="68418EBF"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Allocations from the Neighbourhood Reserve will be made in accordance with the agreed process which involves ward councillors.</w:t>
            </w:r>
          </w:p>
        </w:tc>
      </w:tr>
      <w:tr w:rsidR="000729CF" w:rsidRPr="000729CF" w14:paraId="288C8290" w14:textId="77777777" w:rsidTr="00BC26AB">
        <w:trPr>
          <w:trHeight w:val="1267"/>
        </w:trPr>
        <w:tc>
          <w:tcPr>
            <w:tcW w:w="1838" w:type="dxa"/>
            <w:tcBorders>
              <w:top w:val="nil"/>
              <w:left w:val="single" w:sz="4" w:space="0" w:color="auto"/>
              <w:bottom w:val="single" w:sz="4" w:space="0" w:color="auto"/>
              <w:right w:val="single" w:sz="4" w:space="0" w:color="auto"/>
            </w:tcBorders>
            <w:shd w:val="clear" w:color="auto" w:fill="auto"/>
            <w:hideMark/>
          </w:tcPr>
          <w:p w14:paraId="59531D3A"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CIL - Strategic reserve</w:t>
            </w:r>
          </w:p>
        </w:tc>
        <w:tc>
          <w:tcPr>
            <w:tcW w:w="1276" w:type="dxa"/>
            <w:tcBorders>
              <w:top w:val="nil"/>
              <w:left w:val="nil"/>
              <w:bottom w:val="single" w:sz="4" w:space="0" w:color="auto"/>
              <w:right w:val="single" w:sz="4" w:space="0" w:color="auto"/>
            </w:tcBorders>
            <w:shd w:val="clear" w:color="auto" w:fill="auto"/>
            <w:noWrap/>
            <w:hideMark/>
          </w:tcPr>
          <w:p w14:paraId="649515A1"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2,623</w:t>
            </w:r>
          </w:p>
        </w:tc>
        <w:tc>
          <w:tcPr>
            <w:tcW w:w="1134" w:type="dxa"/>
            <w:tcBorders>
              <w:top w:val="nil"/>
              <w:left w:val="nil"/>
              <w:bottom w:val="single" w:sz="4" w:space="0" w:color="auto"/>
              <w:right w:val="single" w:sz="4" w:space="0" w:color="auto"/>
            </w:tcBorders>
            <w:shd w:val="clear" w:color="auto" w:fill="auto"/>
            <w:noWrap/>
            <w:hideMark/>
          </w:tcPr>
          <w:p w14:paraId="466BC058"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0</w:t>
            </w:r>
          </w:p>
        </w:tc>
        <w:tc>
          <w:tcPr>
            <w:tcW w:w="1276" w:type="dxa"/>
            <w:tcBorders>
              <w:top w:val="nil"/>
              <w:left w:val="nil"/>
              <w:bottom w:val="single" w:sz="4" w:space="0" w:color="auto"/>
              <w:right w:val="single" w:sz="4" w:space="0" w:color="auto"/>
            </w:tcBorders>
            <w:shd w:val="clear" w:color="auto" w:fill="auto"/>
            <w:noWrap/>
            <w:hideMark/>
          </w:tcPr>
          <w:p w14:paraId="2EBEB74D"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2,623</w:t>
            </w:r>
          </w:p>
        </w:tc>
        <w:tc>
          <w:tcPr>
            <w:tcW w:w="1701" w:type="dxa"/>
            <w:tcBorders>
              <w:top w:val="nil"/>
              <w:left w:val="nil"/>
              <w:bottom w:val="single" w:sz="4" w:space="0" w:color="auto"/>
              <w:right w:val="single" w:sz="4" w:space="0" w:color="auto"/>
            </w:tcBorders>
            <w:shd w:val="clear" w:color="auto" w:fill="auto"/>
            <w:hideMark/>
          </w:tcPr>
          <w:p w14:paraId="658ADBD0"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Following closure of accounts.</w:t>
            </w:r>
          </w:p>
        </w:tc>
        <w:tc>
          <w:tcPr>
            <w:tcW w:w="3231" w:type="dxa"/>
            <w:tcBorders>
              <w:top w:val="nil"/>
              <w:left w:val="nil"/>
              <w:bottom w:val="single" w:sz="4" w:space="0" w:color="auto"/>
              <w:right w:val="single" w:sz="4" w:space="0" w:color="auto"/>
            </w:tcBorders>
            <w:shd w:val="clear" w:color="auto" w:fill="auto"/>
            <w:hideMark/>
          </w:tcPr>
          <w:p w14:paraId="1B1FA869"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Allocations from the Strategic reserve will be made in line with the strategic objectives set out in the initial scheme and will be approved by committee.</w:t>
            </w:r>
          </w:p>
        </w:tc>
      </w:tr>
      <w:tr w:rsidR="000729CF" w:rsidRPr="000729CF" w14:paraId="1BD0AD39" w14:textId="77777777" w:rsidTr="00BC26AB">
        <w:trPr>
          <w:trHeight w:val="300"/>
        </w:trPr>
        <w:tc>
          <w:tcPr>
            <w:tcW w:w="1838" w:type="dxa"/>
            <w:tcBorders>
              <w:top w:val="nil"/>
              <w:left w:val="single" w:sz="4" w:space="0" w:color="auto"/>
              <w:bottom w:val="single" w:sz="4" w:space="0" w:color="auto"/>
              <w:right w:val="single" w:sz="4" w:space="0" w:color="auto"/>
            </w:tcBorders>
            <w:shd w:val="clear" w:color="000000" w:fill="A6A6A6"/>
            <w:vAlign w:val="center"/>
            <w:hideMark/>
          </w:tcPr>
          <w:p w14:paraId="31798D8E" w14:textId="77777777" w:rsidR="000729CF" w:rsidRPr="000729CF" w:rsidRDefault="000729CF" w:rsidP="000729CF">
            <w:pPr>
              <w:rPr>
                <w:rFonts w:ascii="Arial" w:hAnsi="Arial" w:cs="Arial"/>
                <w:b/>
                <w:bCs/>
                <w:color w:val="000000"/>
                <w:lang w:val="en-GB" w:eastAsia="en-GB"/>
              </w:rPr>
            </w:pPr>
            <w:r w:rsidRPr="000729CF">
              <w:rPr>
                <w:rFonts w:ascii="Arial" w:hAnsi="Arial" w:cs="Arial"/>
                <w:b/>
                <w:bCs/>
                <w:color w:val="000000"/>
                <w:lang w:val="en-GB" w:eastAsia="en-GB"/>
              </w:rPr>
              <w:t>Total General Fund Reserves</w:t>
            </w:r>
          </w:p>
        </w:tc>
        <w:tc>
          <w:tcPr>
            <w:tcW w:w="1276" w:type="dxa"/>
            <w:tcBorders>
              <w:top w:val="nil"/>
              <w:left w:val="nil"/>
              <w:bottom w:val="single" w:sz="4" w:space="0" w:color="auto"/>
              <w:right w:val="single" w:sz="4" w:space="0" w:color="auto"/>
            </w:tcBorders>
            <w:shd w:val="clear" w:color="000000" w:fill="A6A6A6"/>
            <w:noWrap/>
            <w:hideMark/>
          </w:tcPr>
          <w:p w14:paraId="1F383FC1" w14:textId="77777777" w:rsidR="000729CF" w:rsidRPr="000729CF" w:rsidRDefault="000729CF" w:rsidP="000729CF">
            <w:pPr>
              <w:jc w:val="right"/>
              <w:rPr>
                <w:rFonts w:ascii="Arial" w:hAnsi="Arial" w:cs="Arial"/>
                <w:b/>
                <w:bCs/>
                <w:color w:val="000000"/>
                <w:lang w:val="en-GB" w:eastAsia="en-GB"/>
              </w:rPr>
            </w:pPr>
            <w:r w:rsidRPr="000729CF">
              <w:rPr>
                <w:rFonts w:ascii="Arial" w:hAnsi="Arial" w:cs="Arial"/>
                <w:b/>
                <w:bCs/>
                <w:color w:val="000000"/>
                <w:lang w:val="en-GB" w:eastAsia="en-GB"/>
              </w:rPr>
              <w:t>25,280</w:t>
            </w:r>
          </w:p>
        </w:tc>
        <w:tc>
          <w:tcPr>
            <w:tcW w:w="1134" w:type="dxa"/>
            <w:tcBorders>
              <w:top w:val="nil"/>
              <w:left w:val="nil"/>
              <w:bottom w:val="single" w:sz="4" w:space="0" w:color="auto"/>
              <w:right w:val="single" w:sz="4" w:space="0" w:color="auto"/>
            </w:tcBorders>
            <w:shd w:val="clear" w:color="000000" w:fill="A6A6A6"/>
            <w:noWrap/>
            <w:hideMark/>
          </w:tcPr>
          <w:p w14:paraId="4BF2874F" w14:textId="77777777" w:rsidR="000729CF" w:rsidRPr="000729CF" w:rsidRDefault="000729CF" w:rsidP="000729CF">
            <w:pPr>
              <w:jc w:val="right"/>
              <w:rPr>
                <w:rFonts w:ascii="Arial" w:hAnsi="Arial" w:cs="Arial"/>
                <w:b/>
                <w:bCs/>
                <w:color w:val="000000"/>
                <w:lang w:val="en-GB" w:eastAsia="en-GB"/>
              </w:rPr>
            </w:pPr>
            <w:r w:rsidRPr="000729CF">
              <w:rPr>
                <w:rFonts w:ascii="Arial" w:hAnsi="Arial" w:cs="Arial"/>
                <w:b/>
                <w:bCs/>
                <w:color w:val="000000"/>
                <w:lang w:val="en-GB" w:eastAsia="en-GB"/>
              </w:rPr>
              <w:t>3,973</w:t>
            </w:r>
          </w:p>
        </w:tc>
        <w:tc>
          <w:tcPr>
            <w:tcW w:w="1276" w:type="dxa"/>
            <w:tcBorders>
              <w:top w:val="nil"/>
              <w:left w:val="nil"/>
              <w:bottom w:val="single" w:sz="4" w:space="0" w:color="auto"/>
              <w:right w:val="single" w:sz="4" w:space="0" w:color="auto"/>
            </w:tcBorders>
            <w:shd w:val="clear" w:color="000000" w:fill="A6A6A6"/>
            <w:noWrap/>
            <w:hideMark/>
          </w:tcPr>
          <w:p w14:paraId="323DC462" w14:textId="77777777" w:rsidR="000729CF" w:rsidRPr="000729CF" w:rsidRDefault="000729CF" w:rsidP="000729CF">
            <w:pPr>
              <w:jc w:val="right"/>
              <w:rPr>
                <w:rFonts w:ascii="Arial" w:hAnsi="Arial" w:cs="Arial"/>
                <w:b/>
                <w:bCs/>
                <w:color w:val="000000"/>
                <w:lang w:val="en-GB" w:eastAsia="en-GB"/>
              </w:rPr>
            </w:pPr>
            <w:r w:rsidRPr="000729CF">
              <w:rPr>
                <w:rFonts w:ascii="Arial" w:hAnsi="Arial" w:cs="Arial"/>
                <w:b/>
                <w:bCs/>
                <w:color w:val="000000"/>
                <w:lang w:val="en-GB" w:eastAsia="en-GB"/>
              </w:rPr>
              <w:t>29,253</w:t>
            </w:r>
          </w:p>
        </w:tc>
        <w:tc>
          <w:tcPr>
            <w:tcW w:w="1701" w:type="dxa"/>
            <w:tcBorders>
              <w:top w:val="nil"/>
              <w:left w:val="nil"/>
              <w:bottom w:val="single" w:sz="4" w:space="0" w:color="auto"/>
              <w:right w:val="single" w:sz="4" w:space="0" w:color="auto"/>
            </w:tcBorders>
            <w:shd w:val="clear" w:color="000000" w:fill="A6A6A6"/>
            <w:noWrap/>
            <w:vAlign w:val="bottom"/>
            <w:hideMark/>
          </w:tcPr>
          <w:p w14:paraId="06A39F8C" w14:textId="77777777" w:rsidR="000729CF" w:rsidRPr="000729CF" w:rsidRDefault="000729CF" w:rsidP="000729CF">
            <w:pPr>
              <w:rPr>
                <w:rFonts w:ascii="Arial" w:hAnsi="Arial" w:cs="Arial"/>
                <w:b/>
                <w:bCs/>
                <w:color w:val="000000"/>
                <w:lang w:val="en-GB" w:eastAsia="en-GB"/>
              </w:rPr>
            </w:pPr>
            <w:r w:rsidRPr="000729CF">
              <w:rPr>
                <w:rFonts w:ascii="Arial" w:hAnsi="Arial" w:cs="Arial"/>
                <w:b/>
                <w:bCs/>
                <w:color w:val="000000"/>
                <w:lang w:val="en-GB" w:eastAsia="en-GB"/>
              </w:rPr>
              <w:t> </w:t>
            </w:r>
          </w:p>
        </w:tc>
        <w:tc>
          <w:tcPr>
            <w:tcW w:w="3231" w:type="dxa"/>
            <w:tcBorders>
              <w:top w:val="nil"/>
              <w:left w:val="nil"/>
              <w:bottom w:val="single" w:sz="4" w:space="0" w:color="auto"/>
              <w:right w:val="single" w:sz="4" w:space="0" w:color="auto"/>
            </w:tcBorders>
            <w:shd w:val="clear" w:color="000000" w:fill="A6A6A6"/>
            <w:noWrap/>
            <w:vAlign w:val="bottom"/>
            <w:hideMark/>
          </w:tcPr>
          <w:p w14:paraId="4E2C7D53" w14:textId="77777777" w:rsidR="000729CF" w:rsidRPr="000729CF" w:rsidRDefault="000729CF" w:rsidP="000729CF">
            <w:pPr>
              <w:rPr>
                <w:rFonts w:ascii="Arial" w:hAnsi="Arial" w:cs="Arial"/>
                <w:b/>
                <w:bCs/>
                <w:color w:val="000000"/>
                <w:lang w:val="en-GB" w:eastAsia="en-GB"/>
              </w:rPr>
            </w:pPr>
            <w:r w:rsidRPr="000729CF">
              <w:rPr>
                <w:rFonts w:ascii="Arial" w:hAnsi="Arial" w:cs="Arial"/>
                <w:b/>
                <w:bCs/>
                <w:color w:val="000000"/>
                <w:lang w:val="en-GB" w:eastAsia="en-GB"/>
              </w:rPr>
              <w:t> </w:t>
            </w:r>
          </w:p>
        </w:tc>
      </w:tr>
      <w:tr w:rsidR="000729CF" w:rsidRPr="000729CF" w14:paraId="172AC2BA" w14:textId="77777777" w:rsidTr="00BC26AB">
        <w:trPr>
          <w:trHeight w:val="300"/>
        </w:trPr>
        <w:tc>
          <w:tcPr>
            <w:tcW w:w="10456" w:type="dxa"/>
            <w:gridSpan w:val="6"/>
            <w:tcBorders>
              <w:top w:val="single" w:sz="4" w:space="0" w:color="auto"/>
              <w:left w:val="single" w:sz="4" w:space="0" w:color="auto"/>
              <w:bottom w:val="single" w:sz="4" w:space="0" w:color="auto"/>
              <w:right w:val="single" w:sz="4" w:space="0" w:color="000000"/>
            </w:tcBorders>
            <w:shd w:val="clear" w:color="000000" w:fill="000000"/>
            <w:vAlign w:val="center"/>
            <w:hideMark/>
          </w:tcPr>
          <w:p w14:paraId="2F9235E8" w14:textId="77777777" w:rsidR="000729CF" w:rsidRPr="000729CF" w:rsidRDefault="000729CF" w:rsidP="000729CF">
            <w:pPr>
              <w:rPr>
                <w:rFonts w:ascii="Arial" w:hAnsi="Arial" w:cs="Arial"/>
                <w:b/>
                <w:bCs/>
                <w:color w:val="FFFFFF"/>
                <w:lang w:val="en-GB" w:eastAsia="en-GB"/>
              </w:rPr>
            </w:pPr>
            <w:r w:rsidRPr="000729CF">
              <w:rPr>
                <w:rFonts w:ascii="Arial" w:hAnsi="Arial" w:cs="Arial"/>
                <w:b/>
                <w:bCs/>
                <w:color w:val="FFFFFF"/>
                <w:lang w:val="en-GB" w:eastAsia="en-GB"/>
              </w:rPr>
              <w:t>Schools / DSG Reserves</w:t>
            </w:r>
          </w:p>
        </w:tc>
      </w:tr>
      <w:tr w:rsidR="000729CF" w:rsidRPr="000729CF" w14:paraId="64E65A4B" w14:textId="77777777" w:rsidTr="00BC26AB">
        <w:trPr>
          <w:trHeight w:val="1065"/>
        </w:trPr>
        <w:tc>
          <w:tcPr>
            <w:tcW w:w="1838" w:type="dxa"/>
            <w:tcBorders>
              <w:top w:val="nil"/>
              <w:left w:val="single" w:sz="4" w:space="0" w:color="auto"/>
              <w:bottom w:val="single" w:sz="4" w:space="0" w:color="auto"/>
              <w:right w:val="single" w:sz="4" w:space="0" w:color="auto"/>
            </w:tcBorders>
            <w:shd w:val="clear" w:color="auto" w:fill="auto"/>
            <w:noWrap/>
            <w:hideMark/>
          </w:tcPr>
          <w:p w14:paraId="5E7D0AF2"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Portslade Adult Learning</w:t>
            </w:r>
          </w:p>
        </w:tc>
        <w:tc>
          <w:tcPr>
            <w:tcW w:w="1276" w:type="dxa"/>
            <w:tcBorders>
              <w:top w:val="nil"/>
              <w:left w:val="nil"/>
              <w:bottom w:val="single" w:sz="4" w:space="0" w:color="auto"/>
              <w:right w:val="single" w:sz="4" w:space="0" w:color="auto"/>
            </w:tcBorders>
            <w:shd w:val="clear" w:color="auto" w:fill="auto"/>
            <w:noWrap/>
            <w:hideMark/>
          </w:tcPr>
          <w:p w14:paraId="7E19DAA6"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20</w:t>
            </w:r>
          </w:p>
        </w:tc>
        <w:tc>
          <w:tcPr>
            <w:tcW w:w="1134" w:type="dxa"/>
            <w:tcBorders>
              <w:top w:val="nil"/>
              <w:left w:val="nil"/>
              <w:bottom w:val="single" w:sz="4" w:space="0" w:color="auto"/>
              <w:right w:val="single" w:sz="4" w:space="0" w:color="auto"/>
            </w:tcBorders>
            <w:shd w:val="clear" w:color="auto" w:fill="auto"/>
            <w:noWrap/>
            <w:hideMark/>
          </w:tcPr>
          <w:p w14:paraId="40E6125B"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0</w:t>
            </w:r>
          </w:p>
        </w:tc>
        <w:tc>
          <w:tcPr>
            <w:tcW w:w="1276" w:type="dxa"/>
            <w:tcBorders>
              <w:top w:val="nil"/>
              <w:left w:val="nil"/>
              <w:bottom w:val="single" w:sz="4" w:space="0" w:color="auto"/>
              <w:right w:val="single" w:sz="4" w:space="0" w:color="auto"/>
            </w:tcBorders>
            <w:shd w:val="clear" w:color="auto" w:fill="auto"/>
            <w:noWrap/>
            <w:hideMark/>
          </w:tcPr>
          <w:p w14:paraId="555B173B"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20</w:t>
            </w:r>
          </w:p>
        </w:tc>
        <w:tc>
          <w:tcPr>
            <w:tcW w:w="1701" w:type="dxa"/>
            <w:tcBorders>
              <w:top w:val="nil"/>
              <w:left w:val="nil"/>
              <w:bottom w:val="single" w:sz="4" w:space="0" w:color="auto"/>
              <w:right w:val="single" w:sz="4" w:space="0" w:color="auto"/>
            </w:tcBorders>
            <w:shd w:val="clear" w:color="auto" w:fill="auto"/>
            <w:hideMark/>
          </w:tcPr>
          <w:p w14:paraId="22971B09"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Following closure of accounts.</w:t>
            </w:r>
          </w:p>
        </w:tc>
        <w:tc>
          <w:tcPr>
            <w:tcW w:w="3231" w:type="dxa"/>
            <w:tcBorders>
              <w:top w:val="nil"/>
              <w:left w:val="nil"/>
              <w:bottom w:val="single" w:sz="4" w:space="0" w:color="auto"/>
              <w:right w:val="single" w:sz="4" w:space="0" w:color="auto"/>
            </w:tcBorders>
            <w:shd w:val="clear" w:color="auto" w:fill="auto"/>
            <w:hideMark/>
          </w:tcPr>
          <w:p w14:paraId="19F4F1A1" w14:textId="77777777" w:rsidR="000729CF" w:rsidRPr="000729CF" w:rsidRDefault="000729CF" w:rsidP="000729CF">
            <w:pPr>
              <w:rPr>
                <w:rFonts w:ascii="Arial" w:hAnsi="Arial" w:cs="Arial"/>
                <w:color w:val="000000"/>
                <w:lang w:val="en-GB" w:eastAsia="en-GB"/>
              </w:rPr>
            </w:pPr>
            <w:r w:rsidRPr="000729CF">
              <w:rPr>
                <w:rFonts w:ascii="Arial" w:hAnsi="Arial" w:cs="Arial"/>
                <w:b/>
                <w:bCs/>
                <w:color w:val="000000"/>
                <w:u w:val="single"/>
                <w:lang w:val="en-GB" w:eastAsia="en-GB"/>
              </w:rPr>
              <w:t>Release £0.020m to support the 2024/25 budget</w:t>
            </w:r>
            <w:r w:rsidRPr="000729CF">
              <w:rPr>
                <w:rFonts w:ascii="Arial" w:hAnsi="Arial" w:cs="Arial"/>
                <w:color w:val="000000"/>
                <w:lang w:val="en-GB" w:eastAsia="en-GB"/>
              </w:rPr>
              <w:t>. Historic reserve no longer required for its original purpose.</w:t>
            </w:r>
          </w:p>
        </w:tc>
      </w:tr>
      <w:tr w:rsidR="000729CF" w:rsidRPr="000729CF" w14:paraId="2E1B8CB7" w14:textId="77777777" w:rsidTr="00BC26AB">
        <w:trPr>
          <w:trHeight w:val="300"/>
        </w:trPr>
        <w:tc>
          <w:tcPr>
            <w:tcW w:w="1838" w:type="dxa"/>
            <w:tcBorders>
              <w:top w:val="nil"/>
              <w:left w:val="single" w:sz="4" w:space="0" w:color="auto"/>
              <w:bottom w:val="single" w:sz="4" w:space="0" w:color="auto"/>
              <w:right w:val="single" w:sz="4" w:space="0" w:color="auto"/>
            </w:tcBorders>
            <w:shd w:val="clear" w:color="000000" w:fill="A6A6A6"/>
            <w:vAlign w:val="center"/>
            <w:hideMark/>
          </w:tcPr>
          <w:p w14:paraId="7422E0E9" w14:textId="77777777" w:rsidR="000729CF" w:rsidRPr="000729CF" w:rsidRDefault="000729CF" w:rsidP="000729CF">
            <w:pPr>
              <w:rPr>
                <w:rFonts w:ascii="Arial" w:hAnsi="Arial" w:cs="Arial"/>
                <w:b/>
                <w:bCs/>
                <w:lang w:val="en-GB" w:eastAsia="en-GB"/>
              </w:rPr>
            </w:pPr>
            <w:r w:rsidRPr="000729CF">
              <w:rPr>
                <w:rFonts w:ascii="Arial" w:hAnsi="Arial" w:cs="Arial"/>
                <w:b/>
                <w:bCs/>
                <w:lang w:val="en-GB" w:eastAsia="en-GB"/>
              </w:rPr>
              <w:t>Total Schools / DSG Reserves</w:t>
            </w:r>
          </w:p>
        </w:tc>
        <w:tc>
          <w:tcPr>
            <w:tcW w:w="1276" w:type="dxa"/>
            <w:tcBorders>
              <w:top w:val="nil"/>
              <w:left w:val="nil"/>
              <w:bottom w:val="single" w:sz="4" w:space="0" w:color="auto"/>
              <w:right w:val="single" w:sz="4" w:space="0" w:color="auto"/>
            </w:tcBorders>
            <w:shd w:val="clear" w:color="000000" w:fill="A6A6A6"/>
            <w:hideMark/>
          </w:tcPr>
          <w:p w14:paraId="791B3989" w14:textId="77777777" w:rsidR="000729CF" w:rsidRPr="000729CF" w:rsidRDefault="000729CF" w:rsidP="000729CF">
            <w:pPr>
              <w:jc w:val="right"/>
              <w:rPr>
                <w:rFonts w:ascii="Arial" w:hAnsi="Arial" w:cs="Arial"/>
                <w:b/>
                <w:bCs/>
                <w:color w:val="000000"/>
                <w:lang w:val="en-GB" w:eastAsia="en-GB"/>
              </w:rPr>
            </w:pPr>
            <w:r w:rsidRPr="000729CF">
              <w:rPr>
                <w:rFonts w:ascii="Arial" w:hAnsi="Arial" w:cs="Arial"/>
                <w:b/>
                <w:bCs/>
                <w:color w:val="000000"/>
                <w:lang w:val="en-GB" w:eastAsia="en-GB"/>
              </w:rPr>
              <w:t>20</w:t>
            </w:r>
          </w:p>
        </w:tc>
        <w:tc>
          <w:tcPr>
            <w:tcW w:w="1134" w:type="dxa"/>
            <w:tcBorders>
              <w:top w:val="nil"/>
              <w:left w:val="nil"/>
              <w:bottom w:val="single" w:sz="4" w:space="0" w:color="auto"/>
              <w:right w:val="single" w:sz="4" w:space="0" w:color="auto"/>
            </w:tcBorders>
            <w:shd w:val="clear" w:color="000000" w:fill="A6A6A6"/>
            <w:hideMark/>
          </w:tcPr>
          <w:p w14:paraId="247B3661" w14:textId="77777777" w:rsidR="000729CF" w:rsidRPr="000729CF" w:rsidRDefault="000729CF" w:rsidP="000729CF">
            <w:pPr>
              <w:jc w:val="right"/>
              <w:rPr>
                <w:rFonts w:ascii="Arial" w:hAnsi="Arial" w:cs="Arial"/>
                <w:b/>
                <w:bCs/>
                <w:color w:val="000000"/>
                <w:lang w:val="en-GB" w:eastAsia="en-GB"/>
              </w:rPr>
            </w:pPr>
            <w:r w:rsidRPr="000729CF">
              <w:rPr>
                <w:rFonts w:ascii="Arial" w:hAnsi="Arial" w:cs="Arial"/>
                <w:b/>
                <w:bCs/>
                <w:color w:val="000000"/>
                <w:lang w:val="en-GB" w:eastAsia="en-GB"/>
              </w:rPr>
              <w:t>0</w:t>
            </w:r>
          </w:p>
        </w:tc>
        <w:tc>
          <w:tcPr>
            <w:tcW w:w="1276" w:type="dxa"/>
            <w:tcBorders>
              <w:top w:val="nil"/>
              <w:left w:val="nil"/>
              <w:bottom w:val="single" w:sz="4" w:space="0" w:color="auto"/>
              <w:right w:val="single" w:sz="4" w:space="0" w:color="auto"/>
            </w:tcBorders>
            <w:shd w:val="clear" w:color="000000" w:fill="A6A6A6"/>
            <w:hideMark/>
          </w:tcPr>
          <w:p w14:paraId="25E1F996" w14:textId="77777777" w:rsidR="000729CF" w:rsidRPr="000729CF" w:rsidRDefault="000729CF" w:rsidP="000729CF">
            <w:pPr>
              <w:jc w:val="right"/>
              <w:rPr>
                <w:rFonts w:ascii="Arial" w:hAnsi="Arial" w:cs="Arial"/>
                <w:b/>
                <w:bCs/>
                <w:color w:val="000000"/>
                <w:lang w:val="en-GB" w:eastAsia="en-GB"/>
              </w:rPr>
            </w:pPr>
            <w:r w:rsidRPr="000729CF">
              <w:rPr>
                <w:rFonts w:ascii="Arial" w:hAnsi="Arial" w:cs="Arial"/>
                <w:b/>
                <w:bCs/>
                <w:color w:val="000000"/>
                <w:lang w:val="en-GB" w:eastAsia="en-GB"/>
              </w:rPr>
              <w:t>20</w:t>
            </w:r>
          </w:p>
        </w:tc>
        <w:tc>
          <w:tcPr>
            <w:tcW w:w="1701" w:type="dxa"/>
            <w:tcBorders>
              <w:top w:val="nil"/>
              <w:left w:val="nil"/>
              <w:bottom w:val="single" w:sz="4" w:space="0" w:color="auto"/>
              <w:right w:val="single" w:sz="4" w:space="0" w:color="auto"/>
            </w:tcBorders>
            <w:shd w:val="clear" w:color="000000" w:fill="A6A6A6"/>
            <w:vAlign w:val="center"/>
            <w:hideMark/>
          </w:tcPr>
          <w:p w14:paraId="6930BADE" w14:textId="77777777" w:rsidR="000729CF" w:rsidRPr="000729CF" w:rsidRDefault="000729CF" w:rsidP="000729CF">
            <w:pPr>
              <w:rPr>
                <w:rFonts w:ascii="Arial" w:hAnsi="Arial" w:cs="Arial"/>
                <w:b/>
                <w:bCs/>
                <w:color w:val="000000"/>
                <w:lang w:val="en-GB" w:eastAsia="en-GB"/>
              </w:rPr>
            </w:pPr>
            <w:r w:rsidRPr="000729CF">
              <w:rPr>
                <w:rFonts w:ascii="Arial" w:hAnsi="Arial" w:cs="Arial"/>
                <w:b/>
                <w:bCs/>
                <w:color w:val="000000"/>
                <w:lang w:val="en-GB" w:eastAsia="en-GB"/>
              </w:rPr>
              <w:t> </w:t>
            </w:r>
          </w:p>
        </w:tc>
        <w:tc>
          <w:tcPr>
            <w:tcW w:w="3231" w:type="dxa"/>
            <w:tcBorders>
              <w:top w:val="nil"/>
              <w:left w:val="nil"/>
              <w:bottom w:val="single" w:sz="4" w:space="0" w:color="auto"/>
              <w:right w:val="single" w:sz="4" w:space="0" w:color="auto"/>
            </w:tcBorders>
            <w:shd w:val="clear" w:color="000000" w:fill="A6A6A6"/>
            <w:vAlign w:val="center"/>
            <w:hideMark/>
          </w:tcPr>
          <w:p w14:paraId="0D7DCC84" w14:textId="77777777" w:rsidR="000729CF" w:rsidRPr="000729CF" w:rsidRDefault="000729CF" w:rsidP="000729CF">
            <w:pPr>
              <w:rPr>
                <w:rFonts w:ascii="Arial" w:hAnsi="Arial" w:cs="Arial"/>
                <w:b/>
                <w:bCs/>
                <w:color w:val="000000"/>
                <w:lang w:val="en-GB" w:eastAsia="en-GB"/>
              </w:rPr>
            </w:pPr>
            <w:r w:rsidRPr="000729CF">
              <w:rPr>
                <w:rFonts w:ascii="Arial" w:hAnsi="Arial" w:cs="Arial"/>
                <w:b/>
                <w:bCs/>
                <w:color w:val="000000"/>
                <w:lang w:val="en-GB" w:eastAsia="en-GB"/>
              </w:rPr>
              <w:t> </w:t>
            </w:r>
          </w:p>
        </w:tc>
      </w:tr>
      <w:tr w:rsidR="000729CF" w:rsidRPr="000729CF" w14:paraId="0C015C43" w14:textId="77777777" w:rsidTr="00BC26AB">
        <w:trPr>
          <w:trHeight w:val="300"/>
        </w:trPr>
        <w:tc>
          <w:tcPr>
            <w:tcW w:w="1838" w:type="dxa"/>
            <w:tcBorders>
              <w:top w:val="nil"/>
              <w:left w:val="single" w:sz="4" w:space="0" w:color="auto"/>
              <w:bottom w:val="single" w:sz="4" w:space="0" w:color="auto"/>
              <w:right w:val="single" w:sz="4" w:space="0" w:color="auto"/>
            </w:tcBorders>
            <w:shd w:val="clear" w:color="000000" w:fill="A6A6A6"/>
            <w:vAlign w:val="center"/>
            <w:hideMark/>
          </w:tcPr>
          <w:p w14:paraId="71F21B20" w14:textId="77777777" w:rsidR="000729CF" w:rsidRPr="000729CF" w:rsidRDefault="000729CF" w:rsidP="000729CF">
            <w:pPr>
              <w:rPr>
                <w:rFonts w:ascii="Arial" w:hAnsi="Arial" w:cs="Arial"/>
                <w:b/>
                <w:bCs/>
                <w:lang w:val="en-GB" w:eastAsia="en-GB"/>
              </w:rPr>
            </w:pPr>
            <w:r w:rsidRPr="000729CF">
              <w:rPr>
                <w:rFonts w:ascii="Arial" w:hAnsi="Arial" w:cs="Arial"/>
                <w:b/>
                <w:bCs/>
                <w:lang w:val="en-GB" w:eastAsia="en-GB"/>
              </w:rPr>
              <w:t>TOTAL RESERVES</w:t>
            </w:r>
          </w:p>
        </w:tc>
        <w:tc>
          <w:tcPr>
            <w:tcW w:w="1276" w:type="dxa"/>
            <w:tcBorders>
              <w:top w:val="nil"/>
              <w:left w:val="nil"/>
              <w:bottom w:val="single" w:sz="4" w:space="0" w:color="auto"/>
              <w:right w:val="single" w:sz="4" w:space="0" w:color="auto"/>
            </w:tcBorders>
            <w:shd w:val="clear" w:color="000000" w:fill="A6A6A6"/>
            <w:hideMark/>
          </w:tcPr>
          <w:p w14:paraId="700781E0" w14:textId="77777777" w:rsidR="000729CF" w:rsidRPr="000729CF" w:rsidRDefault="000729CF" w:rsidP="000729CF">
            <w:pPr>
              <w:jc w:val="right"/>
              <w:rPr>
                <w:rFonts w:ascii="Arial" w:hAnsi="Arial" w:cs="Arial"/>
                <w:b/>
                <w:bCs/>
                <w:color w:val="000000"/>
                <w:lang w:val="en-GB" w:eastAsia="en-GB"/>
              </w:rPr>
            </w:pPr>
            <w:r w:rsidRPr="000729CF">
              <w:rPr>
                <w:rFonts w:ascii="Arial" w:hAnsi="Arial" w:cs="Arial"/>
                <w:b/>
                <w:bCs/>
                <w:color w:val="000000"/>
                <w:lang w:val="en-GB" w:eastAsia="en-GB"/>
              </w:rPr>
              <w:t>25,300</w:t>
            </w:r>
          </w:p>
        </w:tc>
        <w:tc>
          <w:tcPr>
            <w:tcW w:w="1134" w:type="dxa"/>
            <w:tcBorders>
              <w:top w:val="nil"/>
              <w:left w:val="nil"/>
              <w:bottom w:val="single" w:sz="4" w:space="0" w:color="auto"/>
              <w:right w:val="single" w:sz="4" w:space="0" w:color="auto"/>
            </w:tcBorders>
            <w:shd w:val="clear" w:color="000000" w:fill="A6A6A6"/>
            <w:hideMark/>
          </w:tcPr>
          <w:p w14:paraId="6B0E53E7" w14:textId="77777777" w:rsidR="000729CF" w:rsidRPr="000729CF" w:rsidRDefault="000729CF" w:rsidP="000729CF">
            <w:pPr>
              <w:jc w:val="right"/>
              <w:rPr>
                <w:rFonts w:ascii="Arial" w:hAnsi="Arial" w:cs="Arial"/>
                <w:b/>
                <w:bCs/>
                <w:color w:val="000000"/>
                <w:lang w:val="en-GB" w:eastAsia="en-GB"/>
              </w:rPr>
            </w:pPr>
            <w:r w:rsidRPr="000729CF">
              <w:rPr>
                <w:rFonts w:ascii="Arial" w:hAnsi="Arial" w:cs="Arial"/>
                <w:b/>
                <w:bCs/>
                <w:color w:val="000000"/>
                <w:lang w:val="en-GB" w:eastAsia="en-GB"/>
              </w:rPr>
              <w:t>3,973</w:t>
            </w:r>
          </w:p>
        </w:tc>
        <w:tc>
          <w:tcPr>
            <w:tcW w:w="1276" w:type="dxa"/>
            <w:tcBorders>
              <w:top w:val="nil"/>
              <w:left w:val="nil"/>
              <w:bottom w:val="single" w:sz="4" w:space="0" w:color="auto"/>
              <w:right w:val="single" w:sz="4" w:space="0" w:color="auto"/>
            </w:tcBorders>
            <w:shd w:val="clear" w:color="000000" w:fill="A6A6A6"/>
            <w:hideMark/>
          </w:tcPr>
          <w:p w14:paraId="1FB5A38E" w14:textId="77777777" w:rsidR="000729CF" w:rsidRPr="000729CF" w:rsidRDefault="000729CF" w:rsidP="000729CF">
            <w:pPr>
              <w:jc w:val="right"/>
              <w:rPr>
                <w:rFonts w:ascii="Arial" w:hAnsi="Arial" w:cs="Arial"/>
                <w:b/>
                <w:bCs/>
                <w:color w:val="000000"/>
                <w:lang w:val="en-GB" w:eastAsia="en-GB"/>
              </w:rPr>
            </w:pPr>
            <w:r w:rsidRPr="000729CF">
              <w:rPr>
                <w:rFonts w:ascii="Arial" w:hAnsi="Arial" w:cs="Arial"/>
                <w:b/>
                <w:bCs/>
                <w:color w:val="000000"/>
                <w:lang w:val="en-GB" w:eastAsia="en-GB"/>
              </w:rPr>
              <w:t>29,273</w:t>
            </w:r>
          </w:p>
        </w:tc>
        <w:tc>
          <w:tcPr>
            <w:tcW w:w="1701" w:type="dxa"/>
            <w:tcBorders>
              <w:top w:val="nil"/>
              <w:left w:val="nil"/>
              <w:bottom w:val="single" w:sz="4" w:space="0" w:color="auto"/>
              <w:right w:val="single" w:sz="4" w:space="0" w:color="auto"/>
            </w:tcBorders>
            <w:shd w:val="clear" w:color="000000" w:fill="A6A6A6"/>
            <w:vAlign w:val="center"/>
            <w:hideMark/>
          </w:tcPr>
          <w:p w14:paraId="165041F3" w14:textId="77777777" w:rsidR="000729CF" w:rsidRPr="000729CF" w:rsidRDefault="000729CF" w:rsidP="000729CF">
            <w:pPr>
              <w:rPr>
                <w:rFonts w:ascii="Arial" w:hAnsi="Arial" w:cs="Arial"/>
                <w:b/>
                <w:bCs/>
                <w:color w:val="000000"/>
                <w:lang w:val="en-GB" w:eastAsia="en-GB"/>
              </w:rPr>
            </w:pPr>
            <w:r w:rsidRPr="000729CF">
              <w:rPr>
                <w:rFonts w:ascii="Arial" w:hAnsi="Arial" w:cs="Arial"/>
                <w:b/>
                <w:bCs/>
                <w:color w:val="000000"/>
                <w:lang w:val="en-GB" w:eastAsia="en-GB"/>
              </w:rPr>
              <w:t> </w:t>
            </w:r>
          </w:p>
        </w:tc>
        <w:tc>
          <w:tcPr>
            <w:tcW w:w="3231" w:type="dxa"/>
            <w:tcBorders>
              <w:top w:val="nil"/>
              <w:left w:val="nil"/>
              <w:bottom w:val="single" w:sz="4" w:space="0" w:color="auto"/>
              <w:right w:val="single" w:sz="4" w:space="0" w:color="auto"/>
            </w:tcBorders>
            <w:shd w:val="clear" w:color="000000" w:fill="A6A6A6"/>
            <w:vAlign w:val="center"/>
            <w:hideMark/>
          </w:tcPr>
          <w:p w14:paraId="1FFEC612" w14:textId="77777777" w:rsidR="000729CF" w:rsidRPr="000729CF" w:rsidRDefault="000729CF" w:rsidP="000729CF">
            <w:pPr>
              <w:rPr>
                <w:rFonts w:ascii="Arial" w:hAnsi="Arial" w:cs="Arial"/>
                <w:b/>
                <w:bCs/>
                <w:color w:val="000000"/>
                <w:lang w:val="en-GB" w:eastAsia="en-GB"/>
              </w:rPr>
            </w:pPr>
            <w:r w:rsidRPr="000729CF">
              <w:rPr>
                <w:rFonts w:ascii="Arial" w:hAnsi="Arial" w:cs="Arial"/>
                <w:b/>
                <w:bCs/>
                <w:color w:val="000000"/>
                <w:lang w:val="en-GB" w:eastAsia="en-GB"/>
              </w:rPr>
              <w:t> </w:t>
            </w:r>
          </w:p>
        </w:tc>
      </w:tr>
      <w:tr w:rsidR="000729CF" w:rsidRPr="000729CF" w14:paraId="6323F7FC" w14:textId="77777777" w:rsidTr="00BC26AB">
        <w:trPr>
          <w:trHeight w:val="300"/>
        </w:trPr>
        <w:tc>
          <w:tcPr>
            <w:tcW w:w="10456" w:type="dxa"/>
            <w:gridSpan w:val="6"/>
            <w:tcBorders>
              <w:top w:val="single" w:sz="4" w:space="0" w:color="auto"/>
              <w:left w:val="single" w:sz="4" w:space="0" w:color="auto"/>
              <w:bottom w:val="single" w:sz="4" w:space="0" w:color="auto"/>
              <w:right w:val="single" w:sz="4" w:space="0" w:color="000000"/>
            </w:tcBorders>
            <w:shd w:val="clear" w:color="000000" w:fill="000000"/>
            <w:vAlign w:val="center"/>
            <w:hideMark/>
          </w:tcPr>
          <w:p w14:paraId="2B3D20E7" w14:textId="77777777" w:rsidR="000729CF" w:rsidRPr="000729CF" w:rsidRDefault="000729CF" w:rsidP="000729CF">
            <w:pPr>
              <w:rPr>
                <w:rFonts w:ascii="Arial" w:hAnsi="Arial" w:cs="Arial"/>
                <w:b/>
                <w:bCs/>
                <w:color w:val="FFFFFF"/>
                <w:lang w:val="en-GB" w:eastAsia="en-GB"/>
              </w:rPr>
            </w:pPr>
            <w:r w:rsidRPr="000729CF">
              <w:rPr>
                <w:rFonts w:ascii="Arial" w:hAnsi="Arial" w:cs="Arial"/>
                <w:b/>
                <w:bCs/>
                <w:color w:val="FFFFFF"/>
                <w:lang w:val="en-GB" w:eastAsia="en-GB"/>
              </w:rPr>
              <w:t>General Fund Provisions</w:t>
            </w:r>
          </w:p>
        </w:tc>
      </w:tr>
      <w:tr w:rsidR="000729CF" w:rsidRPr="000729CF" w14:paraId="46E56E4B" w14:textId="77777777" w:rsidTr="00BC26AB">
        <w:trPr>
          <w:trHeight w:val="900"/>
        </w:trPr>
        <w:tc>
          <w:tcPr>
            <w:tcW w:w="1838" w:type="dxa"/>
            <w:tcBorders>
              <w:top w:val="nil"/>
              <w:left w:val="single" w:sz="4" w:space="0" w:color="auto"/>
              <w:bottom w:val="single" w:sz="4" w:space="0" w:color="auto"/>
              <w:right w:val="single" w:sz="4" w:space="0" w:color="auto"/>
            </w:tcBorders>
            <w:shd w:val="clear" w:color="auto" w:fill="auto"/>
            <w:hideMark/>
          </w:tcPr>
          <w:p w14:paraId="75ED75FB"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Hostel Accommodation Dilapidations</w:t>
            </w:r>
          </w:p>
        </w:tc>
        <w:tc>
          <w:tcPr>
            <w:tcW w:w="1276" w:type="dxa"/>
            <w:tcBorders>
              <w:top w:val="nil"/>
              <w:left w:val="nil"/>
              <w:bottom w:val="single" w:sz="4" w:space="0" w:color="auto"/>
              <w:right w:val="single" w:sz="4" w:space="0" w:color="auto"/>
            </w:tcBorders>
            <w:shd w:val="clear" w:color="auto" w:fill="auto"/>
            <w:hideMark/>
          </w:tcPr>
          <w:p w14:paraId="31D40C8E"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82</w:t>
            </w:r>
          </w:p>
        </w:tc>
        <w:tc>
          <w:tcPr>
            <w:tcW w:w="1134" w:type="dxa"/>
            <w:tcBorders>
              <w:top w:val="nil"/>
              <w:left w:val="nil"/>
              <w:bottom w:val="single" w:sz="4" w:space="0" w:color="auto"/>
              <w:right w:val="single" w:sz="4" w:space="0" w:color="auto"/>
            </w:tcBorders>
            <w:shd w:val="clear" w:color="auto" w:fill="auto"/>
            <w:hideMark/>
          </w:tcPr>
          <w:p w14:paraId="2EF26C7E"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0</w:t>
            </w:r>
          </w:p>
        </w:tc>
        <w:tc>
          <w:tcPr>
            <w:tcW w:w="1276" w:type="dxa"/>
            <w:tcBorders>
              <w:top w:val="nil"/>
              <w:left w:val="nil"/>
              <w:bottom w:val="single" w:sz="4" w:space="0" w:color="auto"/>
              <w:right w:val="single" w:sz="4" w:space="0" w:color="auto"/>
            </w:tcBorders>
            <w:shd w:val="clear" w:color="auto" w:fill="auto"/>
            <w:hideMark/>
          </w:tcPr>
          <w:p w14:paraId="2538ED80"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82</w:t>
            </w:r>
          </w:p>
        </w:tc>
        <w:tc>
          <w:tcPr>
            <w:tcW w:w="1701" w:type="dxa"/>
            <w:tcBorders>
              <w:top w:val="nil"/>
              <w:left w:val="nil"/>
              <w:bottom w:val="single" w:sz="4" w:space="0" w:color="auto"/>
              <w:right w:val="single" w:sz="4" w:space="0" w:color="auto"/>
            </w:tcBorders>
            <w:shd w:val="clear" w:color="auto" w:fill="auto"/>
            <w:hideMark/>
          </w:tcPr>
          <w:p w14:paraId="13FC052B"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Following closure of accounts.</w:t>
            </w:r>
          </w:p>
        </w:tc>
        <w:tc>
          <w:tcPr>
            <w:tcW w:w="3231" w:type="dxa"/>
            <w:tcBorders>
              <w:top w:val="nil"/>
              <w:left w:val="nil"/>
              <w:bottom w:val="single" w:sz="4" w:space="0" w:color="auto"/>
              <w:right w:val="single" w:sz="4" w:space="0" w:color="auto"/>
            </w:tcBorders>
            <w:shd w:val="clear" w:color="auto" w:fill="auto"/>
            <w:hideMark/>
          </w:tcPr>
          <w:p w14:paraId="465F08E7"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Held for dilapidation costs for West Pier Hostel following retendering of service.</w:t>
            </w:r>
          </w:p>
        </w:tc>
      </w:tr>
      <w:tr w:rsidR="000729CF" w:rsidRPr="000729CF" w14:paraId="2B5C9C8E" w14:textId="77777777" w:rsidTr="00BC26AB">
        <w:trPr>
          <w:trHeight w:val="1664"/>
        </w:trPr>
        <w:tc>
          <w:tcPr>
            <w:tcW w:w="1838" w:type="dxa"/>
            <w:tcBorders>
              <w:top w:val="nil"/>
              <w:left w:val="single" w:sz="4" w:space="0" w:color="auto"/>
              <w:bottom w:val="single" w:sz="4" w:space="0" w:color="auto"/>
              <w:right w:val="single" w:sz="4" w:space="0" w:color="auto"/>
            </w:tcBorders>
            <w:shd w:val="clear" w:color="auto" w:fill="auto"/>
            <w:hideMark/>
          </w:tcPr>
          <w:p w14:paraId="6AC50E0F"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10 Year lease revenue costs Provision</w:t>
            </w:r>
          </w:p>
        </w:tc>
        <w:tc>
          <w:tcPr>
            <w:tcW w:w="1276" w:type="dxa"/>
            <w:tcBorders>
              <w:top w:val="nil"/>
              <w:left w:val="nil"/>
              <w:bottom w:val="single" w:sz="4" w:space="0" w:color="auto"/>
              <w:right w:val="single" w:sz="4" w:space="0" w:color="auto"/>
            </w:tcBorders>
            <w:shd w:val="clear" w:color="auto" w:fill="auto"/>
            <w:hideMark/>
          </w:tcPr>
          <w:p w14:paraId="24B934FC"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78</w:t>
            </w:r>
          </w:p>
        </w:tc>
        <w:tc>
          <w:tcPr>
            <w:tcW w:w="1134" w:type="dxa"/>
            <w:tcBorders>
              <w:top w:val="nil"/>
              <w:left w:val="nil"/>
              <w:bottom w:val="single" w:sz="4" w:space="0" w:color="auto"/>
              <w:right w:val="single" w:sz="4" w:space="0" w:color="auto"/>
            </w:tcBorders>
            <w:shd w:val="clear" w:color="auto" w:fill="auto"/>
            <w:hideMark/>
          </w:tcPr>
          <w:p w14:paraId="703271CC"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39</w:t>
            </w:r>
          </w:p>
        </w:tc>
        <w:tc>
          <w:tcPr>
            <w:tcW w:w="1276" w:type="dxa"/>
            <w:tcBorders>
              <w:top w:val="nil"/>
              <w:left w:val="nil"/>
              <w:bottom w:val="single" w:sz="4" w:space="0" w:color="auto"/>
              <w:right w:val="single" w:sz="4" w:space="0" w:color="auto"/>
            </w:tcBorders>
            <w:shd w:val="clear" w:color="auto" w:fill="auto"/>
            <w:hideMark/>
          </w:tcPr>
          <w:p w14:paraId="5A449F89"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117</w:t>
            </w:r>
          </w:p>
        </w:tc>
        <w:tc>
          <w:tcPr>
            <w:tcW w:w="1701" w:type="dxa"/>
            <w:tcBorders>
              <w:top w:val="nil"/>
              <w:left w:val="nil"/>
              <w:bottom w:val="single" w:sz="4" w:space="0" w:color="auto"/>
              <w:right w:val="single" w:sz="4" w:space="0" w:color="auto"/>
            </w:tcBorders>
            <w:shd w:val="clear" w:color="auto" w:fill="auto"/>
            <w:hideMark/>
          </w:tcPr>
          <w:p w14:paraId="15A93180"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 xml:space="preserve">Review of annual contribution to this provision at closedown. </w:t>
            </w:r>
          </w:p>
        </w:tc>
        <w:tc>
          <w:tcPr>
            <w:tcW w:w="3231" w:type="dxa"/>
            <w:tcBorders>
              <w:top w:val="nil"/>
              <w:left w:val="nil"/>
              <w:bottom w:val="single" w:sz="4" w:space="0" w:color="auto"/>
              <w:right w:val="single" w:sz="4" w:space="0" w:color="auto"/>
            </w:tcBorders>
            <w:shd w:val="clear" w:color="auto" w:fill="auto"/>
            <w:hideMark/>
          </w:tcPr>
          <w:p w14:paraId="16DCB01A"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 xml:space="preserve">This is required to pay back the borrowing costs when 10 year leases finish in 2032/33.These are 30 properties leased through Rough Sleeping Accommodation Programme partly funded by DCLG. </w:t>
            </w:r>
          </w:p>
        </w:tc>
      </w:tr>
      <w:tr w:rsidR="000729CF" w:rsidRPr="000729CF" w14:paraId="0AD3369F" w14:textId="77777777" w:rsidTr="00BC26AB">
        <w:trPr>
          <w:trHeight w:val="837"/>
        </w:trPr>
        <w:tc>
          <w:tcPr>
            <w:tcW w:w="1838" w:type="dxa"/>
            <w:tcBorders>
              <w:top w:val="nil"/>
              <w:left w:val="single" w:sz="4" w:space="0" w:color="auto"/>
              <w:bottom w:val="single" w:sz="4" w:space="0" w:color="auto"/>
              <w:right w:val="single" w:sz="4" w:space="0" w:color="auto"/>
            </w:tcBorders>
            <w:shd w:val="clear" w:color="auto" w:fill="auto"/>
            <w:hideMark/>
          </w:tcPr>
          <w:p w14:paraId="1AEEB587"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Voluntary Severance Provision</w:t>
            </w:r>
          </w:p>
        </w:tc>
        <w:tc>
          <w:tcPr>
            <w:tcW w:w="1276" w:type="dxa"/>
            <w:tcBorders>
              <w:top w:val="nil"/>
              <w:left w:val="nil"/>
              <w:bottom w:val="single" w:sz="4" w:space="0" w:color="auto"/>
              <w:right w:val="single" w:sz="4" w:space="0" w:color="auto"/>
            </w:tcBorders>
            <w:shd w:val="clear" w:color="auto" w:fill="auto"/>
            <w:hideMark/>
          </w:tcPr>
          <w:p w14:paraId="52B6A986"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1,000</w:t>
            </w:r>
          </w:p>
        </w:tc>
        <w:tc>
          <w:tcPr>
            <w:tcW w:w="1134" w:type="dxa"/>
            <w:tcBorders>
              <w:top w:val="nil"/>
              <w:left w:val="nil"/>
              <w:bottom w:val="single" w:sz="4" w:space="0" w:color="auto"/>
              <w:right w:val="single" w:sz="4" w:space="0" w:color="auto"/>
            </w:tcBorders>
            <w:shd w:val="clear" w:color="auto" w:fill="auto"/>
            <w:hideMark/>
          </w:tcPr>
          <w:p w14:paraId="44925D56"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-1,000</w:t>
            </w:r>
          </w:p>
        </w:tc>
        <w:tc>
          <w:tcPr>
            <w:tcW w:w="1276" w:type="dxa"/>
            <w:tcBorders>
              <w:top w:val="nil"/>
              <w:left w:val="nil"/>
              <w:bottom w:val="single" w:sz="4" w:space="0" w:color="auto"/>
              <w:right w:val="single" w:sz="4" w:space="0" w:color="auto"/>
            </w:tcBorders>
            <w:shd w:val="clear" w:color="auto" w:fill="auto"/>
            <w:hideMark/>
          </w:tcPr>
          <w:p w14:paraId="3E13760C"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0</w:t>
            </w:r>
          </w:p>
        </w:tc>
        <w:tc>
          <w:tcPr>
            <w:tcW w:w="1701" w:type="dxa"/>
            <w:tcBorders>
              <w:top w:val="nil"/>
              <w:left w:val="nil"/>
              <w:bottom w:val="single" w:sz="4" w:space="0" w:color="auto"/>
              <w:right w:val="single" w:sz="4" w:space="0" w:color="auto"/>
            </w:tcBorders>
            <w:shd w:val="clear" w:color="auto" w:fill="auto"/>
            <w:hideMark/>
          </w:tcPr>
          <w:p w14:paraId="0BA480FB"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Following closure of accounts.</w:t>
            </w:r>
          </w:p>
        </w:tc>
        <w:tc>
          <w:tcPr>
            <w:tcW w:w="3231" w:type="dxa"/>
            <w:tcBorders>
              <w:top w:val="nil"/>
              <w:left w:val="nil"/>
              <w:bottom w:val="single" w:sz="4" w:space="0" w:color="auto"/>
              <w:right w:val="single" w:sz="4" w:space="0" w:color="auto"/>
            </w:tcBorders>
            <w:shd w:val="clear" w:color="auto" w:fill="auto"/>
            <w:hideMark/>
          </w:tcPr>
          <w:p w14:paraId="40F4CFC3"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To fund cost of potential severance agreements from 2024/25 Budget plans.</w:t>
            </w:r>
          </w:p>
        </w:tc>
      </w:tr>
      <w:tr w:rsidR="000729CF" w:rsidRPr="000729CF" w14:paraId="3576D123" w14:textId="77777777" w:rsidTr="00BC26AB">
        <w:trPr>
          <w:trHeight w:val="1970"/>
        </w:trPr>
        <w:tc>
          <w:tcPr>
            <w:tcW w:w="1838" w:type="dxa"/>
            <w:tcBorders>
              <w:top w:val="nil"/>
              <w:left w:val="single" w:sz="4" w:space="0" w:color="auto"/>
              <w:bottom w:val="single" w:sz="4" w:space="0" w:color="auto"/>
              <w:right w:val="single" w:sz="4" w:space="0" w:color="auto"/>
            </w:tcBorders>
            <w:shd w:val="clear" w:color="auto" w:fill="auto"/>
            <w:hideMark/>
          </w:tcPr>
          <w:p w14:paraId="63E32FE0"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Insurance Provision</w:t>
            </w:r>
          </w:p>
        </w:tc>
        <w:tc>
          <w:tcPr>
            <w:tcW w:w="1276" w:type="dxa"/>
            <w:tcBorders>
              <w:top w:val="nil"/>
              <w:left w:val="nil"/>
              <w:bottom w:val="single" w:sz="4" w:space="0" w:color="auto"/>
              <w:right w:val="single" w:sz="4" w:space="0" w:color="auto"/>
            </w:tcBorders>
            <w:shd w:val="clear" w:color="auto" w:fill="auto"/>
            <w:hideMark/>
          </w:tcPr>
          <w:p w14:paraId="1DB09478"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4,076</w:t>
            </w:r>
          </w:p>
        </w:tc>
        <w:tc>
          <w:tcPr>
            <w:tcW w:w="1134" w:type="dxa"/>
            <w:tcBorders>
              <w:top w:val="nil"/>
              <w:left w:val="nil"/>
              <w:bottom w:val="single" w:sz="4" w:space="0" w:color="auto"/>
              <w:right w:val="single" w:sz="4" w:space="0" w:color="auto"/>
            </w:tcBorders>
            <w:shd w:val="clear" w:color="auto" w:fill="auto"/>
            <w:hideMark/>
          </w:tcPr>
          <w:p w14:paraId="1A3C8F3F"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-100</w:t>
            </w:r>
          </w:p>
        </w:tc>
        <w:tc>
          <w:tcPr>
            <w:tcW w:w="1276" w:type="dxa"/>
            <w:tcBorders>
              <w:top w:val="nil"/>
              <w:left w:val="nil"/>
              <w:bottom w:val="single" w:sz="4" w:space="0" w:color="auto"/>
              <w:right w:val="single" w:sz="4" w:space="0" w:color="auto"/>
            </w:tcBorders>
            <w:shd w:val="clear" w:color="auto" w:fill="auto"/>
            <w:hideMark/>
          </w:tcPr>
          <w:p w14:paraId="20501A96"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3,976</w:t>
            </w:r>
          </w:p>
        </w:tc>
        <w:tc>
          <w:tcPr>
            <w:tcW w:w="1701" w:type="dxa"/>
            <w:tcBorders>
              <w:top w:val="nil"/>
              <w:left w:val="nil"/>
              <w:bottom w:val="single" w:sz="4" w:space="0" w:color="auto"/>
              <w:right w:val="single" w:sz="4" w:space="0" w:color="auto"/>
            </w:tcBorders>
            <w:shd w:val="clear" w:color="auto" w:fill="auto"/>
            <w:hideMark/>
          </w:tcPr>
          <w:p w14:paraId="3C18B6E6"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The Insurance Fund is subject to a bi-annual health check by the actuaries. The last health check was completed in March 2023.</w:t>
            </w:r>
          </w:p>
        </w:tc>
        <w:tc>
          <w:tcPr>
            <w:tcW w:w="3231" w:type="dxa"/>
            <w:tcBorders>
              <w:top w:val="nil"/>
              <w:left w:val="nil"/>
              <w:bottom w:val="single" w:sz="4" w:space="0" w:color="auto"/>
              <w:right w:val="single" w:sz="4" w:space="0" w:color="auto"/>
            </w:tcBorders>
            <w:shd w:val="clear" w:color="auto" w:fill="auto"/>
            <w:hideMark/>
          </w:tcPr>
          <w:p w14:paraId="1B2D5732"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The level of the Insurance Fund will be adjusted in line with the recommendations of the actuary as part of the 2023/24 outturn report.</w:t>
            </w:r>
          </w:p>
        </w:tc>
      </w:tr>
      <w:tr w:rsidR="000729CF" w:rsidRPr="000729CF" w14:paraId="13821A40" w14:textId="77777777" w:rsidTr="00BC26AB">
        <w:trPr>
          <w:trHeight w:val="900"/>
        </w:trPr>
        <w:tc>
          <w:tcPr>
            <w:tcW w:w="1838" w:type="dxa"/>
            <w:tcBorders>
              <w:top w:val="nil"/>
              <w:left w:val="single" w:sz="4" w:space="0" w:color="auto"/>
              <w:bottom w:val="single" w:sz="4" w:space="0" w:color="auto"/>
              <w:right w:val="single" w:sz="4" w:space="0" w:color="auto"/>
            </w:tcBorders>
            <w:shd w:val="clear" w:color="auto" w:fill="auto"/>
            <w:hideMark/>
          </w:tcPr>
          <w:p w14:paraId="2A41F97E"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Homewood College Academisation Provision</w:t>
            </w:r>
          </w:p>
        </w:tc>
        <w:tc>
          <w:tcPr>
            <w:tcW w:w="1276" w:type="dxa"/>
            <w:tcBorders>
              <w:top w:val="nil"/>
              <w:left w:val="nil"/>
              <w:bottom w:val="single" w:sz="4" w:space="0" w:color="auto"/>
              <w:right w:val="single" w:sz="4" w:space="0" w:color="auto"/>
            </w:tcBorders>
            <w:shd w:val="clear" w:color="auto" w:fill="auto"/>
            <w:hideMark/>
          </w:tcPr>
          <w:p w14:paraId="400D1F14"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350</w:t>
            </w:r>
          </w:p>
        </w:tc>
        <w:tc>
          <w:tcPr>
            <w:tcW w:w="1134" w:type="dxa"/>
            <w:tcBorders>
              <w:top w:val="nil"/>
              <w:left w:val="nil"/>
              <w:bottom w:val="single" w:sz="4" w:space="0" w:color="auto"/>
              <w:right w:val="single" w:sz="4" w:space="0" w:color="auto"/>
            </w:tcBorders>
            <w:shd w:val="clear" w:color="auto" w:fill="auto"/>
            <w:hideMark/>
          </w:tcPr>
          <w:p w14:paraId="526E26F8"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0</w:t>
            </w:r>
          </w:p>
        </w:tc>
        <w:tc>
          <w:tcPr>
            <w:tcW w:w="1276" w:type="dxa"/>
            <w:tcBorders>
              <w:top w:val="nil"/>
              <w:left w:val="nil"/>
              <w:bottom w:val="single" w:sz="4" w:space="0" w:color="auto"/>
              <w:right w:val="single" w:sz="4" w:space="0" w:color="auto"/>
            </w:tcBorders>
            <w:shd w:val="clear" w:color="auto" w:fill="auto"/>
            <w:hideMark/>
          </w:tcPr>
          <w:p w14:paraId="66D9D6BA" w14:textId="77777777" w:rsidR="000729CF" w:rsidRPr="000729CF" w:rsidRDefault="000729CF" w:rsidP="000729CF">
            <w:pPr>
              <w:jc w:val="right"/>
              <w:rPr>
                <w:rFonts w:ascii="Arial" w:hAnsi="Arial" w:cs="Arial"/>
                <w:color w:val="000000"/>
                <w:lang w:val="en-GB" w:eastAsia="en-GB"/>
              </w:rPr>
            </w:pPr>
            <w:r w:rsidRPr="000729CF">
              <w:rPr>
                <w:rFonts w:ascii="Arial" w:hAnsi="Arial" w:cs="Arial"/>
                <w:color w:val="000000"/>
                <w:lang w:val="en-GB" w:eastAsia="en-GB"/>
              </w:rPr>
              <w:t>350</w:t>
            </w:r>
          </w:p>
        </w:tc>
        <w:tc>
          <w:tcPr>
            <w:tcW w:w="1701" w:type="dxa"/>
            <w:tcBorders>
              <w:top w:val="nil"/>
              <w:left w:val="nil"/>
              <w:bottom w:val="single" w:sz="4" w:space="0" w:color="auto"/>
              <w:right w:val="single" w:sz="4" w:space="0" w:color="auto"/>
            </w:tcBorders>
            <w:shd w:val="clear" w:color="auto" w:fill="auto"/>
            <w:hideMark/>
          </w:tcPr>
          <w:p w14:paraId="4E0F8738"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Following closure of accounts.</w:t>
            </w:r>
          </w:p>
        </w:tc>
        <w:tc>
          <w:tcPr>
            <w:tcW w:w="3231" w:type="dxa"/>
            <w:tcBorders>
              <w:top w:val="nil"/>
              <w:left w:val="nil"/>
              <w:bottom w:val="single" w:sz="4" w:space="0" w:color="auto"/>
              <w:right w:val="single" w:sz="4" w:space="0" w:color="auto"/>
            </w:tcBorders>
            <w:shd w:val="clear" w:color="auto" w:fill="auto"/>
            <w:hideMark/>
          </w:tcPr>
          <w:p w14:paraId="44C34D87" w14:textId="77777777" w:rsidR="000729CF" w:rsidRPr="000729CF" w:rsidRDefault="000729CF" w:rsidP="000729CF">
            <w:pPr>
              <w:rPr>
                <w:rFonts w:ascii="Arial" w:hAnsi="Arial" w:cs="Arial"/>
                <w:color w:val="000000"/>
                <w:lang w:val="en-GB" w:eastAsia="en-GB"/>
              </w:rPr>
            </w:pPr>
            <w:r w:rsidRPr="000729CF">
              <w:rPr>
                <w:rFonts w:ascii="Arial" w:hAnsi="Arial" w:cs="Arial"/>
                <w:color w:val="000000"/>
                <w:lang w:val="en-GB" w:eastAsia="en-GB"/>
              </w:rPr>
              <w:t>Hold to fund potential costs of academisation.</w:t>
            </w:r>
          </w:p>
        </w:tc>
      </w:tr>
      <w:tr w:rsidR="000729CF" w:rsidRPr="000729CF" w14:paraId="0E81D677" w14:textId="77777777" w:rsidTr="00BC26AB">
        <w:trPr>
          <w:trHeight w:val="300"/>
        </w:trPr>
        <w:tc>
          <w:tcPr>
            <w:tcW w:w="1838" w:type="dxa"/>
            <w:tcBorders>
              <w:top w:val="nil"/>
              <w:left w:val="single" w:sz="4" w:space="0" w:color="auto"/>
              <w:bottom w:val="single" w:sz="4" w:space="0" w:color="auto"/>
              <w:right w:val="single" w:sz="4" w:space="0" w:color="auto"/>
            </w:tcBorders>
            <w:shd w:val="clear" w:color="000000" w:fill="A6A6A6"/>
            <w:vAlign w:val="center"/>
            <w:hideMark/>
          </w:tcPr>
          <w:p w14:paraId="0135B370" w14:textId="77777777" w:rsidR="000729CF" w:rsidRPr="000729CF" w:rsidRDefault="000729CF" w:rsidP="000729CF">
            <w:pPr>
              <w:rPr>
                <w:rFonts w:ascii="Arial" w:hAnsi="Arial" w:cs="Arial"/>
                <w:b/>
                <w:bCs/>
                <w:lang w:val="en-GB" w:eastAsia="en-GB"/>
              </w:rPr>
            </w:pPr>
            <w:r w:rsidRPr="000729CF">
              <w:rPr>
                <w:rFonts w:ascii="Arial" w:hAnsi="Arial" w:cs="Arial"/>
                <w:b/>
                <w:bCs/>
                <w:lang w:val="en-GB" w:eastAsia="en-GB"/>
              </w:rPr>
              <w:t>Total General Fund Provisions</w:t>
            </w:r>
          </w:p>
        </w:tc>
        <w:tc>
          <w:tcPr>
            <w:tcW w:w="1276" w:type="dxa"/>
            <w:tcBorders>
              <w:top w:val="nil"/>
              <w:left w:val="nil"/>
              <w:bottom w:val="single" w:sz="4" w:space="0" w:color="auto"/>
              <w:right w:val="single" w:sz="4" w:space="0" w:color="auto"/>
            </w:tcBorders>
            <w:shd w:val="clear" w:color="000000" w:fill="A6A6A6"/>
            <w:hideMark/>
          </w:tcPr>
          <w:p w14:paraId="04318D48" w14:textId="77777777" w:rsidR="000729CF" w:rsidRPr="000729CF" w:rsidRDefault="000729CF" w:rsidP="000729CF">
            <w:pPr>
              <w:jc w:val="right"/>
              <w:rPr>
                <w:rFonts w:ascii="Arial" w:hAnsi="Arial" w:cs="Arial"/>
                <w:b/>
                <w:bCs/>
                <w:color w:val="000000"/>
                <w:lang w:val="en-GB" w:eastAsia="en-GB"/>
              </w:rPr>
            </w:pPr>
            <w:r w:rsidRPr="000729CF">
              <w:rPr>
                <w:rFonts w:ascii="Arial" w:hAnsi="Arial" w:cs="Arial"/>
                <w:b/>
                <w:bCs/>
                <w:color w:val="000000"/>
                <w:lang w:val="en-GB" w:eastAsia="en-GB"/>
              </w:rPr>
              <w:t>5,586</w:t>
            </w:r>
          </w:p>
        </w:tc>
        <w:tc>
          <w:tcPr>
            <w:tcW w:w="1134" w:type="dxa"/>
            <w:tcBorders>
              <w:top w:val="nil"/>
              <w:left w:val="nil"/>
              <w:bottom w:val="single" w:sz="4" w:space="0" w:color="auto"/>
              <w:right w:val="single" w:sz="4" w:space="0" w:color="auto"/>
            </w:tcBorders>
            <w:shd w:val="clear" w:color="000000" w:fill="A6A6A6"/>
            <w:hideMark/>
          </w:tcPr>
          <w:p w14:paraId="7C05C278" w14:textId="77777777" w:rsidR="000729CF" w:rsidRPr="000729CF" w:rsidRDefault="000729CF" w:rsidP="000729CF">
            <w:pPr>
              <w:jc w:val="right"/>
              <w:rPr>
                <w:rFonts w:ascii="Arial" w:hAnsi="Arial" w:cs="Arial"/>
                <w:b/>
                <w:bCs/>
                <w:color w:val="000000"/>
                <w:lang w:val="en-GB" w:eastAsia="en-GB"/>
              </w:rPr>
            </w:pPr>
            <w:r w:rsidRPr="000729CF">
              <w:rPr>
                <w:rFonts w:ascii="Arial" w:hAnsi="Arial" w:cs="Arial"/>
                <w:b/>
                <w:bCs/>
                <w:color w:val="000000"/>
                <w:lang w:val="en-GB" w:eastAsia="en-GB"/>
              </w:rPr>
              <w:t>-1,061</w:t>
            </w:r>
          </w:p>
        </w:tc>
        <w:tc>
          <w:tcPr>
            <w:tcW w:w="1276" w:type="dxa"/>
            <w:tcBorders>
              <w:top w:val="nil"/>
              <w:left w:val="nil"/>
              <w:bottom w:val="single" w:sz="4" w:space="0" w:color="auto"/>
              <w:right w:val="single" w:sz="4" w:space="0" w:color="auto"/>
            </w:tcBorders>
            <w:shd w:val="clear" w:color="000000" w:fill="A6A6A6"/>
            <w:hideMark/>
          </w:tcPr>
          <w:p w14:paraId="04026D97" w14:textId="77777777" w:rsidR="000729CF" w:rsidRPr="000729CF" w:rsidRDefault="000729CF" w:rsidP="000729CF">
            <w:pPr>
              <w:jc w:val="right"/>
              <w:rPr>
                <w:rFonts w:ascii="Arial" w:hAnsi="Arial" w:cs="Arial"/>
                <w:b/>
                <w:bCs/>
                <w:color w:val="000000"/>
                <w:lang w:val="en-GB" w:eastAsia="en-GB"/>
              </w:rPr>
            </w:pPr>
            <w:r w:rsidRPr="000729CF">
              <w:rPr>
                <w:rFonts w:ascii="Arial" w:hAnsi="Arial" w:cs="Arial"/>
                <w:b/>
                <w:bCs/>
                <w:color w:val="000000"/>
                <w:lang w:val="en-GB" w:eastAsia="en-GB"/>
              </w:rPr>
              <w:t>4,525</w:t>
            </w:r>
          </w:p>
        </w:tc>
        <w:tc>
          <w:tcPr>
            <w:tcW w:w="1701" w:type="dxa"/>
            <w:tcBorders>
              <w:top w:val="nil"/>
              <w:left w:val="nil"/>
              <w:bottom w:val="single" w:sz="4" w:space="0" w:color="auto"/>
              <w:right w:val="single" w:sz="4" w:space="0" w:color="auto"/>
            </w:tcBorders>
            <w:shd w:val="clear" w:color="000000" w:fill="A6A6A6"/>
            <w:vAlign w:val="center"/>
            <w:hideMark/>
          </w:tcPr>
          <w:p w14:paraId="6C32F4F9" w14:textId="77777777" w:rsidR="000729CF" w:rsidRPr="000729CF" w:rsidRDefault="000729CF" w:rsidP="000729CF">
            <w:pPr>
              <w:rPr>
                <w:rFonts w:ascii="Arial" w:hAnsi="Arial" w:cs="Arial"/>
                <w:b/>
                <w:bCs/>
                <w:color w:val="000000"/>
                <w:lang w:val="en-GB" w:eastAsia="en-GB"/>
              </w:rPr>
            </w:pPr>
            <w:r w:rsidRPr="000729CF">
              <w:rPr>
                <w:rFonts w:ascii="Arial" w:hAnsi="Arial" w:cs="Arial"/>
                <w:b/>
                <w:bCs/>
                <w:color w:val="000000"/>
                <w:lang w:val="en-GB" w:eastAsia="en-GB"/>
              </w:rPr>
              <w:t> </w:t>
            </w:r>
          </w:p>
        </w:tc>
        <w:tc>
          <w:tcPr>
            <w:tcW w:w="3231" w:type="dxa"/>
            <w:tcBorders>
              <w:top w:val="nil"/>
              <w:left w:val="nil"/>
              <w:bottom w:val="single" w:sz="4" w:space="0" w:color="auto"/>
              <w:right w:val="single" w:sz="4" w:space="0" w:color="auto"/>
            </w:tcBorders>
            <w:shd w:val="clear" w:color="000000" w:fill="A6A6A6"/>
            <w:vAlign w:val="center"/>
            <w:hideMark/>
          </w:tcPr>
          <w:p w14:paraId="79ECDA5B" w14:textId="77777777" w:rsidR="000729CF" w:rsidRPr="000729CF" w:rsidRDefault="000729CF" w:rsidP="000729CF">
            <w:pPr>
              <w:rPr>
                <w:rFonts w:ascii="Arial" w:hAnsi="Arial" w:cs="Arial"/>
                <w:b/>
                <w:bCs/>
                <w:color w:val="000000"/>
                <w:lang w:val="en-GB" w:eastAsia="en-GB"/>
              </w:rPr>
            </w:pPr>
            <w:r w:rsidRPr="000729CF">
              <w:rPr>
                <w:rFonts w:ascii="Arial" w:hAnsi="Arial" w:cs="Arial"/>
                <w:b/>
                <w:bCs/>
                <w:color w:val="000000"/>
                <w:lang w:val="en-GB" w:eastAsia="en-GB"/>
              </w:rPr>
              <w:t> </w:t>
            </w:r>
          </w:p>
        </w:tc>
      </w:tr>
      <w:tr w:rsidR="000729CF" w:rsidRPr="000729CF" w14:paraId="23F5E7D4" w14:textId="77777777" w:rsidTr="00BC26AB">
        <w:trPr>
          <w:trHeight w:val="300"/>
        </w:trPr>
        <w:tc>
          <w:tcPr>
            <w:tcW w:w="1838" w:type="dxa"/>
            <w:tcBorders>
              <w:top w:val="nil"/>
              <w:left w:val="single" w:sz="4" w:space="0" w:color="auto"/>
              <w:bottom w:val="single" w:sz="4" w:space="0" w:color="auto"/>
              <w:right w:val="single" w:sz="4" w:space="0" w:color="auto"/>
            </w:tcBorders>
            <w:shd w:val="clear" w:color="000000" w:fill="000000"/>
            <w:vAlign w:val="center"/>
            <w:hideMark/>
          </w:tcPr>
          <w:p w14:paraId="260D3B05" w14:textId="77777777" w:rsidR="000729CF" w:rsidRPr="000729CF" w:rsidRDefault="000729CF" w:rsidP="000729CF">
            <w:pPr>
              <w:rPr>
                <w:rFonts w:ascii="Arial" w:hAnsi="Arial" w:cs="Arial"/>
                <w:b/>
                <w:bCs/>
                <w:color w:val="FFFFFF"/>
                <w:lang w:val="en-GB" w:eastAsia="en-GB"/>
              </w:rPr>
            </w:pPr>
            <w:r w:rsidRPr="000729CF">
              <w:rPr>
                <w:rFonts w:ascii="Arial" w:hAnsi="Arial" w:cs="Arial"/>
                <w:b/>
                <w:bCs/>
                <w:color w:val="FFFFFF"/>
                <w:lang w:val="en-GB" w:eastAsia="en-GB"/>
              </w:rPr>
              <w:t>TOTAL ALL FUNDS</w:t>
            </w:r>
          </w:p>
        </w:tc>
        <w:tc>
          <w:tcPr>
            <w:tcW w:w="1276" w:type="dxa"/>
            <w:tcBorders>
              <w:top w:val="nil"/>
              <w:left w:val="nil"/>
              <w:bottom w:val="single" w:sz="4" w:space="0" w:color="auto"/>
              <w:right w:val="single" w:sz="4" w:space="0" w:color="auto"/>
            </w:tcBorders>
            <w:shd w:val="clear" w:color="000000" w:fill="000000"/>
            <w:noWrap/>
            <w:hideMark/>
          </w:tcPr>
          <w:p w14:paraId="649DF399" w14:textId="77777777" w:rsidR="000729CF" w:rsidRPr="000729CF" w:rsidRDefault="000729CF" w:rsidP="000729CF">
            <w:pPr>
              <w:jc w:val="right"/>
              <w:rPr>
                <w:rFonts w:ascii="Arial" w:hAnsi="Arial" w:cs="Arial"/>
                <w:b/>
                <w:bCs/>
                <w:color w:val="FFFFFF"/>
                <w:lang w:val="en-GB" w:eastAsia="en-GB"/>
              </w:rPr>
            </w:pPr>
            <w:r w:rsidRPr="000729CF">
              <w:rPr>
                <w:rFonts w:ascii="Arial" w:hAnsi="Arial" w:cs="Arial"/>
                <w:b/>
                <w:bCs/>
                <w:color w:val="FFFFFF"/>
                <w:lang w:val="en-GB" w:eastAsia="en-GB"/>
              </w:rPr>
              <w:t>30,886</w:t>
            </w:r>
          </w:p>
        </w:tc>
        <w:tc>
          <w:tcPr>
            <w:tcW w:w="1134" w:type="dxa"/>
            <w:tcBorders>
              <w:top w:val="nil"/>
              <w:left w:val="nil"/>
              <w:bottom w:val="single" w:sz="4" w:space="0" w:color="auto"/>
              <w:right w:val="single" w:sz="4" w:space="0" w:color="auto"/>
            </w:tcBorders>
            <w:shd w:val="clear" w:color="000000" w:fill="000000"/>
            <w:noWrap/>
            <w:hideMark/>
          </w:tcPr>
          <w:p w14:paraId="1A972B0C" w14:textId="77777777" w:rsidR="000729CF" w:rsidRPr="000729CF" w:rsidRDefault="000729CF" w:rsidP="000729CF">
            <w:pPr>
              <w:jc w:val="right"/>
              <w:rPr>
                <w:rFonts w:ascii="Arial" w:hAnsi="Arial" w:cs="Arial"/>
                <w:b/>
                <w:bCs/>
                <w:color w:val="FFFFFF"/>
                <w:lang w:val="en-GB" w:eastAsia="en-GB"/>
              </w:rPr>
            </w:pPr>
            <w:r w:rsidRPr="000729CF">
              <w:rPr>
                <w:rFonts w:ascii="Arial" w:hAnsi="Arial" w:cs="Arial"/>
                <w:b/>
                <w:bCs/>
                <w:color w:val="FFFFFF"/>
                <w:lang w:val="en-GB" w:eastAsia="en-GB"/>
              </w:rPr>
              <w:t>2,912</w:t>
            </w:r>
          </w:p>
        </w:tc>
        <w:tc>
          <w:tcPr>
            <w:tcW w:w="1276" w:type="dxa"/>
            <w:tcBorders>
              <w:top w:val="nil"/>
              <w:left w:val="nil"/>
              <w:bottom w:val="single" w:sz="4" w:space="0" w:color="auto"/>
              <w:right w:val="single" w:sz="4" w:space="0" w:color="auto"/>
            </w:tcBorders>
            <w:shd w:val="clear" w:color="000000" w:fill="000000"/>
            <w:noWrap/>
            <w:hideMark/>
          </w:tcPr>
          <w:p w14:paraId="345B2581" w14:textId="77777777" w:rsidR="000729CF" w:rsidRPr="000729CF" w:rsidRDefault="000729CF" w:rsidP="000729CF">
            <w:pPr>
              <w:jc w:val="right"/>
              <w:rPr>
                <w:rFonts w:ascii="Arial" w:hAnsi="Arial" w:cs="Arial"/>
                <w:b/>
                <w:bCs/>
                <w:color w:val="FFFFFF"/>
                <w:lang w:val="en-GB" w:eastAsia="en-GB"/>
              </w:rPr>
            </w:pPr>
            <w:r w:rsidRPr="000729CF">
              <w:rPr>
                <w:rFonts w:ascii="Arial" w:hAnsi="Arial" w:cs="Arial"/>
                <w:b/>
                <w:bCs/>
                <w:color w:val="FFFFFF"/>
                <w:lang w:val="en-GB" w:eastAsia="en-GB"/>
              </w:rPr>
              <w:t>33,798</w:t>
            </w:r>
          </w:p>
        </w:tc>
        <w:tc>
          <w:tcPr>
            <w:tcW w:w="1701" w:type="dxa"/>
            <w:tcBorders>
              <w:top w:val="nil"/>
              <w:left w:val="nil"/>
              <w:bottom w:val="single" w:sz="4" w:space="0" w:color="auto"/>
              <w:right w:val="single" w:sz="4" w:space="0" w:color="auto"/>
            </w:tcBorders>
            <w:shd w:val="clear" w:color="000000" w:fill="000000"/>
            <w:noWrap/>
            <w:vAlign w:val="bottom"/>
            <w:hideMark/>
          </w:tcPr>
          <w:p w14:paraId="27BA9DE8" w14:textId="77777777" w:rsidR="000729CF" w:rsidRPr="000729CF" w:rsidRDefault="000729CF" w:rsidP="000729CF">
            <w:pPr>
              <w:rPr>
                <w:rFonts w:ascii="Arial" w:hAnsi="Arial" w:cs="Arial"/>
                <w:b/>
                <w:bCs/>
                <w:color w:val="FFFFFF"/>
                <w:lang w:val="en-GB" w:eastAsia="en-GB"/>
              </w:rPr>
            </w:pPr>
            <w:r w:rsidRPr="000729CF">
              <w:rPr>
                <w:rFonts w:ascii="Arial" w:hAnsi="Arial" w:cs="Arial"/>
                <w:b/>
                <w:bCs/>
                <w:color w:val="FFFFFF"/>
                <w:lang w:val="en-GB" w:eastAsia="en-GB"/>
              </w:rPr>
              <w:t> </w:t>
            </w:r>
          </w:p>
        </w:tc>
        <w:tc>
          <w:tcPr>
            <w:tcW w:w="3231" w:type="dxa"/>
            <w:tcBorders>
              <w:top w:val="nil"/>
              <w:left w:val="nil"/>
              <w:bottom w:val="single" w:sz="4" w:space="0" w:color="auto"/>
              <w:right w:val="single" w:sz="4" w:space="0" w:color="auto"/>
            </w:tcBorders>
            <w:shd w:val="clear" w:color="000000" w:fill="000000"/>
            <w:noWrap/>
            <w:vAlign w:val="bottom"/>
            <w:hideMark/>
          </w:tcPr>
          <w:p w14:paraId="3D48912B" w14:textId="77777777" w:rsidR="000729CF" w:rsidRPr="000729CF" w:rsidRDefault="000729CF" w:rsidP="000729CF">
            <w:pPr>
              <w:rPr>
                <w:rFonts w:ascii="Arial" w:hAnsi="Arial" w:cs="Arial"/>
                <w:b/>
                <w:bCs/>
                <w:color w:val="FFFFFF"/>
                <w:lang w:val="en-GB" w:eastAsia="en-GB"/>
              </w:rPr>
            </w:pPr>
            <w:r w:rsidRPr="000729CF">
              <w:rPr>
                <w:rFonts w:ascii="Arial" w:hAnsi="Arial" w:cs="Arial"/>
                <w:b/>
                <w:bCs/>
                <w:color w:val="FFFFFF"/>
                <w:lang w:val="en-GB" w:eastAsia="en-GB"/>
              </w:rPr>
              <w:t> </w:t>
            </w:r>
          </w:p>
        </w:tc>
      </w:tr>
    </w:tbl>
    <w:p w14:paraId="2BCB7540" w14:textId="77777777" w:rsidR="000729CF" w:rsidRPr="000729CF" w:rsidRDefault="000729CF" w:rsidP="000729CF">
      <w:pPr>
        <w:spacing w:after="200" w:line="276" w:lineRule="auto"/>
        <w:rPr>
          <w:rFonts w:ascii="Calibri" w:eastAsia="Calibri" w:hAnsi="Calibri"/>
          <w:sz w:val="22"/>
          <w:szCs w:val="22"/>
          <w:lang w:val="en-GB"/>
        </w:rPr>
      </w:pPr>
    </w:p>
    <w:p w14:paraId="74A80937" w14:textId="77777777" w:rsidR="000729CF" w:rsidRDefault="000729CF" w:rsidP="009B058F">
      <w:pPr>
        <w:rPr>
          <w:rFonts w:ascii="Arial" w:hAnsi="Arial" w:cs="Arial"/>
          <w:sz w:val="24"/>
          <w:szCs w:val="24"/>
          <w:lang w:val="en-GB"/>
        </w:rPr>
        <w:sectPr w:rsidR="000729CF" w:rsidSect="00562D5D">
          <w:pgSz w:w="11906" w:h="16838"/>
          <w:pgMar w:top="720" w:right="720" w:bottom="720" w:left="720" w:header="708" w:footer="708" w:gutter="0"/>
          <w:cols w:space="708"/>
          <w:docGrid w:linePitch="360"/>
        </w:sectPr>
      </w:pPr>
    </w:p>
    <w:p w14:paraId="35FC03DD" w14:textId="77777777" w:rsidR="000729CF" w:rsidRPr="000729CF" w:rsidRDefault="000729CF" w:rsidP="000729CF">
      <w:pPr>
        <w:jc w:val="right"/>
        <w:rPr>
          <w:rFonts w:ascii="Arial" w:hAnsi="Arial" w:cs="Arial"/>
          <w:b/>
          <w:snapToGrid w:val="0"/>
          <w:color w:val="000000"/>
          <w:sz w:val="24"/>
          <w:szCs w:val="24"/>
          <w:lang w:val="en-GB"/>
        </w:rPr>
      </w:pPr>
      <w:r w:rsidRPr="000729CF">
        <w:rPr>
          <w:rFonts w:ascii="Arial" w:hAnsi="Arial" w:cs="Arial"/>
          <w:b/>
          <w:snapToGrid w:val="0"/>
          <w:color w:val="000000"/>
          <w:sz w:val="24"/>
          <w:szCs w:val="24"/>
          <w:lang w:val="en-GB"/>
        </w:rPr>
        <w:t>APPENDIX 5</w:t>
      </w:r>
    </w:p>
    <w:p w14:paraId="202D1280" w14:textId="77777777" w:rsidR="000729CF" w:rsidRPr="000729CF" w:rsidRDefault="000729CF" w:rsidP="000729CF">
      <w:pPr>
        <w:rPr>
          <w:rFonts w:ascii="Arial" w:hAnsi="Arial" w:cs="Arial"/>
          <w:color w:val="000000"/>
          <w:sz w:val="24"/>
          <w:szCs w:val="24"/>
          <w:lang w:val="en-GB" w:eastAsia="en-GB"/>
        </w:rPr>
      </w:pPr>
    </w:p>
    <w:p w14:paraId="7C2B6A79" w14:textId="77777777" w:rsidR="000729CF" w:rsidRPr="000729CF" w:rsidRDefault="000729CF" w:rsidP="000729CF">
      <w:pPr>
        <w:spacing w:after="120"/>
        <w:rPr>
          <w:rFonts w:ascii="Arial" w:hAnsi="Arial" w:cs="Arial"/>
          <w:b/>
          <w:color w:val="000000"/>
          <w:sz w:val="24"/>
          <w:szCs w:val="24"/>
          <w:lang w:val="en-GB" w:eastAsia="en-GB"/>
        </w:rPr>
      </w:pPr>
      <w:r w:rsidRPr="000729CF">
        <w:rPr>
          <w:rFonts w:ascii="Arial" w:hAnsi="Arial" w:cs="Arial"/>
          <w:b/>
          <w:color w:val="000000"/>
          <w:sz w:val="24"/>
          <w:szCs w:val="24"/>
          <w:lang w:val="en-GB" w:eastAsia="en-GB"/>
        </w:rPr>
        <w:t>ASSESSMENT OF BUDGET AND MEDIUM TERM RISKS</w:t>
      </w:r>
    </w:p>
    <w:p w14:paraId="28A0AA15" w14:textId="77777777" w:rsidR="000729CF" w:rsidRPr="000729CF" w:rsidRDefault="000729CF" w:rsidP="000729CF">
      <w:pPr>
        <w:spacing w:before="120" w:after="120"/>
        <w:rPr>
          <w:rFonts w:ascii="Arial" w:hAnsi="Arial" w:cs="Arial"/>
          <w:color w:val="000000"/>
          <w:sz w:val="24"/>
          <w:szCs w:val="24"/>
          <w:lang w:val="en-GB" w:eastAsia="en-GB"/>
        </w:rPr>
      </w:pPr>
      <w:r w:rsidRPr="000729CF">
        <w:rPr>
          <w:rFonts w:ascii="Arial" w:hAnsi="Arial" w:cs="Arial"/>
          <w:color w:val="000000"/>
          <w:sz w:val="24"/>
          <w:szCs w:val="24"/>
          <w:lang w:val="en-GB" w:eastAsia="en-GB"/>
        </w:rPr>
        <w:t>The Medium Term Financial Strategy (MTFS) of a large public sector organisation with many demand-led services and complex, uncertain funding streams will always contain significant and varying degrees of risk. The legacy of the pandemic, the cost of living crisis  and very high inflation has significantly impacted the council’s expenditure and income throughout 2023/24. This includes higher than anticipated pay awards, higher costs of social care provision, impacts on fees &amp; charges, continued high levels of Council Tax Reduction claimants (i.e. taxation losses), and continued high levels of support for hospital discharges and homelessness in particular. These pressures have resulted in unprecedented predicted in-year overspends requiring early adoption of robust recruitment and expenditure controls to help mitigate the financial position. This highlights the need to recognise the financial risks of unexpected events and the impact this has on the resilience of the authority.</w:t>
      </w:r>
    </w:p>
    <w:p w14:paraId="36A9A080" w14:textId="77777777" w:rsidR="000729CF" w:rsidRPr="000729CF" w:rsidRDefault="000729CF" w:rsidP="000729CF">
      <w:pPr>
        <w:spacing w:before="120" w:after="120"/>
        <w:rPr>
          <w:rFonts w:ascii="Arial" w:hAnsi="Arial" w:cs="Arial"/>
          <w:color w:val="000000"/>
          <w:sz w:val="24"/>
          <w:szCs w:val="24"/>
          <w:lang w:val="en-GB" w:eastAsia="en-GB"/>
        </w:rPr>
      </w:pPr>
      <w:r w:rsidRPr="000729CF">
        <w:rPr>
          <w:rFonts w:ascii="Arial" w:hAnsi="Arial" w:cs="Arial"/>
          <w:color w:val="000000"/>
          <w:sz w:val="24"/>
          <w:szCs w:val="24"/>
          <w:lang w:val="en-GB" w:eastAsia="en-GB"/>
        </w:rPr>
        <w:t>Many of the pressures experienced in the current year are expected to continue over the medium term and the government has recognised these pressures in part by providing additional funding to support social care and the flexibility to increase council tax through a further Adult Social Care levy in 2024/25. However the scale of financial challenges the council faces means that even with these additional resources, the council will need to make substantial savings in 2024/25 and future years.</w:t>
      </w:r>
    </w:p>
    <w:p w14:paraId="247F232C" w14:textId="77777777" w:rsidR="000729CF" w:rsidRPr="000729CF" w:rsidRDefault="000729CF" w:rsidP="000729CF">
      <w:pPr>
        <w:spacing w:before="120" w:after="120"/>
        <w:rPr>
          <w:rFonts w:ascii="Arial" w:hAnsi="Arial" w:cs="Arial"/>
          <w:color w:val="000000"/>
          <w:sz w:val="24"/>
          <w:szCs w:val="24"/>
          <w:lang w:val="en-GB" w:eastAsia="en-GB"/>
        </w:rPr>
      </w:pPr>
      <w:r w:rsidRPr="000729CF">
        <w:rPr>
          <w:rFonts w:ascii="Arial" w:hAnsi="Arial" w:cs="Arial"/>
          <w:color w:val="000000"/>
          <w:sz w:val="24"/>
          <w:szCs w:val="24"/>
          <w:lang w:val="en-GB" w:eastAsia="en-GB"/>
        </w:rPr>
        <w:t xml:space="preserve">For businesses within the city, the government has provided further Business Rates reliefs to help the business sector and has frozen the Small Business Rates Multiplier. </w:t>
      </w:r>
    </w:p>
    <w:p w14:paraId="3C750C34" w14:textId="77777777" w:rsidR="000729CF" w:rsidRPr="000729CF" w:rsidRDefault="000729CF" w:rsidP="000729CF">
      <w:pPr>
        <w:spacing w:before="120" w:after="120"/>
        <w:rPr>
          <w:rFonts w:ascii="Arial" w:hAnsi="Arial" w:cs="Arial"/>
          <w:color w:val="000000"/>
          <w:sz w:val="24"/>
          <w:szCs w:val="24"/>
          <w:lang w:val="en-GB" w:eastAsia="en-GB"/>
        </w:rPr>
      </w:pPr>
      <w:r w:rsidRPr="000729CF">
        <w:rPr>
          <w:rFonts w:ascii="Arial" w:hAnsi="Arial" w:cs="Arial"/>
          <w:color w:val="000000"/>
          <w:sz w:val="24"/>
          <w:szCs w:val="24"/>
          <w:lang w:val="en-GB" w:eastAsia="en-GB"/>
        </w:rPr>
        <w:t xml:space="preserve">For 2024/25 the government has again announced a one-year settlement, the sixth in succession, on 18 December 2023. </w:t>
      </w:r>
    </w:p>
    <w:p w14:paraId="7161E9B9" w14:textId="77777777" w:rsidR="000729CF" w:rsidRPr="000729CF" w:rsidRDefault="000729CF" w:rsidP="000729CF">
      <w:pPr>
        <w:spacing w:before="120" w:after="120"/>
        <w:rPr>
          <w:rFonts w:ascii="Arial" w:hAnsi="Arial" w:cs="Arial"/>
          <w:color w:val="000000"/>
          <w:sz w:val="24"/>
          <w:szCs w:val="24"/>
          <w:lang w:val="en-GB" w:eastAsia="en-GB"/>
        </w:rPr>
      </w:pPr>
      <w:r w:rsidRPr="000729CF">
        <w:rPr>
          <w:rFonts w:ascii="Arial" w:hAnsi="Arial" w:cs="Arial"/>
          <w:color w:val="000000"/>
          <w:sz w:val="24"/>
          <w:szCs w:val="24"/>
          <w:lang w:val="en-GB" w:eastAsia="en-GB"/>
        </w:rPr>
        <w:t>In general, other factors that can have a material effect on the medium term financial position of an authority include:</w:t>
      </w:r>
    </w:p>
    <w:p w14:paraId="54505F4F" w14:textId="77777777" w:rsidR="000729CF" w:rsidRPr="000729CF" w:rsidRDefault="000729CF" w:rsidP="00CE70A3">
      <w:pPr>
        <w:numPr>
          <w:ilvl w:val="0"/>
          <w:numId w:val="96"/>
        </w:numPr>
        <w:autoSpaceDE w:val="0"/>
        <w:autoSpaceDN w:val="0"/>
        <w:adjustRightInd w:val="0"/>
        <w:spacing w:before="60" w:after="60"/>
        <w:ind w:left="426" w:hanging="426"/>
        <w:rPr>
          <w:rFonts w:ascii="Arial" w:hAnsi="Arial" w:cs="Arial"/>
          <w:color w:val="000000"/>
          <w:sz w:val="24"/>
          <w:szCs w:val="24"/>
          <w:lang w:val="en-GB" w:eastAsia="en-GB"/>
        </w:rPr>
      </w:pPr>
      <w:r w:rsidRPr="000729CF">
        <w:rPr>
          <w:rFonts w:ascii="Arial" w:hAnsi="Arial" w:cs="Arial"/>
          <w:color w:val="000000"/>
          <w:sz w:val="24"/>
          <w:szCs w:val="24"/>
          <w:lang w:val="en-GB" w:eastAsia="en-GB"/>
        </w:rPr>
        <w:t>The lack of certainty in future resource levels;</w:t>
      </w:r>
    </w:p>
    <w:p w14:paraId="2A653257" w14:textId="77777777" w:rsidR="000729CF" w:rsidRPr="000729CF" w:rsidRDefault="000729CF" w:rsidP="00CE70A3">
      <w:pPr>
        <w:numPr>
          <w:ilvl w:val="0"/>
          <w:numId w:val="96"/>
        </w:numPr>
        <w:autoSpaceDE w:val="0"/>
        <w:autoSpaceDN w:val="0"/>
        <w:adjustRightInd w:val="0"/>
        <w:spacing w:before="60" w:after="60"/>
        <w:ind w:left="426" w:hanging="426"/>
        <w:rPr>
          <w:rFonts w:ascii="Arial" w:hAnsi="Arial" w:cs="Arial"/>
          <w:color w:val="000000"/>
          <w:sz w:val="24"/>
          <w:szCs w:val="24"/>
          <w:lang w:val="en-GB" w:eastAsia="en-GB"/>
        </w:rPr>
      </w:pPr>
      <w:r w:rsidRPr="000729CF">
        <w:rPr>
          <w:rFonts w:ascii="Arial" w:hAnsi="Arial" w:cs="Arial"/>
          <w:color w:val="000000"/>
          <w:sz w:val="24"/>
          <w:szCs w:val="24"/>
          <w:lang w:val="en-GB" w:eastAsia="en-GB"/>
        </w:rPr>
        <w:t>Changes in function and/or funding;</w:t>
      </w:r>
    </w:p>
    <w:p w14:paraId="074908E1" w14:textId="77777777" w:rsidR="000729CF" w:rsidRPr="000729CF" w:rsidRDefault="000729CF" w:rsidP="00CE70A3">
      <w:pPr>
        <w:numPr>
          <w:ilvl w:val="0"/>
          <w:numId w:val="96"/>
        </w:numPr>
        <w:autoSpaceDE w:val="0"/>
        <w:autoSpaceDN w:val="0"/>
        <w:adjustRightInd w:val="0"/>
        <w:spacing w:before="60" w:after="60"/>
        <w:ind w:left="426" w:hanging="426"/>
        <w:rPr>
          <w:rFonts w:ascii="Arial" w:hAnsi="Arial" w:cs="Arial"/>
          <w:color w:val="000000"/>
          <w:sz w:val="24"/>
          <w:szCs w:val="24"/>
          <w:lang w:val="en-GB" w:eastAsia="en-GB"/>
        </w:rPr>
      </w:pPr>
      <w:r w:rsidRPr="000729CF">
        <w:rPr>
          <w:rFonts w:ascii="Arial" w:hAnsi="Arial" w:cs="Arial"/>
          <w:color w:val="000000"/>
          <w:sz w:val="24"/>
          <w:szCs w:val="24"/>
          <w:lang w:val="en-GB" w:eastAsia="en-GB"/>
        </w:rPr>
        <w:t>Changes in the economy including the impact on business rates income and/or Council Tax Reduction claimant numbers or collection rates;</w:t>
      </w:r>
    </w:p>
    <w:p w14:paraId="17E647FA" w14:textId="77777777" w:rsidR="000729CF" w:rsidRPr="000729CF" w:rsidRDefault="000729CF" w:rsidP="00CE70A3">
      <w:pPr>
        <w:numPr>
          <w:ilvl w:val="0"/>
          <w:numId w:val="96"/>
        </w:numPr>
        <w:autoSpaceDE w:val="0"/>
        <w:autoSpaceDN w:val="0"/>
        <w:adjustRightInd w:val="0"/>
        <w:spacing w:before="60" w:after="60"/>
        <w:ind w:left="426" w:hanging="426"/>
        <w:rPr>
          <w:rFonts w:ascii="Arial" w:hAnsi="Arial" w:cs="Arial"/>
          <w:color w:val="000000"/>
          <w:sz w:val="24"/>
          <w:szCs w:val="24"/>
          <w:lang w:val="en-GB" w:eastAsia="en-GB"/>
        </w:rPr>
      </w:pPr>
      <w:r w:rsidRPr="000729CF">
        <w:rPr>
          <w:rFonts w:ascii="Arial" w:hAnsi="Arial" w:cs="Arial"/>
          <w:color w:val="000000"/>
          <w:sz w:val="24"/>
          <w:szCs w:val="24"/>
          <w:lang w:val="en-GB" w:eastAsia="en-GB"/>
        </w:rPr>
        <w:t>Similarly, impacts on the levels of house building which affects both Council Tax and New Homes Bonus or a successor mechanism;</w:t>
      </w:r>
    </w:p>
    <w:p w14:paraId="78640A0C" w14:textId="77777777" w:rsidR="000729CF" w:rsidRPr="000729CF" w:rsidRDefault="000729CF" w:rsidP="00CE70A3">
      <w:pPr>
        <w:numPr>
          <w:ilvl w:val="0"/>
          <w:numId w:val="96"/>
        </w:numPr>
        <w:autoSpaceDE w:val="0"/>
        <w:autoSpaceDN w:val="0"/>
        <w:adjustRightInd w:val="0"/>
        <w:spacing w:before="60" w:after="60"/>
        <w:ind w:left="426" w:hanging="426"/>
        <w:rPr>
          <w:rFonts w:ascii="Arial" w:hAnsi="Arial" w:cs="Arial"/>
          <w:color w:val="000000"/>
          <w:sz w:val="24"/>
          <w:szCs w:val="24"/>
          <w:lang w:val="en-GB" w:eastAsia="en-GB"/>
        </w:rPr>
      </w:pPr>
      <w:r w:rsidRPr="000729CF">
        <w:rPr>
          <w:rFonts w:ascii="Arial" w:hAnsi="Arial" w:cs="Arial"/>
          <w:color w:val="000000"/>
          <w:sz w:val="24"/>
          <w:szCs w:val="24"/>
          <w:lang w:val="en-GB" w:eastAsia="en-GB"/>
        </w:rPr>
        <w:t>The level of future successful appeals against the business rating list;</w:t>
      </w:r>
    </w:p>
    <w:p w14:paraId="30E27276" w14:textId="77777777" w:rsidR="000729CF" w:rsidRPr="000729CF" w:rsidRDefault="000729CF" w:rsidP="00CE70A3">
      <w:pPr>
        <w:numPr>
          <w:ilvl w:val="0"/>
          <w:numId w:val="96"/>
        </w:numPr>
        <w:autoSpaceDE w:val="0"/>
        <w:autoSpaceDN w:val="0"/>
        <w:adjustRightInd w:val="0"/>
        <w:spacing w:before="60" w:after="60"/>
        <w:ind w:left="426" w:hanging="426"/>
        <w:rPr>
          <w:rFonts w:ascii="Arial" w:hAnsi="Arial" w:cs="Arial"/>
          <w:color w:val="000000"/>
          <w:sz w:val="24"/>
          <w:szCs w:val="24"/>
          <w:lang w:val="en-GB" w:eastAsia="en-GB"/>
        </w:rPr>
      </w:pPr>
      <w:r w:rsidRPr="000729CF">
        <w:rPr>
          <w:rFonts w:ascii="Arial" w:hAnsi="Arial" w:cs="Arial"/>
          <w:color w:val="000000"/>
          <w:sz w:val="24"/>
          <w:szCs w:val="24"/>
          <w:lang w:val="en-GB" w:eastAsia="en-GB"/>
        </w:rPr>
        <w:t>Changes in employer costs e.g. pension or national insurance changes;</w:t>
      </w:r>
    </w:p>
    <w:p w14:paraId="7A4DD555" w14:textId="77777777" w:rsidR="000729CF" w:rsidRPr="000729CF" w:rsidRDefault="000729CF" w:rsidP="00CE70A3">
      <w:pPr>
        <w:numPr>
          <w:ilvl w:val="0"/>
          <w:numId w:val="96"/>
        </w:numPr>
        <w:autoSpaceDE w:val="0"/>
        <w:autoSpaceDN w:val="0"/>
        <w:adjustRightInd w:val="0"/>
        <w:spacing w:before="60" w:after="60"/>
        <w:ind w:left="426" w:hanging="426"/>
        <w:rPr>
          <w:rFonts w:ascii="Arial" w:hAnsi="Arial" w:cs="Arial"/>
          <w:color w:val="000000"/>
          <w:sz w:val="24"/>
          <w:szCs w:val="24"/>
          <w:lang w:val="en-GB" w:eastAsia="en-GB"/>
        </w:rPr>
      </w:pPr>
      <w:r w:rsidRPr="000729CF">
        <w:rPr>
          <w:rFonts w:ascii="Arial" w:hAnsi="Arial" w:cs="Arial"/>
          <w:color w:val="000000"/>
          <w:sz w:val="24"/>
          <w:szCs w:val="24"/>
          <w:lang w:val="en-GB" w:eastAsia="en-GB"/>
        </w:rPr>
        <w:t>Achievement of performance targets for performance-related grant or partnership funding;</w:t>
      </w:r>
    </w:p>
    <w:p w14:paraId="16FE0E20" w14:textId="77777777" w:rsidR="000729CF" w:rsidRPr="000729CF" w:rsidRDefault="000729CF" w:rsidP="00CE70A3">
      <w:pPr>
        <w:numPr>
          <w:ilvl w:val="0"/>
          <w:numId w:val="96"/>
        </w:numPr>
        <w:autoSpaceDE w:val="0"/>
        <w:autoSpaceDN w:val="0"/>
        <w:adjustRightInd w:val="0"/>
        <w:spacing w:before="60" w:after="60"/>
        <w:ind w:left="426" w:hanging="426"/>
        <w:rPr>
          <w:rFonts w:ascii="Arial" w:hAnsi="Arial" w:cs="Arial"/>
          <w:color w:val="000000"/>
          <w:sz w:val="24"/>
          <w:szCs w:val="24"/>
          <w:lang w:val="en-GB" w:eastAsia="en-GB"/>
        </w:rPr>
      </w:pPr>
      <w:r w:rsidRPr="000729CF">
        <w:rPr>
          <w:rFonts w:ascii="Arial" w:hAnsi="Arial" w:cs="Arial"/>
          <w:color w:val="000000"/>
          <w:sz w:val="24"/>
          <w:szCs w:val="24"/>
          <w:lang w:val="en-GB" w:eastAsia="en-GB"/>
        </w:rPr>
        <w:t>Delivery and achievement of savings and modernisation programmes;</w:t>
      </w:r>
    </w:p>
    <w:p w14:paraId="2B709900" w14:textId="77777777" w:rsidR="000729CF" w:rsidRPr="000729CF" w:rsidRDefault="000729CF" w:rsidP="00CE70A3">
      <w:pPr>
        <w:numPr>
          <w:ilvl w:val="0"/>
          <w:numId w:val="96"/>
        </w:numPr>
        <w:autoSpaceDE w:val="0"/>
        <w:autoSpaceDN w:val="0"/>
        <w:adjustRightInd w:val="0"/>
        <w:spacing w:before="60" w:after="60"/>
        <w:ind w:left="426" w:hanging="426"/>
        <w:rPr>
          <w:rFonts w:ascii="Arial" w:hAnsi="Arial" w:cs="Arial"/>
          <w:color w:val="000000"/>
          <w:sz w:val="24"/>
          <w:szCs w:val="24"/>
          <w:lang w:val="en-GB" w:eastAsia="en-GB"/>
        </w:rPr>
      </w:pPr>
      <w:r w:rsidRPr="000729CF">
        <w:rPr>
          <w:rFonts w:ascii="Arial" w:hAnsi="Arial" w:cs="Arial"/>
          <w:color w:val="000000"/>
          <w:sz w:val="24"/>
          <w:szCs w:val="24"/>
          <w:lang w:val="en-GB" w:eastAsia="en-GB"/>
        </w:rPr>
        <w:t>Ability to manage identified demand-led service pressures;</w:t>
      </w:r>
    </w:p>
    <w:p w14:paraId="19AA5165" w14:textId="77777777" w:rsidR="000729CF" w:rsidRPr="000729CF" w:rsidRDefault="000729CF" w:rsidP="00CE70A3">
      <w:pPr>
        <w:numPr>
          <w:ilvl w:val="0"/>
          <w:numId w:val="96"/>
        </w:numPr>
        <w:autoSpaceDE w:val="0"/>
        <w:autoSpaceDN w:val="0"/>
        <w:adjustRightInd w:val="0"/>
        <w:spacing w:before="60" w:after="60"/>
        <w:ind w:left="426" w:hanging="426"/>
        <w:rPr>
          <w:rFonts w:ascii="Arial" w:hAnsi="Arial" w:cs="Arial"/>
          <w:color w:val="000000"/>
          <w:sz w:val="24"/>
          <w:szCs w:val="24"/>
          <w:lang w:val="en-GB" w:eastAsia="en-GB"/>
        </w:rPr>
      </w:pPr>
      <w:r w:rsidRPr="000729CF">
        <w:rPr>
          <w:rFonts w:ascii="Arial" w:hAnsi="Arial" w:cs="Arial"/>
          <w:color w:val="000000"/>
          <w:sz w:val="24"/>
          <w:szCs w:val="24"/>
          <w:lang w:val="en-GB" w:eastAsia="en-GB"/>
        </w:rPr>
        <w:t>Decisions on council tax increases and the council tax reduction scheme;</w:t>
      </w:r>
    </w:p>
    <w:p w14:paraId="3601529A" w14:textId="77777777" w:rsidR="000729CF" w:rsidRPr="000729CF" w:rsidRDefault="000729CF" w:rsidP="00CE70A3">
      <w:pPr>
        <w:numPr>
          <w:ilvl w:val="0"/>
          <w:numId w:val="96"/>
        </w:numPr>
        <w:autoSpaceDE w:val="0"/>
        <w:autoSpaceDN w:val="0"/>
        <w:adjustRightInd w:val="0"/>
        <w:spacing w:before="60" w:after="60"/>
        <w:ind w:left="426" w:hanging="426"/>
        <w:rPr>
          <w:rFonts w:ascii="Arial" w:hAnsi="Arial" w:cs="Arial"/>
          <w:color w:val="000000"/>
          <w:sz w:val="24"/>
          <w:szCs w:val="24"/>
          <w:lang w:val="en-GB" w:eastAsia="en-GB"/>
        </w:rPr>
      </w:pPr>
      <w:r w:rsidRPr="000729CF">
        <w:rPr>
          <w:rFonts w:ascii="Arial" w:hAnsi="Arial" w:cs="Arial"/>
          <w:color w:val="000000"/>
          <w:sz w:val="24"/>
          <w:szCs w:val="24"/>
          <w:lang w:val="en-GB" w:eastAsia="en-GB"/>
        </w:rPr>
        <w:t>Democratic support for change including partnership working and integration.</w:t>
      </w:r>
    </w:p>
    <w:p w14:paraId="6BCABFA6" w14:textId="77777777" w:rsidR="000729CF" w:rsidRPr="000729CF" w:rsidRDefault="000729CF" w:rsidP="000729CF">
      <w:pPr>
        <w:autoSpaceDE w:val="0"/>
        <w:autoSpaceDN w:val="0"/>
        <w:adjustRightInd w:val="0"/>
        <w:spacing w:before="120" w:after="120"/>
        <w:rPr>
          <w:rFonts w:ascii="Arial" w:hAnsi="Arial" w:cs="Arial"/>
          <w:color w:val="000000"/>
          <w:sz w:val="24"/>
          <w:szCs w:val="24"/>
          <w:lang w:val="en-GB" w:eastAsia="en-GB"/>
        </w:rPr>
      </w:pPr>
      <w:r w:rsidRPr="000729CF">
        <w:rPr>
          <w:rFonts w:ascii="Arial" w:hAnsi="Arial" w:cs="Arial"/>
          <w:color w:val="000000"/>
          <w:sz w:val="24"/>
          <w:szCs w:val="24"/>
          <w:lang w:val="en-GB" w:eastAsia="en-GB"/>
        </w:rPr>
        <w:t>Risks to the MTFS arise from both external and internal factors. External risks include, for example, Government policy decisions that can have an adverse financial impact on the council. External risks are generally the most difficult to manage or plan for.</w:t>
      </w:r>
    </w:p>
    <w:p w14:paraId="5C273E1C" w14:textId="77777777" w:rsidR="000729CF" w:rsidRPr="000729CF" w:rsidRDefault="000729CF" w:rsidP="000729CF">
      <w:pPr>
        <w:autoSpaceDE w:val="0"/>
        <w:autoSpaceDN w:val="0"/>
        <w:adjustRightInd w:val="0"/>
        <w:spacing w:before="120" w:after="120"/>
        <w:rPr>
          <w:rFonts w:ascii="Arial" w:hAnsi="Arial" w:cs="Arial"/>
          <w:color w:val="000000"/>
          <w:sz w:val="24"/>
          <w:szCs w:val="24"/>
          <w:lang w:val="en-GB" w:eastAsia="en-GB"/>
        </w:rPr>
      </w:pPr>
      <w:r w:rsidRPr="000729CF">
        <w:rPr>
          <w:rFonts w:ascii="Arial" w:hAnsi="Arial" w:cs="Arial"/>
          <w:color w:val="000000"/>
          <w:sz w:val="24"/>
          <w:szCs w:val="24"/>
          <w:lang w:val="en-GB" w:eastAsia="en-GB"/>
        </w:rPr>
        <w:t xml:space="preserve">Internal risks can also arise for a number of reasons, such as cost overruns, underachievement of savings plans, changing political or service priorities or ineffective systems of demand management. They may also be influenced by external factors. It is vital to have adequate mechanisms to manage internal risks if financial stability is to be achieved. There are a number of ways in which the effects of risks can be managed, and these are set out in the following risk table. </w:t>
      </w:r>
    </w:p>
    <w:p w14:paraId="6886AD48" w14:textId="77777777" w:rsidR="000729CF" w:rsidRPr="000729CF" w:rsidRDefault="000729CF" w:rsidP="000729CF">
      <w:pPr>
        <w:autoSpaceDE w:val="0"/>
        <w:autoSpaceDN w:val="0"/>
        <w:adjustRightInd w:val="0"/>
        <w:spacing w:before="120" w:after="120"/>
        <w:rPr>
          <w:rFonts w:ascii="Arial" w:hAnsi="Arial" w:cs="Arial"/>
          <w:color w:val="000000"/>
          <w:sz w:val="24"/>
          <w:szCs w:val="24"/>
          <w:lang w:val="en-GB" w:eastAsia="en-GB"/>
        </w:rPr>
      </w:pPr>
      <w:r w:rsidRPr="000729CF">
        <w:rPr>
          <w:rFonts w:ascii="Arial" w:hAnsi="Arial" w:cs="Arial"/>
          <w:color w:val="000000"/>
          <w:sz w:val="24"/>
          <w:szCs w:val="24"/>
          <w:lang w:val="en-GB" w:eastAsia="en-GB"/>
        </w:rPr>
        <w:t>The forecasts within the MTFS are based on prudential assumptions that reflect the most likely position based on current knowledge and data. There are therefore risks of over or under stating expenditure or income estimates which are considered below.</w:t>
      </w:r>
    </w:p>
    <w:p w14:paraId="11B29FB1" w14:textId="77777777" w:rsidR="000729CF" w:rsidRPr="000729CF" w:rsidRDefault="000729CF" w:rsidP="000729CF">
      <w:pPr>
        <w:autoSpaceDE w:val="0"/>
        <w:autoSpaceDN w:val="0"/>
        <w:adjustRightInd w:val="0"/>
        <w:spacing w:before="120" w:after="120"/>
        <w:rPr>
          <w:rFonts w:ascii="Arial" w:hAnsi="Arial" w:cs="Arial"/>
          <w:color w:val="000000"/>
          <w:sz w:val="24"/>
          <w:szCs w:val="24"/>
          <w:lang w:val="en-GB" w:eastAsia="en-GB"/>
        </w:rPr>
      </w:pPr>
      <w:r w:rsidRPr="000729CF">
        <w:rPr>
          <w:rFonts w:ascii="Arial" w:hAnsi="Arial" w:cs="Arial"/>
          <w:color w:val="000000"/>
          <w:sz w:val="24"/>
          <w:szCs w:val="24"/>
          <w:lang w:val="en-GB" w:eastAsia="en-GB"/>
        </w:rPr>
        <w:t>The identified risks are scored for Likelihood (L) and Impact (I). The scores are multiplied to give a resulting risk score. The key to the scores is given below:</w:t>
      </w:r>
    </w:p>
    <w:p w14:paraId="0CA4F86F" w14:textId="77777777" w:rsidR="000729CF" w:rsidRPr="000729CF" w:rsidRDefault="000729CF" w:rsidP="000729CF">
      <w:pPr>
        <w:spacing w:after="40"/>
        <w:rPr>
          <w:rFonts w:ascii="Arial" w:hAnsi="Arial" w:cs="Arial"/>
          <w:color w:val="FF0000"/>
          <w:sz w:val="24"/>
          <w:szCs w:val="24"/>
          <w:lang w:val="en-GB" w:eastAsia="en-GB"/>
        </w:rPr>
      </w:pPr>
    </w:p>
    <w:p w14:paraId="2FDB7778" w14:textId="77777777" w:rsidR="000729CF" w:rsidRPr="000729CF" w:rsidRDefault="000729CF" w:rsidP="000729CF">
      <w:pPr>
        <w:spacing w:after="40"/>
        <w:rPr>
          <w:rFonts w:ascii="Arial" w:hAnsi="Arial" w:cs="Arial"/>
          <w:color w:val="000000"/>
          <w:sz w:val="24"/>
          <w:szCs w:val="24"/>
          <w:lang w:val="en-GB" w:eastAsia="en-GB"/>
        </w:rPr>
      </w:pPr>
      <w:r w:rsidRPr="000729CF">
        <w:rPr>
          <w:rFonts w:ascii="Arial" w:hAnsi="Arial" w:cs="Arial"/>
          <w:color w:val="000000"/>
          <w:sz w:val="24"/>
          <w:szCs w:val="24"/>
          <w:lang w:val="en-GB" w:eastAsia="en-GB"/>
        </w:rPr>
        <w:t>Key:</w:t>
      </w:r>
    </w:p>
    <w:p w14:paraId="1182F277" w14:textId="77777777" w:rsidR="000729CF" w:rsidRPr="000729CF" w:rsidRDefault="000729CF" w:rsidP="000729CF">
      <w:pPr>
        <w:spacing w:after="40"/>
        <w:rPr>
          <w:rFonts w:ascii="Arial" w:hAnsi="Arial" w:cs="Arial"/>
          <w:color w:val="000000"/>
          <w:sz w:val="24"/>
          <w:szCs w:val="24"/>
          <w:lang w:val="en-GB" w:eastAsia="en-GB"/>
        </w:rPr>
      </w:pPr>
    </w:p>
    <w:tbl>
      <w:tblPr>
        <w:tblStyle w:val="TableGrid2"/>
        <w:tblW w:w="0" w:type="auto"/>
        <w:tblInd w:w="-5" w:type="dxa"/>
        <w:tblLook w:val="04A0" w:firstRow="1" w:lastRow="0" w:firstColumn="1" w:lastColumn="0" w:noHBand="0" w:noVBand="1"/>
      </w:tblPr>
      <w:tblGrid>
        <w:gridCol w:w="2410"/>
        <w:gridCol w:w="7223"/>
      </w:tblGrid>
      <w:tr w:rsidR="000729CF" w:rsidRPr="000729CF" w14:paraId="7A5286E1" w14:textId="77777777" w:rsidTr="00BC26AB">
        <w:tc>
          <w:tcPr>
            <w:tcW w:w="2410" w:type="dxa"/>
          </w:tcPr>
          <w:p w14:paraId="679C77B9" w14:textId="77777777" w:rsidR="000729CF" w:rsidRPr="000729CF" w:rsidRDefault="000729CF" w:rsidP="000729CF">
            <w:pPr>
              <w:spacing w:after="40"/>
              <w:rPr>
                <w:rFonts w:ascii="Arial" w:hAnsi="Arial" w:cs="Arial"/>
                <w:b/>
                <w:color w:val="000000"/>
                <w:sz w:val="24"/>
                <w:szCs w:val="24"/>
              </w:rPr>
            </w:pPr>
            <w:r w:rsidRPr="000729CF">
              <w:rPr>
                <w:rFonts w:ascii="Arial" w:hAnsi="Arial" w:cs="Arial"/>
                <w:b/>
                <w:color w:val="000000"/>
                <w:sz w:val="24"/>
                <w:szCs w:val="24"/>
              </w:rPr>
              <w:t>Likelihood (L)</w:t>
            </w:r>
          </w:p>
          <w:p w14:paraId="78A9F2C2" w14:textId="77777777" w:rsidR="000729CF" w:rsidRPr="000729CF" w:rsidRDefault="000729CF" w:rsidP="000729CF">
            <w:pPr>
              <w:spacing w:after="40"/>
              <w:rPr>
                <w:rFonts w:ascii="Arial" w:hAnsi="Arial" w:cs="Arial"/>
                <w:color w:val="000000"/>
                <w:sz w:val="24"/>
                <w:szCs w:val="24"/>
              </w:rPr>
            </w:pPr>
            <w:r w:rsidRPr="000729CF">
              <w:rPr>
                <w:rFonts w:ascii="Arial" w:hAnsi="Arial" w:cs="Arial"/>
                <w:color w:val="000000"/>
                <w:sz w:val="24"/>
                <w:szCs w:val="24"/>
              </w:rPr>
              <w:t>(of occurrence):</w:t>
            </w:r>
          </w:p>
        </w:tc>
        <w:tc>
          <w:tcPr>
            <w:tcW w:w="7223" w:type="dxa"/>
          </w:tcPr>
          <w:p w14:paraId="2AD2F4AA" w14:textId="77777777" w:rsidR="000729CF" w:rsidRPr="000729CF" w:rsidRDefault="000729CF" w:rsidP="000729CF">
            <w:pPr>
              <w:spacing w:after="40"/>
              <w:rPr>
                <w:rFonts w:ascii="Arial" w:hAnsi="Arial" w:cs="Arial"/>
                <w:color w:val="000000"/>
                <w:sz w:val="24"/>
                <w:szCs w:val="24"/>
              </w:rPr>
            </w:pPr>
            <w:r w:rsidRPr="000729CF">
              <w:rPr>
                <w:rFonts w:ascii="Arial" w:hAnsi="Arial" w:cs="Arial"/>
                <w:color w:val="000000"/>
                <w:sz w:val="24"/>
                <w:szCs w:val="24"/>
              </w:rPr>
              <w:t>1 – Almost impossible</w:t>
            </w:r>
          </w:p>
          <w:p w14:paraId="7A00DEB8" w14:textId="77777777" w:rsidR="000729CF" w:rsidRPr="000729CF" w:rsidRDefault="000729CF" w:rsidP="000729CF">
            <w:pPr>
              <w:spacing w:after="40"/>
              <w:rPr>
                <w:rFonts w:ascii="Arial" w:hAnsi="Arial" w:cs="Arial"/>
                <w:color w:val="000000"/>
                <w:sz w:val="24"/>
                <w:szCs w:val="24"/>
              </w:rPr>
            </w:pPr>
            <w:r w:rsidRPr="000729CF">
              <w:rPr>
                <w:rFonts w:ascii="Arial" w:hAnsi="Arial" w:cs="Arial"/>
                <w:color w:val="000000"/>
                <w:sz w:val="24"/>
                <w:szCs w:val="24"/>
              </w:rPr>
              <w:t>2 – Unlikely</w:t>
            </w:r>
          </w:p>
          <w:p w14:paraId="0E6D2532" w14:textId="77777777" w:rsidR="000729CF" w:rsidRPr="000729CF" w:rsidRDefault="000729CF" w:rsidP="000729CF">
            <w:pPr>
              <w:spacing w:after="40"/>
              <w:rPr>
                <w:rFonts w:ascii="Arial" w:hAnsi="Arial" w:cs="Arial"/>
                <w:color w:val="000000"/>
                <w:sz w:val="24"/>
                <w:szCs w:val="24"/>
              </w:rPr>
            </w:pPr>
            <w:r w:rsidRPr="000729CF">
              <w:rPr>
                <w:rFonts w:ascii="Arial" w:hAnsi="Arial" w:cs="Arial"/>
                <w:color w:val="000000"/>
                <w:sz w:val="24"/>
                <w:szCs w:val="24"/>
              </w:rPr>
              <w:t>3 – Possible</w:t>
            </w:r>
          </w:p>
          <w:p w14:paraId="0C389575" w14:textId="77777777" w:rsidR="000729CF" w:rsidRPr="000729CF" w:rsidRDefault="000729CF" w:rsidP="000729CF">
            <w:pPr>
              <w:spacing w:after="40"/>
              <w:rPr>
                <w:rFonts w:ascii="Arial" w:hAnsi="Arial" w:cs="Arial"/>
                <w:color w:val="000000"/>
                <w:sz w:val="24"/>
                <w:szCs w:val="24"/>
              </w:rPr>
            </w:pPr>
            <w:r w:rsidRPr="000729CF">
              <w:rPr>
                <w:rFonts w:ascii="Arial" w:hAnsi="Arial" w:cs="Arial"/>
                <w:color w:val="000000"/>
                <w:sz w:val="24"/>
                <w:szCs w:val="24"/>
              </w:rPr>
              <w:t>4 – Likely</w:t>
            </w:r>
          </w:p>
          <w:p w14:paraId="71CA5602" w14:textId="77777777" w:rsidR="000729CF" w:rsidRPr="000729CF" w:rsidRDefault="000729CF" w:rsidP="000729CF">
            <w:pPr>
              <w:spacing w:after="40"/>
              <w:rPr>
                <w:rFonts w:ascii="Arial" w:hAnsi="Arial" w:cs="Arial"/>
                <w:color w:val="000000"/>
                <w:sz w:val="24"/>
                <w:szCs w:val="24"/>
              </w:rPr>
            </w:pPr>
            <w:r w:rsidRPr="000729CF">
              <w:rPr>
                <w:rFonts w:ascii="Arial" w:hAnsi="Arial" w:cs="Arial"/>
                <w:color w:val="000000"/>
                <w:sz w:val="24"/>
                <w:szCs w:val="24"/>
              </w:rPr>
              <w:t>5 – Almost certain</w:t>
            </w:r>
          </w:p>
        </w:tc>
      </w:tr>
      <w:tr w:rsidR="000729CF" w:rsidRPr="000729CF" w14:paraId="5EC18E24" w14:textId="77777777" w:rsidTr="00BC26AB">
        <w:tc>
          <w:tcPr>
            <w:tcW w:w="2410" w:type="dxa"/>
          </w:tcPr>
          <w:p w14:paraId="4B0D6531" w14:textId="77777777" w:rsidR="000729CF" w:rsidRPr="000729CF" w:rsidRDefault="000729CF" w:rsidP="000729CF">
            <w:pPr>
              <w:spacing w:after="40"/>
              <w:rPr>
                <w:rFonts w:ascii="Arial" w:hAnsi="Arial" w:cs="Arial"/>
                <w:b/>
                <w:color w:val="000000"/>
                <w:sz w:val="24"/>
                <w:szCs w:val="24"/>
              </w:rPr>
            </w:pPr>
            <w:r w:rsidRPr="000729CF">
              <w:rPr>
                <w:rFonts w:ascii="Arial" w:hAnsi="Arial" w:cs="Arial"/>
                <w:b/>
                <w:color w:val="000000"/>
                <w:sz w:val="24"/>
                <w:szCs w:val="24"/>
              </w:rPr>
              <w:t>Impact (I):</w:t>
            </w:r>
          </w:p>
        </w:tc>
        <w:tc>
          <w:tcPr>
            <w:tcW w:w="7223" w:type="dxa"/>
          </w:tcPr>
          <w:p w14:paraId="5BEFE197" w14:textId="77777777" w:rsidR="000729CF" w:rsidRPr="000729CF" w:rsidRDefault="000729CF" w:rsidP="000729CF">
            <w:pPr>
              <w:spacing w:after="40"/>
              <w:rPr>
                <w:rFonts w:ascii="Arial" w:hAnsi="Arial" w:cs="Arial"/>
                <w:color w:val="000000"/>
                <w:sz w:val="24"/>
                <w:szCs w:val="24"/>
              </w:rPr>
            </w:pPr>
            <w:r w:rsidRPr="000729CF">
              <w:rPr>
                <w:rFonts w:ascii="Arial" w:hAnsi="Arial" w:cs="Arial"/>
                <w:color w:val="000000"/>
                <w:sz w:val="24"/>
                <w:szCs w:val="24"/>
              </w:rPr>
              <w:t>1 – Insignificant</w:t>
            </w:r>
          </w:p>
          <w:p w14:paraId="1CAE4110" w14:textId="77777777" w:rsidR="000729CF" w:rsidRPr="000729CF" w:rsidRDefault="000729CF" w:rsidP="000729CF">
            <w:pPr>
              <w:spacing w:after="40"/>
              <w:rPr>
                <w:rFonts w:ascii="Arial" w:hAnsi="Arial" w:cs="Arial"/>
                <w:color w:val="000000"/>
                <w:sz w:val="24"/>
                <w:szCs w:val="24"/>
              </w:rPr>
            </w:pPr>
            <w:r w:rsidRPr="000729CF">
              <w:rPr>
                <w:rFonts w:ascii="Arial" w:hAnsi="Arial" w:cs="Arial"/>
                <w:color w:val="000000"/>
                <w:sz w:val="24"/>
                <w:szCs w:val="24"/>
              </w:rPr>
              <w:t>2 – Minor</w:t>
            </w:r>
          </w:p>
          <w:p w14:paraId="6402C92B" w14:textId="77777777" w:rsidR="000729CF" w:rsidRPr="000729CF" w:rsidRDefault="000729CF" w:rsidP="000729CF">
            <w:pPr>
              <w:spacing w:after="40"/>
              <w:rPr>
                <w:rFonts w:ascii="Arial" w:hAnsi="Arial" w:cs="Arial"/>
                <w:color w:val="000000"/>
                <w:sz w:val="24"/>
                <w:szCs w:val="24"/>
              </w:rPr>
            </w:pPr>
            <w:r w:rsidRPr="000729CF">
              <w:rPr>
                <w:rFonts w:ascii="Arial" w:hAnsi="Arial" w:cs="Arial"/>
                <w:color w:val="000000"/>
                <w:sz w:val="24"/>
                <w:szCs w:val="24"/>
              </w:rPr>
              <w:t>3 – Moderate</w:t>
            </w:r>
          </w:p>
          <w:p w14:paraId="59EC65F7" w14:textId="77777777" w:rsidR="000729CF" w:rsidRPr="000729CF" w:rsidRDefault="000729CF" w:rsidP="000729CF">
            <w:pPr>
              <w:spacing w:after="40"/>
              <w:rPr>
                <w:rFonts w:ascii="Arial" w:hAnsi="Arial" w:cs="Arial"/>
                <w:color w:val="000000"/>
                <w:sz w:val="24"/>
                <w:szCs w:val="24"/>
              </w:rPr>
            </w:pPr>
            <w:r w:rsidRPr="000729CF">
              <w:rPr>
                <w:rFonts w:ascii="Arial" w:hAnsi="Arial" w:cs="Arial"/>
                <w:color w:val="000000"/>
                <w:sz w:val="24"/>
                <w:szCs w:val="24"/>
              </w:rPr>
              <w:t>4 – Major</w:t>
            </w:r>
          </w:p>
          <w:p w14:paraId="5D108B6C" w14:textId="77777777" w:rsidR="000729CF" w:rsidRPr="000729CF" w:rsidRDefault="000729CF" w:rsidP="000729CF">
            <w:pPr>
              <w:spacing w:after="40"/>
              <w:rPr>
                <w:rFonts w:ascii="Arial" w:hAnsi="Arial" w:cs="Arial"/>
                <w:color w:val="000000"/>
                <w:sz w:val="24"/>
                <w:szCs w:val="24"/>
              </w:rPr>
            </w:pPr>
            <w:r w:rsidRPr="000729CF">
              <w:rPr>
                <w:rFonts w:ascii="Arial" w:hAnsi="Arial" w:cs="Arial"/>
                <w:color w:val="000000"/>
                <w:sz w:val="24"/>
                <w:szCs w:val="24"/>
              </w:rPr>
              <w:t>5 – Catastrophic or fantastic</w:t>
            </w:r>
          </w:p>
        </w:tc>
      </w:tr>
      <w:tr w:rsidR="000729CF" w:rsidRPr="000729CF" w14:paraId="2D43EAE3" w14:textId="77777777" w:rsidTr="00BC26AB">
        <w:tc>
          <w:tcPr>
            <w:tcW w:w="2410" w:type="dxa"/>
          </w:tcPr>
          <w:p w14:paraId="4276E819" w14:textId="77777777" w:rsidR="000729CF" w:rsidRPr="000729CF" w:rsidRDefault="000729CF" w:rsidP="000729CF">
            <w:pPr>
              <w:spacing w:after="40"/>
              <w:rPr>
                <w:rFonts w:ascii="Arial" w:hAnsi="Arial" w:cs="Arial"/>
                <w:b/>
                <w:color w:val="000000"/>
                <w:sz w:val="24"/>
                <w:szCs w:val="24"/>
              </w:rPr>
            </w:pPr>
            <w:r w:rsidRPr="000729CF">
              <w:rPr>
                <w:rFonts w:ascii="Arial" w:hAnsi="Arial" w:cs="Arial"/>
                <w:b/>
                <w:color w:val="000000"/>
                <w:sz w:val="24"/>
                <w:szCs w:val="24"/>
              </w:rPr>
              <w:t>Risk Score (L) x (I):</w:t>
            </w:r>
          </w:p>
          <w:p w14:paraId="66B2EBEF" w14:textId="77777777" w:rsidR="000729CF" w:rsidRPr="000729CF" w:rsidRDefault="000729CF" w:rsidP="000729CF">
            <w:pPr>
              <w:spacing w:after="40"/>
              <w:rPr>
                <w:rFonts w:ascii="Arial" w:hAnsi="Arial" w:cs="Arial"/>
                <w:bCs/>
                <w:color w:val="000000"/>
                <w:sz w:val="24"/>
                <w:szCs w:val="24"/>
              </w:rPr>
            </w:pPr>
            <w:r w:rsidRPr="000729CF">
              <w:rPr>
                <w:rFonts w:ascii="Arial" w:hAnsi="Arial" w:cs="Arial"/>
                <w:bCs/>
                <w:color w:val="000000"/>
                <w:sz w:val="24"/>
                <w:szCs w:val="24"/>
              </w:rPr>
              <w:t>(Overall rating)</w:t>
            </w:r>
          </w:p>
        </w:tc>
        <w:tc>
          <w:tcPr>
            <w:tcW w:w="7223" w:type="dxa"/>
          </w:tcPr>
          <w:p w14:paraId="79121C64" w14:textId="77777777" w:rsidR="000729CF" w:rsidRPr="000729CF" w:rsidRDefault="000729CF" w:rsidP="000729CF">
            <w:pPr>
              <w:spacing w:after="40"/>
              <w:rPr>
                <w:rFonts w:ascii="Arial" w:hAnsi="Arial" w:cs="Arial"/>
                <w:color w:val="000000"/>
                <w:sz w:val="24"/>
                <w:szCs w:val="24"/>
              </w:rPr>
            </w:pPr>
            <w:r w:rsidRPr="000729CF">
              <w:rPr>
                <w:rFonts w:ascii="Arial" w:hAnsi="Arial" w:cs="Arial"/>
                <w:color w:val="000000"/>
                <w:sz w:val="24"/>
                <w:szCs w:val="24"/>
              </w:rPr>
              <w:t>1 to 3 Low</w:t>
            </w:r>
          </w:p>
          <w:p w14:paraId="46D83019" w14:textId="77777777" w:rsidR="000729CF" w:rsidRPr="000729CF" w:rsidRDefault="000729CF" w:rsidP="000729CF">
            <w:pPr>
              <w:spacing w:after="40"/>
              <w:rPr>
                <w:rFonts w:ascii="Arial" w:hAnsi="Arial" w:cs="Arial"/>
                <w:color w:val="000000"/>
                <w:sz w:val="24"/>
                <w:szCs w:val="24"/>
              </w:rPr>
            </w:pPr>
            <w:r w:rsidRPr="000729CF">
              <w:rPr>
                <w:rFonts w:ascii="Arial" w:hAnsi="Arial" w:cs="Arial"/>
                <w:color w:val="000000"/>
                <w:sz w:val="24"/>
                <w:szCs w:val="24"/>
              </w:rPr>
              <w:t>4 to 7 Moderate</w:t>
            </w:r>
          </w:p>
          <w:p w14:paraId="6EBA0E03" w14:textId="77777777" w:rsidR="000729CF" w:rsidRPr="000729CF" w:rsidRDefault="000729CF" w:rsidP="000729CF">
            <w:pPr>
              <w:spacing w:after="40"/>
              <w:rPr>
                <w:rFonts w:ascii="Arial" w:hAnsi="Arial" w:cs="Arial"/>
                <w:color w:val="000000"/>
                <w:sz w:val="24"/>
                <w:szCs w:val="24"/>
              </w:rPr>
            </w:pPr>
            <w:r w:rsidRPr="000729CF">
              <w:rPr>
                <w:rFonts w:ascii="Arial" w:hAnsi="Arial" w:cs="Arial"/>
                <w:color w:val="000000"/>
                <w:sz w:val="24"/>
                <w:szCs w:val="24"/>
              </w:rPr>
              <w:t>8 to 14 Significant</w:t>
            </w:r>
          </w:p>
          <w:p w14:paraId="72B88E9C" w14:textId="77777777" w:rsidR="000729CF" w:rsidRPr="000729CF" w:rsidRDefault="000729CF" w:rsidP="000729CF">
            <w:pPr>
              <w:spacing w:after="40"/>
              <w:rPr>
                <w:rFonts w:ascii="Gill Sans" w:hAnsi="Gill Sans" w:cs="Arial"/>
                <w:b/>
                <w:color w:val="000000"/>
              </w:rPr>
            </w:pPr>
            <w:r w:rsidRPr="000729CF">
              <w:rPr>
                <w:rFonts w:ascii="Arial" w:hAnsi="Arial" w:cs="Arial"/>
                <w:color w:val="000000"/>
                <w:sz w:val="24"/>
                <w:szCs w:val="24"/>
              </w:rPr>
              <w:t>15 to 25 High</w:t>
            </w:r>
          </w:p>
        </w:tc>
      </w:tr>
    </w:tbl>
    <w:p w14:paraId="2196D5D1" w14:textId="77777777" w:rsidR="000729CF" w:rsidRPr="000729CF" w:rsidRDefault="000729CF" w:rsidP="000729CF">
      <w:pPr>
        <w:autoSpaceDE w:val="0"/>
        <w:autoSpaceDN w:val="0"/>
        <w:adjustRightInd w:val="0"/>
        <w:spacing w:before="120" w:after="120"/>
        <w:rPr>
          <w:rFonts w:ascii="Arial" w:hAnsi="Arial" w:cs="Arial"/>
          <w:color w:val="000000"/>
          <w:sz w:val="24"/>
          <w:szCs w:val="24"/>
          <w:lang w:val="en-GB" w:eastAsia="en-GB"/>
        </w:rPr>
      </w:pPr>
    </w:p>
    <w:p w14:paraId="3295741D" w14:textId="77777777" w:rsidR="000729CF" w:rsidRPr="000729CF" w:rsidRDefault="000729CF" w:rsidP="000729CF">
      <w:pPr>
        <w:autoSpaceDE w:val="0"/>
        <w:autoSpaceDN w:val="0"/>
        <w:adjustRightInd w:val="0"/>
        <w:spacing w:before="120" w:after="120"/>
        <w:rPr>
          <w:rFonts w:ascii="Arial" w:hAnsi="Arial" w:cs="Arial"/>
          <w:color w:val="000000"/>
          <w:sz w:val="24"/>
          <w:szCs w:val="24"/>
          <w:lang w:val="en-GB" w:eastAsia="en-GB"/>
        </w:rPr>
      </w:pPr>
      <w:r w:rsidRPr="000729CF">
        <w:rPr>
          <w:rFonts w:ascii="Arial" w:hAnsi="Arial" w:cs="Arial"/>
          <w:color w:val="000000"/>
          <w:sz w:val="24"/>
          <w:szCs w:val="24"/>
          <w:lang w:val="en-GB" w:eastAsia="en-GB"/>
        </w:rPr>
        <w:t>Risk Scores above at the midpoint of the range or higher (12 or higher) are highlighted (shaded) in the table below.</w:t>
      </w:r>
    </w:p>
    <w:p w14:paraId="2A94576D" w14:textId="77777777" w:rsidR="000729CF" w:rsidRPr="000729CF" w:rsidRDefault="000729CF" w:rsidP="000729CF">
      <w:pPr>
        <w:autoSpaceDE w:val="0"/>
        <w:autoSpaceDN w:val="0"/>
        <w:adjustRightInd w:val="0"/>
        <w:spacing w:before="120" w:after="120"/>
        <w:rPr>
          <w:rFonts w:ascii="Arial" w:hAnsi="Arial" w:cs="Arial"/>
          <w:color w:val="FF0000"/>
          <w:sz w:val="24"/>
          <w:szCs w:val="24"/>
          <w:lang w:val="en-GB" w:eastAsia="en-GB"/>
        </w:rPr>
      </w:pPr>
    </w:p>
    <w:p w14:paraId="17EAB0BD" w14:textId="77777777" w:rsidR="000729CF" w:rsidRPr="000729CF" w:rsidRDefault="000729CF" w:rsidP="000729CF">
      <w:pPr>
        <w:autoSpaceDE w:val="0"/>
        <w:autoSpaceDN w:val="0"/>
        <w:adjustRightInd w:val="0"/>
        <w:spacing w:before="120" w:after="120"/>
        <w:rPr>
          <w:rFonts w:ascii="Arial" w:hAnsi="Arial" w:cs="Arial"/>
          <w:color w:val="FF0000"/>
          <w:sz w:val="24"/>
          <w:szCs w:val="24"/>
          <w:highlight w:val="yellow"/>
          <w:lang w:val="en-GB" w:eastAsia="en-GB"/>
        </w:rPr>
        <w:sectPr w:rsidR="000729CF" w:rsidRPr="000729CF" w:rsidSect="009E74DE">
          <w:headerReference w:type="default" r:id="rId32"/>
          <w:footerReference w:type="first" r:id="rId33"/>
          <w:pgSz w:w="11906" w:h="16838"/>
          <w:pgMar w:top="1134" w:right="1134" w:bottom="1134" w:left="1134" w:header="720" w:footer="720" w:gutter="0"/>
          <w:cols w:space="720"/>
        </w:sectPr>
      </w:pPr>
    </w:p>
    <w:p w14:paraId="218B08B8" w14:textId="77777777" w:rsidR="000729CF" w:rsidRPr="000729CF" w:rsidRDefault="000729CF" w:rsidP="000729CF">
      <w:pPr>
        <w:rPr>
          <w:rFonts w:ascii="Arial" w:hAnsi="Arial" w:cs="Arial"/>
          <w:b/>
          <w:snapToGrid w:val="0"/>
          <w:color w:val="000000"/>
          <w:sz w:val="24"/>
          <w:szCs w:val="24"/>
          <w:highlight w:val="yellow"/>
          <w:lang w:val="en-GB"/>
        </w:rPr>
      </w:pPr>
    </w:p>
    <w:tbl>
      <w:tblPr>
        <w:tblW w:w="14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558"/>
        <w:gridCol w:w="1334"/>
        <w:gridCol w:w="2193"/>
        <w:gridCol w:w="958"/>
        <w:gridCol w:w="3213"/>
        <w:gridCol w:w="3685"/>
      </w:tblGrid>
      <w:tr w:rsidR="000729CF" w:rsidRPr="000729CF" w14:paraId="0A4764BB" w14:textId="77777777" w:rsidTr="000729CF">
        <w:trPr>
          <w:trHeight w:val="624"/>
          <w:tblHeader/>
        </w:trPr>
        <w:tc>
          <w:tcPr>
            <w:tcW w:w="0" w:type="auto"/>
            <w:shd w:val="clear" w:color="auto" w:fill="D9D9D9"/>
          </w:tcPr>
          <w:p w14:paraId="6DDA4E50" w14:textId="77777777" w:rsidR="000729CF" w:rsidRPr="000729CF" w:rsidRDefault="000729CF" w:rsidP="000729CF">
            <w:pPr>
              <w:rPr>
                <w:rFonts w:ascii="Arial" w:hAnsi="Arial" w:cs="Arial"/>
                <w:b/>
                <w:snapToGrid w:val="0"/>
                <w:color w:val="000000"/>
                <w:sz w:val="24"/>
                <w:szCs w:val="24"/>
                <w:lang w:val="en-GB"/>
              </w:rPr>
            </w:pPr>
            <w:r w:rsidRPr="000729CF">
              <w:rPr>
                <w:rFonts w:ascii="Arial" w:hAnsi="Arial" w:cs="Arial"/>
                <w:b/>
                <w:snapToGrid w:val="0"/>
                <w:color w:val="000000"/>
                <w:sz w:val="24"/>
                <w:szCs w:val="24"/>
                <w:lang w:val="en-GB"/>
              </w:rPr>
              <w:t>Risk</w:t>
            </w:r>
          </w:p>
        </w:tc>
        <w:tc>
          <w:tcPr>
            <w:tcW w:w="0" w:type="auto"/>
            <w:shd w:val="clear" w:color="auto" w:fill="D9D9D9"/>
          </w:tcPr>
          <w:p w14:paraId="6AFB3A3D" w14:textId="77777777" w:rsidR="000729CF" w:rsidRPr="000729CF" w:rsidRDefault="000729CF" w:rsidP="000729CF">
            <w:pPr>
              <w:jc w:val="center"/>
              <w:rPr>
                <w:rFonts w:ascii="Arial" w:hAnsi="Arial" w:cs="Arial"/>
                <w:b/>
                <w:snapToGrid w:val="0"/>
                <w:color w:val="000000"/>
                <w:sz w:val="24"/>
                <w:szCs w:val="24"/>
                <w:lang w:val="en-GB"/>
              </w:rPr>
            </w:pPr>
            <w:r w:rsidRPr="000729CF">
              <w:rPr>
                <w:rFonts w:ascii="Arial" w:hAnsi="Arial" w:cs="Arial"/>
                <w:b/>
                <w:snapToGrid w:val="0"/>
                <w:color w:val="000000"/>
                <w:sz w:val="24"/>
                <w:szCs w:val="24"/>
                <w:lang w:val="en-GB"/>
              </w:rPr>
              <w:t xml:space="preserve">Likelihood (L) </w:t>
            </w:r>
          </w:p>
        </w:tc>
        <w:tc>
          <w:tcPr>
            <w:tcW w:w="0" w:type="auto"/>
            <w:shd w:val="clear" w:color="auto" w:fill="D9D9D9"/>
          </w:tcPr>
          <w:p w14:paraId="42F614A5" w14:textId="77777777" w:rsidR="000729CF" w:rsidRPr="000729CF" w:rsidRDefault="000729CF" w:rsidP="000729CF">
            <w:pPr>
              <w:jc w:val="center"/>
              <w:rPr>
                <w:rFonts w:ascii="Arial" w:hAnsi="Arial" w:cs="Arial"/>
                <w:b/>
                <w:snapToGrid w:val="0"/>
                <w:color w:val="000000"/>
                <w:sz w:val="24"/>
                <w:szCs w:val="24"/>
                <w:lang w:val="en-GB"/>
              </w:rPr>
            </w:pPr>
            <w:r w:rsidRPr="000729CF">
              <w:rPr>
                <w:rFonts w:ascii="Arial" w:hAnsi="Arial" w:cs="Arial"/>
                <w:b/>
                <w:snapToGrid w:val="0"/>
                <w:color w:val="000000"/>
                <w:sz w:val="24"/>
                <w:szCs w:val="24"/>
                <w:lang w:val="en-GB"/>
              </w:rPr>
              <w:t xml:space="preserve">Impact </w:t>
            </w:r>
          </w:p>
          <w:p w14:paraId="7582D9BA" w14:textId="77777777" w:rsidR="000729CF" w:rsidRPr="000729CF" w:rsidRDefault="000729CF" w:rsidP="000729CF">
            <w:pPr>
              <w:jc w:val="center"/>
              <w:rPr>
                <w:rFonts w:ascii="Arial" w:hAnsi="Arial" w:cs="Arial"/>
                <w:b/>
                <w:snapToGrid w:val="0"/>
                <w:color w:val="000000"/>
                <w:sz w:val="24"/>
                <w:szCs w:val="24"/>
                <w:lang w:val="en-GB"/>
              </w:rPr>
            </w:pPr>
            <w:r w:rsidRPr="000729CF">
              <w:rPr>
                <w:rFonts w:ascii="Arial" w:hAnsi="Arial" w:cs="Arial"/>
                <w:b/>
                <w:snapToGrid w:val="0"/>
                <w:color w:val="000000"/>
                <w:sz w:val="24"/>
                <w:szCs w:val="24"/>
                <w:lang w:val="en-GB"/>
              </w:rPr>
              <w:t>(I)</w:t>
            </w:r>
          </w:p>
        </w:tc>
        <w:tc>
          <w:tcPr>
            <w:tcW w:w="958" w:type="dxa"/>
            <w:shd w:val="clear" w:color="auto" w:fill="D9D9D9"/>
          </w:tcPr>
          <w:p w14:paraId="37E7A1F7" w14:textId="77777777" w:rsidR="000729CF" w:rsidRPr="000729CF" w:rsidRDefault="000729CF" w:rsidP="000729CF">
            <w:pPr>
              <w:jc w:val="center"/>
              <w:rPr>
                <w:rFonts w:ascii="Arial" w:hAnsi="Arial" w:cs="Arial"/>
                <w:b/>
                <w:snapToGrid w:val="0"/>
                <w:color w:val="000000"/>
                <w:sz w:val="24"/>
                <w:szCs w:val="24"/>
                <w:lang w:val="en-GB"/>
              </w:rPr>
            </w:pPr>
            <w:r w:rsidRPr="000729CF">
              <w:rPr>
                <w:rFonts w:ascii="Arial" w:hAnsi="Arial" w:cs="Arial"/>
                <w:b/>
                <w:snapToGrid w:val="0"/>
                <w:color w:val="000000"/>
                <w:sz w:val="24"/>
                <w:szCs w:val="24"/>
                <w:lang w:val="en-GB"/>
              </w:rPr>
              <w:t>Risk =</w:t>
            </w:r>
          </w:p>
          <w:p w14:paraId="4C3D6210" w14:textId="77777777" w:rsidR="000729CF" w:rsidRPr="000729CF" w:rsidRDefault="000729CF" w:rsidP="000729CF">
            <w:pPr>
              <w:rPr>
                <w:rFonts w:ascii="Arial" w:hAnsi="Arial" w:cs="Arial"/>
                <w:b/>
                <w:snapToGrid w:val="0"/>
                <w:color w:val="000000"/>
                <w:sz w:val="24"/>
                <w:szCs w:val="24"/>
                <w:lang w:val="en-GB"/>
              </w:rPr>
            </w:pPr>
            <w:r w:rsidRPr="000729CF">
              <w:rPr>
                <w:rFonts w:ascii="Arial" w:hAnsi="Arial" w:cs="Arial"/>
                <w:b/>
                <w:snapToGrid w:val="0"/>
                <w:color w:val="000000"/>
                <w:sz w:val="24"/>
                <w:szCs w:val="24"/>
                <w:lang w:val="en-GB"/>
              </w:rPr>
              <w:t>(L) x (I)</w:t>
            </w:r>
          </w:p>
        </w:tc>
        <w:tc>
          <w:tcPr>
            <w:tcW w:w="3213" w:type="dxa"/>
            <w:shd w:val="clear" w:color="auto" w:fill="D9D9D9"/>
          </w:tcPr>
          <w:p w14:paraId="69E7D7C7" w14:textId="77777777" w:rsidR="000729CF" w:rsidRPr="000729CF" w:rsidRDefault="000729CF" w:rsidP="000729CF">
            <w:pPr>
              <w:rPr>
                <w:rFonts w:ascii="Arial" w:hAnsi="Arial" w:cs="Arial"/>
                <w:b/>
                <w:snapToGrid w:val="0"/>
                <w:color w:val="000000"/>
                <w:sz w:val="24"/>
                <w:szCs w:val="24"/>
                <w:lang w:val="en-GB"/>
              </w:rPr>
            </w:pPr>
            <w:r w:rsidRPr="000729CF">
              <w:rPr>
                <w:rFonts w:ascii="Arial" w:hAnsi="Arial" w:cs="Arial"/>
                <w:b/>
                <w:snapToGrid w:val="0"/>
                <w:color w:val="000000"/>
                <w:sz w:val="24"/>
                <w:szCs w:val="24"/>
                <w:lang w:val="en-GB"/>
              </w:rPr>
              <w:t xml:space="preserve">Possible Impact on Financial Strategy </w:t>
            </w:r>
          </w:p>
        </w:tc>
        <w:tc>
          <w:tcPr>
            <w:tcW w:w="3685" w:type="dxa"/>
            <w:shd w:val="clear" w:color="auto" w:fill="D9D9D9"/>
          </w:tcPr>
          <w:p w14:paraId="7E4DD092" w14:textId="77777777" w:rsidR="000729CF" w:rsidRPr="000729CF" w:rsidRDefault="000729CF" w:rsidP="000729CF">
            <w:pPr>
              <w:rPr>
                <w:rFonts w:ascii="Arial" w:hAnsi="Arial" w:cs="Arial"/>
                <w:b/>
                <w:snapToGrid w:val="0"/>
                <w:color w:val="000000"/>
                <w:sz w:val="24"/>
                <w:szCs w:val="24"/>
                <w:lang w:val="en-GB"/>
              </w:rPr>
            </w:pPr>
            <w:r w:rsidRPr="000729CF">
              <w:rPr>
                <w:rFonts w:ascii="Arial" w:hAnsi="Arial" w:cs="Arial"/>
                <w:b/>
                <w:snapToGrid w:val="0"/>
                <w:color w:val="000000"/>
                <w:sz w:val="24"/>
                <w:szCs w:val="24"/>
                <w:lang w:val="en-GB"/>
              </w:rPr>
              <w:t>Mitigation / Management</w:t>
            </w:r>
          </w:p>
        </w:tc>
      </w:tr>
      <w:tr w:rsidR="000729CF" w:rsidRPr="000729CF" w14:paraId="69DA28D0" w14:textId="77777777" w:rsidTr="000729CF">
        <w:trPr>
          <w:trHeight w:val="340"/>
        </w:trPr>
        <w:tc>
          <w:tcPr>
            <w:tcW w:w="14941" w:type="dxa"/>
            <w:gridSpan w:val="6"/>
            <w:shd w:val="clear" w:color="auto" w:fill="BFBFBF"/>
            <w:vAlign w:val="center"/>
          </w:tcPr>
          <w:p w14:paraId="6FF01ECA" w14:textId="77777777" w:rsidR="000729CF" w:rsidRPr="000729CF" w:rsidRDefault="000729CF" w:rsidP="000729CF">
            <w:pPr>
              <w:rPr>
                <w:rFonts w:ascii="Arial" w:hAnsi="Arial" w:cs="Arial"/>
                <w:snapToGrid w:val="0"/>
                <w:color w:val="000000"/>
                <w:sz w:val="24"/>
                <w:szCs w:val="24"/>
                <w:highlight w:val="yellow"/>
                <w:lang w:val="en-GB"/>
              </w:rPr>
            </w:pPr>
            <w:r w:rsidRPr="000729CF">
              <w:rPr>
                <w:rFonts w:ascii="Arial" w:hAnsi="Arial" w:cs="Arial"/>
                <w:b/>
                <w:snapToGrid w:val="0"/>
                <w:color w:val="000000"/>
                <w:sz w:val="24"/>
                <w:szCs w:val="24"/>
                <w:lang w:val="en-GB"/>
              </w:rPr>
              <w:t>Potential Risks affecting 2024/25 onwards</w:t>
            </w:r>
          </w:p>
        </w:tc>
      </w:tr>
      <w:tr w:rsidR="000729CF" w:rsidRPr="000729CF" w14:paraId="55976B3B" w14:textId="77777777" w:rsidTr="00BC26AB">
        <w:tc>
          <w:tcPr>
            <w:tcW w:w="0" w:type="auto"/>
          </w:tcPr>
          <w:p w14:paraId="715C9019"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Council Tax base is lower than anticipated e.g. higher caseload for CTRS (Council Tax Reduction Scheme) discounts, lower number of new properties, more student exempt properties, more SMI exemptions, or more discounts awarded resulting in a deficit on the collection fund</w:t>
            </w:r>
          </w:p>
        </w:tc>
        <w:tc>
          <w:tcPr>
            <w:tcW w:w="0" w:type="auto"/>
          </w:tcPr>
          <w:p w14:paraId="0710F570"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3</w:t>
            </w:r>
          </w:p>
        </w:tc>
        <w:tc>
          <w:tcPr>
            <w:tcW w:w="0" w:type="auto"/>
          </w:tcPr>
          <w:p w14:paraId="30A481F6"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3</w:t>
            </w:r>
          </w:p>
          <w:p w14:paraId="321A7DA7"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0.1% reduction in council tax = £0.185m</w:t>
            </w:r>
          </w:p>
        </w:tc>
        <w:tc>
          <w:tcPr>
            <w:tcW w:w="958" w:type="dxa"/>
          </w:tcPr>
          <w:p w14:paraId="3D534DDA" w14:textId="77777777" w:rsidR="000729CF" w:rsidRPr="000729CF" w:rsidRDefault="000729CF" w:rsidP="000729CF">
            <w:pPr>
              <w:jc w:val="center"/>
              <w:rPr>
                <w:rFonts w:ascii="Arial" w:hAnsi="Arial" w:cs="Arial"/>
                <w:color w:val="000000"/>
                <w:sz w:val="24"/>
                <w:szCs w:val="24"/>
                <w:lang w:val="en-GB" w:eastAsia="en-GB"/>
              </w:rPr>
            </w:pPr>
            <w:r w:rsidRPr="000729CF">
              <w:rPr>
                <w:rFonts w:ascii="Arial" w:hAnsi="Arial" w:cs="Arial"/>
                <w:color w:val="000000"/>
                <w:sz w:val="24"/>
                <w:szCs w:val="24"/>
                <w:lang w:val="en-GB" w:eastAsia="en-GB"/>
              </w:rPr>
              <w:t>9</w:t>
            </w:r>
          </w:p>
        </w:tc>
        <w:tc>
          <w:tcPr>
            <w:tcW w:w="3213" w:type="dxa"/>
          </w:tcPr>
          <w:p w14:paraId="3FDE8A66" w14:textId="77777777" w:rsidR="000729CF" w:rsidRPr="000729CF" w:rsidRDefault="000729CF" w:rsidP="000729CF">
            <w:pPr>
              <w:rPr>
                <w:rFonts w:ascii="Arial" w:hAnsi="Arial" w:cs="Arial"/>
                <w:snapToGrid w:val="0"/>
                <w:color w:val="000000"/>
                <w:sz w:val="24"/>
                <w:szCs w:val="24"/>
                <w:highlight w:val="yellow"/>
                <w:lang w:val="en-GB"/>
              </w:rPr>
            </w:pPr>
            <w:r w:rsidRPr="000729CF">
              <w:rPr>
                <w:rFonts w:ascii="Arial" w:hAnsi="Arial" w:cs="Arial"/>
                <w:snapToGrid w:val="0"/>
                <w:color w:val="000000"/>
                <w:sz w:val="24"/>
                <w:szCs w:val="24"/>
                <w:lang w:val="en-GB"/>
              </w:rPr>
              <w:t xml:space="preserve">Would require reductions in budgets (increased savings) for the following year </w:t>
            </w:r>
          </w:p>
        </w:tc>
        <w:tc>
          <w:tcPr>
            <w:tcW w:w="3685" w:type="dxa"/>
          </w:tcPr>
          <w:p w14:paraId="57703B9A"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Close monitoring of the collection fund and checking validity of exemptions and discounts particularly new property developments, student numbers, CTRS discounts and empty property discounts.</w:t>
            </w:r>
          </w:p>
          <w:p w14:paraId="07AB66E7" w14:textId="77777777" w:rsidR="000729CF" w:rsidRPr="000729CF" w:rsidRDefault="000729CF" w:rsidP="000729CF">
            <w:pPr>
              <w:rPr>
                <w:rFonts w:ascii="Arial" w:hAnsi="Arial" w:cs="Arial"/>
                <w:snapToGrid w:val="0"/>
                <w:color w:val="000000"/>
                <w:sz w:val="24"/>
                <w:szCs w:val="24"/>
                <w:highlight w:val="yellow"/>
                <w:lang w:val="en-GB"/>
              </w:rPr>
            </w:pPr>
            <w:r w:rsidRPr="000729CF">
              <w:rPr>
                <w:rFonts w:ascii="Arial" w:hAnsi="Arial" w:cs="Arial"/>
                <w:snapToGrid w:val="0"/>
                <w:color w:val="000000"/>
                <w:sz w:val="24"/>
                <w:szCs w:val="24"/>
                <w:lang w:val="en-GB"/>
              </w:rPr>
              <w:t>Through major projects, working with further education establishments to encourage development of more dedicated student accommodation.</w:t>
            </w:r>
          </w:p>
        </w:tc>
      </w:tr>
      <w:tr w:rsidR="000729CF" w:rsidRPr="000729CF" w14:paraId="76725D9B" w14:textId="77777777" w:rsidTr="00BC26AB">
        <w:tc>
          <w:tcPr>
            <w:tcW w:w="0" w:type="auto"/>
          </w:tcPr>
          <w:p w14:paraId="2CF9A2EE" w14:textId="77777777" w:rsidR="000729CF" w:rsidRPr="000729CF" w:rsidRDefault="000729CF" w:rsidP="000729CF">
            <w:pPr>
              <w:rPr>
                <w:rFonts w:ascii="Arial" w:hAnsi="Arial" w:cs="Arial"/>
                <w:snapToGrid w:val="0"/>
                <w:color w:val="000000"/>
                <w:sz w:val="24"/>
                <w:szCs w:val="24"/>
                <w:highlight w:val="yellow"/>
                <w:lang w:val="en-GB"/>
              </w:rPr>
            </w:pPr>
            <w:r w:rsidRPr="000729CF">
              <w:rPr>
                <w:rFonts w:ascii="Arial" w:hAnsi="Arial" w:cs="Arial"/>
                <w:snapToGrid w:val="0"/>
                <w:color w:val="000000"/>
                <w:sz w:val="24"/>
                <w:szCs w:val="24"/>
                <w:lang w:val="en-GB"/>
              </w:rPr>
              <w:t>Collection of council tax, including CTRS claimants, falls due to its impact on household budgets alongside other Welfare Reform impacts, resulting in a deficit on the collection fund</w:t>
            </w:r>
          </w:p>
        </w:tc>
        <w:tc>
          <w:tcPr>
            <w:tcW w:w="0" w:type="auto"/>
          </w:tcPr>
          <w:p w14:paraId="7FEC5EE5"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3</w:t>
            </w:r>
          </w:p>
        </w:tc>
        <w:tc>
          <w:tcPr>
            <w:tcW w:w="0" w:type="auto"/>
          </w:tcPr>
          <w:p w14:paraId="2A01809D"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3</w:t>
            </w:r>
          </w:p>
          <w:p w14:paraId="16AFBF9C"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0.1% reduction in council tax collection = £0.185m</w:t>
            </w:r>
          </w:p>
        </w:tc>
        <w:tc>
          <w:tcPr>
            <w:tcW w:w="958" w:type="dxa"/>
          </w:tcPr>
          <w:p w14:paraId="6F567C77" w14:textId="77777777" w:rsidR="000729CF" w:rsidRPr="000729CF" w:rsidRDefault="000729CF" w:rsidP="000729CF">
            <w:pPr>
              <w:jc w:val="center"/>
              <w:rPr>
                <w:rFonts w:ascii="Arial" w:hAnsi="Arial" w:cs="Arial"/>
                <w:color w:val="000000"/>
                <w:sz w:val="24"/>
                <w:szCs w:val="24"/>
                <w:lang w:val="en-GB" w:eastAsia="en-GB"/>
              </w:rPr>
            </w:pPr>
            <w:r w:rsidRPr="000729CF">
              <w:rPr>
                <w:rFonts w:ascii="Arial" w:hAnsi="Arial" w:cs="Arial"/>
                <w:color w:val="000000"/>
                <w:sz w:val="24"/>
                <w:szCs w:val="24"/>
                <w:lang w:val="en-GB" w:eastAsia="en-GB"/>
              </w:rPr>
              <w:t>9</w:t>
            </w:r>
          </w:p>
        </w:tc>
        <w:tc>
          <w:tcPr>
            <w:tcW w:w="3213" w:type="dxa"/>
          </w:tcPr>
          <w:p w14:paraId="63F1D54B"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Would require reductions in the budget (increased savings) for the following year</w:t>
            </w:r>
          </w:p>
        </w:tc>
        <w:tc>
          <w:tcPr>
            <w:tcW w:w="3685" w:type="dxa"/>
          </w:tcPr>
          <w:p w14:paraId="4F908605"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Close monitoring of the collection fund, including claimants under the CTRS. Appropriate communications, advice (linked to Welfare Reform advice services) and collection strategies have been agreed to minimise impact.</w:t>
            </w:r>
          </w:p>
        </w:tc>
      </w:tr>
      <w:tr w:rsidR="000729CF" w:rsidRPr="000729CF" w14:paraId="25194525" w14:textId="77777777" w:rsidTr="000729CF">
        <w:tc>
          <w:tcPr>
            <w:tcW w:w="0" w:type="auto"/>
          </w:tcPr>
          <w:p w14:paraId="1C7E03D0"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Services fail to operate within set budgets due to increased service demands or weak systems of demand management</w:t>
            </w:r>
          </w:p>
          <w:p w14:paraId="296509D2" w14:textId="77777777" w:rsidR="000729CF" w:rsidRPr="000729CF" w:rsidRDefault="000729CF" w:rsidP="000729CF">
            <w:pPr>
              <w:rPr>
                <w:rFonts w:ascii="Arial" w:hAnsi="Arial" w:cs="Arial"/>
                <w:snapToGrid w:val="0"/>
                <w:color w:val="000000"/>
                <w:sz w:val="24"/>
                <w:szCs w:val="24"/>
                <w:highlight w:val="yellow"/>
                <w:lang w:val="en-GB"/>
              </w:rPr>
            </w:pPr>
          </w:p>
        </w:tc>
        <w:tc>
          <w:tcPr>
            <w:tcW w:w="0" w:type="auto"/>
          </w:tcPr>
          <w:p w14:paraId="24368D2A" w14:textId="77777777" w:rsidR="000729CF" w:rsidRPr="000729CF" w:rsidRDefault="000729CF" w:rsidP="000729CF">
            <w:pPr>
              <w:jc w:val="center"/>
              <w:rPr>
                <w:rFonts w:ascii="Arial" w:hAnsi="Arial" w:cs="Arial"/>
                <w:snapToGrid w:val="0"/>
                <w:color w:val="000000"/>
                <w:sz w:val="24"/>
                <w:szCs w:val="24"/>
                <w:highlight w:val="yellow"/>
                <w:lang w:val="en-GB"/>
              </w:rPr>
            </w:pPr>
            <w:r w:rsidRPr="000729CF">
              <w:rPr>
                <w:rFonts w:ascii="Arial" w:hAnsi="Arial" w:cs="Arial"/>
                <w:snapToGrid w:val="0"/>
                <w:color w:val="000000"/>
                <w:sz w:val="24"/>
                <w:szCs w:val="24"/>
                <w:lang w:val="en-GB"/>
              </w:rPr>
              <w:t>3</w:t>
            </w:r>
          </w:p>
        </w:tc>
        <w:tc>
          <w:tcPr>
            <w:tcW w:w="0" w:type="auto"/>
          </w:tcPr>
          <w:p w14:paraId="5BD24FDC"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4</w:t>
            </w:r>
          </w:p>
          <w:p w14:paraId="2E4E8F54" w14:textId="77777777" w:rsidR="000729CF" w:rsidRPr="000729CF" w:rsidRDefault="000729CF" w:rsidP="000729CF">
            <w:pPr>
              <w:jc w:val="center"/>
              <w:rPr>
                <w:rFonts w:ascii="Arial" w:hAnsi="Arial" w:cs="Arial"/>
                <w:snapToGrid w:val="0"/>
                <w:color w:val="000000"/>
                <w:sz w:val="24"/>
                <w:szCs w:val="24"/>
                <w:highlight w:val="yellow"/>
                <w:lang w:val="en-GB"/>
              </w:rPr>
            </w:pPr>
            <w:r w:rsidRPr="000729CF">
              <w:rPr>
                <w:rFonts w:ascii="Arial" w:hAnsi="Arial" w:cs="Arial"/>
                <w:snapToGrid w:val="0"/>
                <w:color w:val="000000"/>
                <w:sz w:val="24"/>
                <w:szCs w:val="24"/>
                <w:lang w:val="en-GB"/>
              </w:rPr>
              <w:t xml:space="preserve">1% gross expenditure on demand led budgets = £2.8m </w:t>
            </w:r>
          </w:p>
        </w:tc>
        <w:tc>
          <w:tcPr>
            <w:tcW w:w="958" w:type="dxa"/>
            <w:shd w:val="clear" w:color="auto" w:fill="D9D9D9"/>
          </w:tcPr>
          <w:p w14:paraId="16DD4C48" w14:textId="77777777" w:rsidR="000729CF" w:rsidRPr="000729CF" w:rsidRDefault="000729CF" w:rsidP="000729CF">
            <w:pPr>
              <w:jc w:val="center"/>
              <w:rPr>
                <w:rFonts w:ascii="Arial" w:hAnsi="Arial" w:cs="Arial"/>
                <w:color w:val="000000"/>
                <w:sz w:val="24"/>
                <w:szCs w:val="24"/>
                <w:highlight w:val="yellow"/>
                <w:lang w:val="en-GB" w:eastAsia="en-GB"/>
              </w:rPr>
            </w:pPr>
            <w:r w:rsidRPr="000729CF">
              <w:rPr>
                <w:rFonts w:ascii="Arial" w:hAnsi="Arial" w:cs="Arial"/>
                <w:color w:val="000000"/>
                <w:sz w:val="24"/>
                <w:szCs w:val="24"/>
                <w:highlight w:val="lightGray"/>
                <w:lang w:val="en-GB" w:eastAsia="en-GB"/>
              </w:rPr>
              <w:t>12</w:t>
            </w:r>
          </w:p>
        </w:tc>
        <w:tc>
          <w:tcPr>
            <w:tcW w:w="3213" w:type="dxa"/>
          </w:tcPr>
          <w:p w14:paraId="42C41390" w14:textId="77777777" w:rsidR="000729CF" w:rsidRPr="000729CF" w:rsidRDefault="000729CF" w:rsidP="000729CF">
            <w:pPr>
              <w:rPr>
                <w:rFonts w:ascii="Arial" w:hAnsi="Arial" w:cs="Arial"/>
                <w:snapToGrid w:val="0"/>
                <w:color w:val="000000"/>
                <w:sz w:val="24"/>
                <w:szCs w:val="24"/>
                <w:highlight w:val="yellow"/>
                <w:lang w:val="en-GB"/>
              </w:rPr>
            </w:pPr>
            <w:r w:rsidRPr="000729CF">
              <w:rPr>
                <w:rFonts w:ascii="Arial" w:hAnsi="Arial" w:cs="Arial"/>
                <w:snapToGrid w:val="0"/>
                <w:color w:val="000000"/>
                <w:sz w:val="24"/>
                <w:szCs w:val="24"/>
                <w:lang w:val="en-GB"/>
              </w:rPr>
              <w:t>Excess service pressures would have to be met through additional resources, such as reserves, or through unplanned savings having to be made elsewhere. Possible need for emergency spending and/or recruitment restrictions with potential impacts on service delivery and quality. Reduction in reserves / working balance. Value for Money qualification of accounts through not securing economy, efficiency and effectiveness in the use of resources.</w:t>
            </w:r>
          </w:p>
        </w:tc>
        <w:tc>
          <w:tcPr>
            <w:tcW w:w="3685" w:type="dxa"/>
          </w:tcPr>
          <w:p w14:paraId="772F57FF"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Close monitoring and analysis of demand-led budgets and overall budget through budget monitoring (TBM).</w:t>
            </w:r>
          </w:p>
          <w:p w14:paraId="6E4FC5EC"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Identify action plans to mitigate cost pressures.</w:t>
            </w:r>
          </w:p>
          <w:p w14:paraId="0568EB58" w14:textId="77777777" w:rsidR="000729CF" w:rsidRPr="000729CF" w:rsidRDefault="000729CF" w:rsidP="000729CF">
            <w:pPr>
              <w:rPr>
                <w:rFonts w:ascii="Arial" w:hAnsi="Arial" w:cs="Arial"/>
                <w:b/>
                <w:snapToGrid w:val="0"/>
                <w:color w:val="000000"/>
                <w:sz w:val="24"/>
                <w:szCs w:val="24"/>
                <w:highlight w:val="yellow"/>
                <w:lang w:val="en-GB"/>
              </w:rPr>
            </w:pPr>
            <w:r w:rsidRPr="000729CF">
              <w:rPr>
                <w:rFonts w:ascii="Arial" w:hAnsi="Arial" w:cs="Arial"/>
                <w:snapToGrid w:val="0"/>
                <w:color w:val="000000"/>
                <w:sz w:val="24"/>
                <w:szCs w:val="24"/>
                <w:lang w:val="en-GB"/>
              </w:rPr>
              <w:t>Health &amp; Social Care system management activity prioritised through integrated commissioning and working towards an Integrated Care System. Strategic Council Plan investments provided for ASC, Children’s Social Care, Homelessness and Home-t-School Transport demand-led pressure areas.</w:t>
            </w:r>
          </w:p>
        </w:tc>
      </w:tr>
      <w:tr w:rsidR="000729CF" w:rsidRPr="000729CF" w14:paraId="01EB85A8" w14:textId="77777777" w:rsidTr="00BC26AB">
        <w:tc>
          <w:tcPr>
            <w:tcW w:w="0" w:type="auto"/>
          </w:tcPr>
          <w:p w14:paraId="557E5C6E"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Services fail to operate within set budgets due to unachievable income or poor collection performance</w:t>
            </w:r>
          </w:p>
          <w:p w14:paraId="6BACC671" w14:textId="77777777" w:rsidR="000729CF" w:rsidRPr="000729CF" w:rsidRDefault="000729CF" w:rsidP="000729CF">
            <w:pPr>
              <w:ind w:left="780"/>
              <w:rPr>
                <w:rFonts w:ascii="Arial" w:hAnsi="Arial" w:cs="Arial"/>
                <w:snapToGrid w:val="0"/>
                <w:color w:val="000000"/>
                <w:sz w:val="24"/>
                <w:szCs w:val="24"/>
                <w:highlight w:val="yellow"/>
                <w:lang w:val="en-GB"/>
              </w:rPr>
            </w:pPr>
          </w:p>
        </w:tc>
        <w:tc>
          <w:tcPr>
            <w:tcW w:w="0" w:type="auto"/>
          </w:tcPr>
          <w:p w14:paraId="5E45DF20"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3</w:t>
            </w:r>
          </w:p>
        </w:tc>
        <w:tc>
          <w:tcPr>
            <w:tcW w:w="0" w:type="auto"/>
          </w:tcPr>
          <w:p w14:paraId="398DB50D"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3</w:t>
            </w:r>
          </w:p>
          <w:p w14:paraId="0C67992E"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 xml:space="preserve">1% of fees and charges income = £1.2m </w:t>
            </w:r>
          </w:p>
        </w:tc>
        <w:tc>
          <w:tcPr>
            <w:tcW w:w="958" w:type="dxa"/>
          </w:tcPr>
          <w:p w14:paraId="7D6C2AEF" w14:textId="77777777" w:rsidR="000729CF" w:rsidRPr="000729CF" w:rsidRDefault="000729CF" w:rsidP="000729CF">
            <w:pPr>
              <w:jc w:val="center"/>
              <w:rPr>
                <w:rFonts w:ascii="Arial" w:hAnsi="Arial" w:cs="Arial"/>
                <w:color w:val="000000"/>
                <w:sz w:val="24"/>
                <w:szCs w:val="24"/>
                <w:lang w:val="en-GB" w:eastAsia="en-GB"/>
              </w:rPr>
            </w:pPr>
            <w:r w:rsidRPr="000729CF">
              <w:rPr>
                <w:rFonts w:ascii="Arial" w:hAnsi="Arial" w:cs="Arial"/>
                <w:color w:val="000000"/>
                <w:sz w:val="24"/>
                <w:szCs w:val="24"/>
                <w:lang w:val="en-GB" w:eastAsia="en-GB"/>
              </w:rPr>
              <w:t>9</w:t>
            </w:r>
          </w:p>
        </w:tc>
        <w:tc>
          <w:tcPr>
            <w:tcW w:w="3213" w:type="dxa"/>
          </w:tcPr>
          <w:p w14:paraId="39B81FFD"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Income pressures that can only be met through additional resources, such as using reserves, or savings being made elsewhere in the budget. Possible need for emergency spending and/or recruitment restrictions with potential impacts on service delivery and quality.</w:t>
            </w:r>
          </w:p>
          <w:p w14:paraId="67B00ED7"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Reduction in reserves / working balance.</w:t>
            </w:r>
          </w:p>
          <w:p w14:paraId="68363774" w14:textId="77777777" w:rsidR="000729CF" w:rsidRPr="000729CF" w:rsidRDefault="000729CF" w:rsidP="000729CF">
            <w:pPr>
              <w:rPr>
                <w:rFonts w:ascii="Arial" w:hAnsi="Arial" w:cs="Arial"/>
                <w:snapToGrid w:val="0"/>
                <w:color w:val="000000"/>
                <w:sz w:val="24"/>
                <w:szCs w:val="24"/>
                <w:highlight w:val="yellow"/>
                <w:lang w:val="en-GB"/>
              </w:rPr>
            </w:pPr>
            <w:r w:rsidRPr="000729CF">
              <w:rPr>
                <w:rFonts w:ascii="Arial" w:hAnsi="Arial" w:cs="Arial"/>
                <w:snapToGrid w:val="0"/>
                <w:color w:val="000000"/>
                <w:sz w:val="24"/>
                <w:szCs w:val="24"/>
                <w:lang w:val="en-GB"/>
              </w:rPr>
              <w:t>Value for money qualification of accounts by not securing economy, efficiency and effectiveness in the use of resources.</w:t>
            </w:r>
          </w:p>
        </w:tc>
        <w:tc>
          <w:tcPr>
            <w:tcW w:w="3685" w:type="dxa"/>
          </w:tcPr>
          <w:p w14:paraId="02FA45D2"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Monitoring of income budgets and collection performance (rates) through TBM reporting. Identify action plans to mitigate unachievable income, price variations and exceptional legal costs.</w:t>
            </w:r>
          </w:p>
          <w:p w14:paraId="5655333F"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In-year review of charging policy and revised charges could be approved if absolutely necessary.</w:t>
            </w:r>
          </w:p>
          <w:p w14:paraId="1D9BED4E"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Internal Audit review of services where performance issues or financial concerns are identified.</w:t>
            </w:r>
          </w:p>
        </w:tc>
      </w:tr>
      <w:tr w:rsidR="000729CF" w:rsidRPr="000729CF" w14:paraId="5661F776" w14:textId="77777777" w:rsidTr="000729CF">
        <w:tc>
          <w:tcPr>
            <w:tcW w:w="0" w:type="auto"/>
            <w:shd w:val="clear" w:color="auto" w:fill="auto"/>
          </w:tcPr>
          <w:p w14:paraId="437339F9"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Services fail to operate within set budgets due to increased labour or supply chain costs, contract price variations or other inflationary impacts</w:t>
            </w:r>
          </w:p>
          <w:p w14:paraId="3683EB4A" w14:textId="77777777" w:rsidR="000729CF" w:rsidRPr="000729CF" w:rsidRDefault="000729CF" w:rsidP="000729CF">
            <w:pPr>
              <w:rPr>
                <w:rFonts w:ascii="Arial" w:hAnsi="Arial" w:cs="Arial"/>
                <w:snapToGrid w:val="0"/>
                <w:color w:val="000000"/>
                <w:sz w:val="24"/>
                <w:szCs w:val="24"/>
                <w:highlight w:val="yellow"/>
                <w:lang w:val="en-GB"/>
              </w:rPr>
            </w:pPr>
          </w:p>
        </w:tc>
        <w:tc>
          <w:tcPr>
            <w:tcW w:w="0" w:type="auto"/>
            <w:shd w:val="clear" w:color="auto" w:fill="auto"/>
          </w:tcPr>
          <w:p w14:paraId="7DE63A97" w14:textId="77777777" w:rsidR="000729CF" w:rsidRPr="000729CF" w:rsidRDefault="000729CF" w:rsidP="000729CF">
            <w:pPr>
              <w:jc w:val="center"/>
              <w:rPr>
                <w:rFonts w:ascii="Arial" w:hAnsi="Arial" w:cs="Arial"/>
                <w:snapToGrid w:val="0"/>
                <w:color w:val="000000"/>
                <w:sz w:val="24"/>
                <w:szCs w:val="24"/>
                <w:highlight w:val="yellow"/>
                <w:lang w:val="en-GB"/>
              </w:rPr>
            </w:pPr>
            <w:r w:rsidRPr="000729CF">
              <w:rPr>
                <w:rFonts w:ascii="Arial" w:hAnsi="Arial" w:cs="Arial"/>
                <w:snapToGrid w:val="0"/>
                <w:color w:val="000000"/>
                <w:sz w:val="24"/>
                <w:szCs w:val="24"/>
                <w:lang w:val="en-GB"/>
              </w:rPr>
              <w:t>4</w:t>
            </w:r>
          </w:p>
        </w:tc>
        <w:tc>
          <w:tcPr>
            <w:tcW w:w="0" w:type="auto"/>
            <w:shd w:val="clear" w:color="auto" w:fill="auto"/>
          </w:tcPr>
          <w:p w14:paraId="0462A25A"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4</w:t>
            </w:r>
          </w:p>
          <w:p w14:paraId="56FB14F6" w14:textId="77777777" w:rsidR="000729CF" w:rsidRPr="000729CF" w:rsidRDefault="000729CF" w:rsidP="000729CF">
            <w:pPr>
              <w:jc w:val="center"/>
              <w:rPr>
                <w:rFonts w:ascii="Arial" w:hAnsi="Arial" w:cs="Arial"/>
                <w:snapToGrid w:val="0"/>
                <w:color w:val="000000"/>
                <w:sz w:val="24"/>
                <w:szCs w:val="24"/>
                <w:highlight w:val="yellow"/>
                <w:lang w:val="en-GB"/>
              </w:rPr>
            </w:pPr>
            <w:r w:rsidRPr="000729CF">
              <w:rPr>
                <w:rFonts w:ascii="Arial" w:hAnsi="Arial" w:cs="Arial"/>
                <w:snapToGrid w:val="0"/>
                <w:color w:val="000000"/>
                <w:sz w:val="24"/>
                <w:szCs w:val="24"/>
                <w:lang w:val="en-GB"/>
              </w:rPr>
              <w:t xml:space="preserve">1% gross expenditure = £5.0m </w:t>
            </w:r>
          </w:p>
        </w:tc>
        <w:tc>
          <w:tcPr>
            <w:tcW w:w="958" w:type="dxa"/>
            <w:shd w:val="clear" w:color="auto" w:fill="D9D9D9"/>
          </w:tcPr>
          <w:p w14:paraId="795FF908" w14:textId="77777777" w:rsidR="000729CF" w:rsidRPr="000729CF" w:rsidRDefault="000729CF" w:rsidP="000729CF">
            <w:pPr>
              <w:jc w:val="center"/>
              <w:rPr>
                <w:rFonts w:ascii="Arial" w:hAnsi="Arial" w:cs="Arial"/>
                <w:color w:val="000000"/>
                <w:sz w:val="24"/>
                <w:szCs w:val="24"/>
                <w:highlight w:val="yellow"/>
                <w:lang w:val="en-GB" w:eastAsia="en-GB"/>
              </w:rPr>
            </w:pPr>
            <w:r w:rsidRPr="000729CF">
              <w:rPr>
                <w:rFonts w:ascii="Arial" w:hAnsi="Arial" w:cs="Arial"/>
                <w:color w:val="000000"/>
                <w:sz w:val="24"/>
                <w:szCs w:val="24"/>
                <w:lang w:val="en-GB" w:eastAsia="en-GB"/>
              </w:rPr>
              <w:t>16</w:t>
            </w:r>
          </w:p>
        </w:tc>
        <w:tc>
          <w:tcPr>
            <w:tcW w:w="3213" w:type="dxa"/>
            <w:shd w:val="clear" w:color="auto" w:fill="auto"/>
          </w:tcPr>
          <w:p w14:paraId="71E195AC" w14:textId="77777777" w:rsidR="000729CF" w:rsidRPr="000729CF" w:rsidRDefault="000729CF" w:rsidP="000729CF">
            <w:pPr>
              <w:rPr>
                <w:rFonts w:ascii="Arial" w:hAnsi="Arial" w:cs="Arial"/>
                <w:snapToGrid w:val="0"/>
                <w:color w:val="000000"/>
                <w:sz w:val="24"/>
                <w:szCs w:val="24"/>
                <w:highlight w:val="yellow"/>
                <w:lang w:val="en-GB"/>
              </w:rPr>
            </w:pPr>
            <w:r w:rsidRPr="000729CF">
              <w:rPr>
                <w:rFonts w:ascii="Arial" w:hAnsi="Arial" w:cs="Arial"/>
                <w:snapToGrid w:val="0"/>
                <w:color w:val="000000"/>
                <w:sz w:val="24"/>
                <w:szCs w:val="24"/>
                <w:lang w:val="en-GB"/>
              </w:rPr>
              <w:t>Excess costs would have to be met through additional resources, such as reserves, or through unplanned savings having to be made elsewhere. Possible need for emergency spending and/or recruitment restrictions with potential impacts on service delivery and quality. Reduction in reserves / working balance. Value for Money qualification of accounts through not securing economy, efficiency and effectiveness in the use of resources.</w:t>
            </w:r>
          </w:p>
        </w:tc>
        <w:tc>
          <w:tcPr>
            <w:tcW w:w="3685" w:type="dxa"/>
            <w:shd w:val="clear" w:color="auto" w:fill="auto"/>
          </w:tcPr>
          <w:p w14:paraId="7637EBBB"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Close monitoring of budgets and overall spend through budget monitoring (TBM).</w:t>
            </w:r>
          </w:p>
          <w:p w14:paraId="5A5B55B3"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Identify Financial Recovery action plans to mitigate specific areas experiencing cost pressures.</w:t>
            </w:r>
          </w:p>
          <w:p w14:paraId="7CF39C19"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Focus contract management resources to areas of concern.</w:t>
            </w:r>
          </w:p>
          <w:p w14:paraId="28B876C0"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Consider unilateral financial management controls (short of restrictions) such as vacancy management and additional spending controls.</w:t>
            </w:r>
          </w:p>
          <w:p w14:paraId="47B06D68" w14:textId="77777777" w:rsidR="000729CF" w:rsidRPr="000729CF" w:rsidRDefault="000729CF" w:rsidP="000729CF">
            <w:pPr>
              <w:rPr>
                <w:rFonts w:ascii="Arial" w:hAnsi="Arial" w:cs="Arial"/>
                <w:b/>
                <w:snapToGrid w:val="0"/>
                <w:color w:val="000000"/>
                <w:sz w:val="24"/>
                <w:szCs w:val="24"/>
                <w:highlight w:val="yellow"/>
                <w:lang w:val="en-GB"/>
              </w:rPr>
            </w:pPr>
          </w:p>
        </w:tc>
      </w:tr>
      <w:tr w:rsidR="000729CF" w:rsidRPr="000729CF" w14:paraId="7B3CC2B5" w14:textId="77777777" w:rsidTr="00BC26AB">
        <w:tc>
          <w:tcPr>
            <w:tcW w:w="0" w:type="auto"/>
          </w:tcPr>
          <w:p w14:paraId="075F4B0E"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Services fail to operate within set budgets due to unachievable savings arising from:</w:t>
            </w:r>
          </w:p>
          <w:p w14:paraId="6DCEFBC0" w14:textId="77777777" w:rsidR="000729CF" w:rsidRPr="000729CF" w:rsidRDefault="000729CF" w:rsidP="000729CF">
            <w:pPr>
              <w:rPr>
                <w:rFonts w:ascii="Arial" w:hAnsi="Arial" w:cs="Arial"/>
                <w:snapToGrid w:val="0"/>
                <w:color w:val="000000"/>
                <w:sz w:val="24"/>
                <w:szCs w:val="24"/>
                <w:lang w:val="en-GB"/>
              </w:rPr>
            </w:pPr>
          </w:p>
          <w:p w14:paraId="389CE046" w14:textId="77777777" w:rsidR="000729CF" w:rsidRPr="000729CF" w:rsidRDefault="000729CF" w:rsidP="00CE70A3">
            <w:pPr>
              <w:numPr>
                <w:ilvl w:val="0"/>
                <w:numId w:val="97"/>
              </w:numPr>
              <w:spacing w:before="60" w:after="60"/>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Over-estimate of the savings potential;</w:t>
            </w:r>
          </w:p>
          <w:p w14:paraId="7554AA14" w14:textId="77777777" w:rsidR="000729CF" w:rsidRPr="000729CF" w:rsidRDefault="000729CF" w:rsidP="00CE70A3">
            <w:pPr>
              <w:numPr>
                <w:ilvl w:val="0"/>
                <w:numId w:val="97"/>
              </w:numPr>
              <w:spacing w:before="60" w:after="60"/>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Higher than estimated costs to implement the savings opportunity.</w:t>
            </w:r>
          </w:p>
        </w:tc>
        <w:tc>
          <w:tcPr>
            <w:tcW w:w="0" w:type="auto"/>
          </w:tcPr>
          <w:p w14:paraId="4C0DBA80"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3</w:t>
            </w:r>
          </w:p>
        </w:tc>
        <w:tc>
          <w:tcPr>
            <w:tcW w:w="0" w:type="auto"/>
          </w:tcPr>
          <w:p w14:paraId="45B89671"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3</w:t>
            </w:r>
          </w:p>
          <w:p w14:paraId="55705400"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5% of GF savings = £1.2m</w:t>
            </w:r>
          </w:p>
        </w:tc>
        <w:tc>
          <w:tcPr>
            <w:tcW w:w="958" w:type="dxa"/>
          </w:tcPr>
          <w:p w14:paraId="515373DE" w14:textId="77777777" w:rsidR="000729CF" w:rsidRPr="000729CF" w:rsidRDefault="000729CF" w:rsidP="000729CF">
            <w:pPr>
              <w:jc w:val="center"/>
              <w:rPr>
                <w:rFonts w:ascii="Arial" w:hAnsi="Arial" w:cs="Arial"/>
                <w:color w:val="000000"/>
                <w:sz w:val="24"/>
                <w:szCs w:val="24"/>
                <w:lang w:val="en-GB" w:eastAsia="en-GB"/>
              </w:rPr>
            </w:pPr>
            <w:r w:rsidRPr="000729CF">
              <w:rPr>
                <w:rFonts w:ascii="Arial" w:hAnsi="Arial" w:cs="Arial"/>
                <w:color w:val="000000"/>
                <w:sz w:val="24"/>
                <w:szCs w:val="24"/>
                <w:lang w:val="en-GB" w:eastAsia="en-GB"/>
              </w:rPr>
              <w:t>9</w:t>
            </w:r>
          </w:p>
        </w:tc>
        <w:tc>
          <w:tcPr>
            <w:tcW w:w="3213" w:type="dxa"/>
          </w:tcPr>
          <w:p w14:paraId="0990ECC2"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Overspending that can only be met from additional resources such as reserves or savings being made elsewhere in the budget. Possible need for emergency spending and/or recruitment restrictions with potential impacts on service delivery and quality. Reduction in reserves / working balance.</w:t>
            </w:r>
          </w:p>
        </w:tc>
        <w:tc>
          <w:tcPr>
            <w:tcW w:w="3685" w:type="dxa"/>
          </w:tcPr>
          <w:p w14:paraId="17D7918A"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Monitor savings through TBM and identify action plans and/or alternative measures to mitigate the unachievable savings.</w:t>
            </w:r>
          </w:p>
          <w:p w14:paraId="43F7246A"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Potentially refer back to members for decisions on alternative savings proposals where these are significant or cannot be mitigated elsewhere.</w:t>
            </w:r>
          </w:p>
        </w:tc>
      </w:tr>
      <w:tr w:rsidR="000729CF" w:rsidRPr="000729CF" w14:paraId="1E1A8FDE" w14:textId="77777777" w:rsidTr="00BC26AB">
        <w:tc>
          <w:tcPr>
            <w:tcW w:w="0" w:type="auto"/>
            <w:shd w:val="clear" w:color="auto" w:fill="auto"/>
          </w:tcPr>
          <w:p w14:paraId="65068F8A"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Pay assumptions for 2024/25 are lower than finally agreed pay awards and other pay related costs.</w:t>
            </w:r>
          </w:p>
          <w:p w14:paraId="47BD8FA7" w14:textId="77777777" w:rsidR="000729CF" w:rsidRPr="000729CF" w:rsidRDefault="000729CF" w:rsidP="000729CF">
            <w:pPr>
              <w:rPr>
                <w:rFonts w:ascii="Arial" w:hAnsi="Arial" w:cs="Arial"/>
                <w:snapToGrid w:val="0"/>
                <w:color w:val="000000"/>
                <w:sz w:val="24"/>
                <w:szCs w:val="24"/>
                <w:lang w:val="en-GB"/>
              </w:rPr>
            </w:pPr>
          </w:p>
          <w:p w14:paraId="4E3CD06F" w14:textId="77777777" w:rsidR="000729CF" w:rsidRPr="000729CF" w:rsidRDefault="000729CF" w:rsidP="000729CF">
            <w:pPr>
              <w:rPr>
                <w:rFonts w:ascii="Arial" w:hAnsi="Arial" w:cs="Arial"/>
                <w:snapToGrid w:val="0"/>
                <w:color w:val="000000"/>
                <w:sz w:val="24"/>
                <w:szCs w:val="24"/>
                <w:highlight w:val="yellow"/>
                <w:lang w:val="en-GB"/>
              </w:rPr>
            </w:pPr>
            <w:r w:rsidRPr="000729CF">
              <w:rPr>
                <w:rFonts w:ascii="Arial" w:hAnsi="Arial" w:cs="Arial"/>
                <w:snapToGrid w:val="0"/>
                <w:color w:val="000000"/>
                <w:sz w:val="24"/>
                <w:szCs w:val="24"/>
                <w:lang w:val="en-GB"/>
              </w:rPr>
              <w:t>Note: pay award assumptions generally follow government inflation predictions.</w:t>
            </w:r>
          </w:p>
        </w:tc>
        <w:tc>
          <w:tcPr>
            <w:tcW w:w="0" w:type="auto"/>
            <w:shd w:val="clear" w:color="auto" w:fill="auto"/>
          </w:tcPr>
          <w:p w14:paraId="0E151934"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3</w:t>
            </w:r>
          </w:p>
        </w:tc>
        <w:tc>
          <w:tcPr>
            <w:tcW w:w="0" w:type="auto"/>
            <w:shd w:val="clear" w:color="auto" w:fill="auto"/>
          </w:tcPr>
          <w:p w14:paraId="5A74A26D"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3</w:t>
            </w:r>
          </w:p>
          <w:p w14:paraId="478814D3" w14:textId="77777777" w:rsidR="000729CF" w:rsidRPr="000729CF" w:rsidRDefault="000729CF" w:rsidP="000729CF">
            <w:pPr>
              <w:ind w:left="360" w:hanging="360"/>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 xml:space="preserve">0.5% </w:t>
            </w:r>
          </w:p>
          <w:p w14:paraId="4A93CBB4" w14:textId="77777777" w:rsidR="000729CF" w:rsidRPr="000729CF" w:rsidRDefault="000729CF" w:rsidP="000729CF">
            <w:pPr>
              <w:ind w:left="360" w:hanging="360"/>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 xml:space="preserve">change in </w:t>
            </w:r>
          </w:p>
          <w:p w14:paraId="22FA8532" w14:textId="77777777" w:rsidR="000729CF" w:rsidRPr="000729CF" w:rsidRDefault="000729CF" w:rsidP="000729CF">
            <w:pPr>
              <w:ind w:left="360" w:hanging="360"/>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pay award</w:t>
            </w:r>
          </w:p>
          <w:p w14:paraId="7FD4899B"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 xml:space="preserve"> = £0.8m for the general fund</w:t>
            </w:r>
          </w:p>
        </w:tc>
        <w:tc>
          <w:tcPr>
            <w:tcW w:w="958" w:type="dxa"/>
            <w:shd w:val="clear" w:color="auto" w:fill="auto"/>
          </w:tcPr>
          <w:p w14:paraId="17AFF33A" w14:textId="77777777" w:rsidR="000729CF" w:rsidRPr="000729CF" w:rsidRDefault="000729CF" w:rsidP="000729CF">
            <w:pPr>
              <w:jc w:val="center"/>
              <w:rPr>
                <w:rFonts w:ascii="Arial" w:hAnsi="Arial" w:cs="Arial"/>
                <w:color w:val="000000"/>
                <w:sz w:val="24"/>
                <w:szCs w:val="24"/>
                <w:lang w:val="en-GB" w:eastAsia="en-GB"/>
              </w:rPr>
            </w:pPr>
            <w:r w:rsidRPr="000729CF">
              <w:rPr>
                <w:rFonts w:ascii="Arial" w:hAnsi="Arial" w:cs="Arial"/>
                <w:snapToGrid w:val="0"/>
                <w:color w:val="000000"/>
                <w:sz w:val="24"/>
                <w:szCs w:val="24"/>
                <w:lang w:val="en-GB"/>
              </w:rPr>
              <w:t>9</w:t>
            </w:r>
          </w:p>
        </w:tc>
        <w:tc>
          <w:tcPr>
            <w:tcW w:w="3213" w:type="dxa"/>
            <w:shd w:val="clear" w:color="auto" w:fill="auto"/>
          </w:tcPr>
          <w:p w14:paraId="5412AB8C"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Pay award pressures can only be met through additional resources, such as reserves, or savings being made elsewhere in the budget. Possible need for emergency spending and/or recruitment restrictions with potential impacts on service delivery and quality. Reduction in reserves / working balance.</w:t>
            </w:r>
          </w:p>
        </w:tc>
        <w:tc>
          <w:tcPr>
            <w:tcW w:w="3685" w:type="dxa"/>
            <w:shd w:val="clear" w:color="auto" w:fill="auto"/>
          </w:tcPr>
          <w:p w14:paraId="6B4BEB87"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Monitor progress on pay award negotiations and wider national settlements.</w:t>
            </w:r>
          </w:p>
          <w:p w14:paraId="5A9799CB"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Lobby government for more funding if nationally negotiated pay awards are significantly higher than local or national assumptions (e.g. assumed within the Chancellor’s Autumn Statement and inflation assumptions).</w:t>
            </w:r>
          </w:p>
          <w:p w14:paraId="04F3F56A"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As with 2023/24, higher pay awards need to be addressed in-year through financial management controls and then built into budget planning (MTFS) for future years.</w:t>
            </w:r>
          </w:p>
        </w:tc>
      </w:tr>
      <w:tr w:rsidR="000729CF" w:rsidRPr="000729CF" w14:paraId="4D2E95D4" w14:textId="77777777" w:rsidTr="00BC26AB">
        <w:tc>
          <w:tcPr>
            <w:tcW w:w="0" w:type="auto"/>
          </w:tcPr>
          <w:p w14:paraId="7C0DFF80"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PFI Waste tonnages higher than projected resulting in additional disposal costs</w:t>
            </w:r>
          </w:p>
        </w:tc>
        <w:tc>
          <w:tcPr>
            <w:tcW w:w="0" w:type="auto"/>
          </w:tcPr>
          <w:p w14:paraId="400FD91F"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2</w:t>
            </w:r>
          </w:p>
        </w:tc>
        <w:tc>
          <w:tcPr>
            <w:tcW w:w="0" w:type="auto"/>
          </w:tcPr>
          <w:p w14:paraId="3B094B69"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3</w:t>
            </w:r>
          </w:p>
          <w:p w14:paraId="6E9ECA1E"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1% increase in tonnage per annum = £0.154m p.a. over life of PFI contract</w:t>
            </w:r>
          </w:p>
        </w:tc>
        <w:tc>
          <w:tcPr>
            <w:tcW w:w="958" w:type="dxa"/>
          </w:tcPr>
          <w:p w14:paraId="5CBCCBF8" w14:textId="77777777" w:rsidR="000729CF" w:rsidRPr="000729CF" w:rsidRDefault="000729CF" w:rsidP="000729CF">
            <w:pPr>
              <w:jc w:val="center"/>
              <w:rPr>
                <w:rFonts w:ascii="Arial" w:hAnsi="Arial" w:cs="Arial"/>
                <w:color w:val="000000"/>
                <w:sz w:val="24"/>
                <w:szCs w:val="24"/>
                <w:lang w:val="en-GB" w:eastAsia="en-GB"/>
              </w:rPr>
            </w:pPr>
            <w:r w:rsidRPr="000729CF">
              <w:rPr>
                <w:rFonts w:ascii="Arial" w:hAnsi="Arial" w:cs="Arial"/>
                <w:color w:val="000000"/>
                <w:sz w:val="24"/>
                <w:szCs w:val="24"/>
                <w:lang w:val="en-GB" w:eastAsia="en-GB"/>
              </w:rPr>
              <w:t>6</w:t>
            </w:r>
          </w:p>
        </w:tc>
        <w:tc>
          <w:tcPr>
            <w:tcW w:w="3213" w:type="dxa"/>
          </w:tcPr>
          <w:p w14:paraId="51E9D8A9"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Would increase the waste disposal budget and compensating savings would need to be identified elsewhere in the budget.</w:t>
            </w:r>
          </w:p>
        </w:tc>
        <w:tc>
          <w:tcPr>
            <w:tcW w:w="3685" w:type="dxa"/>
          </w:tcPr>
          <w:p w14:paraId="1329B6FF"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Provision (contingency) for higher tonnages made in the assessment of the waste PFI reserve for future years.</w:t>
            </w:r>
          </w:p>
          <w:p w14:paraId="425E01D2"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Monitor and identify specific areas of growth and undertake waste minimisation and further recycling measures.</w:t>
            </w:r>
          </w:p>
          <w:p w14:paraId="2B789D12"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Trends are monitored and reflected in the MTFS for future years.</w:t>
            </w:r>
          </w:p>
        </w:tc>
      </w:tr>
      <w:tr w:rsidR="000729CF" w:rsidRPr="000729CF" w14:paraId="748DCF89" w14:textId="77777777" w:rsidTr="000729CF">
        <w:tc>
          <w:tcPr>
            <w:tcW w:w="0" w:type="auto"/>
            <w:shd w:val="clear" w:color="auto" w:fill="auto"/>
          </w:tcPr>
          <w:p w14:paraId="0F36BB23" w14:textId="77777777" w:rsidR="000729CF" w:rsidRPr="000729CF" w:rsidRDefault="000729CF" w:rsidP="000729CF">
            <w:pPr>
              <w:rPr>
                <w:rFonts w:ascii="Arial" w:hAnsi="Arial" w:cs="Arial"/>
                <w:snapToGrid w:val="0"/>
                <w:color w:val="000000"/>
                <w:sz w:val="24"/>
                <w:szCs w:val="24"/>
                <w:highlight w:val="yellow"/>
                <w:lang w:val="en-GB"/>
              </w:rPr>
            </w:pPr>
            <w:r w:rsidRPr="000729CF">
              <w:rPr>
                <w:rFonts w:ascii="Arial" w:hAnsi="Arial" w:cs="Arial"/>
                <w:snapToGrid w:val="0"/>
                <w:color w:val="000000"/>
                <w:sz w:val="24"/>
                <w:szCs w:val="24"/>
                <w:lang w:val="en-GB"/>
              </w:rPr>
              <w:t>The uncertainties within the housing market, changes in housing benefit and welfare reform create spending pressures within the budget e.g. homelessness</w:t>
            </w:r>
          </w:p>
        </w:tc>
        <w:tc>
          <w:tcPr>
            <w:tcW w:w="0" w:type="auto"/>
            <w:shd w:val="clear" w:color="auto" w:fill="auto"/>
          </w:tcPr>
          <w:p w14:paraId="41B5EE61"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4</w:t>
            </w:r>
          </w:p>
        </w:tc>
        <w:tc>
          <w:tcPr>
            <w:tcW w:w="0" w:type="auto"/>
            <w:shd w:val="clear" w:color="auto" w:fill="auto"/>
          </w:tcPr>
          <w:p w14:paraId="7B86CFB5"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3</w:t>
            </w:r>
          </w:p>
          <w:p w14:paraId="7DDB561A"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10% increase in net temporary accommodation and rough sleeping budget = £1.3m</w:t>
            </w:r>
          </w:p>
          <w:p w14:paraId="62830D51" w14:textId="77777777" w:rsidR="000729CF" w:rsidRPr="000729CF" w:rsidRDefault="000729CF" w:rsidP="000729CF">
            <w:pPr>
              <w:jc w:val="center"/>
              <w:rPr>
                <w:rFonts w:ascii="Arial" w:hAnsi="Arial" w:cs="Arial"/>
                <w:snapToGrid w:val="0"/>
                <w:color w:val="000000"/>
                <w:sz w:val="24"/>
                <w:szCs w:val="24"/>
                <w:lang w:val="en-GB"/>
              </w:rPr>
            </w:pPr>
          </w:p>
        </w:tc>
        <w:tc>
          <w:tcPr>
            <w:tcW w:w="958" w:type="dxa"/>
            <w:shd w:val="clear" w:color="auto" w:fill="D9D9D9"/>
          </w:tcPr>
          <w:p w14:paraId="58A2CF97" w14:textId="77777777" w:rsidR="000729CF" w:rsidRPr="000729CF" w:rsidRDefault="000729CF" w:rsidP="000729CF">
            <w:pPr>
              <w:jc w:val="center"/>
              <w:rPr>
                <w:rFonts w:ascii="Arial" w:hAnsi="Arial" w:cs="Arial"/>
                <w:color w:val="000000"/>
                <w:sz w:val="24"/>
                <w:szCs w:val="24"/>
                <w:lang w:val="en-GB" w:eastAsia="en-GB"/>
              </w:rPr>
            </w:pPr>
            <w:r w:rsidRPr="000729CF">
              <w:rPr>
                <w:rFonts w:ascii="Arial" w:hAnsi="Arial" w:cs="Arial"/>
                <w:color w:val="000000"/>
                <w:sz w:val="24"/>
                <w:szCs w:val="24"/>
                <w:lang w:val="en-GB" w:eastAsia="en-GB"/>
              </w:rPr>
              <w:t>12</w:t>
            </w:r>
          </w:p>
        </w:tc>
        <w:tc>
          <w:tcPr>
            <w:tcW w:w="3213" w:type="dxa"/>
            <w:shd w:val="clear" w:color="auto" w:fill="auto"/>
          </w:tcPr>
          <w:p w14:paraId="7902B4A9"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Would create additional pressures in the Housing Strategy and potentially other related budgets which would need to find compensating savings.</w:t>
            </w:r>
          </w:p>
        </w:tc>
        <w:tc>
          <w:tcPr>
            <w:tcW w:w="3685" w:type="dxa"/>
            <w:shd w:val="clear" w:color="auto" w:fill="auto"/>
          </w:tcPr>
          <w:p w14:paraId="77D9AB4E"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Continue to assess and monitor the potential impact of changes to the welfare benefit system and plan and respond to government consultations accordingly. A range of additional discretionary funds continue to be set aside to be directed to the most appropriate area as needed including CTRS and DHP.</w:t>
            </w:r>
          </w:p>
        </w:tc>
      </w:tr>
      <w:tr w:rsidR="000729CF" w:rsidRPr="000729CF" w14:paraId="6718A806" w14:textId="77777777" w:rsidTr="00BC26AB">
        <w:tc>
          <w:tcPr>
            <w:tcW w:w="0" w:type="auto"/>
          </w:tcPr>
          <w:p w14:paraId="7F5FB2E0" w14:textId="77777777" w:rsidR="000729CF" w:rsidRPr="000729CF" w:rsidRDefault="000729CF" w:rsidP="000729CF">
            <w:pPr>
              <w:rPr>
                <w:rFonts w:ascii="Arial" w:hAnsi="Arial" w:cs="Arial"/>
                <w:snapToGrid w:val="0"/>
                <w:color w:val="000000"/>
                <w:sz w:val="24"/>
                <w:szCs w:val="24"/>
                <w:highlight w:val="yellow"/>
                <w:lang w:val="en-GB"/>
              </w:rPr>
            </w:pPr>
            <w:r w:rsidRPr="000729CF">
              <w:rPr>
                <w:rFonts w:ascii="Arial" w:hAnsi="Arial" w:cs="Arial"/>
                <w:snapToGrid w:val="0"/>
                <w:color w:val="000000"/>
                <w:sz w:val="24"/>
                <w:szCs w:val="24"/>
                <w:lang w:val="en-GB"/>
              </w:rPr>
              <w:t>Increased property related insurance premiums as a result of national or international storm damage claims over the longer term</w:t>
            </w:r>
          </w:p>
        </w:tc>
        <w:tc>
          <w:tcPr>
            <w:tcW w:w="0" w:type="auto"/>
          </w:tcPr>
          <w:p w14:paraId="155E422D"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3</w:t>
            </w:r>
          </w:p>
        </w:tc>
        <w:tc>
          <w:tcPr>
            <w:tcW w:w="0" w:type="auto"/>
          </w:tcPr>
          <w:p w14:paraId="5C1D6321"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2</w:t>
            </w:r>
          </w:p>
          <w:p w14:paraId="6E70DE53"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10% further increase = £0.120m</w:t>
            </w:r>
          </w:p>
        </w:tc>
        <w:tc>
          <w:tcPr>
            <w:tcW w:w="958" w:type="dxa"/>
          </w:tcPr>
          <w:p w14:paraId="7B0E0139" w14:textId="77777777" w:rsidR="000729CF" w:rsidRPr="000729CF" w:rsidRDefault="000729CF" w:rsidP="000729CF">
            <w:pPr>
              <w:jc w:val="center"/>
              <w:rPr>
                <w:rFonts w:ascii="Arial" w:hAnsi="Arial" w:cs="Arial"/>
                <w:color w:val="000000"/>
                <w:sz w:val="24"/>
                <w:szCs w:val="24"/>
                <w:lang w:val="en-GB" w:eastAsia="en-GB"/>
              </w:rPr>
            </w:pPr>
            <w:r w:rsidRPr="000729CF">
              <w:rPr>
                <w:rFonts w:ascii="Arial" w:hAnsi="Arial" w:cs="Arial"/>
                <w:color w:val="000000"/>
                <w:sz w:val="24"/>
                <w:szCs w:val="24"/>
                <w:lang w:val="en-GB" w:eastAsia="en-GB"/>
              </w:rPr>
              <w:t>6</w:t>
            </w:r>
          </w:p>
        </w:tc>
        <w:tc>
          <w:tcPr>
            <w:tcW w:w="3213" w:type="dxa"/>
          </w:tcPr>
          <w:p w14:paraId="6351D746"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Would require compensating savings to be identified in 2024/25 and future years.</w:t>
            </w:r>
          </w:p>
        </w:tc>
        <w:tc>
          <w:tcPr>
            <w:tcW w:w="3685" w:type="dxa"/>
          </w:tcPr>
          <w:p w14:paraId="55BC841A"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Insurance premiums have been retendered and are reviewed annually. Budget increased in 2024/25 as price increases expected.</w:t>
            </w:r>
          </w:p>
          <w:p w14:paraId="3C24B3F6"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Continued emphasis on risk management to help prevent future claims.</w:t>
            </w:r>
          </w:p>
        </w:tc>
      </w:tr>
      <w:tr w:rsidR="000729CF" w:rsidRPr="000729CF" w14:paraId="6B105889" w14:textId="77777777" w:rsidTr="00BC26AB">
        <w:tc>
          <w:tcPr>
            <w:tcW w:w="0" w:type="auto"/>
          </w:tcPr>
          <w:p w14:paraId="37F2EF35"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Long term borrowing rates higher than anticipated</w:t>
            </w:r>
          </w:p>
        </w:tc>
        <w:tc>
          <w:tcPr>
            <w:tcW w:w="0" w:type="auto"/>
          </w:tcPr>
          <w:p w14:paraId="7DCF95D9"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2</w:t>
            </w:r>
          </w:p>
        </w:tc>
        <w:tc>
          <w:tcPr>
            <w:tcW w:w="0" w:type="auto"/>
          </w:tcPr>
          <w:p w14:paraId="1FB49E9E"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2</w:t>
            </w:r>
          </w:p>
          <w:p w14:paraId="6F35E5BE"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0.1% higher = £0.02m for £20m borrowing</w:t>
            </w:r>
          </w:p>
        </w:tc>
        <w:tc>
          <w:tcPr>
            <w:tcW w:w="958" w:type="dxa"/>
          </w:tcPr>
          <w:p w14:paraId="01BB9BC5" w14:textId="77777777" w:rsidR="000729CF" w:rsidRPr="000729CF" w:rsidRDefault="000729CF" w:rsidP="000729CF">
            <w:pPr>
              <w:jc w:val="center"/>
              <w:rPr>
                <w:rFonts w:ascii="Arial" w:hAnsi="Arial" w:cs="Arial"/>
                <w:color w:val="000000"/>
                <w:sz w:val="24"/>
                <w:szCs w:val="24"/>
                <w:lang w:val="en-GB" w:eastAsia="en-GB"/>
              </w:rPr>
            </w:pPr>
            <w:r w:rsidRPr="000729CF">
              <w:rPr>
                <w:rFonts w:ascii="Arial" w:hAnsi="Arial" w:cs="Arial"/>
                <w:color w:val="000000"/>
                <w:sz w:val="24"/>
                <w:szCs w:val="24"/>
                <w:lang w:val="en-GB" w:eastAsia="en-GB"/>
              </w:rPr>
              <w:t>4</w:t>
            </w:r>
          </w:p>
        </w:tc>
        <w:tc>
          <w:tcPr>
            <w:tcW w:w="3213" w:type="dxa"/>
          </w:tcPr>
          <w:p w14:paraId="15537DDB"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Would increase borrowing costs budget over the long-term.</w:t>
            </w:r>
          </w:p>
          <w:p w14:paraId="3F0FF142"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 xml:space="preserve">Would hinder business cases involving borrowing and make invest-to-save schemes less financially attractive </w:t>
            </w:r>
          </w:p>
        </w:tc>
        <w:tc>
          <w:tcPr>
            <w:tcW w:w="3685" w:type="dxa"/>
          </w:tcPr>
          <w:p w14:paraId="61A75262"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Closely monitor long term borrowing rates and future borrowing requirements to help identify the best time to borrow, supported by independent advisors. Shorter term borrowing used to avoid locking into longer term higher rates. Under-borrowing (using available cash balances) remains a viable medium term strategy.</w:t>
            </w:r>
          </w:p>
        </w:tc>
      </w:tr>
      <w:tr w:rsidR="000729CF" w:rsidRPr="000729CF" w14:paraId="4E9C2711" w14:textId="77777777" w:rsidTr="00BC26AB">
        <w:tc>
          <w:tcPr>
            <w:tcW w:w="0" w:type="auto"/>
          </w:tcPr>
          <w:p w14:paraId="6D215EED" w14:textId="77777777" w:rsidR="000729CF" w:rsidRPr="000729CF" w:rsidRDefault="000729CF" w:rsidP="000729CF">
            <w:pPr>
              <w:rPr>
                <w:rFonts w:ascii="Arial" w:hAnsi="Arial" w:cs="Arial"/>
                <w:snapToGrid w:val="0"/>
                <w:color w:val="000000"/>
                <w:sz w:val="24"/>
                <w:szCs w:val="24"/>
                <w:lang w:val="en-GB" w:eastAsia="en-GB"/>
              </w:rPr>
            </w:pPr>
            <w:r w:rsidRPr="000729CF">
              <w:rPr>
                <w:rFonts w:ascii="Arial" w:hAnsi="Arial" w:cs="Arial"/>
                <w:snapToGrid w:val="0"/>
                <w:color w:val="000000"/>
                <w:sz w:val="24"/>
                <w:szCs w:val="24"/>
                <w:lang w:val="en-GB"/>
              </w:rPr>
              <w:t>Major civil incident occurs e.g. storm, flooding, riot</w:t>
            </w:r>
          </w:p>
        </w:tc>
        <w:tc>
          <w:tcPr>
            <w:tcW w:w="0" w:type="auto"/>
          </w:tcPr>
          <w:p w14:paraId="34439E50" w14:textId="77777777" w:rsidR="000729CF" w:rsidRPr="000729CF" w:rsidRDefault="000729CF" w:rsidP="000729CF">
            <w:pPr>
              <w:jc w:val="center"/>
              <w:rPr>
                <w:rFonts w:ascii="Arial" w:hAnsi="Arial" w:cs="Arial"/>
                <w:snapToGrid w:val="0"/>
                <w:color w:val="000000"/>
                <w:sz w:val="24"/>
                <w:szCs w:val="24"/>
                <w:highlight w:val="yellow"/>
                <w:lang w:val="en-GB"/>
              </w:rPr>
            </w:pPr>
            <w:r w:rsidRPr="000729CF">
              <w:rPr>
                <w:rFonts w:ascii="Arial" w:hAnsi="Arial" w:cs="Arial"/>
                <w:snapToGrid w:val="0"/>
                <w:color w:val="000000"/>
                <w:sz w:val="24"/>
                <w:szCs w:val="24"/>
                <w:lang w:val="en-GB"/>
              </w:rPr>
              <w:t>2</w:t>
            </w:r>
          </w:p>
        </w:tc>
        <w:tc>
          <w:tcPr>
            <w:tcW w:w="0" w:type="auto"/>
          </w:tcPr>
          <w:p w14:paraId="211D326A"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3</w:t>
            </w:r>
          </w:p>
          <w:p w14:paraId="7823CDB1"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Estimated “</w:t>
            </w:r>
            <w:proofErr w:type="spellStart"/>
            <w:r w:rsidRPr="000729CF">
              <w:rPr>
                <w:rFonts w:ascii="Arial" w:hAnsi="Arial" w:cs="Arial"/>
                <w:snapToGrid w:val="0"/>
                <w:color w:val="000000"/>
                <w:sz w:val="24"/>
                <w:szCs w:val="24"/>
                <w:lang w:val="en-GB"/>
              </w:rPr>
              <w:t>Bellwin</w:t>
            </w:r>
            <w:proofErr w:type="spellEnd"/>
            <w:r w:rsidRPr="000729CF">
              <w:rPr>
                <w:rFonts w:ascii="Arial" w:hAnsi="Arial" w:cs="Arial"/>
                <w:snapToGrid w:val="0"/>
                <w:color w:val="000000"/>
                <w:sz w:val="24"/>
                <w:szCs w:val="24"/>
                <w:lang w:val="en-GB"/>
              </w:rPr>
              <w:t>” threshold = £0.4m</w:t>
            </w:r>
          </w:p>
          <w:p w14:paraId="1097008E" w14:textId="77777777" w:rsidR="000729CF" w:rsidRPr="000729CF" w:rsidRDefault="000729CF" w:rsidP="000729CF">
            <w:pPr>
              <w:jc w:val="center"/>
              <w:rPr>
                <w:rFonts w:ascii="Arial" w:hAnsi="Arial" w:cs="Arial"/>
                <w:snapToGrid w:val="0"/>
                <w:color w:val="000000"/>
                <w:sz w:val="24"/>
                <w:szCs w:val="24"/>
                <w:highlight w:val="yellow"/>
                <w:lang w:val="en-GB"/>
              </w:rPr>
            </w:pPr>
          </w:p>
        </w:tc>
        <w:tc>
          <w:tcPr>
            <w:tcW w:w="958" w:type="dxa"/>
          </w:tcPr>
          <w:p w14:paraId="0BFD07CE" w14:textId="77777777" w:rsidR="000729CF" w:rsidRPr="000729CF" w:rsidRDefault="000729CF" w:rsidP="000729CF">
            <w:pPr>
              <w:jc w:val="center"/>
              <w:rPr>
                <w:rFonts w:ascii="Arial" w:hAnsi="Arial" w:cs="Arial"/>
                <w:color w:val="000000"/>
                <w:sz w:val="24"/>
                <w:szCs w:val="24"/>
                <w:lang w:val="en-GB" w:eastAsia="en-GB"/>
              </w:rPr>
            </w:pPr>
            <w:r w:rsidRPr="000729CF">
              <w:rPr>
                <w:rFonts w:ascii="Arial" w:hAnsi="Arial" w:cs="Arial"/>
                <w:color w:val="000000"/>
                <w:sz w:val="24"/>
                <w:szCs w:val="24"/>
                <w:lang w:val="en-GB" w:eastAsia="en-GB"/>
              </w:rPr>
              <w:t>6</w:t>
            </w:r>
          </w:p>
        </w:tc>
        <w:tc>
          <w:tcPr>
            <w:tcW w:w="3213" w:type="dxa"/>
          </w:tcPr>
          <w:p w14:paraId="05211081" w14:textId="77777777" w:rsidR="000729CF" w:rsidRPr="000729CF" w:rsidRDefault="000729CF" w:rsidP="000729CF">
            <w:pPr>
              <w:tabs>
                <w:tab w:val="center" w:pos="4153"/>
                <w:tab w:val="right" w:pos="8306"/>
              </w:tabs>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Budget overspend / reduction in reserves / working balance.</w:t>
            </w:r>
          </w:p>
          <w:p w14:paraId="6082CDD9" w14:textId="77777777" w:rsidR="000729CF" w:rsidRPr="000729CF" w:rsidRDefault="000729CF" w:rsidP="000729CF">
            <w:pPr>
              <w:tabs>
                <w:tab w:val="center" w:pos="4153"/>
                <w:tab w:val="right" w:pos="8306"/>
              </w:tabs>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Pressures on other budgets.</w:t>
            </w:r>
          </w:p>
          <w:p w14:paraId="151FE563" w14:textId="77777777" w:rsidR="000729CF" w:rsidRPr="000729CF" w:rsidRDefault="000729CF" w:rsidP="000729CF">
            <w:pPr>
              <w:tabs>
                <w:tab w:val="center" w:pos="4153"/>
                <w:tab w:val="right" w:pos="8306"/>
              </w:tabs>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The council would have to meet the costs of uninsured risks in addition to the “</w:t>
            </w:r>
            <w:proofErr w:type="spellStart"/>
            <w:r w:rsidRPr="000729CF">
              <w:rPr>
                <w:rFonts w:ascii="Arial" w:hAnsi="Arial" w:cs="Arial"/>
                <w:snapToGrid w:val="0"/>
                <w:color w:val="000000"/>
                <w:sz w:val="24"/>
                <w:szCs w:val="24"/>
                <w:lang w:val="en-GB"/>
              </w:rPr>
              <w:t>Bellwin</w:t>
            </w:r>
            <w:proofErr w:type="spellEnd"/>
            <w:r w:rsidRPr="000729CF">
              <w:rPr>
                <w:rFonts w:ascii="Arial" w:hAnsi="Arial" w:cs="Arial"/>
                <w:snapToGrid w:val="0"/>
                <w:color w:val="000000"/>
                <w:sz w:val="24"/>
                <w:szCs w:val="24"/>
                <w:lang w:val="en-GB"/>
              </w:rPr>
              <w:t>” threshold.</w:t>
            </w:r>
          </w:p>
        </w:tc>
        <w:tc>
          <w:tcPr>
            <w:tcW w:w="3685" w:type="dxa"/>
          </w:tcPr>
          <w:p w14:paraId="03AFBB7E" w14:textId="77777777" w:rsidR="000729CF" w:rsidRPr="000729CF" w:rsidRDefault="000729CF" w:rsidP="000729CF">
            <w:pPr>
              <w:tabs>
                <w:tab w:val="center" w:pos="4153"/>
                <w:tab w:val="right" w:pos="8306"/>
              </w:tabs>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Ensure adequate levels of useable reserves and working balance to cover threshold expenditure.</w:t>
            </w:r>
          </w:p>
          <w:p w14:paraId="07B890EA"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Ensure appropriate insurance cover is in place and that the Insurance Fund is sufficient to cover uninsured risks.</w:t>
            </w:r>
          </w:p>
        </w:tc>
      </w:tr>
      <w:tr w:rsidR="000729CF" w:rsidRPr="000729CF" w14:paraId="2923B80E" w14:textId="77777777" w:rsidTr="00BC26AB">
        <w:tc>
          <w:tcPr>
            <w:tcW w:w="0" w:type="auto"/>
          </w:tcPr>
          <w:p w14:paraId="57938AA5"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Severe winter weather places additional spending pressures on winter maintenance and other budgets across the council</w:t>
            </w:r>
          </w:p>
        </w:tc>
        <w:tc>
          <w:tcPr>
            <w:tcW w:w="0" w:type="auto"/>
          </w:tcPr>
          <w:p w14:paraId="523AC31E" w14:textId="77777777" w:rsidR="000729CF" w:rsidRPr="000729CF" w:rsidRDefault="000729CF" w:rsidP="000729CF">
            <w:pPr>
              <w:tabs>
                <w:tab w:val="center" w:pos="4153"/>
                <w:tab w:val="right" w:pos="8306"/>
              </w:tabs>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2</w:t>
            </w:r>
          </w:p>
        </w:tc>
        <w:tc>
          <w:tcPr>
            <w:tcW w:w="0" w:type="auto"/>
          </w:tcPr>
          <w:p w14:paraId="335C344F"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3</w:t>
            </w:r>
          </w:p>
          <w:p w14:paraId="734F8F71"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Depends on severity of weather event</w:t>
            </w:r>
          </w:p>
        </w:tc>
        <w:tc>
          <w:tcPr>
            <w:tcW w:w="958" w:type="dxa"/>
          </w:tcPr>
          <w:p w14:paraId="4E3ECC99" w14:textId="77777777" w:rsidR="000729CF" w:rsidRPr="000729CF" w:rsidRDefault="000729CF" w:rsidP="000729CF">
            <w:pPr>
              <w:jc w:val="center"/>
              <w:rPr>
                <w:rFonts w:ascii="Arial" w:hAnsi="Arial" w:cs="Arial"/>
                <w:color w:val="000000"/>
                <w:sz w:val="24"/>
                <w:szCs w:val="24"/>
                <w:lang w:val="en-GB" w:eastAsia="en-GB"/>
              </w:rPr>
            </w:pPr>
            <w:r w:rsidRPr="000729CF">
              <w:rPr>
                <w:rFonts w:ascii="Arial" w:hAnsi="Arial" w:cs="Arial"/>
                <w:color w:val="000000"/>
                <w:sz w:val="24"/>
                <w:szCs w:val="24"/>
                <w:lang w:val="en-GB" w:eastAsia="en-GB"/>
              </w:rPr>
              <w:t>6</w:t>
            </w:r>
          </w:p>
        </w:tc>
        <w:tc>
          <w:tcPr>
            <w:tcW w:w="3213" w:type="dxa"/>
          </w:tcPr>
          <w:p w14:paraId="5A3BEECF" w14:textId="77777777" w:rsidR="000729CF" w:rsidRPr="000729CF" w:rsidRDefault="000729CF" w:rsidP="000729CF">
            <w:pPr>
              <w:tabs>
                <w:tab w:val="center" w:pos="4153"/>
                <w:tab w:val="right" w:pos="8306"/>
              </w:tabs>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Need to use Working Balance and/or reserves.</w:t>
            </w:r>
          </w:p>
        </w:tc>
        <w:tc>
          <w:tcPr>
            <w:tcW w:w="3685" w:type="dxa"/>
          </w:tcPr>
          <w:p w14:paraId="48456440" w14:textId="77777777" w:rsidR="000729CF" w:rsidRPr="000729CF" w:rsidRDefault="000729CF" w:rsidP="000729CF">
            <w:pPr>
              <w:tabs>
                <w:tab w:val="center" w:pos="4153"/>
                <w:tab w:val="right" w:pos="8306"/>
              </w:tabs>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Advance planning to minimise possible disruption. A plan to replenish the Working Balance in future years would be required.</w:t>
            </w:r>
          </w:p>
        </w:tc>
      </w:tr>
      <w:tr w:rsidR="000729CF" w:rsidRPr="000729CF" w14:paraId="242266E0" w14:textId="77777777" w:rsidTr="00BC26AB">
        <w:tc>
          <w:tcPr>
            <w:tcW w:w="0" w:type="auto"/>
          </w:tcPr>
          <w:p w14:paraId="5A58AB87"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Cost overruns occur on schemes in the agreed capital programme</w:t>
            </w:r>
          </w:p>
        </w:tc>
        <w:tc>
          <w:tcPr>
            <w:tcW w:w="0" w:type="auto"/>
          </w:tcPr>
          <w:p w14:paraId="16B94DF6"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3</w:t>
            </w:r>
          </w:p>
        </w:tc>
        <w:tc>
          <w:tcPr>
            <w:tcW w:w="0" w:type="auto"/>
          </w:tcPr>
          <w:p w14:paraId="5DF089C4"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2</w:t>
            </w:r>
          </w:p>
          <w:p w14:paraId="6FE21544" w14:textId="77777777" w:rsidR="000729CF" w:rsidRPr="000729CF" w:rsidRDefault="000729CF" w:rsidP="000729CF">
            <w:pPr>
              <w:jc w:val="center"/>
              <w:rPr>
                <w:rFonts w:ascii="Arial" w:hAnsi="Arial" w:cs="Arial"/>
                <w:snapToGrid w:val="0"/>
                <w:color w:val="000000"/>
                <w:sz w:val="24"/>
                <w:szCs w:val="24"/>
                <w:highlight w:val="yellow"/>
                <w:lang w:val="en-GB"/>
              </w:rPr>
            </w:pPr>
            <w:r w:rsidRPr="000729CF">
              <w:rPr>
                <w:rFonts w:ascii="Arial" w:hAnsi="Arial" w:cs="Arial"/>
                <w:snapToGrid w:val="0"/>
                <w:color w:val="000000"/>
                <w:sz w:val="24"/>
                <w:szCs w:val="24"/>
                <w:lang w:val="en-GB"/>
              </w:rPr>
              <w:t>1% cost overrun on total programme  = £2.1m</w:t>
            </w:r>
          </w:p>
        </w:tc>
        <w:tc>
          <w:tcPr>
            <w:tcW w:w="958" w:type="dxa"/>
          </w:tcPr>
          <w:p w14:paraId="4F56D594" w14:textId="77777777" w:rsidR="000729CF" w:rsidRPr="000729CF" w:rsidRDefault="000729CF" w:rsidP="000729CF">
            <w:pPr>
              <w:jc w:val="center"/>
              <w:rPr>
                <w:rFonts w:ascii="Arial" w:hAnsi="Arial" w:cs="Arial"/>
                <w:color w:val="000000"/>
                <w:sz w:val="24"/>
                <w:szCs w:val="24"/>
                <w:lang w:val="en-GB" w:eastAsia="en-GB"/>
              </w:rPr>
            </w:pPr>
            <w:r w:rsidRPr="000729CF">
              <w:rPr>
                <w:rFonts w:ascii="Arial" w:hAnsi="Arial" w:cs="Arial"/>
                <w:color w:val="000000"/>
                <w:sz w:val="24"/>
                <w:szCs w:val="24"/>
                <w:lang w:val="en-GB" w:eastAsia="en-GB"/>
              </w:rPr>
              <w:t>6</w:t>
            </w:r>
          </w:p>
        </w:tc>
        <w:tc>
          <w:tcPr>
            <w:tcW w:w="3213" w:type="dxa"/>
          </w:tcPr>
          <w:p w14:paraId="514C5C9E" w14:textId="77777777" w:rsidR="000729CF" w:rsidRPr="000729CF" w:rsidRDefault="000729CF" w:rsidP="000729CF">
            <w:pPr>
              <w:tabs>
                <w:tab w:val="center" w:pos="4153"/>
                <w:tab w:val="right" w:pos="8306"/>
              </w:tabs>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Reserves or other capital resources redirected to fund overspend.</w:t>
            </w:r>
          </w:p>
          <w:p w14:paraId="7989E8AB" w14:textId="77777777" w:rsidR="000729CF" w:rsidRPr="000729CF" w:rsidRDefault="000729CF" w:rsidP="000729CF">
            <w:pPr>
              <w:tabs>
                <w:tab w:val="center" w:pos="4153"/>
                <w:tab w:val="right" w:pos="8306"/>
              </w:tabs>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Unable to meet capital investment needs.</w:t>
            </w:r>
          </w:p>
          <w:p w14:paraId="3AAFEF11" w14:textId="77777777" w:rsidR="000729CF" w:rsidRPr="000729CF" w:rsidRDefault="000729CF" w:rsidP="000729CF">
            <w:pPr>
              <w:tabs>
                <w:tab w:val="center" w:pos="4153"/>
                <w:tab w:val="right" w:pos="8306"/>
              </w:tabs>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Increased borrowing requirement.</w:t>
            </w:r>
          </w:p>
        </w:tc>
        <w:tc>
          <w:tcPr>
            <w:tcW w:w="3685" w:type="dxa"/>
          </w:tcPr>
          <w:p w14:paraId="0A733E43" w14:textId="77777777" w:rsidR="000729CF" w:rsidRPr="000729CF" w:rsidRDefault="000729CF" w:rsidP="000729CF">
            <w:pPr>
              <w:tabs>
                <w:tab w:val="center" w:pos="4153"/>
                <w:tab w:val="right" w:pos="8306"/>
              </w:tabs>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Effective cost control and expenditure monitoring.</w:t>
            </w:r>
          </w:p>
          <w:p w14:paraId="02285714" w14:textId="77777777" w:rsidR="000729CF" w:rsidRPr="000729CF" w:rsidRDefault="000729CF" w:rsidP="000729CF">
            <w:pPr>
              <w:tabs>
                <w:tab w:val="center" w:pos="4153"/>
                <w:tab w:val="right" w:pos="8306"/>
              </w:tabs>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 xml:space="preserve">In the first instance, use flexibility within or across programmes to re-profile expenditure if necessary. </w:t>
            </w:r>
          </w:p>
          <w:p w14:paraId="60A1395C" w14:textId="77777777" w:rsidR="000729CF" w:rsidRPr="000729CF" w:rsidRDefault="000729CF" w:rsidP="000729CF">
            <w:pPr>
              <w:tabs>
                <w:tab w:val="center" w:pos="4153"/>
                <w:tab w:val="right" w:pos="8306"/>
              </w:tabs>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Flexing Capital Financing Strategy or HRA self-financing strategy as appropriate.</w:t>
            </w:r>
          </w:p>
        </w:tc>
      </w:tr>
      <w:tr w:rsidR="000729CF" w:rsidRPr="000729CF" w14:paraId="4E88ED3F" w14:textId="77777777" w:rsidTr="000729CF">
        <w:tc>
          <w:tcPr>
            <w:tcW w:w="0" w:type="auto"/>
          </w:tcPr>
          <w:p w14:paraId="56D171CC"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Capital receipts lower than anticipated</w:t>
            </w:r>
          </w:p>
        </w:tc>
        <w:tc>
          <w:tcPr>
            <w:tcW w:w="0" w:type="auto"/>
          </w:tcPr>
          <w:p w14:paraId="3C077175"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4</w:t>
            </w:r>
          </w:p>
        </w:tc>
        <w:tc>
          <w:tcPr>
            <w:tcW w:w="0" w:type="auto"/>
          </w:tcPr>
          <w:p w14:paraId="049860E3"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3</w:t>
            </w:r>
          </w:p>
          <w:p w14:paraId="64C98D99" w14:textId="77777777" w:rsidR="000729CF" w:rsidRPr="000729CF" w:rsidRDefault="000729CF" w:rsidP="000729CF">
            <w:pPr>
              <w:jc w:val="center"/>
              <w:rPr>
                <w:rFonts w:ascii="Arial" w:hAnsi="Arial" w:cs="Arial"/>
                <w:snapToGrid w:val="0"/>
                <w:color w:val="000000"/>
                <w:sz w:val="24"/>
                <w:szCs w:val="24"/>
                <w:highlight w:val="yellow"/>
                <w:lang w:val="en-GB"/>
              </w:rPr>
            </w:pPr>
            <w:r w:rsidRPr="000729CF">
              <w:rPr>
                <w:rFonts w:ascii="Arial" w:hAnsi="Arial" w:cs="Arial"/>
                <w:snapToGrid w:val="0"/>
                <w:color w:val="000000"/>
                <w:sz w:val="24"/>
                <w:szCs w:val="24"/>
                <w:lang w:val="en-GB"/>
              </w:rPr>
              <w:t xml:space="preserve">10% reduction in receipts = £2.0m </w:t>
            </w:r>
          </w:p>
        </w:tc>
        <w:tc>
          <w:tcPr>
            <w:tcW w:w="958" w:type="dxa"/>
            <w:shd w:val="clear" w:color="auto" w:fill="D9D9D9"/>
          </w:tcPr>
          <w:p w14:paraId="234A1C12" w14:textId="77777777" w:rsidR="000729CF" w:rsidRPr="000729CF" w:rsidRDefault="000729CF" w:rsidP="000729CF">
            <w:pPr>
              <w:jc w:val="center"/>
              <w:rPr>
                <w:rFonts w:ascii="Arial" w:hAnsi="Arial" w:cs="Arial"/>
                <w:color w:val="000000"/>
                <w:sz w:val="24"/>
                <w:szCs w:val="24"/>
                <w:lang w:val="en-GB" w:eastAsia="en-GB"/>
              </w:rPr>
            </w:pPr>
            <w:r w:rsidRPr="000729CF">
              <w:rPr>
                <w:rFonts w:ascii="Arial" w:hAnsi="Arial" w:cs="Arial"/>
                <w:color w:val="000000"/>
                <w:sz w:val="24"/>
                <w:szCs w:val="24"/>
                <w:lang w:val="en-GB" w:eastAsia="en-GB"/>
              </w:rPr>
              <w:t>12</w:t>
            </w:r>
          </w:p>
        </w:tc>
        <w:tc>
          <w:tcPr>
            <w:tcW w:w="3213" w:type="dxa"/>
          </w:tcPr>
          <w:p w14:paraId="6D23B12F" w14:textId="77777777" w:rsidR="000729CF" w:rsidRPr="000729CF" w:rsidRDefault="000729CF" w:rsidP="000729CF">
            <w:pPr>
              <w:tabs>
                <w:tab w:val="center" w:pos="4153"/>
                <w:tab w:val="right" w:pos="8306"/>
              </w:tabs>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Fewer resources available for regeneration programmes, Workstyles, Modernisation, Digital and IT infrastructure and corporate Capital Funds</w:t>
            </w:r>
          </w:p>
        </w:tc>
        <w:tc>
          <w:tcPr>
            <w:tcW w:w="3685" w:type="dxa"/>
          </w:tcPr>
          <w:p w14:paraId="0D513F54" w14:textId="77777777" w:rsidR="000729CF" w:rsidRPr="000729CF" w:rsidRDefault="000729CF" w:rsidP="000729CF">
            <w:pPr>
              <w:tabs>
                <w:tab w:val="center" w:pos="4153"/>
                <w:tab w:val="right" w:pos="8306"/>
              </w:tabs>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Flexible capital programme that allows plans to be reduced or re-profiled.</w:t>
            </w:r>
          </w:p>
          <w:p w14:paraId="00F738AF" w14:textId="77777777" w:rsidR="000729CF" w:rsidRPr="000729CF" w:rsidRDefault="000729CF" w:rsidP="000729CF">
            <w:pPr>
              <w:tabs>
                <w:tab w:val="center" w:pos="4153"/>
                <w:tab w:val="right" w:pos="8306"/>
              </w:tabs>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Alternative site disposal plans are capable of being accelerated if necessary.</w:t>
            </w:r>
          </w:p>
          <w:p w14:paraId="274649C6" w14:textId="77777777" w:rsidR="000729CF" w:rsidRPr="000729CF" w:rsidRDefault="000729CF" w:rsidP="000729CF">
            <w:pPr>
              <w:tabs>
                <w:tab w:val="center" w:pos="4153"/>
                <w:tab w:val="right" w:pos="8306"/>
              </w:tabs>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Borrowing is an option for invest-to-save schemes.</w:t>
            </w:r>
          </w:p>
        </w:tc>
      </w:tr>
      <w:tr w:rsidR="000729CF" w:rsidRPr="000729CF" w14:paraId="6277CD9E" w14:textId="77777777" w:rsidTr="00BC26AB">
        <w:tc>
          <w:tcPr>
            <w:tcW w:w="0" w:type="auto"/>
            <w:shd w:val="clear" w:color="auto" w:fill="auto"/>
          </w:tcPr>
          <w:p w14:paraId="760277B1"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Capital Programmes are not delivered on time or in accordance with the expected payment profile or delivery timeline due to limitations on officer capacity, supply chain issues and/or contractual issues</w:t>
            </w:r>
          </w:p>
        </w:tc>
        <w:tc>
          <w:tcPr>
            <w:tcW w:w="0" w:type="auto"/>
            <w:shd w:val="clear" w:color="auto" w:fill="auto"/>
          </w:tcPr>
          <w:p w14:paraId="57B6B5BD" w14:textId="77777777" w:rsidR="000729CF" w:rsidRPr="000729CF" w:rsidRDefault="000729CF" w:rsidP="000729CF">
            <w:pPr>
              <w:tabs>
                <w:tab w:val="center" w:pos="4153"/>
                <w:tab w:val="right" w:pos="8306"/>
              </w:tabs>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3</w:t>
            </w:r>
          </w:p>
        </w:tc>
        <w:tc>
          <w:tcPr>
            <w:tcW w:w="0" w:type="auto"/>
            <w:shd w:val="clear" w:color="auto" w:fill="auto"/>
          </w:tcPr>
          <w:p w14:paraId="1766F7FE"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3</w:t>
            </w:r>
          </w:p>
          <w:p w14:paraId="64448710"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1% cost overrun on total programme  = £2.1m</w:t>
            </w:r>
          </w:p>
        </w:tc>
        <w:tc>
          <w:tcPr>
            <w:tcW w:w="958" w:type="dxa"/>
            <w:shd w:val="clear" w:color="auto" w:fill="auto"/>
          </w:tcPr>
          <w:p w14:paraId="33FE6F11" w14:textId="77777777" w:rsidR="000729CF" w:rsidRPr="000729CF" w:rsidRDefault="000729CF" w:rsidP="000729CF">
            <w:pPr>
              <w:jc w:val="center"/>
              <w:rPr>
                <w:rFonts w:ascii="Arial" w:hAnsi="Arial" w:cs="Arial"/>
                <w:color w:val="000000"/>
                <w:sz w:val="24"/>
                <w:szCs w:val="24"/>
                <w:lang w:val="en-GB" w:eastAsia="en-GB"/>
              </w:rPr>
            </w:pPr>
            <w:r w:rsidRPr="000729CF">
              <w:rPr>
                <w:rFonts w:ascii="Arial" w:hAnsi="Arial" w:cs="Arial"/>
                <w:color w:val="000000"/>
                <w:sz w:val="24"/>
                <w:szCs w:val="24"/>
                <w:lang w:val="en-GB" w:eastAsia="en-GB"/>
              </w:rPr>
              <w:t>9</w:t>
            </w:r>
          </w:p>
        </w:tc>
        <w:tc>
          <w:tcPr>
            <w:tcW w:w="3213" w:type="dxa"/>
            <w:shd w:val="clear" w:color="auto" w:fill="auto"/>
          </w:tcPr>
          <w:p w14:paraId="42F7BB7D" w14:textId="77777777" w:rsidR="000729CF" w:rsidRPr="000729CF" w:rsidRDefault="000729CF" w:rsidP="000729CF">
            <w:pPr>
              <w:tabs>
                <w:tab w:val="center" w:pos="4153"/>
                <w:tab w:val="right" w:pos="8306"/>
              </w:tabs>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Corporate Plan priorities not achieved.</w:t>
            </w:r>
          </w:p>
          <w:p w14:paraId="34E07BDC" w14:textId="77777777" w:rsidR="000729CF" w:rsidRPr="000729CF" w:rsidRDefault="000729CF" w:rsidP="000729CF">
            <w:pPr>
              <w:tabs>
                <w:tab w:val="center" w:pos="4153"/>
                <w:tab w:val="right" w:pos="8306"/>
              </w:tabs>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In the short-term slippage may reduce financing costs but in the medium term there may be cost over-runs due to delays in delivery while construction or other inflation is high or due to an increase in borrowing costs due to interest rate risk (i.e. risk of rates increasing over time).</w:t>
            </w:r>
          </w:p>
        </w:tc>
        <w:tc>
          <w:tcPr>
            <w:tcW w:w="3685" w:type="dxa"/>
            <w:shd w:val="clear" w:color="auto" w:fill="auto"/>
          </w:tcPr>
          <w:p w14:paraId="22FC6B69" w14:textId="77777777" w:rsidR="000729CF" w:rsidRPr="000729CF" w:rsidRDefault="000729CF" w:rsidP="000729CF">
            <w:pPr>
              <w:tabs>
                <w:tab w:val="center" w:pos="4153"/>
                <w:tab w:val="right" w:pos="8306"/>
              </w:tabs>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If affordable, may require additional short-term resources to ensure delivery on time.</w:t>
            </w:r>
          </w:p>
          <w:p w14:paraId="48B14F5F" w14:textId="77777777" w:rsidR="000729CF" w:rsidRPr="000729CF" w:rsidRDefault="000729CF" w:rsidP="000729CF">
            <w:pPr>
              <w:tabs>
                <w:tab w:val="center" w:pos="4153"/>
                <w:tab w:val="right" w:pos="8306"/>
              </w:tabs>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 xml:space="preserve">Use flexibility within or across programmes to re-profile expenditure if necessary. </w:t>
            </w:r>
          </w:p>
          <w:p w14:paraId="553EBA24" w14:textId="77777777" w:rsidR="000729CF" w:rsidRPr="000729CF" w:rsidRDefault="000729CF" w:rsidP="000729CF">
            <w:pPr>
              <w:tabs>
                <w:tab w:val="center" w:pos="4153"/>
                <w:tab w:val="right" w:pos="8306"/>
              </w:tabs>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Flexing Capital Financing Strategy or HRA self-financing strategy as appropriate.</w:t>
            </w:r>
          </w:p>
        </w:tc>
      </w:tr>
      <w:tr w:rsidR="000729CF" w:rsidRPr="000729CF" w14:paraId="39AE063C" w14:textId="77777777" w:rsidTr="00BC26AB">
        <w:tc>
          <w:tcPr>
            <w:tcW w:w="0" w:type="auto"/>
          </w:tcPr>
          <w:p w14:paraId="29181EBC" w14:textId="77777777" w:rsidR="000729CF" w:rsidRPr="000729CF" w:rsidRDefault="000729CF" w:rsidP="000729CF">
            <w:pPr>
              <w:rPr>
                <w:rFonts w:ascii="Arial" w:hAnsi="Arial" w:cs="Arial"/>
                <w:snapToGrid w:val="0"/>
                <w:color w:val="000000"/>
                <w:sz w:val="24"/>
                <w:szCs w:val="24"/>
                <w:highlight w:val="yellow"/>
                <w:lang w:val="en-GB"/>
              </w:rPr>
            </w:pPr>
            <w:r w:rsidRPr="000729CF">
              <w:rPr>
                <w:rFonts w:ascii="Arial" w:hAnsi="Arial" w:cs="Arial"/>
                <w:snapToGrid w:val="0"/>
                <w:color w:val="000000"/>
                <w:sz w:val="24"/>
                <w:szCs w:val="24"/>
                <w:lang w:val="en-GB"/>
              </w:rPr>
              <w:t>Income from business rates is lower than expected due to successful rating appeals / higher levels of relief awarded / redevelopment of existing sites gives temporary reduction / collection performance declines</w:t>
            </w:r>
          </w:p>
        </w:tc>
        <w:tc>
          <w:tcPr>
            <w:tcW w:w="0" w:type="auto"/>
          </w:tcPr>
          <w:p w14:paraId="1D5FE133" w14:textId="77777777" w:rsidR="000729CF" w:rsidRPr="000729CF" w:rsidRDefault="000729CF" w:rsidP="000729CF">
            <w:pPr>
              <w:tabs>
                <w:tab w:val="center" w:pos="4153"/>
                <w:tab w:val="right" w:pos="8306"/>
              </w:tabs>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3</w:t>
            </w:r>
          </w:p>
        </w:tc>
        <w:tc>
          <w:tcPr>
            <w:tcW w:w="0" w:type="auto"/>
          </w:tcPr>
          <w:p w14:paraId="024F1F46"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3</w:t>
            </w:r>
          </w:p>
          <w:p w14:paraId="306F6752"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1% of forecast retained business rates income = £0.8m</w:t>
            </w:r>
          </w:p>
        </w:tc>
        <w:tc>
          <w:tcPr>
            <w:tcW w:w="958" w:type="dxa"/>
          </w:tcPr>
          <w:p w14:paraId="3CDB72AF" w14:textId="77777777" w:rsidR="000729CF" w:rsidRPr="000729CF" w:rsidRDefault="000729CF" w:rsidP="000729CF">
            <w:pPr>
              <w:jc w:val="center"/>
              <w:rPr>
                <w:rFonts w:ascii="Arial" w:hAnsi="Arial" w:cs="Arial"/>
                <w:color w:val="000000"/>
                <w:sz w:val="24"/>
                <w:szCs w:val="24"/>
                <w:lang w:val="en-GB" w:eastAsia="en-GB"/>
              </w:rPr>
            </w:pPr>
            <w:r w:rsidRPr="000729CF">
              <w:rPr>
                <w:rFonts w:ascii="Arial" w:hAnsi="Arial" w:cs="Arial"/>
                <w:color w:val="000000"/>
                <w:sz w:val="24"/>
                <w:szCs w:val="24"/>
                <w:lang w:val="en-GB" w:eastAsia="en-GB"/>
              </w:rPr>
              <w:t>9</w:t>
            </w:r>
          </w:p>
        </w:tc>
        <w:tc>
          <w:tcPr>
            <w:tcW w:w="3213" w:type="dxa"/>
          </w:tcPr>
          <w:p w14:paraId="49CB6F67" w14:textId="77777777" w:rsidR="000729CF" w:rsidRPr="000729CF" w:rsidRDefault="000729CF" w:rsidP="000729CF">
            <w:pPr>
              <w:tabs>
                <w:tab w:val="center" w:pos="4153"/>
                <w:tab w:val="right" w:pos="8306"/>
              </w:tabs>
              <w:rPr>
                <w:rFonts w:ascii="Arial" w:hAnsi="Arial" w:cs="Arial"/>
                <w:snapToGrid w:val="0"/>
                <w:color w:val="000000"/>
                <w:sz w:val="24"/>
                <w:szCs w:val="24"/>
                <w:highlight w:val="yellow"/>
                <w:lang w:val="en-GB"/>
              </w:rPr>
            </w:pPr>
            <w:r w:rsidRPr="000729CF">
              <w:rPr>
                <w:rFonts w:ascii="Arial" w:hAnsi="Arial" w:cs="Arial"/>
                <w:snapToGrid w:val="0"/>
                <w:color w:val="000000"/>
                <w:sz w:val="24"/>
                <w:szCs w:val="24"/>
                <w:lang w:val="en-GB"/>
              </w:rPr>
              <w:t>Would require an increased budget gap to be addressed in the following financial year.</w:t>
            </w:r>
          </w:p>
        </w:tc>
        <w:tc>
          <w:tcPr>
            <w:tcW w:w="3685" w:type="dxa"/>
          </w:tcPr>
          <w:p w14:paraId="1C7D955E" w14:textId="77777777" w:rsidR="000729CF" w:rsidRPr="000729CF" w:rsidRDefault="000729CF" w:rsidP="000729CF">
            <w:pPr>
              <w:tabs>
                <w:tab w:val="center" w:pos="4153"/>
                <w:tab w:val="right" w:pos="8306"/>
              </w:tabs>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Make appropriate provisions in resource forecasts.</w:t>
            </w:r>
          </w:p>
          <w:p w14:paraId="18D7ED8D" w14:textId="77777777" w:rsidR="000729CF" w:rsidRPr="000729CF" w:rsidRDefault="000729CF" w:rsidP="000729CF">
            <w:pPr>
              <w:tabs>
                <w:tab w:val="center" w:pos="4153"/>
                <w:tab w:val="right" w:pos="8306"/>
              </w:tabs>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Detailed monitoring of business rates yield and collection to ensure it reflects the latest known position.</w:t>
            </w:r>
          </w:p>
          <w:p w14:paraId="2EC0E8C1" w14:textId="77777777" w:rsidR="000729CF" w:rsidRPr="000729CF" w:rsidRDefault="000729CF" w:rsidP="000729CF">
            <w:pPr>
              <w:tabs>
                <w:tab w:val="center" w:pos="4153"/>
                <w:tab w:val="right" w:pos="8306"/>
              </w:tabs>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Corporate approach to economic development and city regeneration.</w:t>
            </w:r>
          </w:p>
        </w:tc>
      </w:tr>
      <w:tr w:rsidR="000729CF" w:rsidRPr="000729CF" w14:paraId="6E820AB6" w14:textId="77777777" w:rsidTr="000729CF">
        <w:trPr>
          <w:trHeight w:val="340"/>
        </w:trPr>
        <w:tc>
          <w:tcPr>
            <w:tcW w:w="14941" w:type="dxa"/>
            <w:gridSpan w:val="6"/>
            <w:shd w:val="clear" w:color="auto" w:fill="BFBFBF"/>
            <w:vAlign w:val="center"/>
          </w:tcPr>
          <w:p w14:paraId="643208A2" w14:textId="77777777" w:rsidR="000729CF" w:rsidRPr="000729CF" w:rsidRDefault="000729CF" w:rsidP="000729CF">
            <w:pPr>
              <w:rPr>
                <w:rFonts w:ascii="Arial" w:hAnsi="Arial" w:cs="Arial"/>
                <w:b/>
                <w:snapToGrid w:val="0"/>
                <w:color w:val="000000"/>
                <w:sz w:val="24"/>
                <w:szCs w:val="24"/>
                <w:lang w:val="en-GB"/>
              </w:rPr>
            </w:pPr>
            <w:r w:rsidRPr="000729CF">
              <w:rPr>
                <w:rFonts w:ascii="Arial" w:hAnsi="Arial" w:cs="Arial"/>
                <w:b/>
                <w:snapToGrid w:val="0"/>
                <w:color w:val="000000"/>
                <w:sz w:val="24"/>
                <w:szCs w:val="24"/>
                <w:lang w:val="en-GB"/>
              </w:rPr>
              <w:t>Further risks affecting 2025/26 onwards</w:t>
            </w:r>
          </w:p>
        </w:tc>
      </w:tr>
      <w:tr w:rsidR="000729CF" w:rsidRPr="000729CF" w14:paraId="091B0746" w14:textId="77777777" w:rsidTr="00BC26AB">
        <w:tc>
          <w:tcPr>
            <w:tcW w:w="0" w:type="auto"/>
            <w:shd w:val="clear" w:color="auto" w:fill="auto"/>
          </w:tcPr>
          <w:p w14:paraId="0DE1DC7C"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The Government’s Fair Funding  Review (or other Local Government Funding review) is progressed and results in lower Relative Needs leading to a reduced distribution of government resources including:</w:t>
            </w:r>
          </w:p>
          <w:p w14:paraId="2CD437F9" w14:textId="77777777" w:rsidR="000729CF" w:rsidRPr="000729CF" w:rsidRDefault="000729CF" w:rsidP="00CE70A3">
            <w:pPr>
              <w:numPr>
                <w:ilvl w:val="0"/>
                <w:numId w:val="98"/>
              </w:numPr>
              <w:spacing w:before="60" w:after="60"/>
              <w:ind w:left="370"/>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Reduced grant funding</w:t>
            </w:r>
          </w:p>
          <w:p w14:paraId="64740467" w14:textId="77777777" w:rsidR="000729CF" w:rsidRPr="000729CF" w:rsidRDefault="000729CF" w:rsidP="00CE70A3">
            <w:pPr>
              <w:numPr>
                <w:ilvl w:val="0"/>
                <w:numId w:val="98"/>
              </w:numPr>
              <w:spacing w:before="60" w:after="60"/>
              <w:ind w:left="370"/>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Lower Business Rates top-up payment or change to tariff payment</w:t>
            </w:r>
          </w:p>
        </w:tc>
        <w:tc>
          <w:tcPr>
            <w:tcW w:w="0" w:type="auto"/>
            <w:shd w:val="clear" w:color="auto" w:fill="auto"/>
          </w:tcPr>
          <w:p w14:paraId="51D9BF0E"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3</w:t>
            </w:r>
          </w:p>
        </w:tc>
        <w:tc>
          <w:tcPr>
            <w:tcW w:w="0" w:type="auto"/>
            <w:shd w:val="clear" w:color="auto" w:fill="auto"/>
          </w:tcPr>
          <w:p w14:paraId="29835B8C" w14:textId="77777777" w:rsidR="000729CF" w:rsidRPr="000729CF" w:rsidRDefault="000729CF" w:rsidP="000729CF">
            <w:pPr>
              <w:ind w:left="360"/>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3</w:t>
            </w:r>
          </w:p>
          <w:p w14:paraId="2F5BCD12" w14:textId="77777777" w:rsidR="000729CF" w:rsidRPr="000729CF" w:rsidRDefault="000729CF" w:rsidP="000729CF">
            <w:pPr>
              <w:ind w:left="360"/>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1% reduction in Settlement Funding Assessment = £0.7m</w:t>
            </w:r>
          </w:p>
        </w:tc>
        <w:tc>
          <w:tcPr>
            <w:tcW w:w="958" w:type="dxa"/>
            <w:shd w:val="clear" w:color="auto" w:fill="auto"/>
          </w:tcPr>
          <w:p w14:paraId="6FD702C1"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9</w:t>
            </w:r>
          </w:p>
        </w:tc>
        <w:tc>
          <w:tcPr>
            <w:tcW w:w="3213" w:type="dxa"/>
            <w:shd w:val="clear" w:color="auto" w:fill="auto"/>
          </w:tcPr>
          <w:p w14:paraId="26919070"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Would require an increased budget gap to be addressed in the following financial year/s.</w:t>
            </w:r>
          </w:p>
        </w:tc>
        <w:tc>
          <w:tcPr>
            <w:tcW w:w="3685" w:type="dxa"/>
            <w:shd w:val="clear" w:color="auto" w:fill="auto"/>
          </w:tcPr>
          <w:p w14:paraId="395EE8F0"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Engage fully in government consultations. Ensure core data used to determine relative needs is accurate and up to date. This is now likely to be progressed by a new Government following a General Election. The council would lobby for damping and transitional mechanisms if the outcome is unfavourable.</w:t>
            </w:r>
          </w:p>
        </w:tc>
      </w:tr>
      <w:tr w:rsidR="000729CF" w:rsidRPr="000729CF" w14:paraId="6420CD40" w14:textId="77777777" w:rsidTr="00BC26AB">
        <w:tc>
          <w:tcPr>
            <w:tcW w:w="0" w:type="auto"/>
          </w:tcPr>
          <w:p w14:paraId="6CF2B1DD" w14:textId="77777777" w:rsidR="000729CF" w:rsidRPr="000729CF" w:rsidRDefault="000729CF" w:rsidP="000729CF">
            <w:pPr>
              <w:rPr>
                <w:rFonts w:ascii="Arial" w:hAnsi="Arial" w:cs="Arial"/>
                <w:snapToGrid w:val="0"/>
                <w:color w:val="000000"/>
                <w:sz w:val="24"/>
                <w:szCs w:val="24"/>
                <w:highlight w:val="yellow"/>
                <w:lang w:val="en-GB"/>
              </w:rPr>
            </w:pPr>
            <w:r w:rsidRPr="000729CF">
              <w:rPr>
                <w:rFonts w:ascii="Arial" w:hAnsi="Arial" w:cs="Arial"/>
                <w:snapToGrid w:val="0"/>
                <w:color w:val="000000"/>
                <w:sz w:val="24"/>
                <w:szCs w:val="24"/>
                <w:lang w:val="en-GB"/>
              </w:rPr>
              <w:t>Business Rates revaluation appeals result in losses of business rate income in excess of the provision for appeals.</w:t>
            </w:r>
          </w:p>
        </w:tc>
        <w:tc>
          <w:tcPr>
            <w:tcW w:w="0" w:type="auto"/>
          </w:tcPr>
          <w:p w14:paraId="359E5649" w14:textId="77777777" w:rsidR="000729CF" w:rsidRPr="000729CF" w:rsidRDefault="000729CF" w:rsidP="000729CF">
            <w:pPr>
              <w:tabs>
                <w:tab w:val="center" w:pos="4153"/>
                <w:tab w:val="right" w:pos="8306"/>
              </w:tabs>
              <w:jc w:val="center"/>
              <w:rPr>
                <w:rFonts w:ascii="Arial" w:hAnsi="Arial" w:cs="Arial"/>
                <w:snapToGrid w:val="0"/>
                <w:color w:val="000000"/>
                <w:sz w:val="24"/>
                <w:szCs w:val="24"/>
                <w:highlight w:val="yellow"/>
                <w:lang w:val="en-GB"/>
              </w:rPr>
            </w:pPr>
            <w:r w:rsidRPr="000729CF">
              <w:rPr>
                <w:rFonts w:ascii="Arial" w:hAnsi="Arial" w:cs="Arial"/>
                <w:snapToGrid w:val="0"/>
                <w:color w:val="000000"/>
                <w:sz w:val="24"/>
                <w:szCs w:val="24"/>
                <w:lang w:val="en-GB"/>
              </w:rPr>
              <w:t>3</w:t>
            </w:r>
          </w:p>
        </w:tc>
        <w:tc>
          <w:tcPr>
            <w:tcW w:w="0" w:type="auto"/>
          </w:tcPr>
          <w:p w14:paraId="1660F0AF"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3</w:t>
            </w:r>
          </w:p>
          <w:p w14:paraId="1FFE2BF7"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1% of forecast retained business rates income = £0.8m</w:t>
            </w:r>
          </w:p>
        </w:tc>
        <w:tc>
          <w:tcPr>
            <w:tcW w:w="958" w:type="dxa"/>
          </w:tcPr>
          <w:p w14:paraId="74E953A8" w14:textId="77777777" w:rsidR="000729CF" w:rsidRPr="000729CF" w:rsidRDefault="000729CF" w:rsidP="000729CF">
            <w:pPr>
              <w:jc w:val="center"/>
              <w:rPr>
                <w:rFonts w:ascii="Arial" w:hAnsi="Arial" w:cs="Arial"/>
                <w:color w:val="000000"/>
                <w:sz w:val="24"/>
                <w:szCs w:val="24"/>
                <w:lang w:val="en-GB" w:eastAsia="en-GB"/>
              </w:rPr>
            </w:pPr>
            <w:r w:rsidRPr="000729CF">
              <w:rPr>
                <w:rFonts w:ascii="Arial" w:hAnsi="Arial" w:cs="Arial"/>
                <w:color w:val="000000"/>
                <w:sz w:val="24"/>
                <w:szCs w:val="24"/>
                <w:lang w:val="en-GB" w:eastAsia="en-GB"/>
              </w:rPr>
              <w:t>9</w:t>
            </w:r>
          </w:p>
        </w:tc>
        <w:tc>
          <w:tcPr>
            <w:tcW w:w="3213" w:type="dxa"/>
          </w:tcPr>
          <w:p w14:paraId="363B4553" w14:textId="77777777" w:rsidR="000729CF" w:rsidRPr="000729CF" w:rsidRDefault="000729CF" w:rsidP="000729CF">
            <w:pPr>
              <w:tabs>
                <w:tab w:val="center" w:pos="4153"/>
                <w:tab w:val="right" w:pos="8306"/>
              </w:tabs>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Would require an increased budget gap to be addressed. Limited protection from safety net is afforded at 7.5% below baseline funding.</w:t>
            </w:r>
          </w:p>
        </w:tc>
        <w:tc>
          <w:tcPr>
            <w:tcW w:w="3685" w:type="dxa"/>
          </w:tcPr>
          <w:p w14:paraId="1ADF4D35"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Respond to any government consultation on changes to the distribution mechanism.</w:t>
            </w:r>
          </w:p>
          <w:p w14:paraId="03A1ABBF"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Continued liaison with Valuation Office Agency (VOA) to ensure good access to data.</w:t>
            </w:r>
          </w:p>
          <w:p w14:paraId="6C46686B" w14:textId="77777777" w:rsidR="000729CF" w:rsidRPr="000729CF" w:rsidRDefault="000729CF" w:rsidP="000729CF">
            <w:pPr>
              <w:tabs>
                <w:tab w:val="center" w:pos="4153"/>
                <w:tab w:val="right" w:pos="8306"/>
              </w:tabs>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Monitor the impact of appeals throughout the remaining revaluation period.</w:t>
            </w:r>
          </w:p>
        </w:tc>
      </w:tr>
      <w:tr w:rsidR="000729CF" w:rsidRPr="000729CF" w14:paraId="215799E3" w14:textId="77777777" w:rsidTr="00BC26AB">
        <w:tc>
          <w:tcPr>
            <w:tcW w:w="0" w:type="auto"/>
          </w:tcPr>
          <w:p w14:paraId="596EFE2B" w14:textId="77777777" w:rsidR="000729CF" w:rsidRPr="000729CF" w:rsidRDefault="000729CF" w:rsidP="000729CF">
            <w:pPr>
              <w:rPr>
                <w:rFonts w:ascii="Arial" w:hAnsi="Arial" w:cs="Arial"/>
                <w:snapToGrid w:val="0"/>
                <w:color w:val="000000"/>
                <w:sz w:val="24"/>
                <w:szCs w:val="24"/>
                <w:highlight w:val="yellow"/>
                <w:lang w:val="en-GB"/>
              </w:rPr>
            </w:pPr>
            <w:r w:rsidRPr="000729CF">
              <w:rPr>
                <w:rFonts w:ascii="Arial" w:hAnsi="Arial" w:cs="Arial"/>
                <w:snapToGrid w:val="0"/>
                <w:color w:val="000000"/>
                <w:sz w:val="24"/>
                <w:szCs w:val="24"/>
                <w:lang w:val="en-GB"/>
              </w:rPr>
              <w:t>MTFS pay assumptions for 2025/26 onwards are lower than agreed pay awards and other pay related costs</w:t>
            </w:r>
          </w:p>
        </w:tc>
        <w:tc>
          <w:tcPr>
            <w:tcW w:w="0" w:type="auto"/>
          </w:tcPr>
          <w:p w14:paraId="1219A35F"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3</w:t>
            </w:r>
          </w:p>
        </w:tc>
        <w:tc>
          <w:tcPr>
            <w:tcW w:w="0" w:type="auto"/>
          </w:tcPr>
          <w:p w14:paraId="7C9D2EA0"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3</w:t>
            </w:r>
          </w:p>
          <w:p w14:paraId="3512BC64" w14:textId="77777777" w:rsidR="000729CF" w:rsidRPr="000729CF" w:rsidRDefault="000729CF" w:rsidP="000729CF">
            <w:pPr>
              <w:ind w:left="360" w:hanging="360"/>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 xml:space="preserve">0.5% </w:t>
            </w:r>
          </w:p>
          <w:p w14:paraId="2AD2235E" w14:textId="77777777" w:rsidR="000729CF" w:rsidRPr="000729CF" w:rsidRDefault="000729CF" w:rsidP="000729CF">
            <w:pPr>
              <w:ind w:left="360" w:hanging="360"/>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 xml:space="preserve">change in </w:t>
            </w:r>
          </w:p>
          <w:p w14:paraId="5AA39B39" w14:textId="77777777" w:rsidR="000729CF" w:rsidRPr="000729CF" w:rsidRDefault="000729CF" w:rsidP="000729CF">
            <w:pPr>
              <w:ind w:left="360" w:hanging="360"/>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pay award</w:t>
            </w:r>
          </w:p>
          <w:p w14:paraId="5186BDE3"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 xml:space="preserve"> = £0.85m for the general fund</w:t>
            </w:r>
          </w:p>
        </w:tc>
        <w:tc>
          <w:tcPr>
            <w:tcW w:w="958" w:type="dxa"/>
          </w:tcPr>
          <w:p w14:paraId="392F81AF" w14:textId="77777777" w:rsidR="000729CF" w:rsidRPr="000729CF" w:rsidRDefault="000729CF" w:rsidP="000729CF">
            <w:pPr>
              <w:jc w:val="center"/>
              <w:rPr>
                <w:rFonts w:ascii="Arial" w:hAnsi="Arial" w:cs="Arial"/>
                <w:color w:val="000000"/>
                <w:sz w:val="24"/>
                <w:szCs w:val="24"/>
                <w:lang w:val="en-GB" w:eastAsia="en-GB"/>
              </w:rPr>
            </w:pPr>
            <w:r w:rsidRPr="000729CF">
              <w:rPr>
                <w:rFonts w:ascii="Arial" w:hAnsi="Arial" w:cs="Arial"/>
                <w:snapToGrid w:val="0"/>
                <w:color w:val="000000"/>
                <w:sz w:val="24"/>
                <w:szCs w:val="24"/>
                <w:lang w:val="en-GB"/>
              </w:rPr>
              <w:t>9</w:t>
            </w:r>
          </w:p>
        </w:tc>
        <w:tc>
          <w:tcPr>
            <w:tcW w:w="3213" w:type="dxa"/>
          </w:tcPr>
          <w:p w14:paraId="6E8EF6B4"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Impact on budget gap if pay provisions are insufficient to meet increased ongoing costs arising from transformation, pay awards and/or impact of the National Living Wage.</w:t>
            </w:r>
          </w:p>
          <w:p w14:paraId="7D9B5950" w14:textId="77777777" w:rsidR="000729CF" w:rsidRPr="000729CF" w:rsidRDefault="000729CF" w:rsidP="000729CF">
            <w:pPr>
              <w:rPr>
                <w:rFonts w:ascii="Arial" w:hAnsi="Arial" w:cs="Arial"/>
                <w:snapToGrid w:val="0"/>
                <w:color w:val="000000"/>
                <w:sz w:val="24"/>
                <w:szCs w:val="24"/>
                <w:lang w:val="en-GB"/>
              </w:rPr>
            </w:pPr>
          </w:p>
        </w:tc>
        <w:tc>
          <w:tcPr>
            <w:tcW w:w="3685" w:type="dxa"/>
          </w:tcPr>
          <w:p w14:paraId="4BBE5111"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Monitor progress on pay award negotiations and wider national settlements.</w:t>
            </w:r>
          </w:p>
          <w:p w14:paraId="5F38CE84"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Consider revising assumptions in future years based on CPI trends and forecasts.</w:t>
            </w:r>
          </w:p>
        </w:tc>
      </w:tr>
      <w:tr w:rsidR="000729CF" w:rsidRPr="000729CF" w14:paraId="3D7F52F4" w14:textId="77777777" w:rsidTr="00BC26AB">
        <w:tc>
          <w:tcPr>
            <w:tcW w:w="0" w:type="auto"/>
          </w:tcPr>
          <w:p w14:paraId="38B75D93" w14:textId="77777777" w:rsidR="000729CF" w:rsidRPr="000729CF" w:rsidRDefault="000729CF" w:rsidP="000729CF">
            <w:pPr>
              <w:rPr>
                <w:rFonts w:ascii="Arial" w:hAnsi="Arial" w:cs="Arial"/>
                <w:snapToGrid w:val="0"/>
                <w:color w:val="000000"/>
                <w:sz w:val="24"/>
                <w:szCs w:val="24"/>
                <w:lang w:val="en-GB" w:eastAsia="en-GB"/>
              </w:rPr>
            </w:pPr>
            <w:r w:rsidRPr="000729CF">
              <w:rPr>
                <w:rFonts w:ascii="Arial" w:hAnsi="Arial" w:cs="Arial"/>
                <w:snapToGrid w:val="0"/>
                <w:color w:val="000000"/>
                <w:sz w:val="24"/>
                <w:szCs w:val="24"/>
                <w:lang w:val="en-GB"/>
              </w:rPr>
              <w:t>Forecast resources from 2025/26 onwards lower than forecast in the MTFS</w:t>
            </w:r>
          </w:p>
        </w:tc>
        <w:tc>
          <w:tcPr>
            <w:tcW w:w="0" w:type="auto"/>
          </w:tcPr>
          <w:p w14:paraId="6D8DAE83"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2</w:t>
            </w:r>
          </w:p>
        </w:tc>
        <w:tc>
          <w:tcPr>
            <w:tcW w:w="0" w:type="auto"/>
          </w:tcPr>
          <w:p w14:paraId="6F6CB6D2"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3</w:t>
            </w:r>
          </w:p>
          <w:p w14:paraId="38AE9166"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1% reduction in Settlement Funding Assessment</w:t>
            </w:r>
          </w:p>
          <w:p w14:paraId="1C0CBA51"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 £0.7m</w:t>
            </w:r>
          </w:p>
        </w:tc>
        <w:tc>
          <w:tcPr>
            <w:tcW w:w="958" w:type="dxa"/>
          </w:tcPr>
          <w:p w14:paraId="2F547B1C" w14:textId="77777777" w:rsidR="000729CF" w:rsidRPr="000729CF" w:rsidRDefault="000729CF" w:rsidP="000729CF">
            <w:pPr>
              <w:jc w:val="center"/>
              <w:rPr>
                <w:rFonts w:ascii="Arial" w:hAnsi="Arial" w:cs="Arial"/>
                <w:color w:val="000000"/>
                <w:sz w:val="24"/>
                <w:szCs w:val="24"/>
                <w:lang w:val="en-GB" w:eastAsia="en-GB"/>
              </w:rPr>
            </w:pPr>
            <w:r w:rsidRPr="000729CF">
              <w:rPr>
                <w:rFonts w:ascii="Arial" w:hAnsi="Arial" w:cs="Arial"/>
                <w:color w:val="000000"/>
                <w:sz w:val="24"/>
                <w:szCs w:val="24"/>
                <w:lang w:val="en-GB" w:eastAsia="en-GB"/>
              </w:rPr>
              <w:t>6</w:t>
            </w:r>
          </w:p>
        </w:tc>
        <w:tc>
          <w:tcPr>
            <w:tcW w:w="3213" w:type="dxa"/>
          </w:tcPr>
          <w:p w14:paraId="5703B82A" w14:textId="77777777" w:rsidR="000729CF" w:rsidRPr="000729CF" w:rsidRDefault="000729CF" w:rsidP="000729CF">
            <w:pPr>
              <w:tabs>
                <w:tab w:val="center" w:pos="4153"/>
                <w:tab w:val="right" w:pos="8306"/>
              </w:tabs>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Would require an increased budget gap to be addressed in the following financial year/s.</w:t>
            </w:r>
          </w:p>
        </w:tc>
        <w:tc>
          <w:tcPr>
            <w:tcW w:w="3685" w:type="dxa"/>
          </w:tcPr>
          <w:p w14:paraId="44BCF8AD" w14:textId="77777777" w:rsidR="000729CF" w:rsidRPr="000729CF" w:rsidRDefault="000729CF" w:rsidP="000729CF">
            <w:pPr>
              <w:tabs>
                <w:tab w:val="center" w:pos="4153"/>
                <w:tab w:val="right" w:pos="8306"/>
              </w:tabs>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Lobby Local Government Association (LGA) and government over future spending totals, particularly long term funding of social care.</w:t>
            </w:r>
          </w:p>
          <w:p w14:paraId="209CE163"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 xml:space="preserve">Lobby for greater overall share of Settlement Funding Assessment (SFA) and respond in detail to any further consultation </w:t>
            </w:r>
          </w:p>
        </w:tc>
      </w:tr>
      <w:tr w:rsidR="000729CF" w:rsidRPr="000729CF" w14:paraId="04475C07" w14:textId="77777777" w:rsidTr="00BC26AB">
        <w:tc>
          <w:tcPr>
            <w:tcW w:w="0" w:type="auto"/>
          </w:tcPr>
          <w:p w14:paraId="589E3920" w14:textId="77777777" w:rsidR="000729CF" w:rsidRPr="000729CF" w:rsidRDefault="000729CF" w:rsidP="000729CF">
            <w:pPr>
              <w:rPr>
                <w:rFonts w:ascii="Arial" w:hAnsi="Arial" w:cs="Arial"/>
                <w:snapToGrid w:val="0"/>
                <w:color w:val="000000"/>
                <w:sz w:val="24"/>
                <w:szCs w:val="24"/>
                <w:highlight w:val="yellow"/>
                <w:lang w:val="en-GB"/>
              </w:rPr>
            </w:pPr>
            <w:r w:rsidRPr="000729CF">
              <w:rPr>
                <w:rFonts w:ascii="Arial" w:hAnsi="Arial" w:cs="Arial"/>
                <w:snapToGrid w:val="0"/>
                <w:color w:val="000000"/>
                <w:sz w:val="24"/>
                <w:szCs w:val="24"/>
                <w:lang w:val="en-GB"/>
              </w:rPr>
              <w:t xml:space="preserve">Government changes to business rates (e.g. cap on multiplier, enhanced or new reliefs) are not fully funded through ongoing section 31 compensation grants </w:t>
            </w:r>
          </w:p>
        </w:tc>
        <w:tc>
          <w:tcPr>
            <w:tcW w:w="0" w:type="auto"/>
          </w:tcPr>
          <w:p w14:paraId="49025C56" w14:textId="77777777" w:rsidR="000729CF" w:rsidRPr="000729CF" w:rsidRDefault="000729CF" w:rsidP="000729CF">
            <w:pPr>
              <w:tabs>
                <w:tab w:val="center" w:pos="4153"/>
                <w:tab w:val="right" w:pos="8306"/>
              </w:tabs>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2</w:t>
            </w:r>
          </w:p>
        </w:tc>
        <w:tc>
          <w:tcPr>
            <w:tcW w:w="0" w:type="auto"/>
          </w:tcPr>
          <w:p w14:paraId="7A9D35AA"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4</w:t>
            </w:r>
          </w:p>
          <w:p w14:paraId="7C20C692"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Estimated value of Section 31 grant = £18m</w:t>
            </w:r>
          </w:p>
        </w:tc>
        <w:tc>
          <w:tcPr>
            <w:tcW w:w="958" w:type="dxa"/>
          </w:tcPr>
          <w:p w14:paraId="106ECD26" w14:textId="77777777" w:rsidR="000729CF" w:rsidRPr="000729CF" w:rsidRDefault="000729CF" w:rsidP="000729CF">
            <w:pPr>
              <w:jc w:val="center"/>
              <w:rPr>
                <w:rFonts w:ascii="Arial" w:hAnsi="Arial" w:cs="Arial"/>
                <w:color w:val="000000"/>
                <w:sz w:val="24"/>
                <w:szCs w:val="24"/>
                <w:lang w:val="en-GB" w:eastAsia="en-GB"/>
              </w:rPr>
            </w:pPr>
            <w:r w:rsidRPr="000729CF">
              <w:rPr>
                <w:rFonts w:ascii="Arial" w:hAnsi="Arial" w:cs="Arial"/>
                <w:color w:val="000000"/>
                <w:sz w:val="24"/>
                <w:szCs w:val="24"/>
                <w:lang w:val="en-GB" w:eastAsia="en-GB"/>
              </w:rPr>
              <w:t>6</w:t>
            </w:r>
          </w:p>
        </w:tc>
        <w:tc>
          <w:tcPr>
            <w:tcW w:w="3213" w:type="dxa"/>
          </w:tcPr>
          <w:p w14:paraId="05C0D2E5" w14:textId="77777777" w:rsidR="000729CF" w:rsidRPr="000729CF" w:rsidRDefault="000729CF" w:rsidP="000729CF">
            <w:pPr>
              <w:tabs>
                <w:tab w:val="center" w:pos="4153"/>
                <w:tab w:val="right" w:pos="8306"/>
              </w:tabs>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Would require an increased budget gap to be addressed in the following financial year/s.</w:t>
            </w:r>
          </w:p>
        </w:tc>
        <w:tc>
          <w:tcPr>
            <w:tcW w:w="3685" w:type="dxa"/>
          </w:tcPr>
          <w:p w14:paraId="5167557C" w14:textId="77777777" w:rsidR="000729CF" w:rsidRPr="000729CF" w:rsidRDefault="000729CF" w:rsidP="000729CF">
            <w:pPr>
              <w:tabs>
                <w:tab w:val="center" w:pos="4153"/>
                <w:tab w:val="right" w:pos="8306"/>
              </w:tabs>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Lobby DLUHC to ensure any new measures impacting on business rates income are fully funded.</w:t>
            </w:r>
          </w:p>
        </w:tc>
      </w:tr>
      <w:tr w:rsidR="000729CF" w:rsidRPr="000729CF" w14:paraId="637DD4C1" w14:textId="77777777" w:rsidTr="00BC26AB">
        <w:tc>
          <w:tcPr>
            <w:tcW w:w="0" w:type="auto"/>
          </w:tcPr>
          <w:p w14:paraId="40A23430"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Energy and fuel prices increase above budgeted provision</w:t>
            </w:r>
          </w:p>
          <w:p w14:paraId="29B8DF65" w14:textId="77777777" w:rsidR="000729CF" w:rsidRPr="000729CF" w:rsidRDefault="000729CF" w:rsidP="000729CF">
            <w:pPr>
              <w:rPr>
                <w:rFonts w:ascii="Arial" w:hAnsi="Arial" w:cs="Arial"/>
                <w:snapToGrid w:val="0"/>
                <w:color w:val="000000"/>
                <w:sz w:val="24"/>
                <w:szCs w:val="24"/>
                <w:lang w:val="en-GB"/>
              </w:rPr>
            </w:pPr>
          </w:p>
        </w:tc>
        <w:tc>
          <w:tcPr>
            <w:tcW w:w="0" w:type="auto"/>
          </w:tcPr>
          <w:p w14:paraId="345EE3E2" w14:textId="77777777" w:rsidR="000729CF" w:rsidRPr="000729CF" w:rsidRDefault="000729CF" w:rsidP="000729CF">
            <w:pPr>
              <w:tabs>
                <w:tab w:val="center" w:pos="4153"/>
                <w:tab w:val="right" w:pos="8306"/>
              </w:tabs>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3</w:t>
            </w:r>
          </w:p>
        </w:tc>
        <w:tc>
          <w:tcPr>
            <w:tcW w:w="0" w:type="auto"/>
          </w:tcPr>
          <w:p w14:paraId="375925CD"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2</w:t>
            </w:r>
          </w:p>
          <w:p w14:paraId="720BF4FF"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 xml:space="preserve">10% increase to the general fund = £0.45m  </w:t>
            </w:r>
          </w:p>
          <w:p w14:paraId="4FC2DE6F" w14:textId="77777777" w:rsidR="000729CF" w:rsidRPr="000729CF" w:rsidRDefault="000729CF" w:rsidP="000729CF">
            <w:pPr>
              <w:jc w:val="center"/>
              <w:rPr>
                <w:rFonts w:ascii="Arial" w:hAnsi="Arial" w:cs="Arial"/>
                <w:snapToGrid w:val="0"/>
                <w:color w:val="000000"/>
                <w:sz w:val="24"/>
                <w:szCs w:val="24"/>
                <w:lang w:val="en-GB"/>
              </w:rPr>
            </w:pPr>
          </w:p>
        </w:tc>
        <w:tc>
          <w:tcPr>
            <w:tcW w:w="958" w:type="dxa"/>
          </w:tcPr>
          <w:p w14:paraId="01DC35A6" w14:textId="77777777" w:rsidR="000729CF" w:rsidRPr="000729CF" w:rsidRDefault="000729CF" w:rsidP="000729CF">
            <w:pPr>
              <w:jc w:val="center"/>
              <w:rPr>
                <w:rFonts w:ascii="Arial" w:hAnsi="Arial" w:cs="Arial"/>
                <w:color w:val="000000"/>
                <w:sz w:val="24"/>
                <w:szCs w:val="24"/>
                <w:lang w:val="en-GB" w:eastAsia="en-GB"/>
              </w:rPr>
            </w:pPr>
            <w:r w:rsidRPr="000729CF">
              <w:rPr>
                <w:rFonts w:ascii="Arial" w:hAnsi="Arial" w:cs="Arial"/>
                <w:color w:val="000000"/>
                <w:sz w:val="24"/>
                <w:szCs w:val="24"/>
                <w:lang w:val="en-GB" w:eastAsia="en-GB"/>
              </w:rPr>
              <w:t>6</w:t>
            </w:r>
          </w:p>
        </w:tc>
        <w:tc>
          <w:tcPr>
            <w:tcW w:w="3213" w:type="dxa"/>
          </w:tcPr>
          <w:p w14:paraId="7802D54D"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Would reduce resources within budgets creating the need to find compensating savings.</w:t>
            </w:r>
          </w:p>
          <w:p w14:paraId="1FBDED6D" w14:textId="77777777" w:rsidR="000729CF" w:rsidRPr="000729CF" w:rsidRDefault="000729CF" w:rsidP="000729CF">
            <w:pPr>
              <w:tabs>
                <w:tab w:val="center" w:pos="4153"/>
                <w:tab w:val="right" w:pos="8306"/>
              </w:tabs>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However, higher electricity prices would mean that the share of electricity income from the Energy from the Waste PFI plant will increase to offset some of the cost increase.</w:t>
            </w:r>
          </w:p>
        </w:tc>
        <w:tc>
          <w:tcPr>
            <w:tcW w:w="3685" w:type="dxa"/>
          </w:tcPr>
          <w:p w14:paraId="544A4224"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Reduce consumption and implement measures to generate energy.</w:t>
            </w:r>
          </w:p>
          <w:p w14:paraId="3FD84D39"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Monitor energy/fuel market contracts closely and consider alternative procurement routes if necessary.</w:t>
            </w:r>
          </w:p>
          <w:p w14:paraId="68175DFE" w14:textId="77777777" w:rsidR="000729CF" w:rsidRPr="000729CF" w:rsidRDefault="000729CF" w:rsidP="000729CF">
            <w:pPr>
              <w:tabs>
                <w:tab w:val="center" w:pos="4153"/>
                <w:tab w:val="right" w:pos="8306"/>
              </w:tabs>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Service pressures provide some cover for higher inflation.</w:t>
            </w:r>
          </w:p>
        </w:tc>
      </w:tr>
      <w:tr w:rsidR="000729CF" w:rsidRPr="000729CF" w14:paraId="033EB898" w14:textId="77777777" w:rsidTr="00BC26AB">
        <w:tc>
          <w:tcPr>
            <w:tcW w:w="0" w:type="auto"/>
          </w:tcPr>
          <w:p w14:paraId="6D57D723"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Investment interest rates lower than anticipated</w:t>
            </w:r>
          </w:p>
          <w:p w14:paraId="5DE5508D" w14:textId="77777777" w:rsidR="000729CF" w:rsidRPr="000729CF" w:rsidRDefault="000729CF" w:rsidP="000729CF">
            <w:pPr>
              <w:rPr>
                <w:rFonts w:ascii="Arial" w:hAnsi="Arial" w:cs="Arial"/>
                <w:snapToGrid w:val="0"/>
                <w:color w:val="000000"/>
                <w:sz w:val="24"/>
                <w:szCs w:val="24"/>
                <w:lang w:val="en-GB"/>
              </w:rPr>
            </w:pPr>
          </w:p>
        </w:tc>
        <w:tc>
          <w:tcPr>
            <w:tcW w:w="0" w:type="auto"/>
          </w:tcPr>
          <w:p w14:paraId="41500E5C" w14:textId="77777777" w:rsidR="000729CF" w:rsidRPr="000729CF" w:rsidRDefault="000729CF" w:rsidP="000729CF">
            <w:pPr>
              <w:tabs>
                <w:tab w:val="center" w:pos="4153"/>
                <w:tab w:val="right" w:pos="8306"/>
              </w:tabs>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2</w:t>
            </w:r>
          </w:p>
        </w:tc>
        <w:tc>
          <w:tcPr>
            <w:tcW w:w="0" w:type="auto"/>
          </w:tcPr>
          <w:p w14:paraId="3743B0CB"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3</w:t>
            </w:r>
          </w:p>
          <w:p w14:paraId="3AE23FA0" w14:textId="77777777" w:rsidR="000729CF" w:rsidRPr="000729CF" w:rsidRDefault="000729CF" w:rsidP="000729CF">
            <w:pPr>
              <w:jc w:val="cente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0.1% lower investment return = £0.13m</w:t>
            </w:r>
          </w:p>
        </w:tc>
        <w:tc>
          <w:tcPr>
            <w:tcW w:w="958" w:type="dxa"/>
          </w:tcPr>
          <w:p w14:paraId="14AFBBD6" w14:textId="77777777" w:rsidR="000729CF" w:rsidRPr="000729CF" w:rsidRDefault="000729CF" w:rsidP="000729CF">
            <w:pPr>
              <w:jc w:val="center"/>
              <w:rPr>
                <w:rFonts w:ascii="Arial" w:hAnsi="Arial" w:cs="Arial"/>
                <w:color w:val="000000"/>
                <w:sz w:val="24"/>
                <w:szCs w:val="24"/>
                <w:lang w:val="en-GB" w:eastAsia="en-GB"/>
              </w:rPr>
            </w:pPr>
            <w:r w:rsidRPr="000729CF">
              <w:rPr>
                <w:rFonts w:ascii="Arial" w:hAnsi="Arial" w:cs="Arial"/>
                <w:color w:val="000000"/>
                <w:sz w:val="24"/>
                <w:szCs w:val="24"/>
                <w:lang w:val="en-GB" w:eastAsia="en-GB"/>
              </w:rPr>
              <w:t>6</w:t>
            </w:r>
          </w:p>
        </w:tc>
        <w:tc>
          <w:tcPr>
            <w:tcW w:w="3213" w:type="dxa"/>
          </w:tcPr>
          <w:p w14:paraId="34C5CAFF" w14:textId="77777777" w:rsidR="000729CF" w:rsidRPr="000729CF" w:rsidRDefault="000729CF" w:rsidP="000729CF">
            <w:pPr>
              <w:tabs>
                <w:tab w:val="center" w:pos="4153"/>
                <w:tab w:val="right" w:pos="8306"/>
              </w:tabs>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Would need more reserves to cover any shortfall in the investment interest budget.</w:t>
            </w:r>
          </w:p>
        </w:tc>
        <w:tc>
          <w:tcPr>
            <w:tcW w:w="3685" w:type="dxa"/>
          </w:tcPr>
          <w:p w14:paraId="230972B4" w14:textId="77777777" w:rsidR="000729CF" w:rsidRPr="000729CF" w:rsidRDefault="000729CF" w:rsidP="000729CF">
            <w:pPr>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 xml:space="preserve">Keep investment strategy under constant review as investment rates have rapidly increased with base rate increases but will reverse if base rates reduce in the future.  </w:t>
            </w:r>
          </w:p>
          <w:p w14:paraId="3C82239B" w14:textId="77777777" w:rsidR="000729CF" w:rsidRPr="000729CF" w:rsidRDefault="000729CF" w:rsidP="000729CF">
            <w:pPr>
              <w:tabs>
                <w:tab w:val="center" w:pos="4153"/>
                <w:tab w:val="right" w:pos="8306"/>
              </w:tabs>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Work with Treasury Advisers to maximise return within agreed risk parameters.</w:t>
            </w:r>
          </w:p>
          <w:p w14:paraId="679CBE55" w14:textId="77777777" w:rsidR="000729CF" w:rsidRPr="000729CF" w:rsidRDefault="000729CF" w:rsidP="000729CF">
            <w:pPr>
              <w:tabs>
                <w:tab w:val="center" w:pos="4153"/>
                <w:tab w:val="right" w:pos="8306"/>
              </w:tabs>
              <w:rPr>
                <w:rFonts w:ascii="Arial" w:hAnsi="Arial" w:cs="Arial"/>
                <w:snapToGrid w:val="0"/>
                <w:color w:val="000000"/>
                <w:sz w:val="24"/>
                <w:szCs w:val="24"/>
                <w:lang w:val="en-GB"/>
              </w:rPr>
            </w:pPr>
            <w:r w:rsidRPr="000729CF">
              <w:rPr>
                <w:rFonts w:ascii="Arial" w:hAnsi="Arial" w:cs="Arial"/>
                <w:snapToGrid w:val="0"/>
                <w:color w:val="000000"/>
                <w:sz w:val="24"/>
                <w:szCs w:val="24"/>
                <w:lang w:val="en-GB"/>
              </w:rPr>
              <w:t>Seek decisions from members for changes to risk appetite, counterparties or investment strategy if market availability moves outside of current parameters.</w:t>
            </w:r>
          </w:p>
        </w:tc>
      </w:tr>
    </w:tbl>
    <w:p w14:paraId="183C6069" w14:textId="77777777" w:rsidR="000729CF" w:rsidRPr="000729CF" w:rsidRDefault="000729CF" w:rsidP="000729CF">
      <w:pPr>
        <w:spacing w:after="40"/>
        <w:rPr>
          <w:rFonts w:ascii="Arial" w:hAnsi="Arial" w:cs="Arial"/>
          <w:color w:val="FF0000"/>
          <w:sz w:val="8"/>
          <w:szCs w:val="8"/>
          <w:lang w:val="en-GB" w:eastAsia="en-GB"/>
        </w:rPr>
      </w:pPr>
    </w:p>
    <w:p w14:paraId="18E48EC7" w14:textId="77777777" w:rsidR="000729CF" w:rsidRDefault="000729CF" w:rsidP="009B058F">
      <w:pPr>
        <w:rPr>
          <w:rFonts w:ascii="Arial" w:hAnsi="Arial" w:cs="Arial"/>
          <w:sz w:val="24"/>
          <w:szCs w:val="24"/>
          <w:lang w:val="en-GB"/>
        </w:rPr>
        <w:sectPr w:rsidR="000729CF" w:rsidSect="009E74DE">
          <w:pgSz w:w="16838" w:h="11906" w:orient="landscape"/>
          <w:pgMar w:top="1134" w:right="1134" w:bottom="1134" w:left="1134" w:header="720" w:footer="720" w:gutter="0"/>
          <w:cols w:space="720"/>
        </w:sectPr>
      </w:pPr>
    </w:p>
    <w:p w14:paraId="63C41282" w14:textId="77777777" w:rsidR="000729CF" w:rsidRPr="000729CF" w:rsidRDefault="000729CF" w:rsidP="000729CF">
      <w:pPr>
        <w:spacing w:after="160" w:line="259" w:lineRule="auto"/>
        <w:rPr>
          <w:rFonts w:ascii="Arial" w:hAnsi="Arial" w:cs="Arial"/>
          <w:b/>
          <w:bCs/>
          <w:sz w:val="28"/>
          <w:szCs w:val="28"/>
          <w:lang w:val="en-GB"/>
        </w:rPr>
      </w:pPr>
      <w:bookmarkStart w:id="73" w:name="_Hlk130291511"/>
      <w:r w:rsidRPr="000729CF">
        <w:rPr>
          <w:rFonts w:ascii="Arial" w:hAnsi="Arial" w:cs="Arial"/>
          <w:b/>
          <w:bCs/>
          <w:sz w:val="28"/>
          <w:szCs w:val="28"/>
          <w:lang w:val="en-GB"/>
        </w:rPr>
        <w:t>Appendix 6</w:t>
      </w:r>
    </w:p>
    <w:p w14:paraId="7406FE15" w14:textId="77777777" w:rsidR="000729CF" w:rsidRPr="000729CF" w:rsidRDefault="000729CF" w:rsidP="000729CF">
      <w:pPr>
        <w:keepNext/>
        <w:keepLines/>
        <w:spacing w:after="160" w:line="259" w:lineRule="auto"/>
        <w:outlineLvl w:val="0"/>
        <w:rPr>
          <w:rFonts w:ascii="Arial" w:hAnsi="Arial" w:cs="Arial"/>
          <w:b/>
          <w:bCs/>
          <w:color w:val="2F5496"/>
          <w:sz w:val="28"/>
          <w:szCs w:val="28"/>
          <w:lang w:val="en-GB"/>
        </w:rPr>
      </w:pPr>
      <w:r w:rsidRPr="000729CF">
        <w:rPr>
          <w:rFonts w:ascii="Arial" w:hAnsi="Arial" w:cs="Arial"/>
          <w:b/>
          <w:bCs/>
          <w:color w:val="2F5496"/>
          <w:sz w:val="28"/>
          <w:szCs w:val="28"/>
          <w:lang w:val="en-GB"/>
        </w:rPr>
        <w:t>Budget Equality Impact Assessment (EIA) 2024/25 – Service Users</w:t>
      </w:r>
    </w:p>
    <w:p w14:paraId="4B4E6B4E" w14:textId="77777777" w:rsidR="000729CF" w:rsidRPr="000729CF" w:rsidRDefault="000729CF" w:rsidP="000729CF">
      <w:pPr>
        <w:spacing w:after="160" w:line="259" w:lineRule="auto"/>
        <w:rPr>
          <w:rFonts w:ascii="Arial" w:eastAsia="Calibri" w:hAnsi="Arial" w:cs="Arial"/>
          <w:sz w:val="24"/>
          <w:szCs w:val="24"/>
          <w:lang w:val="en-GB"/>
        </w:rPr>
      </w:pPr>
    </w:p>
    <w:p w14:paraId="1A777CF5"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The Budget EIA process is a legal duty supporting good financial decision-making. It assesses how proposals may impact on specific groups differently (and whether/how negative impacts can be reduced or avoided) so that these consequences are explicitly considered. Decisions must be informed by accurate, well-informed assessment of likely impacts so that they are fair, transparent, and accountable. Budget EIAs provide a record of this assessment and consideration. </w:t>
      </w:r>
    </w:p>
    <w:p w14:paraId="750192E0" w14:textId="77777777" w:rsidR="000729CF" w:rsidRPr="000729CF" w:rsidRDefault="000729CF" w:rsidP="000729CF">
      <w:pPr>
        <w:spacing w:after="160" w:line="259" w:lineRule="auto"/>
        <w:rPr>
          <w:rFonts w:ascii="Arial" w:eastAsia="Calibri" w:hAnsi="Arial" w:cs="Arial"/>
          <w:iCs/>
          <w:sz w:val="24"/>
          <w:szCs w:val="24"/>
          <w:lang w:val="en-GB"/>
        </w:rPr>
      </w:pPr>
      <w:r w:rsidRPr="000729CF">
        <w:rPr>
          <w:rFonts w:ascii="Arial" w:eastAsia="Calibri" w:hAnsi="Arial" w:cs="Arial"/>
          <w:i/>
          <w:iCs/>
          <w:sz w:val="24"/>
          <w:szCs w:val="24"/>
          <w:lang w:val="en-GB"/>
        </w:rPr>
        <w:t>Members are referred to the full text of s149 of the Equality Act 2010 – included at the end of this document – which must be considered when making decisions on budget proposals.</w:t>
      </w:r>
    </w:p>
    <w:p w14:paraId="586C8D57" w14:textId="77777777" w:rsidR="000729CF" w:rsidRPr="000729CF" w:rsidRDefault="000729CF" w:rsidP="000729CF">
      <w:pPr>
        <w:spacing w:after="160" w:line="259" w:lineRule="auto"/>
        <w:rPr>
          <w:rFonts w:ascii="Arial" w:eastAsia="Calibri" w:hAnsi="Arial" w:cs="Arial"/>
          <w:b/>
          <w:bCs/>
          <w:sz w:val="24"/>
          <w:szCs w:val="24"/>
          <w:lang w:val="en-GB"/>
        </w:rPr>
      </w:pPr>
    </w:p>
    <w:tbl>
      <w:tblPr>
        <w:tblStyle w:val="TableGrid"/>
        <w:tblW w:w="0" w:type="auto"/>
        <w:tblLook w:val="04A0" w:firstRow="1" w:lastRow="0" w:firstColumn="1" w:lastColumn="0" w:noHBand="0" w:noVBand="1"/>
      </w:tblPr>
      <w:tblGrid>
        <w:gridCol w:w="3485"/>
        <w:gridCol w:w="5866"/>
        <w:gridCol w:w="1105"/>
      </w:tblGrid>
      <w:tr w:rsidR="000729CF" w:rsidRPr="000729CF" w14:paraId="112340BA" w14:textId="77777777" w:rsidTr="000729CF">
        <w:tc>
          <w:tcPr>
            <w:tcW w:w="10456" w:type="dxa"/>
            <w:gridSpan w:val="3"/>
            <w:shd w:val="clear" w:color="auto" w:fill="BFBFBF"/>
          </w:tcPr>
          <w:p w14:paraId="57772715"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sz w:val="24"/>
                <w:szCs w:val="24"/>
              </w:rPr>
              <w:t>Equality impact assessments describing impacts on service-users</w:t>
            </w:r>
          </w:p>
        </w:tc>
      </w:tr>
      <w:tr w:rsidR="000729CF" w:rsidRPr="000729CF" w14:paraId="3FBA1F42" w14:textId="77777777" w:rsidTr="00BC26AB">
        <w:tc>
          <w:tcPr>
            <w:tcW w:w="3485" w:type="dxa"/>
          </w:tcPr>
          <w:p w14:paraId="1076C8DC"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Directorates</w:t>
            </w:r>
          </w:p>
        </w:tc>
        <w:tc>
          <w:tcPr>
            <w:tcW w:w="5866" w:type="dxa"/>
          </w:tcPr>
          <w:p w14:paraId="3804569F"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Services</w:t>
            </w:r>
          </w:p>
        </w:tc>
        <w:tc>
          <w:tcPr>
            <w:tcW w:w="1105" w:type="dxa"/>
          </w:tcPr>
          <w:p w14:paraId="197BDC2B"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EIA no.</w:t>
            </w:r>
          </w:p>
        </w:tc>
      </w:tr>
      <w:tr w:rsidR="000729CF" w:rsidRPr="000729CF" w14:paraId="707C53D8" w14:textId="77777777" w:rsidTr="00BC26AB">
        <w:tc>
          <w:tcPr>
            <w:tcW w:w="3485" w:type="dxa"/>
            <w:vMerge w:val="restart"/>
          </w:tcPr>
          <w:p w14:paraId="624E054F"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Families, Children and Learning</w:t>
            </w:r>
          </w:p>
        </w:tc>
        <w:tc>
          <w:tcPr>
            <w:tcW w:w="5866" w:type="dxa"/>
          </w:tcPr>
          <w:p w14:paraId="662E9BD6"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Drove Road and Tudor House</w:t>
            </w:r>
          </w:p>
        </w:tc>
        <w:tc>
          <w:tcPr>
            <w:tcW w:w="1105" w:type="dxa"/>
          </w:tcPr>
          <w:p w14:paraId="251D4F6A"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1</w:t>
            </w:r>
          </w:p>
        </w:tc>
      </w:tr>
      <w:tr w:rsidR="000729CF" w:rsidRPr="000729CF" w14:paraId="640C8EB2" w14:textId="77777777" w:rsidTr="00BC26AB">
        <w:tc>
          <w:tcPr>
            <w:tcW w:w="3485" w:type="dxa"/>
            <w:vMerge/>
          </w:tcPr>
          <w:p w14:paraId="6CA98A77" w14:textId="77777777" w:rsidR="000729CF" w:rsidRPr="000729CF" w:rsidRDefault="000729CF" w:rsidP="000729CF">
            <w:pPr>
              <w:rPr>
                <w:rFonts w:ascii="Arial" w:eastAsia="Calibri" w:hAnsi="Arial" w:cs="Arial"/>
                <w:b/>
                <w:bCs/>
                <w:sz w:val="24"/>
                <w:szCs w:val="24"/>
              </w:rPr>
            </w:pPr>
          </w:p>
        </w:tc>
        <w:tc>
          <w:tcPr>
            <w:tcW w:w="5866" w:type="dxa"/>
          </w:tcPr>
          <w:p w14:paraId="3F31E0F4"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Outreach services</w:t>
            </w:r>
          </w:p>
        </w:tc>
        <w:tc>
          <w:tcPr>
            <w:tcW w:w="1105" w:type="dxa"/>
          </w:tcPr>
          <w:p w14:paraId="778FD5DE"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2</w:t>
            </w:r>
          </w:p>
        </w:tc>
      </w:tr>
      <w:tr w:rsidR="000729CF" w:rsidRPr="000729CF" w14:paraId="04171710" w14:textId="77777777" w:rsidTr="00BC26AB">
        <w:tc>
          <w:tcPr>
            <w:tcW w:w="3485" w:type="dxa"/>
            <w:vMerge/>
          </w:tcPr>
          <w:p w14:paraId="50CB35FA" w14:textId="77777777" w:rsidR="000729CF" w:rsidRPr="000729CF" w:rsidRDefault="000729CF" w:rsidP="000729CF">
            <w:pPr>
              <w:rPr>
                <w:rFonts w:ascii="Arial" w:eastAsia="Calibri" w:hAnsi="Arial" w:cs="Arial"/>
                <w:b/>
                <w:bCs/>
                <w:sz w:val="24"/>
                <w:szCs w:val="24"/>
              </w:rPr>
            </w:pPr>
          </w:p>
        </w:tc>
        <w:tc>
          <w:tcPr>
            <w:tcW w:w="5866" w:type="dxa"/>
          </w:tcPr>
          <w:p w14:paraId="1EE2A691"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Disability placements</w:t>
            </w:r>
          </w:p>
        </w:tc>
        <w:tc>
          <w:tcPr>
            <w:tcW w:w="1105" w:type="dxa"/>
          </w:tcPr>
          <w:p w14:paraId="781CCDFB"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3</w:t>
            </w:r>
          </w:p>
        </w:tc>
      </w:tr>
      <w:tr w:rsidR="000729CF" w:rsidRPr="000729CF" w14:paraId="42B6FCD8" w14:textId="77777777" w:rsidTr="00BC26AB">
        <w:tc>
          <w:tcPr>
            <w:tcW w:w="3485" w:type="dxa"/>
            <w:vMerge/>
          </w:tcPr>
          <w:p w14:paraId="04DC847A" w14:textId="77777777" w:rsidR="000729CF" w:rsidRPr="000729CF" w:rsidRDefault="000729CF" w:rsidP="000729CF">
            <w:pPr>
              <w:rPr>
                <w:rFonts w:ascii="Arial" w:eastAsia="Calibri" w:hAnsi="Arial" w:cs="Arial"/>
                <w:b/>
                <w:bCs/>
                <w:sz w:val="24"/>
                <w:szCs w:val="24"/>
              </w:rPr>
            </w:pPr>
          </w:p>
        </w:tc>
        <w:tc>
          <w:tcPr>
            <w:tcW w:w="5866" w:type="dxa"/>
          </w:tcPr>
          <w:p w14:paraId="1AD2F09F"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School improvement – environmental education</w:t>
            </w:r>
          </w:p>
        </w:tc>
        <w:tc>
          <w:tcPr>
            <w:tcW w:w="1105" w:type="dxa"/>
          </w:tcPr>
          <w:p w14:paraId="2965D55C"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4</w:t>
            </w:r>
          </w:p>
        </w:tc>
      </w:tr>
      <w:tr w:rsidR="000729CF" w:rsidRPr="000729CF" w14:paraId="1C22805F" w14:textId="77777777" w:rsidTr="00BC26AB">
        <w:tc>
          <w:tcPr>
            <w:tcW w:w="3485" w:type="dxa"/>
            <w:vMerge/>
          </w:tcPr>
          <w:p w14:paraId="010EBCD2" w14:textId="77777777" w:rsidR="000729CF" w:rsidRPr="000729CF" w:rsidRDefault="000729CF" w:rsidP="000729CF">
            <w:pPr>
              <w:rPr>
                <w:rFonts w:ascii="Arial" w:eastAsia="Calibri" w:hAnsi="Arial" w:cs="Arial"/>
                <w:b/>
                <w:bCs/>
                <w:sz w:val="24"/>
                <w:szCs w:val="24"/>
              </w:rPr>
            </w:pPr>
          </w:p>
        </w:tc>
        <w:tc>
          <w:tcPr>
            <w:tcW w:w="5866" w:type="dxa"/>
          </w:tcPr>
          <w:p w14:paraId="2D6E694E"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Youth led grants</w:t>
            </w:r>
          </w:p>
        </w:tc>
        <w:tc>
          <w:tcPr>
            <w:tcW w:w="1105" w:type="dxa"/>
          </w:tcPr>
          <w:p w14:paraId="7FCAA4D5"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5</w:t>
            </w:r>
          </w:p>
        </w:tc>
      </w:tr>
      <w:tr w:rsidR="000729CF" w:rsidRPr="000729CF" w14:paraId="3638278F" w14:textId="77777777" w:rsidTr="00BC26AB">
        <w:tc>
          <w:tcPr>
            <w:tcW w:w="3485" w:type="dxa"/>
            <w:vMerge/>
          </w:tcPr>
          <w:p w14:paraId="72A3777A" w14:textId="77777777" w:rsidR="000729CF" w:rsidRPr="000729CF" w:rsidRDefault="000729CF" w:rsidP="000729CF">
            <w:pPr>
              <w:rPr>
                <w:rFonts w:ascii="Arial" w:eastAsia="Calibri" w:hAnsi="Arial" w:cs="Arial"/>
                <w:b/>
                <w:bCs/>
                <w:sz w:val="24"/>
                <w:szCs w:val="24"/>
              </w:rPr>
            </w:pPr>
          </w:p>
        </w:tc>
        <w:tc>
          <w:tcPr>
            <w:tcW w:w="5866" w:type="dxa"/>
          </w:tcPr>
          <w:p w14:paraId="042B81A7"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Family hubs</w:t>
            </w:r>
          </w:p>
        </w:tc>
        <w:tc>
          <w:tcPr>
            <w:tcW w:w="1105" w:type="dxa"/>
          </w:tcPr>
          <w:p w14:paraId="1419A0BD"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6</w:t>
            </w:r>
          </w:p>
        </w:tc>
      </w:tr>
      <w:tr w:rsidR="000729CF" w:rsidRPr="000729CF" w14:paraId="17538249" w14:textId="77777777" w:rsidTr="00BC26AB">
        <w:tc>
          <w:tcPr>
            <w:tcW w:w="3485" w:type="dxa"/>
            <w:vMerge/>
          </w:tcPr>
          <w:p w14:paraId="23527BEE" w14:textId="77777777" w:rsidR="000729CF" w:rsidRPr="000729CF" w:rsidRDefault="000729CF" w:rsidP="000729CF">
            <w:pPr>
              <w:rPr>
                <w:rFonts w:ascii="Arial" w:eastAsia="Calibri" w:hAnsi="Arial" w:cs="Arial"/>
                <w:b/>
                <w:bCs/>
                <w:sz w:val="24"/>
                <w:szCs w:val="24"/>
              </w:rPr>
            </w:pPr>
          </w:p>
        </w:tc>
        <w:tc>
          <w:tcPr>
            <w:tcW w:w="5866" w:type="dxa"/>
          </w:tcPr>
          <w:p w14:paraId="2E693147"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Contact service</w:t>
            </w:r>
          </w:p>
        </w:tc>
        <w:tc>
          <w:tcPr>
            <w:tcW w:w="1105" w:type="dxa"/>
          </w:tcPr>
          <w:p w14:paraId="14944624"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7</w:t>
            </w:r>
          </w:p>
        </w:tc>
      </w:tr>
      <w:tr w:rsidR="000729CF" w:rsidRPr="000729CF" w14:paraId="359856AC" w14:textId="77777777" w:rsidTr="00BC26AB">
        <w:tc>
          <w:tcPr>
            <w:tcW w:w="3485" w:type="dxa"/>
            <w:vMerge/>
          </w:tcPr>
          <w:p w14:paraId="79B9EEA0" w14:textId="77777777" w:rsidR="000729CF" w:rsidRPr="000729CF" w:rsidRDefault="000729CF" w:rsidP="000729CF">
            <w:pPr>
              <w:rPr>
                <w:rFonts w:ascii="Arial" w:eastAsia="Calibri" w:hAnsi="Arial" w:cs="Arial"/>
                <w:b/>
                <w:bCs/>
                <w:sz w:val="24"/>
                <w:szCs w:val="24"/>
              </w:rPr>
            </w:pPr>
          </w:p>
        </w:tc>
        <w:tc>
          <w:tcPr>
            <w:tcW w:w="5866" w:type="dxa"/>
          </w:tcPr>
          <w:p w14:paraId="6D047499"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CSC placements</w:t>
            </w:r>
          </w:p>
        </w:tc>
        <w:tc>
          <w:tcPr>
            <w:tcW w:w="1105" w:type="dxa"/>
          </w:tcPr>
          <w:p w14:paraId="5EF9F0D0"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8</w:t>
            </w:r>
          </w:p>
        </w:tc>
      </w:tr>
      <w:tr w:rsidR="000729CF" w:rsidRPr="000729CF" w14:paraId="2669E0A0" w14:textId="77777777" w:rsidTr="00BC26AB">
        <w:tc>
          <w:tcPr>
            <w:tcW w:w="3485" w:type="dxa"/>
            <w:vMerge/>
          </w:tcPr>
          <w:p w14:paraId="3041C8AC" w14:textId="77777777" w:rsidR="000729CF" w:rsidRPr="000729CF" w:rsidRDefault="000729CF" w:rsidP="000729CF">
            <w:pPr>
              <w:rPr>
                <w:rFonts w:ascii="Arial" w:eastAsia="Calibri" w:hAnsi="Arial" w:cs="Arial"/>
                <w:b/>
                <w:bCs/>
                <w:sz w:val="24"/>
                <w:szCs w:val="24"/>
              </w:rPr>
            </w:pPr>
          </w:p>
        </w:tc>
        <w:tc>
          <w:tcPr>
            <w:tcW w:w="5866" w:type="dxa"/>
          </w:tcPr>
          <w:p w14:paraId="66BC2D33"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Partners in Change</w:t>
            </w:r>
          </w:p>
        </w:tc>
        <w:tc>
          <w:tcPr>
            <w:tcW w:w="1105" w:type="dxa"/>
          </w:tcPr>
          <w:p w14:paraId="5C1ED8A4"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9</w:t>
            </w:r>
          </w:p>
        </w:tc>
      </w:tr>
      <w:tr w:rsidR="000729CF" w:rsidRPr="000729CF" w14:paraId="5AC0D070" w14:textId="77777777" w:rsidTr="00BC26AB">
        <w:tc>
          <w:tcPr>
            <w:tcW w:w="3485" w:type="dxa"/>
            <w:vMerge w:val="restart"/>
          </w:tcPr>
          <w:p w14:paraId="46DB13D2"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Health &amp; Adult Social Care</w:t>
            </w:r>
          </w:p>
        </w:tc>
        <w:tc>
          <w:tcPr>
            <w:tcW w:w="5866" w:type="dxa"/>
          </w:tcPr>
          <w:p w14:paraId="5D9433E2"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Community care</w:t>
            </w:r>
          </w:p>
        </w:tc>
        <w:tc>
          <w:tcPr>
            <w:tcW w:w="1105" w:type="dxa"/>
          </w:tcPr>
          <w:p w14:paraId="199741B7"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10</w:t>
            </w:r>
          </w:p>
        </w:tc>
      </w:tr>
      <w:tr w:rsidR="000729CF" w:rsidRPr="000729CF" w14:paraId="102FE1A9" w14:textId="77777777" w:rsidTr="00BC26AB">
        <w:tc>
          <w:tcPr>
            <w:tcW w:w="3485" w:type="dxa"/>
            <w:vMerge/>
          </w:tcPr>
          <w:p w14:paraId="3209330D" w14:textId="77777777" w:rsidR="000729CF" w:rsidRPr="000729CF" w:rsidRDefault="000729CF" w:rsidP="000729CF">
            <w:pPr>
              <w:rPr>
                <w:rFonts w:ascii="Arial" w:eastAsia="Calibri" w:hAnsi="Arial" w:cs="Arial"/>
                <w:b/>
                <w:bCs/>
                <w:sz w:val="24"/>
                <w:szCs w:val="24"/>
              </w:rPr>
            </w:pPr>
          </w:p>
        </w:tc>
        <w:tc>
          <w:tcPr>
            <w:tcW w:w="5866" w:type="dxa"/>
          </w:tcPr>
          <w:p w14:paraId="25F855D0"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Provider services</w:t>
            </w:r>
          </w:p>
        </w:tc>
        <w:tc>
          <w:tcPr>
            <w:tcW w:w="1105" w:type="dxa"/>
          </w:tcPr>
          <w:p w14:paraId="4300C91B"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11</w:t>
            </w:r>
          </w:p>
        </w:tc>
      </w:tr>
      <w:tr w:rsidR="000729CF" w:rsidRPr="000729CF" w14:paraId="3B36B5F1" w14:textId="77777777" w:rsidTr="00BC26AB">
        <w:tc>
          <w:tcPr>
            <w:tcW w:w="3485" w:type="dxa"/>
            <w:vMerge/>
          </w:tcPr>
          <w:p w14:paraId="17F0C380" w14:textId="77777777" w:rsidR="000729CF" w:rsidRPr="000729CF" w:rsidRDefault="000729CF" w:rsidP="000729CF">
            <w:pPr>
              <w:rPr>
                <w:rFonts w:ascii="Arial" w:eastAsia="Calibri" w:hAnsi="Arial" w:cs="Arial"/>
                <w:b/>
                <w:bCs/>
                <w:sz w:val="24"/>
                <w:szCs w:val="24"/>
              </w:rPr>
            </w:pPr>
          </w:p>
        </w:tc>
        <w:tc>
          <w:tcPr>
            <w:tcW w:w="5866" w:type="dxa"/>
          </w:tcPr>
          <w:p w14:paraId="0A88B455"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Commissioning grant</w:t>
            </w:r>
          </w:p>
        </w:tc>
        <w:tc>
          <w:tcPr>
            <w:tcW w:w="1105" w:type="dxa"/>
          </w:tcPr>
          <w:p w14:paraId="397AE883"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12</w:t>
            </w:r>
          </w:p>
        </w:tc>
      </w:tr>
      <w:tr w:rsidR="000729CF" w:rsidRPr="000729CF" w14:paraId="4C53AF15" w14:textId="77777777" w:rsidTr="00BC26AB">
        <w:tc>
          <w:tcPr>
            <w:tcW w:w="3485" w:type="dxa"/>
            <w:vMerge/>
          </w:tcPr>
          <w:p w14:paraId="3CEEBBE9" w14:textId="77777777" w:rsidR="000729CF" w:rsidRPr="000729CF" w:rsidRDefault="000729CF" w:rsidP="000729CF">
            <w:pPr>
              <w:rPr>
                <w:rFonts w:ascii="Arial" w:eastAsia="Calibri" w:hAnsi="Arial" w:cs="Arial"/>
                <w:b/>
                <w:bCs/>
                <w:sz w:val="24"/>
                <w:szCs w:val="24"/>
              </w:rPr>
            </w:pPr>
          </w:p>
        </w:tc>
        <w:tc>
          <w:tcPr>
            <w:tcW w:w="5866" w:type="dxa"/>
          </w:tcPr>
          <w:p w14:paraId="2DABBFEC"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Commissioning support with confidence</w:t>
            </w:r>
          </w:p>
        </w:tc>
        <w:tc>
          <w:tcPr>
            <w:tcW w:w="1105" w:type="dxa"/>
          </w:tcPr>
          <w:p w14:paraId="30EE9840"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13</w:t>
            </w:r>
          </w:p>
        </w:tc>
      </w:tr>
      <w:tr w:rsidR="000729CF" w:rsidRPr="000729CF" w14:paraId="024CE900" w14:textId="77777777" w:rsidTr="00BC26AB">
        <w:tc>
          <w:tcPr>
            <w:tcW w:w="3485" w:type="dxa"/>
            <w:vMerge/>
          </w:tcPr>
          <w:p w14:paraId="41709EAE" w14:textId="77777777" w:rsidR="000729CF" w:rsidRPr="000729CF" w:rsidRDefault="000729CF" w:rsidP="000729CF">
            <w:pPr>
              <w:rPr>
                <w:rFonts w:ascii="Arial" w:eastAsia="Calibri" w:hAnsi="Arial" w:cs="Arial"/>
                <w:b/>
                <w:bCs/>
                <w:sz w:val="24"/>
                <w:szCs w:val="24"/>
              </w:rPr>
            </w:pPr>
          </w:p>
        </w:tc>
        <w:tc>
          <w:tcPr>
            <w:tcW w:w="5866" w:type="dxa"/>
          </w:tcPr>
          <w:p w14:paraId="18846230"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Sensory services</w:t>
            </w:r>
          </w:p>
        </w:tc>
        <w:tc>
          <w:tcPr>
            <w:tcW w:w="1105" w:type="dxa"/>
          </w:tcPr>
          <w:p w14:paraId="29B79146"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14</w:t>
            </w:r>
          </w:p>
        </w:tc>
      </w:tr>
      <w:tr w:rsidR="000729CF" w:rsidRPr="000729CF" w14:paraId="37CCCC03" w14:textId="77777777" w:rsidTr="00BC26AB">
        <w:tc>
          <w:tcPr>
            <w:tcW w:w="3485" w:type="dxa"/>
            <w:vMerge w:val="restart"/>
          </w:tcPr>
          <w:p w14:paraId="5B934BD0"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Environment, Economy and Culture</w:t>
            </w:r>
          </w:p>
        </w:tc>
        <w:tc>
          <w:tcPr>
            <w:tcW w:w="5866" w:type="dxa"/>
          </w:tcPr>
          <w:p w14:paraId="3CD047DA"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Supported buses</w:t>
            </w:r>
          </w:p>
        </w:tc>
        <w:tc>
          <w:tcPr>
            <w:tcW w:w="1105" w:type="dxa"/>
          </w:tcPr>
          <w:p w14:paraId="1D614625"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15</w:t>
            </w:r>
          </w:p>
        </w:tc>
      </w:tr>
      <w:tr w:rsidR="000729CF" w:rsidRPr="000729CF" w14:paraId="619D29AF" w14:textId="77777777" w:rsidTr="00BC26AB">
        <w:tc>
          <w:tcPr>
            <w:tcW w:w="3485" w:type="dxa"/>
            <w:vMerge/>
          </w:tcPr>
          <w:p w14:paraId="46BB6F5F" w14:textId="77777777" w:rsidR="000729CF" w:rsidRPr="000729CF" w:rsidRDefault="000729CF" w:rsidP="000729CF">
            <w:pPr>
              <w:rPr>
                <w:rFonts w:ascii="Arial" w:eastAsia="Calibri" w:hAnsi="Arial" w:cs="Arial"/>
                <w:b/>
                <w:bCs/>
                <w:sz w:val="24"/>
                <w:szCs w:val="24"/>
              </w:rPr>
            </w:pPr>
          </w:p>
        </w:tc>
        <w:tc>
          <w:tcPr>
            <w:tcW w:w="5866" w:type="dxa"/>
          </w:tcPr>
          <w:p w14:paraId="1FAC7903"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 xml:space="preserve">Parking </w:t>
            </w:r>
          </w:p>
        </w:tc>
        <w:tc>
          <w:tcPr>
            <w:tcW w:w="1105" w:type="dxa"/>
          </w:tcPr>
          <w:p w14:paraId="36AB3857"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16</w:t>
            </w:r>
          </w:p>
        </w:tc>
      </w:tr>
      <w:tr w:rsidR="000729CF" w:rsidRPr="000729CF" w14:paraId="48F55251" w14:textId="77777777" w:rsidTr="00BC26AB">
        <w:tc>
          <w:tcPr>
            <w:tcW w:w="3485" w:type="dxa"/>
            <w:vMerge/>
          </w:tcPr>
          <w:p w14:paraId="655514BC" w14:textId="77777777" w:rsidR="000729CF" w:rsidRPr="000729CF" w:rsidRDefault="000729CF" w:rsidP="000729CF">
            <w:pPr>
              <w:rPr>
                <w:rFonts w:ascii="Arial" w:eastAsia="Calibri" w:hAnsi="Arial" w:cs="Arial"/>
                <w:b/>
                <w:bCs/>
                <w:sz w:val="24"/>
                <w:szCs w:val="24"/>
              </w:rPr>
            </w:pPr>
          </w:p>
        </w:tc>
        <w:tc>
          <w:tcPr>
            <w:tcW w:w="5866" w:type="dxa"/>
          </w:tcPr>
          <w:p w14:paraId="0C095B4C"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Public toilets</w:t>
            </w:r>
          </w:p>
        </w:tc>
        <w:tc>
          <w:tcPr>
            <w:tcW w:w="1105" w:type="dxa"/>
          </w:tcPr>
          <w:p w14:paraId="5E0034C5"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17</w:t>
            </w:r>
          </w:p>
        </w:tc>
      </w:tr>
      <w:tr w:rsidR="000729CF" w:rsidRPr="000729CF" w14:paraId="66B69908" w14:textId="77777777" w:rsidTr="00BC26AB">
        <w:tc>
          <w:tcPr>
            <w:tcW w:w="3485" w:type="dxa"/>
            <w:vMerge/>
          </w:tcPr>
          <w:p w14:paraId="0663C4B9" w14:textId="77777777" w:rsidR="000729CF" w:rsidRPr="000729CF" w:rsidRDefault="000729CF" w:rsidP="000729CF">
            <w:pPr>
              <w:rPr>
                <w:rFonts w:ascii="Arial" w:eastAsia="Calibri" w:hAnsi="Arial" w:cs="Arial"/>
                <w:b/>
                <w:bCs/>
                <w:sz w:val="24"/>
                <w:szCs w:val="24"/>
              </w:rPr>
            </w:pPr>
          </w:p>
        </w:tc>
        <w:tc>
          <w:tcPr>
            <w:tcW w:w="5866" w:type="dxa"/>
          </w:tcPr>
          <w:p w14:paraId="3C7E91C6"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Bowling greens</w:t>
            </w:r>
          </w:p>
        </w:tc>
        <w:tc>
          <w:tcPr>
            <w:tcW w:w="1105" w:type="dxa"/>
          </w:tcPr>
          <w:p w14:paraId="5EAB24FB"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18</w:t>
            </w:r>
          </w:p>
        </w:tc>
      </w:tr>
      <w:tr w:rsidR="000729CF" w:rsidRPr="000729CF" w14:paraId="38888A99" w14:textId="77777777" w:rsidTr="00BC26AB">
        <w:tc>
          <w:tcPr>
            <w:tcW w:w="3485" w:type="dxa"/>
            <w:vMerge/>
          </w:tcPr>
          <w:p w14:paraId="0619BEAC" w14:textId="77777777" w:rsidR="000729CF" w:rsidRPr="000729CF" w:rsidRDefault="000729CF" w:rsidP="000729CF">
            <w:pPr>
              <w:rPr>
                <w:rFonts w:ascii="Arial" w:eastAsia="Calibri" w:hAnsi="Arial" w:cs="Arial"/>
                <w:b/>
                <w:bCs/>
                <w:sz w:val="24"/>
                <w:szCs w:val="24"/>
              </w:rPr>
            </w:pPr>
          </w:p>
        </w:tc>
        <w:tc>
          <w:tcPr>
            <w:tcW w:w="5866" w:type="dxa"/>
          </w:tcPr>
          <w:p w14:paraId="24B47C24"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Brighton Centre facility fee</w:t>
            </w:r>
          </w:p>
        </w:tc>
        <w:tc>
          <w:tcPr>
            <w:tcW w:w="1105" w:type="dxa"/>
          </w:tcPr>
          <w:p w14:paraId="3B0B38A3"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19</w:t>
            </w:r>
          </w:p>
        </w:tc>
      </w:tr>
      <w:tr w:rsidR="000729CF" w:rsidRPr="000729CF" w14:paraId="67171F77" w14:textId="77777777" w:rsidTr="00BC26AB">
        <w:tc>
          <w:tcPr>
            <w:tcW w:w="3485" w:type="dxa"/>
            <w:vMerge/>
          </w:tcPr>
          <w:p w14:paraId="6939F110" w14:textId="77777777" w:rsidR="000729CF" w:rsidRPr="000729CF" w:rsidRDefault="000729CF" w:rsidP="000729CF">
            <w:pPr>
              <w:rPr>
                <w:rFonts w:ascii="Arial" w:eastAsia="Calibri" w:hAnsi="Arial" w:cs="Arial"/>
                <w:b/>
                <w:bCs/>
                <w:sz w:val="24"/>
                <w:szCs w:val="24"/>
              </w:rPr>
            </w:pPr>
          </w:p>
        </w:tc>
        <w:tc>
          <w:tcPr>
            <w:tcW w:w="5866" w:type="dxa"/>
          </w:tcPr>
          <w:p w14:paraId="6EE1D8B6"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Beach hut transfer fee</w:t>
            </w:r>
          </w:p>
        </w:tc>
        <w:tc>
          <w:tcPr>
            <w:tcW w:w="1105" w:type="dxa"/>
          </w:tcPr>
          <w:p w14:paraId="6943BF84"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20</w:t>
            </w:r>
          </w:p>
        </w:tc>
      </w:tr>
      <w:tr w:rsidR="000729CF" w:rsidRPr="000729CF" w14:paraId="4B9B44A9" w14:textId="77777777" w:rsidTr="00BC26AB">
        <w:tc>
          <w:tcPr>
            <w:tcW w:w="3485" w:type="dxa"/>
            <w:vMerge w:val="restart"/>
          </w:tcPr>
          <w:p w14:paraId="7D1F0360"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Housing, Neighbourhoods and Communities</w:t>
            </w:r>
          </w:p>
        </w:tc>
        <w:tc>
          <w:tcPr>
            <w:tcW w:w="5866" w:type="dxa"/>
          </w:tcPr>
          <w:p w14:paraId="29D17057"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Homelessness transformation</w:t>
            </w:r>
          </w:p>
        </w:tc>
        <w:tc>
          <w:tcPr>
            <w:tcW w:w="1105" w:type="dxa"/>
          </w:tcPr>
          <w:p w14:paraId="62CF73D3"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21</w:t>
            </w:r>
          </w:p>
        </w:tc>
      </w:tr>
      <w:tr w:rsidR="000729CF" w:rsidRPr="000729CF" w14:paraId="18B8E307" w14:textId="77777777" w:rsidTr="00BC26AB">
        <w:tc>
          <w:tcPr>
            <w:tcW w:w="3485" w:type="dxa"/>
            <w:vMerge/>
          </w:tcPr>
          <w:p w14:paraId="1EA5ED86" w14:textId="77777777" w:rsidR="000729CF" w:rsidRPr="000729CF" w:rsidRDefault="000729CF" w:rsidP="000729CF">
            <w:pPr>
              <w:rPr>
                <w:rFonts w:ascii="Arial" w:eastAsia="Calibri" w:hAnsi="Arial" w:cs="Arial"/>
                <w:b/>
                <w:bCs/>
                <w:sz w:val="24"/>
                <w:szCs w:val="24"/>
              </w:rPr>
            </w:pPr>
          </w:p>
        </w:tc>
        <w:tc>
          <w:tcPr>
            <w:tcW w:w="5866" w:type="dxa"/>
          </w:tcPr>
          <w:p w14:paraId="5E95F742"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Supported accommodation</w:t>
            </w:r>
          </w:p>
        </w:tc>
        <w:tc>
          <w:tcPr>
            <w:tcW w:w="1105" w:type="dxa"/>
          </w:tcPr>
          <w:p w14:paraId="3A3B870D"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22</w:t>
            </w:r>
          </w:p>
        </w:tc>
      </w:tr>
      <w:tr w:rsidR="000729CF" w:rsidRPr="000729CF" w14:paraId="5E17F2B7" w14:textId="77777777" w:rsidTr="00BC26AB">
        <w:tc>
          <w:tcPr>
            <w:tcW w:w="3485" w:type="dxa"/>
            <w:vMerge/>
          </w:tcPr>
          <w:p w14:paraId="07EA4D34" w14:textId="77777777" w:rsidR="000729CF" w:rsidRPr="000729CF" w:rsidRDefault="000729CF" w:rsidP="000729CF">
            <w:pPr>
              <w:rPr>
                <w:rFonts w:ascii="Arial" w:eastAsia="Calibri" w:hAnsi="Arial" w:cs="Arial"/>
                <w:b/>
                <w:bCs/>
                <w:sz w:val="24"/>
                <w:szCs w:val="24"/>
              </w:rPr>
            </w:pPr>
          </w:p>
        </w:tc>
        <w:tc>
          <w:tcPr>
            <w:tcW w:w="5866" w:type="dxa"/>
          </w:tcPr>
          <w:p w14:paraId="42A06635"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Third sector commission</w:t>
            </w:r>
          </w:p>
        </w:tc>
        <w:tc>
          <w:tcPr>
            <w:tcW w:w="1105" w:type="dxa"/>
          </w:tcPr>
          <w:p w14:paraId="1E7DE070"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23</w:t>
            </w:r>
          </w:p>
        </w:tc>
      </w:tr>
      <w:tr w:rsidR="000729CF" w:rsidRPr="000729CF" w14:paraId="60C12D0E" w14:textId="77777777" w:rsidTr="00BC26AB">
        <w:tc>
          <w:tcPr>
            <w:tcW w:w="3485" w:type="dxa"/>
            <w:vMerge/>
          </w:tcPr>
          <w:p w14:paraId="57C74200" w14:textId="77777777" w:rsidR="000729CF" w:rsidRPr="000729CF" w:rsidRDefault="000729CF" w:rsidP="000729CF">
            <w:pPr>
              <w:rPr>
                <w:rFonts w:ascii="Arial" w:eastAsia="Calibri" w:hAnsi="Arial" w:cs="Arial"/>
                <w:b/>
                <w:bCs/>
                <w:sz w:val="24"/>
                <w:szCs w:val="24"/>
              </w:rPr>
            </w:pPr>
          </w:p>
        </w:tc>
        <w:tc>
          <w:tcPr>
            <w:tcW w:w="5866" w:type="dxa"/>
          </w:tcPr>
          <w:p w14:paraId="123BECF1"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Communities</w:t>
            </w:r>
          </w:p>
        </w:tc>
        <w:tc>
          <w:tcPr>
            <w:tcW w:w="1105" w:type="dxa"/>
          </w:tcPr>
          <w:p w14:paraId="1FFDA575"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24</w:t>
            </w:r>
          </w:p>
        </w:tc>
      </w:tr>
      <w:tr w:rsidR="000729CF" w:rsidRPr="000729CF" w14:paraId="02A99BBB" w14:textId="77777777" w:rsidTr="00BC26AB">
        <w:tc>
          <w:tcPr>
            <w:tcW w:w="3485" w:type="dxa"/>
            <w:vMerge/>
          </w:tcPr>
          <w:p w14:paraId="6DEA4AB9" w14:textId="77777777" w:rsidR="000729CF" w:rsidRPr="000729CF" w:rsidRDefault="000729CF" w:rsidP="000729CF">
            <w:pPr>
              <w:rPr>
                <w:rFonts w:ascii="Arial" w:eastAsia="Calibri" w:hAnsi="Arial" w:cs="Arial"/>
                <w:b/>
                <w:bCs/>
                <w:sz w:val="24"/>
                <w:szCs w:val="24"/>
              </w:rPr>
            </w:pPr>
          </w:p>
        </w:tc>
        <w:tc>
          <w:tcPr>
            <w:tcW w:w="5866" w:type="dxa"/>
          </w:tcPr>
          <w:p w14:paraId="504196D7"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Fees and charges</w:t>
            </w:r>
          </w:p>
        </w:tc>
        <w:tc>
          <w:tcPr>
            <w:tcW w:w="1105" w:type="dxa"/>
          </w:tcPr>
          <w:p w14:paraId="7F4484DA"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25</w:t>
            </w:r>
          </w:p>
        </w:tc>
      </w:tr>
      <w:tr w:rsidR="000729CF" w:rsidRPr="000729CF" w14:paraId="00F35A99" w14:textId="77777777" w:rsidTr="00BC26AB">
        <w:tc>
          <w:tcPr>
            <w:tcW w:w="3485" w:type="dxa"/>
            <w:vMerge/>
          </w:tcPr>
          <w:p w14:paraId="3FC80437" w14:textId="77777777" w:rsidR="000729CF" w:rsidRPr="000729CF" w:rsidRDefault="000729CF" w:rsidP="000729CF">
            <w:pPr>
              <w:rPr>
                <w:rFonts w:ascii="Arial" w:eastAsia="Calibri" w:hAnsi="Arial" w:cs="Arial"/>
                <w:b/>
                <w:bCs/>
                <w:sz w:val="24"/>
                <w:szCs w:val="24"/>
              </w:rPr>
            </w:pPr>
          </w:p>
        </w:tc>
        <w:tc>
          <w:tcPr>
            <w:tcW w:w="5866" w:type="dxa"/>
          </w:tcPr>
          <w:p w14:paraId="77567D0F"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Pest control</w:t>
            </w:r>
          </w:p>
        </w:tc>
        <w:tc>
          <w:tcPr>
            <w:tcW w:w="1105" w:type="dxa"/>
          </w:tcPr>
          <w:p w14:paraId="4C089971"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26</w:t>
            </w:r>
          </w:p>
        </w:tc>
      </w:tr>
      <w:tr w:rsidR="000729CF" w:rsidRPr="000729CF" w14:paraId="3E5EE9B7" w14:textId="77777777" w:rsidTr="00BC26AB">
        <w:tc>
          <w:tcPr>
            <w:tcW w:w="3485" w:type="dxa"/>
            <w:vMerge/>
          </w:tcPr>
          <w:p w14:paraId="12E74B32" w14:textId="77777777" w:rsidR="000729CF" w:rsidRPr="000729CF" w:rsidRDefault="000729CF" w:rsidP="000729CF">
            <w:pPr>
              <w:rPr>
                <w:rFonts w:ascii="Arial" w:eastAsia="Calibri" w:hAnsi="Arial" w:cs="Arial"/>
                <w:b/>
                <w:bCs/>
                <w:sz w:val="24"/>
                <w:szCs w:val="24"/>
              </w:rPr>
            </w:pPr>
          </w:p>
        </w:tc>
        <w:tc>
          <w:tcPr>
            <w:tcW w:w="5866" w:type="dxa"/>
          </w:tcPr>
          <w:p w14:paraId="4E3C65B3"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VAWG</w:t>
            </w:r>
          </w:p>
        </w:tc>
        <w:tc>
          <w:tcPr>
            <w:tcW w:w="1105" w:type="dxa"/>
          </w:tcPr>
          <w:p w14:paraId="7E1673A1"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27</w:t>
            </w:r>
          </w:p>
        </w:tc>
      </w:tr>
      <w:tr w:rsidR="000729CF" w:rsidRPr="000729CF" w14:paraId="5B370492" w14:textId="77777777" w:rsidTr="00BC26AB">
        <w:tc>
          <w:tcPr>
            <w:tcW w:w="3485" w:type="dxa"/>
            <w:vMerge/>
          </w:tcPr>
          <w:p w14:paraId="5A38DFA1" w14:textId="77777777" w:rsidR="000729CF" w:rsidRPr="000729CF" w:rsidRDefault="000729CF" w:rsidP="000729CF">
            <w:pPr>
              <w:rPr>
                <w:rFonts w:ascii="Arial" w:eastAsia="Calibri" w:hAnsi="Arial" w:cs="Arial"/>
                <w:b/>
                <w:bCs/>
                <w:sz w:val="24"/>
                <w:szCs w:val="24"/>
              </w:rPr>
            </w:pPr>
          </w:p>
        </w:tc>
        <w:tc>
          <w:tcPr>
            <w:tcW w:w="5866" w:type="dxa"/>
          </w:tcPr>
          <w:p w14:paraId="52E80EA3"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Third party reporting centres</w:t>
            </w:r>
          </w:p>
        </w:tc>
        <w:tc>
          <w:tcPr>
            <w:tcW w:w="1105" w:type="dxa"/>
          </w:tcPr>
          <w:p w14:paraId="2B865351"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28</w:t>
            </w:r>
          </w:p>
        </w:tc>
      </w:tr>
    </w:tbl>
    <w:p w14:paraId="68B72D14" w14:textId="77777777" w:rsidR="000729CF" w:rsidRPr="000729CF" w:rsidRDefault="000729CF" w:rsidP="000729CF">
      <w:pPr>
        <w:spacing w:after="160" w:line="259" w:lineRule="auto"/>
        <w:rPr>
          <w:rFonts w:ascii="Arial" w:eastAsia="Calibri" w:hAnsi="Arial" w:cs="Arial"/>
          <w:b/>
          <w:bCs/>
          <w:sz w:val="24"/>
          <w:szCs w:val="24"/>
          <w:lang w:val="en-GB"/>
        </w:rPr>
      </w:pPr>
    </w:p>
    <w:p w14:paraId="56494283" w14:textId="77777777" w:rsidR="000729CF" w:rsidRPr="000729CF" w:rsidRDefault="000729CF" w:rsidP="000729CF">
      <w:pPr>
        <w:spacing w:after="160" w:line="259" w:lineRule="auto"/>
        <w:rPr>
          <w:rFonts w:ascii="Arial" w:eastAsia="Calibri" w:hAnsi="Arial" w:cs="Arial"/>
          <w:b/>
          <w:bCs/>
          <w:sz w:val="24"/>
          <w:szCs w:val="24"/>
          <w:lang w:val="en-GB"/>
        </w:rPr>
      </w:pPr>
    </w:p>
    <w:p w14:paraId="53898B28" w14:textId="77777777" w:rsidR="000729CF" w:rsidRPr="000729CF" w:rsidRDefault="000729CF" w:rsidP="000729CF">
      <w:pPr>
        <w:keepNext/>
        <w:keepLines/>
        <w:spacing w:after="160" w:line="259" w:lineRule="auto"/>
        <w:outlineLvl w:val="0"/>
        <w:rPr>
          <w:rFonts w:ascii="Arial" w:hAnsi="Arial" w:cs="Arial"/>
          <w:b/>
          <w:bCs/>
          <w:color w:val="2F5496"/>
          <w:sz w:val="28"/>
          <w:szCs w:val="28"/>
          <w:lang w:val="en-GB"/>
        </w:rPr>
      </w:pPr>
      <w:r w:rsidRPr="000729CF">
        <w:rPr>
          <w:rFonts w:ascii="Arial" w:hAnsi="Arial" w:cs="Arial"/>
          <w:b/>
          <w:bCs/>
          <w:color w:val="2F5496"/>
          <w:sz w:val="28"/>
          <w:szCs w:val="28"/>
          <w:lang w:val="en-GB"/>
        </w:rPr>
        <w:t>Budget Equality Impact Assessment (EIA) 2024/25 – Service Users</w:t>
      </w:r>
      <w:bookmarkStart w:id="74" w:name="_Hlk130291522"/>
      <w:bookmarkEnd w:id="73"/>
    </w:p>
    <w:p w14:paraId="5EAC6920" w14:textId="77777777" w:rsidR="000729CF" w:rsidRPr="000729CF" w:rsidRDefault="000729CF" w:rsidP="000729CF">
      <w:pPr>
        <w:spacing w:after="160" w:line="259" w:lineRule="auto"/>
        <w:rPr>
          <w:rFonts w:ascii="Arial" w:eastAsia="Calibri" w:hAnsi="Arial" w:cs="Arial"/>
          <w:sz w:val="24"/>
          <w:szCs w:val="24"/>
          <w:lang w:val="en-GB"/>
        </w:rPr>
      </w:pPr>
    </w:p>
    <w:p w14:paraId="1749EA89"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 xml:space="preserve">Budget Proposal </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6492"/>
      </w:tblGrid>
      <w:tr w:rsidR="000729CF" w:rsidRPr="000729CF" w14:paraId="68763EB5"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09B7518E" w14:textId="77777777" w:rsidR="000729CF" w:rsidRPr="000729CF" w:rsidRDefault="000729CF" w:rsidP="000729CF">
            <w:pPr>
              <w:spacing w:after="120"/>
              <w:rPr>
                <w:rFonts w:ascii="Arial" w:hAnsi="Arial" w:cs="Arial"/>
                <w:sz w:val="24"/>
                <w:szCs w:val="24"/>
              </w:rPr>
            </w:pPr>
            <w:bookmarkStart w:id="75" w:name="_Hlk131095651"/>
            <w:r w:rsidRPr="000729CF">
              <w:rPr>
                <w:rFonts w:ascii="Arial" w:hAnsi="Arial" w:cs="Arial"/>
                <w:sz w:val="24"/>
                <w:szCs w:val="24"/>
              </w:rPr>
              <w:t>Title of budget saving being assessed:</w:t>
            </w:r>
          </w:p>
        </w:tc>
        <w:tc>
          <w:tcPr>
            <w:tcW w:w="6492" w:type="dxa"/>
            <w:shd w:val="clear" w:color="auto" w:fill="auto"/>
          </w:tcPr>
          <w:p w14:paraId="58C06883" w14:textId="77777777" w:rsidR="000729CF" w:rsidRPr="000729CF" w:rsidRDefault="000729CF" w:rsidP="000729CF">
            <w:pPr>
              <w:spacing w:after="12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Residential, respite and short breaks</w:t>
            </w:r>
          </w:p>
        </w:tc>
      </w:tr>
      <w:tr w:rsidR="000729CF" w:rsidRPr="000729CF" w14:paraId="310CBFFA"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1B508CC8"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Name and title of officer responsible for this EIA: </w:t>
            </w:r>
          </w:p>
        </w:tc>
        <w:tc>
          <w:tcPr>
            <w:tcW w:w="6492" w:type="dxa"/>
            <w:shd w:val="clear" w:color="auto" w:fill="auto"/>
          </w:tcPr>
          <w:p w14:paraId="7C35A520"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729CF">
              <w:rPr>
                <w:rFonts w:ascii="Arial" w:hAnsi="Arial" w:cs="Arial"/>
                <w:sz w:val="24"/>
                <w:szCs w:val="24"/>
              </w:rPr>
              <w:t>Georgina Clarke-Green, Assistant Director Health, Special Educational Need and Disability</w:t>
            </w:r>
          </w:p>
        </w:tc>
      </w:tr>
      <w:tr w:rsidR="000729CF" w:rsidRPr="000729CF" w14:paraId="49E3697A" w14:textId="77777777" w:rsidTr="000729CF">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512D9D54"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Directorate and Service Name: </w:t>
            </w:r>
          </w:p>
        </w:tc>
        <w:tc>
          <w:tcPr>
            <w:tcW w:w="6492" w:type="dxa"/>
            <w:shd w:val="clear" w:color="auto" w:fill="auto"/>
          </w:tcPr>
          <w:p w14:paraId="5DF9929B" w14:textId="77777777" w:rsidR="000729CF" w:rsidRPr="000729CF" w:rsidRDefault="000729CF" w:rsidP="000729CF">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Families, Children and Learning, Special Educational Needs and Disability</w:t>
            </w:r>
          </w:p>
          <w:p w14:paraId="4A7A1E26" w14:textId="77777777" w:rsidR="000729CF" w:rsidRPr="000729CF" w:rsidRDefault="000729CF" w:rsidP="000729CF">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In house provider services</w:t>
            </w:r>
          </w:p>
        </w:tc>
      </w:tr>
      <w:tr w:rsidR="000729CF" w:rsidRPr="000729CF" w14:paraId="77E835B8"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345246B6"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Budget proposal no.</w:t>
            </w:r>
          </w:p>
        </w:tc>
        <w:tc>
          <w:tcPr>
            <w:tcW w:w="6492" w:type="dxa"/>
            <w:shd w:val="clear" w:color="auto" w:fill="auto"/>
          </w:tcPr>
          <w:p w14:paraId="536F8257"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729CF">
              <w:rPr>
                <w:rFonts w:ascii="Arial" w:hAnsi="Arial" w:cs="Arial"/>
                <w:sz w:val="24"/>
                <w:szCs w:val="24"/>
              </w:rPr>
              <w:t>1</w:t>
            </w:r>
          </w:p>
        </w:tc>
      </w:tr>
      <w:bookmarkEnd w:id="75"/>
    </w:tbl>
    <w:p w14:paraId="2261C630" w14:textId="77777777" w:rsidR="000729CF" w:rsidRPr="000729CF" w:rsidRDefault="000729CF" w:rsidP="000729CF">
      <w:pPr>
        <w:spacing w:after="160" w:line="259" w:lineRule="auto"/>
        <w:rPr>
          <w:rFonts w:ascii="Arial" w:eastAsia="Calibri" w:hAnsi="Arial" w:cs="Arial"/>
          <w:sz w:val="24"/>
          <w:szCs w:val="24"/>
          <w:lang w:val="en-GB"/>
        </w:rPr>
      </w:pPr>
    </w:p>
    <w:p w14:paraId="1BFCDA1C"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Briefly describe the budget saving proposal: (use the wording in the budget spreadsheet and more detail if needed)</w:t>
      </w:r>
    </w:p>
    <w:tbl>
      <w:tblPr>
        <w:tblStyle w:val="TableGrid"/>
        <w:tblW w:w="0" w:type="auto"/>
        <w:tblLook w:val="04A0" w:firstRow="1" w:lastRow="0" w:firstColumn="1" w:lastColumn="0" w:noHBand="0" w:noVBand="1"/>
      </w:tblPr>
      <w:tblGrid>
        <w:gridCol w:w="10456"/>
      </w:tblGrid>
      <w:tr w:rsidR="000729CF" w:rsidRPr="000729CF" w14:paraId="72603DA2" w14:textId="77777777" w:rsidTr="00BC26AB">
        <w:trPr>
          <w:trHeight w:val="851"/>
        </w:trPr>
        <w:tc>
          <w:tcPr>
            <w:tcW w:w="10456" w:type="dxa"/>
            <w:tcBorders>
              <w:bottom w:val="single" w:sz="4" w:space="0" w:color="auto"/>
            </w:tcBorders>
          </w:tcPr>
          <w:p w14:paraId="4E48204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To reduce the spend by £504k across the council’s in-house respite provisions Tudor House and Drove Road. This will be achieved through changing the purpose of Tudor House to a full-time residential placement for four young people who will be brought back from high cost out of city care placements, and by maximising the accommodation at Drove Road with the intention of providing more short breaks for a wider range of families that will include neurodiverse children without a learning disability.</w:t>
            </w:r>
          </w:p>
          <w:p w14:paraId="400A9E1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It is also intended that the flat at Drove Road once vacated will provide an emergency bed for any child or young person who needs to be taken into care on an emergency basis. This will allow more time for the commissioning team to identify a suitable longer-term placement for the child/young person. This should lessen the need for children to placed outside the city and the use unregulated placements.</w:t>
            </w:r>
          </w:p>
        </w:tc>
      </w:tr>
      <w:tr w:rsidR="000729CF" w:rsidRPr="000729CF" w14:paraId="063EAFE0" w14:textId="77777777" w:rsidTr="00BC26AB">
        <w:trPr>
          <w:trHeight w:val="851"/>
        </w:trPr>
        <w:tc>
          <w:tcPr>
            <w:tcW w:w="10456" w:type="dxa"/>
            <w:tcBorders>
              <w:left w:val="nil"/>
              <w:right w:val="nil"/>
            </w:tcBorders>
          </w:tcPr>
          <w:p w14:paraId="71296928" w14:textId="77777777" w:rsidR="000729CF" w:rsidRPr="000729CF" w:rsidRDefault="000729CF" w:rsidP="000729CF">
            <w:pPr>
              <w:spacing w:after="120"/>
              <w:rPr>
                <w:rFonts w:ascii="Arial" w:eastAsia="Calibri" w:hAnsi="Arial" w:cs="Arial"/>
                <w:sz w:val="24"/>
                <w:szCs w:val="24"/>
              </w:rPr>
            </w:pPr>
          </w:p>
          <w:p w14:paraId="5CB426B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Summarise the most significant impacts identified by this assessment including which groups will be disproportionally negatively affected drawing out intersectional impacts as applicable:</w:t>
            </w:r>
          </w:p>
        </w:tc>
      </w:tr>
      <w:tr w:rsidR="000729CF" w:rsidRPr="000729CF" w14:paraId="17C3C047" w14:textId="77777777" w:rsidTr="00BC26AB">
        <w:trPr>
          <w:trHeight w:val="851"/>
        </w:trPr>
        <w:tc>
          <w:tcPr>
            <w:tcW w:w="10456" w:type="dxa"/>
          </w:tcPr>
          <w:p w14:paraId="2DEDD2F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There will be a positive impact for those children and young people returning to the city from out of city care placements as they will be nearer their families and can attend their local special school. This will reduce the amount of accommodation available for the provision of short breaks. However, with the remodelling of Drove Road we aim to be able to continue to support those young people who will no longer be able to attend Tudor House and provide some overnights for neurodiverse children and young people without a learning disability.  </w:t>
            </w:r>
          </w:p>
        </w:tc>
      </w:tr>
    </w:tbl>
    <w:p w14:paraId="4BB41625" w14:textId="77777777" w:rsidR="000729CF" w:rsidRPr="000729CF" w:rsidRDefault="000729CF" w:rsidP="000729CF">
      <w:pPr>
        <w:rPr>
          <w:rFonts w:ascii="Arial" w:eastAsia="Calibri" w:hAnsi="Arial" w:cs="Arial"/>
          <w:sz w:val="24"/>
          <w:szCs w:val="24"/>
          <w:lang w:val="en-GB"/>
        </w:rPr>
      </w:pPr>
    </w:p>
    <w:p w14:paraId="56C265AD" w14:textId="77777777" w:rsidR="000729CF" w:rsidRPr="000729CF" w:rsidRDefault="000729CF" w:rsidP="000729CF">
      <w:pPr>
        <w:spacing w:after="160" w:line="259" w:lineRule="auto"/>
        <w:rPr>
          <w:rFonts w:ascii="Arial" w:eastAsia="Calibri" w:hAnsi="Arial" w:cs="Arial"/>
          <w:sz w:val="24"/>
          <w:szCs w:val="24"/>
          <w:lang w:val="en-GB"/>
        </w:rPr>
      </w:pPr>
    </w:p>
    <w:p w14:paraId="7AC38EB0"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Consultation, engagement and supporting EIAs</w:t>
      </w:r>
    </w:p>
    <w:p w14:paraId="3B45E4E8"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consultations or engagement activities are being used to inform this assessment? </w:t>
      </w:r>
    </w:p>
    <w:p w14:paraId="036B7293"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If consultation is planned or in process – state this and state when it will done/completed even if indicative. If no consultation completed or planned, state this, giving an explanation. </w:t>
      </w:r>
    </w:p>
    <w:tbl>
      <w:tblPr>
        <w:tblStyle w:val="TableGrid"/>
        <w:tblW w:w="0" w:type="auto"/>
        <w:tblLook w:val="04A0" w:firstRow="1" w:lastRow="0" w:firstColumn="1" w:lastColumn="0" w:noHBand="0" w:noVBand="1"/>
      </w:tblPr>
      <w:tblGrid>
        <w:gridCol w:w="10456"/>
      </w:tblGrid>
      <w:tr w:rsidR="000729CF" w:rsidRPr="000729CF" w14:paraId="2E39858F" w14:textId="77777777" w:rsidTr="00BC26AB">
        <w:trPr>
          <w:trHeight w:val="871"/>
        </w:trPr>
        <w:tc>
          <w:tcPr>
            <w:tcW w:w="10456" w:type="dxa"/>
          </w:tcPr>
          <w:p w14:paraId="4C17202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A review will be undertaken by Freedom Training and Consultancy who are experienced in the running of children’s homes to consider the proposed model and make recommendations as to how this re-design will be achieved. The views of all stakeholders will be included within the scope of the review, this includes parents/carers who currently access the provision and children and young people where possible. This is due to take place in February 2024. Once this has been completed a consultation will need to take place in March 2024 with staff and unions. </w:t>
            </w:r>
          </w:p>
        </w:tc>
      </w:tr>
    </w:tbl>
    <w:p w14:paraId="6FC58F6B" w14:textId="77777777" w:rsidR="000729CF" w:rsidRPr="000729CF" w:rsidRDefault="000729CF" w:rsidP="000729CF">
      <w:pPr>
        <w:spacing w:after="160" w:line="259" w:lineRule="auto"/>
        <w:rPr>
          <w:rFonts w:ascii="Arial" w:eastAsia="Calibri" w:hAnsi="Arial" w:cs="Arial"/>
          <w:sz w:val="24"/>
          <w:szCs w:val="24"/>
          <w:lang w:val="en-GB"/>
        </w:rPr>
      </w:pPr>
    </w:p>
    <w:p w14:paraId="091BFF39"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other budget or service EIAs can assist/have been used to inform this assessment?</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0729CF" w:rsidRPr="000729CF" w14:paraId="011C9262"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shd w:val="clear" w:color="auto" w:fill="FFFFFF"/>
          </w:tcPr>
          <w:p w14:paraId="121AF138"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Disability Placements Budget EIA</w:t>
            </w:r>
          </w:p>
          <w:p w14:paraId="2EA4BE12" w14:textId="77777777" w:rsidR="000729CF" w:rsidRPr="000729CF" w:rsidRDefault="000729CF" w:rsidP="000729CF">
            <w:pPr>
              <w:spacing w:after="120"/>
              <w:rPr>
                <w:rFonts w:ascii="Arial" w:hAnsi="Arial" w:cs="Arial"/>
                <w:sz w:val="24"/>
                <w:szCs w:val="24"/>
              </w:rPr>
            </w:pPr>
          </w:p>
        </w:tc>
      </w:tr>
    </w:tbl>
    <w:p w14:paraId="402864E9" w14:textId="77777777" w:rsidR="000729CF" w:rsidRPr="000729CF" w:rsidRDefault="000729CF" w:rsidP="000729CF">
      <w:pPr>
        <w:spacing w:after="160" w:line="259" w:lineRule="auto"/>
        <w:rPr>
          <w:rFonts w:ascii="Arial" w:eastAsia="Calibri" w:hAnsi="Arial" w:cs="Arial"/>
          <w:sz w:val="24"/>
          <w:szCs w:val="24"/>
          <w:lang w:val="en-GB"/>
        </w:rPr>
      </w:pPr>
    </w:p>
    <w:p w14:paraId="68B41808"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Current data and impact monitoring</w:t>
      </w:r>
    </w:p>
    <w:p w14:paraId="600AEAF5"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Do you currently collect and analyse the following data to enable monitoring of the impact of this proposal? </w:t>
      </w:r>
    </w:p>
    <w:p w14:paraId="1DE4A31B"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Consider all possible intersections (Delete and State Yes, No, Not Applicable)</w:t>
      </w:r>
    </w:p>
    <w:tbl>
      <w:tblPr>
        <w:tblStyle w:val="TableGrid"/>
        <w:tblW w:w="10485" w:type="dxa"/>
        <w:tblLook w:val="04A0" w:firstRow="1" w:lastRow="0" w:firstColumn="1" w:lastColumn="0" w:noHBand="0" w:noVBand="1"/>
      </w:tblPr>
      <w:tblGrid>
        <w:gridCol w:w="6658"/>
        <w:gridCol w:w="3827"/>
      </w:tblGrid>
      <w:tr w:rsidR="000729CF" w:rsidRPr="000729CF" w14:paraId="7214D5D1" w14:textId="77777777" w:rsidTr="000729CF">
        <w:trPr>
          <w:trHeight w:val="310"/>
        </w:trPr>
        <w:tc>
          <w:tcPr>
            <w:tcW w:w="6658" w:type="dxa"/>
            <w:shd w:val="clear" w:color="auto" w:fill="E7E6E6"/>
          </w:tcPr>
          <w:p w14:paraId="6751FE1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Age</w:t>
            </w:r>
          </w:p>
        </w:tc>
        <w:tc>
          <w:tcPr>
            <w:tcW w:w="3827" w:type="dxa"/>
          </w:tcPr>
          <w:p w14:paraId="4F8D12B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0D43C0DC" w14:textId="77777777" w:rsidTr="000729CF">
        <w:trPr>
          <w:trHeight w:val="20"/>
        </w:trPr>
        <w:tc>
          <w:tcPr>
            <w:tcW w:w="6658" w:type="dxa"/>
            <w:shd w:val="clear" w:color="auto" w:fill="E7E6E6"/>
          </w:tcPr>
          <w:p w14:paraId="245BA81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Disability and inclusive adjustments, coverage under equality act and not</w:t>
            </w:r>
          </w:p>
        </w:tc>
        <w:tc>
          <w:tcPr>
            <w:tcW w:w="3827" w:type="dxa"/>
          </w:tcPr>
          <w:p w14:paraId="6B4D3DA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490F6F3D" w14:textId="77777777" w:rsidTr="000729CF">
        <w:trPr>
          <w:trHeight w:val="20"/>
        </w:trPr>
        <w:tc>
          <w:tcPr>
            <w:tcW w:w="6658" w:type="dxa"/>
            <w:shd w:val="clear" w:color="auto" w:fill="E7E6E6"/>
          </w:tcPr>
          <w:p w14:paraId="7B4A759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Ethnicity, ‘Race’, ethnic heritage (including Gypsy, Roma, Travellers)</w:t>
            </w:r>
          </w:p>
        </w:tc>
        <w:tc>
          <w:tcPr>
            <w:tcW w:w="3827" w:type="dxa"/>
          </w:tcPr>
          <w:p w14:paraId="728DE82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78A6E027" w14:textId="77777777" w:rsidTr="000729CF">
        <w:trPr>
          <w:trHeight w:val="20"/>
        </w:trPr>
        <w:tc>
          <w:tcPr>
            <w:tcW w:w="6658" w:type="dxa"/>
            <w:shd w:val="clear" w:color="auto" w:fill="E7E6E6"/>
          </w:tcPr>
          <w:p w14:paraId="702B5FF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Religion, Belief, Spirituality, Faith, or Atheism</w:t>
            </w:r>
          </w:p>
        </w:tc>
        <w:tc>
          <w:tcPr>
            <w:tcW w:w="3827" w:type="dxa"/>
          </w:tcPr>
          <w:p w14:paraId="4B0E24C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29749771" w14:textId="77777777" w:rsidTr="000729CF">
        <w:trPr>
          <w:trHeight w:val="20"/>
        </w:trPr>
        <w:tc>
          <w:tcPr>
            <w:tcW w:w="6658" w:type="dxa"/>
            <w:shd w:val="clear" w:color="auto" w:fill="E7E6E6"/>
          </w:tcPr>
          <w:p w14:paraId="34F238E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Identity and Sex (including non-binary and Intersex people)</w:t>
            </w:r>
          </w:p>
        </w:tc>
        <w:tc>
          <w:tcPr>
            <w:tcW w:w="3827" w:type="dxa"/>
          </w:tcPr>
          <w:p w14:paraId="4B7D856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3A9F6C0A" w14:textId="77777777" w:rsidTr="000729CF">
        <w:trPr>
          <w:trHeight w:val="20"/>
        </w:trPr>
        <w:tc>
          <w:tcPr>
            <w:tcW w:w="6658" w:type="dxa"/>
            <w:shd w:val="clear" w:color="auto" w:fill="E7E6E6"/>
          </w:tcPr>
          <w:p w14:paraId="78E292A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3827" w:type="dxa"/>
          </w:tcPr>
          <w:p w14:paraId="2721113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74A10299" w14:textId="77777777" w:rsidTr="000729CF">
        <w:trPr>
          <w:trHeight w:val="20"/>
        </w:trPr>
        <w:tc>
          <w:tcPr>
            <w:tcW w:w="6658" w:type="dxa"/>
            <w:shd w:val="clear" w:color="auto" w:fill="E7E6E6"/>
          </w:tcPr>
          <w:p w14:paraId="1100806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3827" w:type="dxa"/>
          </w:tcPr>
          <w:p w14:paraId="5B4B58F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61ACA12F" w14:textId="77777777" w:rsidTr="000729CF">
        <w:trPr>
          <w:trHeight w:val="20"/>
        </w:trPr>
        <w:tc>
          <w:tcPr>
            <w:tcW w:w="6658" w:type="dxa"/>
            <w:shd w:val="clear" w:color="auto" w:fill="E7E6E6"/>
          </w:tcPr>
          <w:p w14:paraId="5FEDA5F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3827" w:type="dxa"/>
          </w:tcPr>
          <w:p w14:paraId="3B059ED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044077B4" w14:textId="77777777" w:rsidTr="000729CF">
        <w:trPr>
          <w:trHeight w:val="20"/>
        </w:trPr>
        <w:tc>
          <w:tcPr>
            <w:tcW w:w="6658" w:type="dxa"/>
            <w:shd w:val="clear" w:color="auto" w:fill="E7E6E6"/>
          </w:tcPr>
          <w:p w14:paraId="36B06F8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Pregnant people, Maternity, Paternity, Adoption, Menopause, (In)fertility (across the gender spectrum)</w:t>
            </w:r>
          </w:p>
        </w:tc>
        <w:tc>
          <w:tcPr>
            <w:tcW w:w="3827" w:type="dxa"/>
          </w:tcPr>
          <w:p w14:paraId="29B4482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764E039B" w14:textId="77777777" w:rsidTr="000729CF">
        <w:trPr>
          <w:trHeight w:val="20"/>
        </w:trPr>
        <w:tc>
          <w:tcPr>
            <w:tcW w:w="6658" w:type="dxa"/>
            <w:shd w:val="clear" w:color="auto" w:fill="E7E6E6"/>
          </w:tcPr>
          <w:p w14:paraId="383CFA1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3827" w:type="dxa"/>
          </w:tcPr>
          <w:p w14:paraId="165281E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57FE07AA" w14:textId="77777777" w:rsidTr="000729CF">
        <w:trPr>
          <w:trHeight w:val="20"/>
        </w:trPr>
        <w:tc>
          <w:tcPr>
            <w:tcW w:w="6658" w:type="dxa"/>
            <w:shd w:val="clear" w:color="auto" w:fill="E7E6E6"/>
          </w:tcPr>
          <w:p w14:paraId="29ED5436" w14:textId="77777777" w:rsidR="000729CF" w:rsidRPr="000729CF" w:rsidRDefault="000729CF" w:rsidP="000729CF">
            <w:pPr>
              <w:spacing w:after="120"/>
              <w:rPr>
                <w:rFonts w:ascii="Arial" w:hAnsi="Arial" w:cs="Arial"/>
                <w:b/>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p>
        </w:tc>
        <w:tc>
          <w:tcPr>
            <w:tcW w:w="3827" w:type="dxa"/>
          </w:tcPr>
          <w:p w14:paraId="10C45BA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54F8DF48" w14:textId="77777777" w:rsidTr="000729CF">
        <w:trPr>
          <w:trHeight w:val="20"/>
        </w:trPr>
        <w:tc>
          <w:tcPr>
            <w:tcW w:w="6658" w:type="dxa"/>
            <w:shd w:val="clear" w:color="auto" w:fill="E7E6E6"/>
          </w:tcPr>
          <w:p w14:paraId="4778DC59" w14:textId="77777777" w:rsidR="000729CF" w:rsidRPr="000729CF" w:rsidRDefault="000729CF" w:rsidP="000729CF">
            <w:pPr>
              <w:spacing w:after="120"/>
              <w:rPr>
                <w:rFonts w:ascii="Arial" w:hAnsi="Arial" w:cs="Arial"/>
                <w:b/>
                <w:sz w:val="24"/>
                <w:szCs w:val="24"/>
              </w:rPr>
            </w:pPr>
            <w:r w:rsidRPr="000729CF">
              <w:rPr>
                <w:rFonts w:ascii="Arial" w:eastAsia="Calibri" w:hAnsi="Arial" w:cs="Arial"/>
                <w:b/>
                <w:bCs/>
                <w:color w:val="000000"/>
                <w:sz w:val="24"/>
                <w:szCs w:val="24"/>
              </w:rPr>
              <w:t>Carers</w:t>
            </w:r>
          </w:p>
        </w:tc>
        <w:tc>
          <w:tcPr>
            <w:tcW w:w="3827" w:type="dxa"/>
          </w:tcPr>
          <w:p w14:paraId="02AA292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782F05C0" w14:textId="77777777" w:rsidTr="000729CF">
        <w:trPr>
          <w:trHeight w:val="20"/>
        </w:trPr>
        <w:tc>
          <w:tcPr>
            <w:tcW w:w="6658" w:type="dxa"/>
            <w:shd w:val="clear" w:color="auto" w:fill="E7E6E6"/>
          </w:tcPr>
          <w:p w14:paraId="6A9AB681"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Looked after children, Care Leavers, Care and fostering experienced people</w:t>
            </w:r>
          </w:p>
        </w:tc>
        <w:tc>
          <w:tcPr>
            <w:tcW w:w="3827" w:type="dxa"/>
          </w:tcPr>
          <w:p w14:paraId="4C58728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5F15F2BC" w14:textId="77777777" w:rsidTr="000729CF">
        <w:trPr>
          <w:trHeight w:val="20"/>
        </w:trPr>
        <w:tc>
          <w:tcPr>
            <w:tcW w:w="6658" w:type="dxa"/>
            <w:shd w:val="clear" w:color="auto" w:fill="E7E6E6"/>
          </w:tcPr>
          <w:p w14:paraId="3EFC8CF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 and people in vulnerable situations (All aspects and intersections)</w:t>
            </w:r>
          </w:p>
        </w:tc>
        <w:tc>
          <w:tcPr>
            <w:tcW w:w="3827" w:type="dxa"/>
          </w:tcPr>
          <w:p w14:paraId="79B991A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0694A4DD" w14:textId="77777777" w:rsidTr="000729CF">
        <w:trPr>
          <w:trHeight w:val="20"/>
        </w:trPr>
        <w:tc>
          <w:tcPr>
            <w:tcW w:w="6658" w:type="dxa"/>
            <w:shd w:val="clear" w:color="auto" w:fill="E7E6E6"/>
          </w:tcPr>
          <w:p w14:paraId="680DF75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Socio-economic Disadvantage</w:t>
            </w:r>
          </w:p>
        </w:tc>
        <w:tc>
          <w:tcPr>
            <w:tcW w:w="3827" w:type="dxa"/>
          </w:tcPr>
          <w:p w14:paraId="7AD633F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1E067A51" w14:textId="77777777" w:rsidTr="000729CF">
        <w:trPr>
          <w:trHeight w:val="20"/>
        </w:trPr>
        <w:tc>
          <w:tcPr>
            <w:tcW w:w="6658" w:type="dxa"/>
            <w:shd w:val="clear" w:color="auto" w:fill="E7E6E6"/>
          </w:tcPr>
          <w:p w14:paraId="0F8557D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Homelessness and associated risk and vulnerability</w:t>
            </w:r>
          </w:p>
        </w:tc>
        <w:tc>
          <w:tcPr>
            <w:tcW w:w="3827" w:type="dxa"/>
          </w:tcPr>
          <w:p w14:paraId="0987139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45D3C202" w14:textId="77777777" w:rsidTr="000729CF">
        <w:trPr>
          <w:trHeight w:val="20"/>
        </w:trPr>
        <w:tc>
          <w:tcPr>
            <w:tcW w:w="6658" w:type="dxa"/>
            <w:shd w:val="clear" w:color="auto" w:fill="E7E6E6"/>
          </w:tcPr>
          <w:p w14:paraId="798F4AB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3827" w:type="dxa"/>
          </w:tcPr>
          <w:p w14:paraId="09315D4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0C64A5DF" w14:textId="77777777" w:rsidTr="000729CF">
        <w:trPr>
          <w:trHeight w:val="20"/>
        </w:trPr>
        <w:tc>
          <w:tcPr>
            <w:tcW w:w="6658" w:type="dxa"/>
            <w:shd w:val="clear" w:color="auto" w:fill="E7E6E6"/>
          </w:tcPr>
          <w:p w14:paraId="67C6AB6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 (please specify here and add additional rows as needed)</w:t>
            </w:r>
          </w:p>
        </w:tc>
        <w:tc>
          <w:tcPr>
            <w:tcW w:w="3827" w:type="dxa"/>
          </w:tcPr>
          <w:p w14:paraId="4BAB799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5EC45CE0" w14:textId="77777777" w:rsidTr="000729CF">
        <w:trPr>
          <w:trHeight w:val="20"/>
        </w:trPr>
        <w:tc>
          <w:tcPr>
            <w:tcW w:w="6658" w:type="dxa"/>
            <w:shd w:val="clear" w:color="auto" w:fill="E7E6E6"/>
          </w:tcPr>
          <w:p w14:paraId="0C3C13D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Lone parents</w:t>
            </w:r>
          </w:p>
        </w:tc>
        <w:tc>
          <w:tcPr>
            <w:tcW w:w="3827" w:type="dxa"/>
          </w:tcPr>
          <w:p w14:paraId="77D1B89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p w14:paraId="43A2FCAD" w14:textId="77777777" w:rsidR="000729CF" w:rsidRPr="000729CF" w:rsidRDefault="000729CF" w:rsidP="000729CF">
            <w:pPr>
              <w:spacing w:after="120"/>
              <w:rPr>
                <w:rFonts w:ascii="Arial" w:eastAsia="Calibri" w:hAnsi="Arial" w:cs="Arial"/>
                <w:sz w:val="24"/>
                <w:szCs w:val="24"/>
              </w:rPr>
            </w:pPr>
          </w:p>
        </w:tc>
      </w:tr>
      <w:tr w:rsidR="000729CF" w:rsidRPr="000729CF" w14:paraId="3836F49D" w14:textId="77777777" w:rsidTr="000729CF">
        <w:trPr>
          <w:trHeight w:val="20"/>
        </w:trPr>
        <w:tc>
          <w:tcPr>
            <w:tcW w:w="6658" w:type="dxa"/>
            <w:shd w:val="clear" w:color="auto" w:fill="E7E6E6"/>
          </w:tcPr>
          <w:p w14:paraId="2E2BEA0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Carers</w:t>
            </w:r>
          </w:p>
        </w:tc>
        <w:tc>
          <w:tcPr>
            <w:tcW w:w="3827" w:type="dxa"/>
          </w:tcPr>
          <w:p w14:paraId="65BDAA3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08A43071" w14:textId="77777777" w:rsidTr="000729CF">
        <w:trPr>
          <w:trHeight w:val="20"/>
        </w:trPr>
        <w:tc>
          <w:tcPr>
            <w:tcW w:w="6658" w:type="dxa"/>
            <w:shd w:val="clear" w:color="auto" w:fill="E7E6E6"/>
          </w:tcPr>
          <w:p w14:paraId="2F530A9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People facing literacy and numeracy barriers</w:t>
            </w:r>
          </w:p>
        </w:tc>
        <w:tc>
          <w:tcPr>
            <w:tcW w:w="3827" w:type="dxa"/>
          </w:tcPr>
          <w:p w14:paraId="1FC94D3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bl>
    <w:p w14:paraId="1DE32363" w14:textId="77777777" w:rsidR="000729CF" w:rsidRPr="000729CF" w:rsidRDefault="000729CF" w:rsidP="000729CF">
      <w:pPr>
        <w:rPr>
          <w:rFonts w:ascii="Arial" w:eastAsia="Calibri" w:hAnsi="Arial" w:cs="Arial"/>
          <w:sz w:val="24"/>
          <w:szCs w:val="24"/>
          <w:lang w:val="en-GB"/>
        </w:rPr>
      </w:pPr>
    </w:p>
    <w:p w14:paraId="2DD1599E"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5367D545"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516D8DDC"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72E809EF"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4AD20DEF"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776D6A41"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3B92370D"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7356B5E0"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608C4F81"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01D2EEE5"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1423714E"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If you answered “NO” to any of the above, how will you gather this data to enable improved monitoring of impact for this proposal?</w:t>
      </w:r>
    </w:p>
    <w:tbl>
      <w:tblPr>
        <w:tblStyle w:val="TableGrid"/>
        <w:tblW w:w="0" w:type="auto"/>
        <w:tblLook w:val="04A0" w:firstRow="1" w:lastRow="0" w:firstColumn="1" w:lastColumn="0" w:noHBand="0" w:noVBand="1"/>
      </w:tblPr>
      <w:tblGrid>
        <w:gridCol w:w="10456"/>
      </w:tblGrid>
      <w:tr w:rsidR="000729CF" w:rsidRPr="000729CF" w14:paraId="5B737ECE" w14:textId="77777777" w:rsidTr="00BC26AB">
        <w:trPr>
          <w:trHeight w:val="757"/>
        </w:trPr>
        <w:tc>
          <w:tcPr>
            <w:tcW w:w="10456" w:type="dxa"/>
          </w:tcPr>
          <w:p w14:paraId="2EBE73F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We will seek to establish data on whether the families who are accessing these provisions are Armed Forces personnel, their families or veterans. This can be undertaken through the social care assessment process.</w:t>
            </w:r>
          </w:p>
        </w:tc>
      </w:tr>
    </w:tbl>
    <w:p w14:paraId="78D487E3" w14:textId="77777777" w:rsidR="000729CF" w:rsidRPr="000729CF" w:rsidRDefault="000729CF" w:rsidP="000729CF">
      <w:pPr>
        <w:rPr>
          <w:rFonts w:ascii="Arial" w:eastAsia="Calibri" w:hAnsi="Arial" w:cs="Arial"/>
          <w:sz w:val="24"/>
          <w:szCs w:val="24"/>
          <w:lang w:val="en-GB"/>
        </w:rPr>
      </w:pPr>
    </w:p>
    <w:p w14:paraId="0C6E149E"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are the arrangements for monitoring, and reviewing the impact of this proposal?</w:t>
      </w:r>
    </w:p>
    <w:tbl>
      <w:tblPr>
        <w:tblStyle w:val="TableGrid"/>
        <w:tblW w:w="0" w:type="auto"/>
        <w:tblLook w:val="04A0" w:firstRow="1" w:lastRow="0" w:firstColumn="1" w:lastColumn="0" w:noHBand="0" w:noVBand="1"/>
      </w:tblPr>
      <w:tblGrid>
        <w:gridCol w:w="10456"/>
      </w:tblGrid>
      <w:tr w:rsidR="000729CF" w:rsidRPr="000729CF" w14:paraId="4F8F45CA" w14:textId="77777777" w:rsidTr="00BC26AB">
        <w:trPr>
          <w:trHeight w:val="757"/>
        </w:trPr>
        <w:tc>
          <w:tcPr>
            <w:tcW w:w="10456" w:type="dxa"/>
          </w:tcPr>
          <w:p w14:paraId="76199C5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monitoring of impact will be undertaken at every step of the re-design process. The recommendations of the review will be considered carefully with a stakeholder panel that will include representatives from PaCC. The transition process will also be monitored through bi-weekly meetings with the home managers and surveys that will be sent out to the families who are receiving the service to ensure the outcomes identified are being achieved. The children and young people impacted by the changes will also have the support of their Social Worker and review assessments will be undertaken to ensure their needs will continue to be met either within the re-designed in house placements or elsewhere.</w:t>
            </w:r>
          </w:p>
        </w:tc>
      </w:tr>
    </w:tbl>
    <w:p w14:paraId="46753937" w14:textId="77777777" w:rsidR="000729CF" w:rsidRPr="000729CF" w:rsidRDefault="000729CF" w:rsidP="000729CF">
      <w:pPr>
        <w:rPr>
          <w:rFonts w:ascii="Arial" w:eastAsia="Calibri" w:hAnsi="Arial" w:cs="Arial"/>
          <w:sz w:val="24"/>
          <w:szCs w:val="24"/>
          <w:lang w:val="en-GB"/>
        </w:rPr>
      </w:pPr>
    </w:p>
    <w:p w14:paraId="1A20BCDD" w14:textId="77777777" w:rsidR="000729CF" w:rsidRPr="000729CF" w:rsidRDefault="000729CF" w:rsidP="000729CF">
      <w:pPr>
        <w:rPr>
          <w:rFonts w:ascii="Arial" w:eastAsia="Calibri" w:hAnsi="Arial" w:cs="Arial"/>
          <w:sz w:val="24"/>
          <w:szCs w:val="24"/>
          <w:lang w:val="en-GB"/>
        </w:rPr>
      </w:pPr>
    </w:p>
    <w:p w14:paraId="74FA2181"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Impacts</w:t>
      </w:r>
    </w:p>
    <w:p w14:paraId="3AE44D0C"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Briefly state source of data or data analysis being used to describe the </w:t>
      </w:r>
      <w:r w:rsidRPr="000729CF">
        <w:rPr>
          <w:rFonts w:ascii="Arial" w:eastAsia="Calibri" w:hAnsi="Arial" w:cs="Arial"/>
          <w:color w:val="000000"/>
          <w:sz w:val="24"/>
          <w:szCs w:val="24"/>
          <w:bdr w:val="none" w:sz="0" w:space="0" w:color="auto" w:frame="1"/>
          <w:lang w:val="en-GB"/>
        </w:rPr>
        <w:t xml:space="preserve">disproportionate negative impacts. </w:t>
      </w:r>
      <w:r w:rsidRPr="000729CF">
        <w:rPr>
          <w:rFonts w:ascii="Arial" w:eastAsia="Calibri" w:hAnsi="Arial" w:cs="Arial"/>
          <w:sz w:val="24"/>
          <w:szCs w:val="24"/>
          <w:lang w:val="en-GB"/>
        </w:rPr>
        <w:t xml:space="preserve">Preferably provide link to data/ analysis if open data source. </w:t>
      </w:r>
    </w:p>
    <w:p w14:paraId="636C9083" w14:textId="77777777" w:rsidR="000729CF" w:rsidRPr="000729CF" w:rsidRDefault="000729CF" w:rsidP="000729CF">
      <w:pPr>
        <w:spacing w:after="160" w:line="259" w:lineRule="auto"/>
        <w:rPr>
          <w:rFonts w:ascii="Arial" w:eastAsia="Calibri" w:hAnsi="Arial" w:cs="Arial"/>
          <w:color w:val="000000"/>
          <w:sz w:val="24"/>
          <w:szCs w:val="24"/>
          <w:shd w:val="clear" w:color="auto" w:fill="FFFFFF"/>
          <w:lang w:val="en-GB"/>
        </w:rPr>
      </w:pPr>
    </w:p>
    <w:tbl>
      <w:tblPr>
        <w:tblStyle w:val="TableGrid"/>
        <w:tblW w:w="10485" w:type="dxa"/>
        <w:tblLook w:val="04A0" w:firstRow="1" w:lastRow="0" w:firstColumn="1" w:lastColumn="0" w:noHBand="0" w:noVBand="1"/>
      </w:tblPr>
      <w:tblGrid>
        <w:gridCol w:w="2985"/>
        <w:gridCol w:w="2123"/>
        <w:gridCol w:w="5377"/>
      </w:tblGrid>
      <w:tr w:rsidR="000729CF" w:rsidRPr="000729CF" w14:paraId="7A48FB1F" w14:textId="77777777" w:rsidTr="000729CF">
        <w:trPr>
          <w:trHeight w:val="20"/>
        </w:trPr>
        <w:tc>
          <w:tcPr>
            <w:tcW w:w="2985" w:type="dxa"/>
            <w:shd w:val="clear" w:color="auto" w:fill="E7E6E6"/>
          </w:tcPr>
          <w:p w14:paraId="56F0D28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Assess impact for different population groups</w:t>
            </w:r>
          </w:p>
        </w:tc>
        <w:tc>
          <w:tcPr>
            <w:tcW w:w="2123" w:type="dxa"/>
            <w:shd w:val="clear" w:color="auto" w:fill="E7E6E6"/>
          </w:tcPr>
          <w:p w14:paraId="6FCA205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Is there a possible disproportionate negative impact? </w:t>
            </w:r>
          </w:p>
          <w:p w14:paraId="3847C7DB" w14:textId="77777777" w:rsidR="000729CF" w:rsidRPr="000729CF" w:rsidRDefault="000729CF" w:rsidP="000729CF">
            <w:pPr>
              <w:spacing w:after="120"/>
              <w:rPr>
                <w:rFonts w:ascii="Arial" w:eastAsia="Calibri" w:hAnsi="Arial" w:cs="Arial"/>
                <w:b/>
                <w:bCs/>
                <w:sz w:val="24"/>
                <w:szCs w:val="24"/>
              </w:rPr>
            </w:pPr>
          </w:p>
          <w:p w14:paraId="34CAE80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b/>
                <w:bCs/>
                <w:sz w:val="24"/>
                <w:szCs w:val="24"/>
              </w:rPr>
              <w:t>State Yes or No</w:t>
            </w:r>
          </w:p>
        </w:tc>
        <w:tc>
          <w:tcPr>
            <w:tcW w:w="5377" w:type="dxa"/>
            <w:shd w:val="clear" w:color="auto" w:fill="E7E6E6"/>
          </w:tcPr>
          <w:p w14:paraId="6733918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Describe the potential negative impact, considering for differences within groups For example, different ethnic groups, and peoples intersecting identities e.g. disabled women of faith</w:t>
            </w:r>
          </w:p>
          <w:p w14:paraId="4063E5F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OR</w:t>
            </w:r>
          </w:p>
          <w:p w14:paraId="537994A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If no impact is identified, briefly state why.</w:t>
            </w:r>
          </w:p>
        </w:tc>
      </w:tr>
      <w:tr w:rsidR="000729CF" w:rsidRPr="000729CF" w14:paraId="633F2AFD" w14:textId="77777777" w:rsidTr="000729CF">
        <w:trPr>
          <w:trHeight w:val="20"/>
        </w:trPr>
        <w:tc>
          <w:tcPr>
            <w:tcW w:w="2985" w:type="dxa"/>
            <w:shd w:val="clear" w:color="auto" w:fill="E7E6E6"/>
          </w:tcPr>
          <w:p w14:paraId="5CD6CB6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Age </w:t>
            </w:r>
          </w:p>
          <w:p w14:paraId="3745DAB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sz w:val="24"/>
                <w:szCs w:val="24"/>
              </w:rPr>
              <w:t>including those under 16, young adults, multiple ethnicities, those with various intersections.</w:t>
            </w:r>
          </w:p>
        </w:tc>
        <w:tc>
          <w:tcPr>
            <w:tcW w:w="2123" w:type="dxa"/>
          </w:tcPr>
          <w:p w14:paraId="0DE3EC4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7BEC452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Both providers are registered for young people between the ages of 8 and 18. Therefore, there are several children and young adults who may not benefit from the short break residential provision. However, we do have a respite adult provider in the city Beach House that can support those young people who are 18+. </w:t>
            </w:r>
          </w:p>
          <w:p w14:paraId="3226799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There will be strong links between Drove Road and Beach House to ensure that there are adequate transitions for those young people reaching 18+ moving into the adult provision.</w:t>
            </w:r>
          </w:p>
          <w:p w14:paraId="09141A3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We can also explore changing the registration to support those children over the age of 5 years old.</w:t>
            </w:r>
          </w:p>
        </w:tc>
      </w:tr>
      <w:tr w:rsidR="000729CF" w:rsidRPr="000729CF" w14:paraId="38A413E2" w14:textId="77777777" w:rsidTr="000729CF">
        <w:trPr>
          <w:trHeight w:val="20"/>
        </w:trPr>
        <w:tc>
          <w:tcPr>
            <w:tcW w:w="2985" w:type="dxa"/>
            <w:shd w:val="clear" w:color="auto" w:fill="E7E6E6"/>
          </w:tcPr>
          <w:p w14:paraId="096118C9"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 xml:space="preserve">Disability </w:t>
            </w:r>
            <w:r w:rsidRPr="000729CF">
              <w:rPr>
                <w:rFonts w:ascii="Arial" w:eastAsia="Calibri" w:hAnsi="Arial" w:cs="Arial"/>
                <w:sz w:val="24"/>
                <w:szCs w:val="24"/>
              </w:rPr>
              <w:t>includes physical and sensory disabled, D/deaf, deafened, hard of hearing, blind, neurodiverse people, people with non-visible disabilities.</w:t>
            </w:r>
          </w:p>
        </w:tc>
        <w:tc>
          <w:tcPr>
            <w:tcW w:w="2123" w:type="dxa"/>
          </w:tcPr>
          <w:p w14:paraId="6D00879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485DE0D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Both provisions are accessible to those children and young people with disabilities. There may be some need to adapt some of the physical environment in Drove Road and Tudor House to ensure that both properties are fully accessible in all areas of the provision for the service users.  </w:t>
            </w:r>
          </w:p>
          <w:p w14:paraId="5487EBE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Drove Road will also be accessible to those children and young people who have autism without a learning disability. This will increase the range of disability the short breaks provision currently provides in the city. </w:t>
            </w:r>
          </w:p>
          <w:p w14:paraId="7D72D00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Some of our parents/carers may have a disability themselves and therefore we need to ensure that Easy Read versions of information will be made available so that they fully understand the proposed changes. </w:t>
            </w:r>
          </w:p>
        </w:tc>
      </w:tr>
      <w:tr w:rsidR="000729CF" w:rsidRPr="000729CF" w14:paraId="54A37004" w14:textId="77777777" w:rsidTr="000729CF">
        <w:trPr>
          <w:trHeight w:val="20"/>
        </w:trPr>
        <w:tc>
          <w:tcPr>
            <w:tcW w:w="2985" w:type="dxa"/>
            <w:shd w:val="clear" w:color="auto" w:fill="E7E6E6"/>
          </w:tcPr>
          <w:p w14:paraId="099B8F82" w14:textId="77777777" w:rsidR="000729CF" w:rsidRPr="000729CF" w:rsidRDefault="000729CF" w:rsidP="000729CF">
            <w:pPr>
              <w:keepNext/>
              <w:keepLines/>
              <w:spacing w:before="40"/>
              <w:outlineLvl w:val="2"/>
              <w:rPr>
                <w:rFonts w:ascii="Arial" w:hAnsi="Arial" w:cs="Arial"/>
                <w:color w:val="1F3763"/>
                <w:sz w:val="24"/>
                <w:szCs w:val="24"/>
              </w:rPr>
            </w:pPr>
            <w:r w:rsidRPr="000729CF">
              <w:rPr>
                <w:rFonts w:ascii="Arial" w:hAnsi="Arial" w:cs="Arial"/>
                <w:b/>
                <w:bCs/>
                <w:color w:val="000000"/>
                <w:sz w:val="24"/>
                <w:szCs w:val="24"/>
              </w:rPr>
              <w:t>Ethnicity, ‘</w:t>
            </w:r>
            <w:r w:rsidRPr="000729CF">
              <w:rPr>
                <w:rFonts w:ascii="Arial" w:hAnsi="Arial" w:cs="Arial"/>
                <w:color w:val="000000"/>
                <w:sz w:val="24"/>
                <w:szCs w:val="24"/>
              </w:rPr>
              <w:t>Race’, ethnic heritage including Gypsy, Roma, Travellers</w:t>
            </w:r>
          </w:p>
        </w:tc>
        <w:tc>
          <w:tcPr>
            <w:tcW w:w="2123" w:type="dxa"/>
          </w:tcPr>
          <w:p w14:paraId="2FDD2FD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53820F9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18% of children and young people with an Education Health and Care plan are either Black or from the Global Majority. Therefore, we need to ensure that both homes reflect the SEND population and that those children and young people who are either Black or from the Global Majority have equitable access to the new respite/ residential provision.</w:t>
            </w:r>
          </w:p>
          <w:p w14:paraId="3F9E148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There are several young people who are either Black or from the Global Majority that currently access both homes and Social Workers will work closely with families to ensure that they continue to receive an offer that meets their child’s needs. </w:t>
            </w:r>
          </w:p>
          <w:p w14:paraId="2E86BA7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All families will be part of the review and we will ensure that language support, as well as an interpreter, will be sourced upon receiving confirmation and consent from those who would need it.  </w:t>
            </w:r>
          </w:p>
          <w:p w14:paraId="01AB3F6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The Council will ensure that information is made clear and accessible for all, including translated materials in key languages for the city’s migrant populations. </w:t>
            </w:r>
          </w:p>
          <w:p w14:paraId="21ABBDF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If children and/or parents/carers indicate that they are experiencing discrimination, there will be signposting in place to ensure that they have the relevant support that they need or access to a relevant discriminatory community group that they can contact for assistance.</w:t>
            </w:r>
          </w:p>
        </w:tc>
      </w:tr>
      <w:tr w:rsidR="000729CF" w:rsidRPr="000729CF" w14:paraId="5F9BE2CC" w14:textId="77777777" w:rsidTr="000729CF">
        <w:trPr>
          <w:trHeight w:val="20"/>
        </w:trPr>
        <w:tc>
          <w:tcPr>
            <w:tcW w:w="2985" w:type="dxa"/>
            <w:shd w:val="clear" w:color="auto" w:fill="E7E6E6"/>
          </w:tcPr>
          <w:p w14:paraId="1D0D3EA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Religion, Spirituality, Faith, Atheism, and philosophical belief </w:t>
            </w:r>
          </w:p>
        </w:tc>
        <w:tc>
          <w:tcPr>
            <w:tcW w:w="2123" w:type="dxa"/>
          </w:tcPr>
          <w:p w14:paraId="2028F6B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5E8D9BD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The Specialist Community Disability Service and the Safeguarding and Care service hold data on their children and young people they support in terms of their religion or belief. It is likely there will be range of religions and belief systems within the cohort who may access the short breaks and the residential home provision. </w:t>
            </w:r>
          </w:p>
          <w:p w14:paraId="79A0DE1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It is important that both Drove Road and Tudor House actively engage and celebrate religious and faith celebrated days to affirm children to engage further with the communities.</w:t>
            </w:r>
          </w:p>
          <w:p w14:paraId="2B745D9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When looking at placements, consideration will be given to the observance of religious days of significance to ensure that there is ability for children and young people to access the short break provision at a time that fits in with this.</w:t>
            </w:r>
          </w:p>
          <w:p w14:paraId="2A381A4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All activities will ensure observance of religion or belief and will sensitively and inclusively considerations towards dietary, spiritual and/or attire.</w:t>
            </w:r>
          </w:p>
          <w:p w14:paraId="455562F2" w14:textId="77777777" w:rsidR="000729CF" w:rsidRPr="000729CF" w:rsidRDefault="000729CF" w:rsidP="000729CF">
            <w:pPr>
              <w:spacing w:after="120"/>
              <w:rPr>
                <w:rFonts w:ascii="Arial" w:eastAsia="Calibri" w:hAnsi="Arial" w:cs="Arial"/>
                <w:color w:val="FF0000"/>
                <w:sz w:val="24"/>
                <w:szCs w:val="24"/>
              </w:rPr>
            </w:pPr>
            <w:r w:rsidRPr="000729CF">
              <w:rPr>
                <w:rFonts w:ascii="Arial" w:eastAsia="Calibri" w:hAnsi="Arial" w:cs="Arial"/>
                <w:sz w:val="24"/>
                <w:szCs w:val="24"/>
              </w:rPr>
              <w:t>Information will be made clear and accessible for all, including translated materials in key languages for the city’s migrant populations, and for all front-line services to be aware of support available and signpost accordingly.</w:t>
            </w:r>
          </w:p>
          <w:p w14:paraId="77C1C47D" w14:textId="77777777" w:rsidR="000729CF" w:rsidRPr="000729CF" w:rsidRDefault="000729CF" w:rsidP="000729CF">
            <w:pPr>
              <w:spacing w:after="120"/>
              <w:rPr>
                <w:rFonts w:ascii="Arial" w:eastAsia="Calibri" w:hAnsi="Arial" w:cs="Arial"/>
                <w:color w:val="FF0000"/>
                <w:sz w:val="24"/>
                <w:szCs w:val="24"/>
              </w:rPr>
            </w:pPr>
            <w:r w:rsidRPr="000729CF">
              <w:rPr>
                <w:rFonts w:ascii="Arial" w:eastAsia="Calibri" w:hAnsi="Arial" w:cs="Arial"/>
                <w:sz w:val="24"/>
                <w:szCs w:val="24"/>
              </w:rPr>
              <w:t>If children and/or parents/carers indicate that they are experiencing religious or belief discrimination, there will be signposting in place to ensure that they have the relevant support that they need or access to a relevant community group that they can contact for assistance.</w:t>
            </w:r>
          </w:p>
        </w:tc>
      </w:tr>
      <w:tr w:rsidR="000729CF" w:rsidRPr="000729CF" w14:paraId="2AE35E70" w14:textId="77777777" w:rsidTr="000729CF">
        <w:trPr>
          <w:trHeight w:val="20"/>
        </w:trPr>
        <w:tc>
          <w:tcPr>
            <w:tcW w:w="2985" w:type="dxa"/>
            <w:shd w:val="clear" w:color="auto" w:fill="E7E6E6"/>
          </w:tcPr>
          <w:p w14:paraId="7A58A1D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Gender and Sex </w:t>
            </w:r>
            <w:r w:rsidRPr="000729CF">
              <w:rPr>
                <w:rFonts w:ascii="Arial" w:eastAsia="Calibri" w:hAnsi="Arial" w:cs="Arial"/>
                <w:sz w:val="24"/>
                <w:szCs w:val="24"/>
              </w:rPr>
              <w:t>including non-binary and intersex people</w:t>
            </w:r>
          </w:p>
        </w:tc>
        <w:tc>
          <w:tcPr>
            <w:tcW w:w="2123" w:type="dxa"/>
          </w:tcPr>
          <w:p w14:paraId="3544DCD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2DD8FF2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gender split of children and young people with SEN and Disabilities is 29% Female and 71% Male. We would therefore expect to see a similar proportionate gender split in those children and young people attending the short breaks respite provision and the residential care home.</w:t>
            </w:r>
          </w:p>
          <w:p w14:paraId="78C0FC8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Where young people have identified as non-binary or intersex both homes will need to work closely with families and social care to ensure they have the right advice and support them appropriately and adapt any material or make any necessary adjustments to the home environment to meet their needs.</w:t>
            </w:r>
          </w:p>
          <w:p w14:paraId="1EA43822" w14:textId="77777777" w:rsidR="000729CF" w:rsidRPr="000729CF" w:rsidRDefault="000729CF" w:rsidP="000729CF">
            <w:pPr>
              <w:rPr>
                <w:rFonts w:ascii="Arial" w:eastAsia="Calibri" w:hAnsi="Arial" w:cs="Arial"/>
                <w:sz w:val="24"/>
                <w:szCs w:val="24"/>
              </w:rPr>
            </w:pPr>
            <w:proofErr w:type="spellStart"/>
            <w:r w:rsidRPr="000729CF">
              <w:rPr>
                <w:rFonts w:ascii="Arial" w:eastAsia="Calibri" w:hAnsi="Arial" w:cs="Arial"/>
                <w:sz w:val="24"/>
                <w:szCs w:val="24"/>
              </w:rPr>
              <w:t>Allsorts</w:t>
            </w:r>
            <w:proofErr w:type="spellEnd"/>
            <w:r w:rsidRPr="000729CF">
              <w:rPr>
                <w:rFonts w:ascii="Arial" w:eastAsia="Calibri" w:hAnsi="Arial" w:cs="Arial"/>
                <w:sz w:val="24"/>
                <w:szCs w:val="24"/>
              </w:rPr>
              <w:t xml:space="preserve"> is available for support for children in the city and can provide support and advice for home staff should they require it.</w:t>
            </w:r>
          </w:p>
          <w:p w14:paraId="1D0A44A6" w14:textId="77777777" w:rsidR="000729CF" w:rsidRPr="000729CF" w:rsidRDefault="000729CF" w:rsidP="000729CF">
            <w:pPr>
              <w:rPr>
                <w:rFonts w:ascii="Arial" w:eastAsia="Calibri" w:hAnsi="Arial" w:cs="Arial"/>
                <w:sz w:val="24"/>
                <w:szCs w:val="24"/>
              </w:rPr>
            </w:pPr>
          </w:p>
          <w:p w14:paraId="2DF8550B"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We are aware that parents/carers may be in situations where they are in non-binary families. This doesn’t directly impact on short break arrangements.  Where we are aware of any circumstances where individuals need support, we will accommodate any bespoke needs.</w:t>
            </w:r>
          </w:p>
        </w:tc>
      </w:tr>
      <w:tr w:rsidR="000729CF" w:rsidRPr="000729CF" w14:paraId="47FCCF37" w14:textId="77777777" w:rsidTr="000729CF">
        <w:trPr>
          <w:trHeight w:val="20"/>
        </w:trPr>
        <w:tc>
          <w:tcPr>
            <w:tcW w:w="2985" w:type="dxa"/>
            <w:shd w:val="clear" w:color="auto" w:fill="E7E6E6"/>
          </w:tcPr>
          <w:p w14:paraId="6FAAC78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2123" w:type="dxa"/>
          </w:tcPr>
          <w:p w14:paraId="05B6566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3F1D495E"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We have not yet identified any disproportionate impacts on this group because the data available about parents/children’s gender reassignment is inconclusive.</w:t>
            </w:r>
          </w:p>
          <w:p w14:paraId="61946B78" w14:textId="77777777" w:rsidR="000729CF" w:rsidRPr="000729CF" w:rsidRDefault="000729CF" w:rsidP="000729CF">
            <w:pPr>
              <w:rPr>
                <w:rFonts w:ascii="Arial" w:eastAsia="Calibri" w:hAnsi="Arial" w:cs="Arial"/>
                <w:sz w:val="24"/>
                <w:szCs w:val="24"/>
              </w:rPr>
            </w:pPr>
          </w:p>
          <w:p w14:paraId="15EBD002"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We know that parents/carers may not want to disclose information about gender reassignment for reasons such as the perceive lack of support, fear of discrimination, personal choice.</w:t>
            </w:r>
          </w:p>
          <w:p w14:paraId="1297A868" w14:textId="77777777" w:rsidR="000729CF" w:rsidRPr="000729CF" w:rsidRDefault="000729CF" w:rsidP="000729CF">
            <w:pPr>
              <w:rPr>
                <w:rFonts w:ascii="Arial" w:eastAsia="Calibri" w:hAnsi="Arial" w:cs="Arial"/>
                <w:sz w:val="24"/>
                <w:szCs w:val="24"/>
              </w:rPr>
            </w:pPr>
          </w:p>
          <w:p w14:paraId="5F2462CA"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We will take this into account and ensure that very situation is dealt with compassionately and fairly and that bespoke assistance is available if individuals request this.</w:t>
            </w:r>
          </w:p>
          <w:p w14:paraId="11EEC464" w14:textId="77777777" w:rsidR="000729CF" w:rsidRPr="000729CF" w:rsidRDefault="000729CF" w:rsidP="000729CF">
            <w:pPr>
              <w:rPr>
                <w:rFonts w:ascii="Arial" w:eastAsia="Calibri" w:hAnsi="Arial" w:cs="Arial"/>
                <w:sz w:val="24"/>
                <w:szCs w:val="24"/>
              </w:rPr>
            </w:pPr>
          </w:p>
          <w:p w14:paraId="0FF0DE1D"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Brighton &amp; Hove’s Trans Toolkit may also be helpful to home managers and their teams and could be adapted to meet the individual needs of children and young people in their care.</w:t>
            </w:r>
          </w:p>
          <w:p w14:paraId="2685B157" w14:textId="77777777" w:rsidR="000729CF" w:rsidRPr="000729CF" w:rsidRDefault="000729CF" w:rsidP="000729CF">
            <w:pPr>
              <w:rPr>
                <w:rFonts w:ascii="Arial" w:eastAsia="Calibri" w:hAnsi="Arial" w:cs="Arial"/>
                <w:sz w:val="24"/>
                <w:szCs w:val="24"/>
              </w:rPr>
            </w:pPr>
          </w:p>
          <w:p w14:paraId="71F10FEC"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If parents/children indicate they need support and assistance, then they will be signposted to the relevant support or discriminatory community group that they can contact for additional assistance.</w:t>
            </w:r>
          </w:p>
        </w:tc>
      </w:tr>
      <w:tr w:rsidR="000729CF" w:rsidRPr="000729CF" w14:paraId="6C6FC7BD" w14:textId="77777777" w:rsidTr="000729CF">
        <w:trPr>
          <w:trHeight w:val="20"/>
        </w:trPr>
        <w:tc>
          <w:tcPr>
            <w:tcW w:w="2985" w:type="dxa"/>
            <w:shd w:val="clear" w:color="auto" w:fill="E7E6E6"/>
          </w:tcPr>
          <w:p w14:paraId="48A63BD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2123" w:type="dxa"/>
          </w:tcPr>
          <w:p w14:paraId="2C5245D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6B4D9B9F"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We have not yet identified any disproportionate impacts on this group because the data available about parents/children’s sexual orientation is inconclusive.  However, we are aware that discrimination against sexual orientation remains a prevalent issue.</w:t>
            </w:r>
          </w:p>
          <w:p w14:paraId="1B581927" w14:textId="77777777" w:rsidR="000729CF" w:rsidRPr="000729CF" w:rsidRDefault="000729CF" w:rsidP="000729CF">
            <w:pPr>
              <w:rPr>
                <w:rFonts w:ascii="Arial" w:eastAsia="Calibri" w:hAnsi="Arial" w:cs="Arial"/>
                <w:color w:val="FF0000"/>
                <w:sz w:val="24"/>
                <w:szCs w:val="24"/>
              </w:rPr>
            </w:pPr>
          </w:p>
          <w:p w14:paraId="1DC9A05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Same sex parent/carers couples or LGBTQ single parents are part of the demographic. </w:t>
            </w:r>
          </w:p>
          <w:p w14:paraId="5B192C2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We will need to ensure materials aimed at parents/carers reflect the diversity in the city and that parents/carers and their children are referred to and treated with respect reflecting their family situations. </w:t>
            </w:r>
          </w:p>
          <w:p w14:paraId="6FBED7D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There is likely to be young people attending </w:t>
            </w:r>
            <w:proofErr w:type="gramStart"/>
            <w:r w:rsidRPr="000729CF">
              <w:rPr>
                <w:rFonts w:ascii="Arial" w:eastAsia="Calibri" w:hAnsi="Arial" w:cs="Arial"/>
                <w:sz w:val="24"/>
                <w:szCs w:val="24"/>
              </w:rPr>
              <w:t>the both</w:t>
            </w:r>
            <w:proofErr w:type="gramEnd"/>
            <w:r w:rsidRPr="000729CF">
              <w:rPr>
                <w:rFonts w:ascii="Arial" w:eastAsia="Calibri" w:hAnsi="Arial" w:cs="Arial"/>
                <w:sz w:val="24"/>
                <w:szCs w:val="24"/>
              </w:rPr>
              <w:t xml:space="preserve"> homes who identify as LGBTQ as we have a high demographic in the city.</w:t>
            </w:r>
          </w:p>
          <w:p w14:paraId="076C0604"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If we are aware of any circumstances were individuals need support, we will ensure that this group is supported and that the school is also supported in guiding people through to resources and signposting support.</w:t>
            </w:r>
          </w:p>
          <w:p w14:paraId="562F7AEE" w14:textId="77777777" w:rsidR="000729CF" w:rsidRPr="000729CF" w:rsidRDefault="000729CF" w:rsidP="000729CF">
            <w:pPr>
              <w:rPr>
                <w:rFonts w:ascii="Arial" w:eastAsia="Calibri" w:hAnsi="Arial" w:cs="Arial"/>
                <w:sz w:val="24"/>
                <w:szCs w:val="24"/>
              </w:rPr>
            </w:pPr>
          </w:p>
          <w:p w14:paraId="768BCE21" w14:textId="77777777" w:rsidR="000729CF" w:rsidRPr="000729CF" w:rsidRDefault="000729CF" w:rsidP="000729CF">
            <w:pPr>
              <w:rPr>
                <w:rFonts w:ascii="Arial" w:eastAsia="Calibri" w:hAnsi="Arial" w:cs="Arial"/>
                <w:sz w:val="24"/>
                <w:szCs w:val="24"/>
              </w:rPr>
            </w:pPr>
            <w:proofErr w:type="spellStart"/>
            <w:r w:rsidRPr="000729CF">
              <w:rPr>
                <w:rFonts w:ascii="Arial" w:eastAsia="Calibri" w:hAnsi="Arial" w:cs="Arial"/>
                <w:sz w:val="24"/>
                <w:szCs w:val="24"/>
              </w:rPr>
              <w:t>Allsorts</w:t>
            </w:r>
            <w:proofErr w:type="spellEnd"/>
            <w:r w:rsidRPr="000729CF">
              <w:rPr>
                <w:rFonts w:ascii="Arial" w:eastAsia="Calibri" w:hAnsi="Arial" w:cs="Arial"/>
                <w:sz w:val="24"/>
                <w:szCs w:val="24"/>
              </w:rPr>
              <w:t xml:space="preserve"> is available for support for children in the city. Both Drove Road and Tudor House will be able to work with </w:t>
            </w:r>
            <w:proofErr w:type="spellStart"/>
            <w:r w:rsidRPr="000729CF">
              <w:rPr>
                <w:rFonts w:ascii="Arial" w:eastAsia="Calibri" w:hAnsi="Arial" w:cs="Arial"/>
                <w:sz w:val="24"/>
                <w:szCs w:val="24"/>
              </w:rPr>
              <w:t>Allsorts</w:t>
            </w:r>
            <w:proofErr w:type="spellEnd"/>
            <w:r w:rsidRPr="000729CF">
              <w:rPr>
                <w:rFonts w:ascii="Arial" w:eastAsia="Calibri" w:hAnsi="Arial" w:cs="Arial"/>
                <w:sz w:val="24"/>
                <w:szCs w:val="24"/>
              </w:rPr>
              <w:t xml:space="preserve"> to support any young people who identify as LGBTQ and adapt any material to ensure it meets their individual needs.</w:t>
            </w:r>
          </w:p>
        </w:tc>
      </w:tr>
      <w:tr w:rsidR="000729CF" w:rsidRPr="000729CF" w14:paraId="308D5DBC" w14:textId="77777777" w:rsidTr="000729CF">
        <w:trPr>
          <w:trHeight w:val="20"/>
        </w:trPr>
        <w:tc>
          <w:tcPr>
            <w:tcW w:w="2985" w:type="dxa"/>
            <w:shd w:val="clear" w:color="auto" w:fill="E7E6E6"/>
          </w:tcPr>
          <w:p w14:paraId="174E925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2123" w:type="dxa"/>
          </w:tcPr>
          <w:p w14:paraId="3C504CF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6FA4D519"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We have not yet identified any disproportionate impacts on this group because the data available about parent/carer marital or civil partnership status is inconclusive.</w:t>
            </w:r>
          </w:p>
          <w:p w14:paraId="21902395" w14:textId="77777777" w:rsidR="000729CF" w:rsidRPr="000729CF" w:rsidRDefault="000729CF" w:rsidP="000729CF">
            <w:pPr>
              <w:rPr>
                <w:rFonts w:ascii="Arial" w:eastAsia="Calibri" w:hAnsi="Arial" w:cs="Arial"/>
                <w:sz w:val="24"/>
                <w:szCs w:val="24"/>
              </w:rPr>
            </w:pPr>
          </w:p>
          <w:p w14:paraId="31B1DC94"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There may be discrimination around civil partnerships and gay marriages and families.  If we are aware of any circumstances where individuals need support, home staff will ensure that this group is supported and guided to resources.</w:t>
            </w:r>
          </w:p>
          <w:p w14:paraId="0F67DE41" w14:textId="77777777" w:rsidR="000729CF" w:rsidRPr="000729CF" w:rsidRDefault="000729CF" w:rsidP="000729CF">
            <w:pPr>
              <w:rPr>
                <w:rFonts w:ascii="Arial" w:eastAsia="Calibri" w:hAnsi="Arial" w:cs="Arial"/>
                <w:sz w:val="24"/>
                <w:szCs w:val="24"/>
              </w:rPr>
            </w:pPr>
          </w:p>
          <w:p w14:paraId="1EC617D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young people attending the short breaks provision, or the residential home will be between the ages of 8 and18. It is unlikely this would apply. However, if a young person who is between the ages of 16 and 18 and has parental consent to enter a marriage or civil partnership support will be provided to the young person and family concerned. A Mental Capacity assessment will be completed if required.</w:t>
            </w:r>
          </w:p>
        </w:tc>
      </w:tr>
      <w:tr w:rsidR="000729CF" w:rsidRPr="000729CF" w14:paraId="7ADD553C" w14:textId="77777777" w:rsidTr="000729CF">
        <w:trPr>
          <w:trHeight w:val="20"/>
        </w:trPr>
        <w:tc>
          <w:tcPr>
            <w:tcW w:w="2985" w:type="dxa"/>
            <w:shd w:val="clear" w:color="auto" w:fill="E7E6E6"/>
          </w:tcPr>
          <w:p w14:paraId="3A51CBD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Pregnancy, Maternity, Paternity, Adoption, Menopause, (In)fertility </w:t>
            </w:r>
            <w:r w:rsidRPr="000729CF">
              <w:rPr>
                <w:rFonts w:ascii="Arial" w:eastAsia="Calibri" w:hAnsi="Arial" w:cs="Arial"/>
                <w:color w:val="000000"/>
                <w:sz w:val="24"/>
                <w:szCs w:val="24"/>
              </w:rPr>
              <w:t>(across intersections and non-binary gender spectrum)</w:t>
            </w:r>
          </w:p>
        </w:tc>
        <w:tc>
          <w:tcPr>
            <w:tcW w:w="2123" w:type="dxa"/>
          </w:tcPr>
          <w:p w14:paraId="6F05C91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4BFFD32A"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 xml:space="preserve">We are aware that parents/carers may be in situations where they are on maternity/paternity leave or caring for younger children.  </w:t>
            </w:r>
          </w:p>
          <w:p w14:paraId="3054D670" w14:textId="77777777" w:rsidR="000729CF" w:rsidRPr="000729CF" w:rsidRDefault="000729CF" w:rsidP="000729CF">
            <w:pPr>
              <w:rPr>
                <w:rFonts w:ascii="Arial" w:eastAsia="Calibri" w:hAnsi="Arial" w:cs="Arial"/>
                <w:sz w:val="24"/>
                <w:szCs w:val="24"/>
              </w:rPr>
            </w:pPr>
          </w:p>
          <w:p w14:paraId="41B35AE8"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Parents/carers who are pregnant or on maternity leave may find it difficult to get children/young people to the provision.  We will work to accommodate any bespoke needs and provide support to all those where we are aware that their circumstances mean that they require additional support.</w:t>
            </w:r>
          </w:p>
          <w:p w14:paraId="18B3566B" w14:textId="77777777" w:rsidR="000729CF" w:rsidRPr="000729CF" w:rsidRDefault="000729CF" w:rsidP="000729CF">
            <w:pPr>
              <w:rPr>
                <w:rFonts w:ascii="Arial" w:eastAsia="Calibri" w:hAnsi="Arial" w:cs="Arial"/>
                <w:sz w:val="24"/>
                <w:szCs w:val="24"/>
              </w:rPr>
            </w:pPr>
          </w:p>
          <w:p w14:paraId="3306FC1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As the children and young people accessing short breaks or a residential placement will be between the ages of 8 and 18, we do not expect pregnancy, maternity and paternity to apply. </w:t>
            </w:r>
          </w:p>
          <w:p w14:paraId="2E01170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However, there are likely to be children and young people who have been fostered or adopted accessing these provisions and where this is the case the appropriate support will be provided through the BHCC fostering and adoption team.</w:t>
            </w:r>
          </w:p>
        </w:tc>
      </w:tr>
      <w:tr w:rsidR="000729CF" w:rsidRPr="000729CF" w14:paraId="4C4A7888" w14:textId="77777777" w:rsidTr="000729CF">
        <w:trPr>
          <w:trHeight w:val="20"/>
        </w:trPr>
        <w:tc>
          <w:tcPr>
            <w:tcW w:w="2985" w:type="dxa"/>
            <w:shd w:val="clear" w:color="auto" w:fill="E7E6E6"/>
          </w:tcPr>
          <w:p w14:paraId="181BDC0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2123" w:type="dxa"/>
          </w:tcPr>
          <w:p w14:paraId="7FD3D9E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7D5BF81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We have not yet identified any disproportionate impacts on this group because the data available about parent/carer profession is not available.</w:t>
            </w:r>
          </w:p>
        </w:tc>
      </w:tr>
      <w:tr w:rsidR="000729CF" w:rsidRPr="000729CF" w14:paraId="6C1EE48B" w14:textId="77777777" w:rsidTr="000729CF">
        <w:trPr>
          <w:trHeight w:val="20"/>
        </w:trPr>
        <w:tc>
          <w:tcPr>
            <w:tcW w:w="2985" w:type="dxa"/>
            <w:shd w:val="clear" w:color="auto" w:fill="E7E6E6"/>
          </w:tcPr>
          <w:p w14:paraId="5FFEC6F5" w14:textId="77777777" w:rsidR="000729CF" w:rsidRPr="000729CF" w:rsidRDefault="000729CF" w:rsidP="000729CF">
            <w:pPr>
              <w:spacing w:after="120"/>
              <w:rPr>
                <w:rFonts w:ascii="Arial" w:eastAsia="Calibri" w:hAnsi="Arial" w:cs="Arial"/>
                <w:b/>
                <w:bCs/>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r w:rsidRPr="000729CF">
              <w:rPr>
                <w:rFonts w:ascii="Arial" w:hAnsi="Arial" w:cs="Arial"/>
                <w:color w:val="000000"/>
                <w:sz w:val="24"/>
                <w:szCs w:val="24"/>
              </w:rPr>
              <w:t>considering for age, language, and various intersections</w:t>
            </w:r>
          </w:p>
        </w:tc>
        <w:tc>
          <w:tcPr>
            <w:tcW w:w="2123" w:type="dxa"/>
          </w:tcPr>
          <w:p w14:paraId="4C237EC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08C31646"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 xml:space="preserve">There is no comprehensive data available and further work needs to be undertaken into whether any of the children or young people who will be accessing Drove Road and Tudor House are Expatriates, Migrants, Asylum Seekers or Refugees. </w:t>
            </w:r>
          </w:p>
          <w:p w14:paraId="3F3A3294" w14:textId="77777777" w:rsidR="000729CF" w:rsidRPr="000729CF" w:rsidRDefault="000729CF" w:rsidP="000729CF">
            <w:pPr>
              <w:rPr>
                <w:rFonts w:ascii="Arial" w:eastAsia="Calibri" w:hAnsi="Arial" w:cs="Arial"/>
                <w:sz w:val="24"/>
                <w:szCs w:val="24"/>
              </w:rPr>
            </w:pPr>
          </w:p>
          <w:p w14:paraId="36B3259E"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Families from with these backgrounds may have experienced previous trauma and / or racism and children and young people and their families may need additional support. Language support will be provided for families and an interpreter can be sourced upon receiving confirmation and consent from those who would need it.</w:t>
            </w:r>
          </w:p>
          <w:p w14:paraId="11B6EDAD" w14:textId="77777777" w:rsidR="000729CF" w:rsidRPr="000729CF" w:rsidRDefault="000729CF" w:rsidP="000729CF">
            <w:pPr>
              <w:rPr>
                <w:rFonts w:ascii="Arial" w:eastAsia="Calibri" w:hAnsi="Arial" w:cs="Arial"/>
                <w:sz w:val="24"/>
                <w:szCs w:val="24"/>
              </w:rPr>
            </w:pPr>
          </w:p>
          <w:p w14:paraId="31C8C011"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If children or parents/carers indicate that they are experiencing discrimination, there will be signposting in place to ensure that they have the relevant support that they need or access to a relevant discriminatory community group that they can contact for assistance.</w:t>
            </w:r>
          </w:p>
          <w:p w14:paraId="7D7D2B2E"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 xml:space="preserve">  </w:t>
            </w:r>
          </w:p>
          <w:p w14:paraId="45EE903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Information to be made clear and accessible for all, including translated materials in key languages for the city’s migrant populations, and for all front-line services to be aware of support available and signpost accordingly.</w:t>
            </w:r>
          </w:p>
        </w:tc>
      </w:tr>
      <w:tr w:rsidR="000729CF" w:rsidRPr="000729CF" w14:paraId="1BCB5451" w14:textId="77777777" w:rsidTr="000729CF">
        <w:trPr>
          <w:trHeight w:val="20"/>
        </w:trPr>
        <w:tc>
          <w:tcPr>
            <w:tcW w:w="2985" w:type="dxa"/>
            <w:shd w:val="clear" w:color="auto" w:fill="E7E6E6"/>
          </w:tcPr>
          <w:p w14:paraId="7832978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Carers</w:t>
            </w:r>
            <w:bookmarkStart w:id="76" w:name="_Hlk141806451"/>
            <w:r w:rsidRPr="000729CF">
              <w:rPr>
                <w:rFonts w:ascii="Arial" w:eastAsia="Calibri" w:hAnsi="Arial" w:cs="Arial"/>
                <w:b/>
                <w:bCs/>
                <w:color w:val="000000"/>
                <w:sz w:val="24"/>
                <w:szCs w:val="24"/>
              </w:rPr>
              <w:t xml:space="preserve"> </w:t>
            </w:r>
            <w:bookmarkEnd w:id="76"/>
            <w:r w:rsidRPr="000729CF">
              <w:rPr>
                <w:rFonts w:ascii="Arial" w:hAnsi="Arial" w:cs="Arial"/>
                <w:color w:val="000000"/>
                <w:sz w:val="24"/>
                <w:szCs w:val="24"/>
              </w:rPr>
              <w:t>considering for age, language, and various intersections</w:t>
            </w:r>
          </w:p>
        </w:tc>
        <w:tc>
          <w:tcPr>
            <w:tcW w:w="2123" w:type="dxa"/>
          </w:tcPr>
          <w:p w14:paraId="47EC6A7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53BD2F4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More children should be able to access short breaks through maximising the occupancy at Drove Road. This should help support carers for children and young people with a disability.</w:t>
            </w:r>
          </w:p>
        </w:tc>
      </w:tr>
      <w:tr w:rsidR="000729CF" w:rsidRPr="000729CF" w14:paraId="2DFD2578" w14:textId="77777777" w:rsidTr="000729CF">
        <w:trPr>
          <w:trHeight w:val="20"/>
        </w:trPr>
        <w:tc>
          <w:tcPr>
            <w:tcW w:w="2985" w:type="dxa"/>
            <w:shd w:val="clear" w:color="auto" w:fill="E7E6E6"/>
          </w:tcPr>
          <w:p w14:paraId="626E70A1"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 xml:space="preserve">Looked after children, Care Leavers, Care and fostering experienced people </w:t>
            </w:r>
            <w:r w:rsidRPr="000729CF">
              <w:rPr>
                <w:rFonts w:ascii="Arial" w:hAnsi="Arial" w:cs="Arial"/>
                <w:color w:val="000000"/>
                <w:sz w:val="24"/>
                <w:szCs w:val="24"/>
              </w:rPr>
              <w:t>considering for age, language, and various intersections</w:t>
            </w:r>
          </w:p>
        </w:tc>
        <w:tc>
          <w:tcPr>
            <w:tcW w:w="2123" w:type="dxa"/>
          </w:tcPr>
          <w:p w14:paraId="41E3BC1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58B36B89"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 xml:space="preserve">The children and young people in the residential home will all be looked after children. There will only be a positive impact upon this group as they will be returning to their city, be nearer to their families and attend their local school. </w:t>
            </w:r>
          </w:p>
          <w:p w14:paraId="763154E9"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 xml:space="preserve">There may also be children and young people who are being fostered accessing the short breaks provision. </w:t>
            </w:r>
            <w:proofErr w:type="gramStart"/>
            <w:r w:rsidRPr="000729CF">
              <w:rPr>
                <w:rFonts w:ascii="Arial" w:eastAsia="Calibri" w:hAnsi="Arial" w:cs="Arial"/>
                <w:sz w:val="24"/>
                <w:szCs w:val="24"/>
              </w:rPr>
              <w:t>As Corporate Parent, there</w:t>
            </w:r>
            <w:proofErr w:type="gramEnd"/>
            <w:r w:rsidRPr="000729CF">
              <w:rPr>
                <w:rFonts w:ascii="Arial" w:eastAsia="Calibri" w:hAnsi="Arial" w:cs="Arial"/>
                <w:sz w:val="24"/>
                <w:szCs w:val="24"/>
              </w:rPr>
              <w:t xml:space="preserve"> is a collective responsibility and demonstrable commitment to ensure that children and young people with care experience are enabled to have the same opportunities as any other child or young person and we need to ensure that those children/young people in foster care have access to respite provision. </w:t>
            </w:r>
          </w:p>
          <w:p w14:paraId="5D936F4C" w14:textId="77777777" w:rsidR="000729CF" w:rsidRPr="000729CF" w:rsidRDefault="000729CF" w:rsidP="000729CF">
            <w:pPr>
              <w:spacing w:after="120"/>
              <w:rPr>
                <w:rFonts w:ascii="Arial" w:eastAsia="Calibri" w:hAnsi="Arial" w:cs="Arial"/>
                <w:sz w:val="24"/>
                <w:szCs w:val="24"/>
              </w:rPr>
            </w:pPr>
          </w:p>
          <w:p w14:paraId="7C218BC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Those leaving care at the age of 18 will be supported by the Care Leavers team or the 14 -25 </w:t>
            </w:r>
            <w:proofErr w:type="spellStart"/>
            <w:r w:rsidRPr="000729CF">
              <w:rPr>
                <w:rFonts w:ascii="Arial" w:eastAsia="Calibri" w:hAnsi="Arial" w:cs="Arial"/>
                <w:sz w:val="24"/>
                <w:szCs w:val="24"/>
              </w:rPr>
              <w:t>PoD</w:t>
            </w:r>
            <w:proofErr w:type="spellEnd"/>
            <w:r w:rsidRPr="000729CF">
              <w:rPr>
                <w:rFonts w:ascii="Arial" w:eastAsia="Calibri" w:hAnsi="Arial" w:cs="Arial"/>
                <w:sz w:val="24"/>
                <w:szCs w:val="24"/>
              </w:rPr>
              <w:t xml:space="preserve"> for transitions in the Specialist Community Disability Service. </w:t>
            </w:r>
          </w:p>
        </w:tc>
      </w:tr>
      <w:tr w:rsidR="000729CF" w:rsidRPr="000729CF" w14:paraId="46E8EF45" w14:textId="77777777" w:rsidTr="000729CF">
        <w:trPr>
          <w:trHeight w:val="20"/>
        </w:trPr>
        <w:tc>
          <w:tcPr>
            <w:tcW w:w="2985" w:type="dxa"/>
            <w:shd w:val="clear" w:color="auto" w:fill="E7E6E6"/>
          </w:tcPr>
          <w:p w14:paraId="639338F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w:t>
            </w:r>
          </w:p>
        </w:tc>
        <w:tc>
          <w:tcPr>
            <w:tcW w:w="2123" w:type="dxa"/>
          </w:tcPr>
          <w:p w14:paraId="21FC794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6DC558B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It there are children or young people accessing the short breaks provision who are living in a home where there is domestic abuse or sexual violence, having a break in provision may impact upon family life these families will be supported by their social workers and a review assessment will be undertaken to mitigate against any risk.</w:t>
            </w:r>
          </w:p>
        </w:tc>
      </w:tr>
      <w:tr w:rsidR="000729CF" w:rsidRPr="000729CF" w14:paraId="1FEB7BB5" w14:textId="77777777" w:rsidTr="000729CF">
        <w:trPr>
          <w:trHeight w:val="20"/>
        </w:trPr>
        <w:tc>
          <w:tcPr>
            <w:tcW w:w="2985" w:type="dxa"/>
            <w:shd w:val="clear" w:color="auto" w:fill="E7E6E6"/>
          </w:tcPr>
          <w:p w14:paraId="713009E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Socio-economic disadvantage </w:t>
            </w:r>
            <w:r w:rsidRPr="000729CF">
              <w:rPr>
                <w:rFonts w:ascii="Arial" w:eastAsia="Calibri" w:hAnsi="Arial" w:cs="Arial"/>
                <w:color w:val="000000"/>
                <w:sz w:val="24"/>
                <w:szCs w:val="24"/>
              </w:rPr>
              <w:t>considering for age, disability, D/deaf/ blind, ethnicity, expatriate background, and various intersections</w:t>
            </w:r>
          </w:p>
        </w:tc>
        <w:tc>
          <w:tcPr>
            <w:tcW w:w="2123" w:type="dxa"/>
          </w:tcPr>
          <w:p w14:paraId="5AF8A29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0F82FD7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Additional burdens due to the cost of living could have disproportionate impact on women due to the nature of their employment types and barriers to employment for those with sole childcare. Having a child with a disability and being a single parent/carer can place additional pressure on the family and their ability to cope. This can then lead to a breakdown of the family.</w:t>
            </w:r>
          </w:p>
          <w:p w14:paraId="2F415F1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Having a child with a disability also has an impact on a family’s potential earnings as one parent or carer often is the primary carer. This can make families with children who are disabled less financially resilient and place additional pressure on the home and the ability to manage. </w:t>
            </w:r>
          </w:p>
          <w:p w14:paraId="79E9F86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Therefore, it is important that the accommodation the Council has is used efficiently and that we ensure we are using all capacity to maximum effect. The additional overnight breaks should support families who are on low incomes or who are disadvantaged to have a short break from caring for their child.  </w:t>
            </w:r>
          </w:p>
        </w:tc>
      </w:tr>
      <w:tr w:rsidR="000729CF" w:rsidRPr="000729CF" w14:paraId="00A93CD7" w14:textId="77777777" w:rsidTr="000729CF">
        <w:trPr>
          <w:trHeight w:val="20"/>
        </w:trPr>
        <w:tc>
          <w:tcPr>
            <w:tcW w:w="2985" w:type="dxa"/>
            <w:shd w:val="clear" w:color="auto" w:fill="E7E6E6"/>
          </w:tcPr>
          <w:p w14:paraId="27F5A50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Homeless and rough sleepers </w:t>
            </w:r>
            <w:r w:rsidRPr="000729CF">
              <w:rPr>
                <w:rFonts w:ascii="Arial" w:eastAsia="Calibri" w:hAnsi="Arial" w:cs="Arial"/>
                <w:color w:val="000000"/>
                <w:sz w:val="24"/>
                <w:szCs w:val="24"/>
              </w:rPr>
              <w:t>considering for age, veteran, ethnicity, language, and various intersections</w:t>
            </w:r>
          </w:p>
        </w:tc>
        <w:tc>
          <w:tcPr>
            <w:tcW w:w="2123" w:type="dxa"/>
          </w:tcPr>
          <w:p w14:paraId="15C7A71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2762497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As far as we are aware none of the families who access short breaks are currently homeless or rough sleeping. Therefore, there is no impact upon this group.</w:t>
            </w:r>
          </w:p>
        </w:tc>
      </w:tr>
      <w:tr w:rsidR="000729CF" w:rsidRPr="000729CF" w14:paraId="02E829A7" w14:textId="77777777" w:rsidTr="000729CF">
        <w:trPr>
          <w:trHeight w:val="20"/>
        </w:trPr>
        <w:tc>
          <w:tcPr>
            <w:tcW w:w="2985" w:type="dxa"/>
            <w:shd w:val="clear" w:color="auto" w:fill="E7E6E6"/>
          </w:tcPr>
          <w:p w14:paraId="778FB91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2123" w:type="dxa"/>
          </w:tcPr>
          <w:p w14:paraId="5FBC1E3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4EE00337" w14:textId="77777777" w:rsidR="000729CF" w:rsidRPr="000729CF" w:rsidRDefault="000729CF" w:rsidP="000729CF">
            <w:pPr>
              <w:spacing w:after="120"/>
              <w:rPr>
                <w:rFonts w:ascii="Arial" w:eastAsia="Calibri" w:hAnsi="Arial" w:cs="Arial"/>
                <w:sz w:val="24"/>
                <w:szCs w:val="24"/>
              </w:rPr>
            </w:pPr>
          </w:p>
        </w:tc>
      </w:tr>
      <w:tr w:rsidR="000729CF" w:rsidRPr="000729CF" w14:paraId="181171FB" w14:textId="77777777" w:rsidTr="000729CF">
        <w:trPr>
          <w:trHeight w:val="20"/>
        </w:trPr>
        <w:tc>
          <w:tcPr>
            <w:tcW w:w="2985" w:type="dxa"/>
            <w:shd w:val="clear" w:color="auto" w:fill="E7E6E6"/>
          </w:tcPr>
          <w:p w14:paraId="1F92A8E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 (please specify here and add additional rows as needed)</w:t>
            </w:r>
          </w:p>
        </w:tc>
        <w:tc>
          <w:tcPr>
            <w:tcW w:w="2123" w:type="dxa"/>
          </w:tcPr>
          <w:p w14:paraId="5865CF4D" w14:textId="77777777" w:rsidR="000729CF" w:rsidRPr="000729CF" w:rsidRDefault="000729CF" w:rsidP="000729CF">
            <w:pPr>
              <w:spacing w:after="120"/>
              <w:rPr>
                <w:rFonts w:ascii="Arial" w:eastAsia="Calibri" w:hAnsi="Arial" w:cs="Arial"/>
                <w:sz w:val="24"/>
                <w:szCs w:val="24"/>
              </w:rPr>
            </w:pPr>
          </w:p>
        </w:tc>
        <w:tc>
          <w:tcPr>
            <w:tcW w:w="5377" w:type="dxa"/>
          </w:tcPr>
          <w:p w14:paraId="54CEAEB6" w14:textId="77777777" w:rsidR="000729CF" w:rsidRPr="000729CF" w:rsidRDefault="000729CF" w:rsidP="000729CF">
            <w:pPr>
              <w:spacing w:after="120"/>
              <w:rPr>
                <w:rFonts w:ascii="Arial" w:eastAsia="Calibri" w:hAnsi="Arial" w:cs="Arial"/>
                <w:sz w:val="24"/>
                <w:szCs w:val="24"/>
              </w:rPr>
            </w:pPr>
          </w:p>
        </w:tc>
      </w:tr>
    </w:tbl>
    <w:p w14:paraId="704E794E" w14:textId="77777777" w:rsidR="000729CF" w:rsidRPr="000729CF" w:rsidRDefault="000729CF" w:rsidP="000729CF">
      <w:pPr>
        <w:spacing w:after="160" w:line="259" w:lineRule="auto"/>
        <w:rPr>
          <w:rFonts w:ascii="Arial" w:eastAsia="Calibri" w:hAnsi="Arial" w:cs="Arial"/>
          <w:b/>
          <w:bCs/>
          <w:sz w:val="24"/>
          <w:szCs w:val="24"/>
          <w:lang w:val="en-GB"/>
        </w:rPr>
      </w:pPr>
    </w:p>
    <w:p w14:paraId="0D909E59"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00177D4D"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202E9298"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35BA9DB9"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534194C7"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15F57694"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04D2CEE8"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2658442B"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233BEDB4"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4D1AE230"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1B643670" w14:textId="77777777" w:rsidR="000729CF" w:rsidRPr="000729CF" w:rsidRDefault="000729CF" w:rsidP="000729CF">
      <w:pPr>
        <w:rPr>
          <w:rFonts w:ascii="Arial" w:eastAsia="Calibri" w:hAnsi="Arial" w:cs="Arial"/>
          <w:sz w:val="24"/>
          <w:szCs w:val="24"/>
          <w:lang w:val="en-GB"/>
        </w:rPr>
      </w:pPr>
    </w:p>
    <w:p w14:paraId="6E8928D9"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Cumulative impacts</w:t>
      </w:r>
    </w:p>
    <w:p w14:paraId="1EF0F596"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Are there other budget proposals from other service areas that might worsen or mitigate the impacts from your proposal? Please give a brief description including name of other service(s).</w:t>
      </w:r>
    </w:p>
    <w:tbl>
      <w:tblPr>
        <w:tblStyle w:val="TableGrid"/>
        <w:tblW w:w="0" w:type="auto"/>
        <w:tblLook w:val="04A0" w:firstRow="1" w:lastRow="0" w:firstColumn="1" w:lastColumn="0" w:noHBand="0" w:noVBand="1"/>
      </w:tblPr>
      <w:tblGrid>
        <w:gridCol w:w="10456"/>
      </w:tblGrid>
      <w:tr w:rsidR="000729CF" w:rsidRPr="000729CF" w14:paraId="120F3398" w14:textId="77777777" w:rsidTr="00BC26AB">
        <w:tc>
          <w:tcPr>
            <w:tcW w:w="10456" w:type="dxa"/>
          </w:tcPr>
          <w:p w14:paraId="1D0A2C93"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 xml:space="preserve">This proposal would support the £250k saving against the Disability Placements Budget as more families would be able to access overnight short breaks if we were to use Drove Road to its full capacity. It would also contribute managing the spend on this budget as we are bringing back children and young people from high-cost care placements.  </w:t>
            </w:r>
          </w:p>
          <w:p w14:paraId="2A5CB5E8" w14:textId="77777777" w:rsidR="000729CF" w:rsidRPr="000729CF" w:rsidRDefault="000729CF" w:rsidP="000729CF">
            <w:pPr>
              <w:rPr>
                <w:rFonts w:ascii="Arial" w:eastAsia="Calibri" w:hAnsi="Arial" w:cs="Arial"/>
                <w:sz w:val="24"/>
                <w:szCs w:val="24"/>
              </w:rPr>
            </w:pPr>
          </w:p>
          <w:p w14:paraId="41BB4917"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If we are aware of any circumstances were individuals need support, we will ensure that this group is supported and that the school is also supported in guiding people through to resources and signposting support.  Where there are multi layered impacts, we are willing to assess this on a case-by-case basis with bespoke resources and support to address these barriers.  Individual action plans may be appropriate for certain children.</w:t>
            </w:r>
          </w:p>
          <w:p w14:paraId="48EFDFF5" w14:textId="77777777" w:rsidR="000729CF" w:rsidRPr="000729CF" w:rsidRDefault="000729CF" w:rsidP="000729CF">
            <w:pPr>
              <w:rPr>
                <w:rFonts w:ascii="Arial" w:eastAsia="Calibri" w:hAnsi="Arial" w:cs="Arial"/>
                <w:sz w:val="24"/>
                <w:szCs w:val="24"/>
              </w:rPr>
            </w:pPr>
          </w:p>
          <w:p w14:paraId="356F835C" w14:textId="77777777" w:rsidR="000729CF" w:rsidRPr="000729CF" w:rsidRDefault="000729CF" w:rsidP="000729CF">
            <w:pPr>
              <w:rPr>
                <w:rFonts w:ascii="Arial" w:eastAsia="Calibri" w:hAnsi="Arial" w:cs="Arial"/>
                <w:sz w:val="24"/>
                <w:szCs w:val="24"/>
              </w:rPr>
            </w:pPr>
          </w:p>
        </w:tc>
      </w:tr>
    </w:tbl>
    <w:p w14:paraId="6C3B1985" w14:textId="77777777" w:rsidR="000729CF" w:rsidRPr="000729CF" w:rsidRDefault="000729CF" w:rsidP="000729CF">
      <w:pPr>
        <w:spacing w:after="160" w:line="259" w:lineRule="auto"/>
        <w:rPr>
          <w:rFonts w:ascii="Arial" w:eastAsia="Calibri" w:hAnsi="Arial" w:cs="Arial"/>
          <w:sz w:val="24"/>
          <w:szCs w:val="24"/>
          <w:lang w:val="en-GB"/>
        </w:rPr>
      </w:pPr>
    </w:p>
    <w:p w14:paraId="324EF236"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Action planning</w:t>
      </w:r>
    </w:p>
    <w:p w14:paraId="19AED4DD"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SMART actions will be taken to mitigate the disproportionate impacts identified in section 3? If no mitigating action is possible, please state and explain why. Add additional rows as required. </w:t>
      </w:r>
    </w:p>
    <w:tbl>
      <w:tblPr>
        <w:tblStyle w:val="TableGrid"/>
        <w:tblW w:w="0" w:type="auto"/>
        <w:tblLook w:val="04A0" w:firstRow="1" w:lastRow="0" w:firstColumn="1" w:lastColumn="0" w:noHBand="0" w:noVBand="1"/>
      </w:tblPr>
      <w:tblGrid>
        <w:gridCol w:w="10456"/>
      </w:tblGrid>
      <w:tr w:rsidR="000729CF" w:rsidRPr="000729CF" w14:paraId="2D3E5B0B" w14:textId="77777777" w:rsidTr="00BC26AB">
        <w:trPr>
          <w:trHeight w:val="847"/>
        </w:trPr>
        <w:tc>
          <w:tcPr>
            <w:tcW w:w="10456" w:type="dxa"/>
          </w:tcPr>
          <w:p w14:paraId="6328F48E" w14:textId="77777777" w:rsidR="000729CF" w:rsidRPr="000729CF" w:rsidRDefault="000729CF" w:rsidP="000729CF">
            <w:pPr>
              <w:spacing w:after="120"/>
              <w:ind w:left="360"/>
              <w:rPr>
                <w:rFonts w:ascii="Arial" w:eastAsia="Calibri" w:hAnsi="Arial" w:cs="Arial"/>
                <w:sz w:val="24"/>
                <w:szCs w:val="24"/>
              </w:rPr>
            </w:pPr>
            <w:r w:rsidRPr="000729CF">
              <w:rPr>
                <w:rFonts w:ascii="Arial" w:eastAsia="Calibri" w:hAnsi="Arial" w:cs="Arial"/>
                <w:sz w:val="24"/>
                <w:szCs w:val="24"/>
              </w:rPr>
              <w:t>SMART action 1:</w:t>
            </w:r>
          </w:p>
          <w:p w14:paraId="353AD65C" w14:textId="77777777" w:rsidR="000729CF" w:rsidRPr="000729CF" w:rsidRDefault="000729CF" w:rsidP="000729CF">
            <w:pPr>
              <w:spacing w:after="120"/>
              <w:ind w:left="360"/>
              <w:rPr>
                <w:rFonts w:ascii="Arial" w:eastAsia="Calibri" w:hAnsi="Arial" w:cs="Arial"/>
                <w:sz w:val="24"/>
                <w:szCs w:val="24"/>
              </w:rPr>
            </w:pPr>
            <w:r w:rsidRPr="000729CF">
              <w:rPr>
                <w:rFonts w:ascii="Arial" w:eastAsia="Calibri" w:hAnsi="Arial" w:cs="Arial"/>
                <w:sz w:val="24"/>
                <w:szCs w:val="24"/>
              </w:rPr>
              <w:t>Ensure that the review undertaken by Freedom Training and Consultancy includes and considers all stakeholders views, lived experience and ideas to ensure that the transition from two in house short breaks/ respite homes to a residential and short breaks provision is a smooth process.  Completed by March 2024</w:t>
            </w:r>
          </w:p>
        </w:tc>
      </w:tr>
      <w:tr w:rsidR="000729CF" w:rsidRPr="000729CF" w14:paraId="30DC7915" w14:textId="77777777" w:rsidTr="00BC26AB">
        <w:trPr>
          <w:trHeight w:val="847"/>
        </w:trPr>
        <w:tc>
          <w:tcPr>
            <w:tcW w:w="10456" w:type="dxa"/>
          </w:tcPr>
          <w:p w14:paraId="4C3783BF" w14:textId="77777777" w:rsidR="000729CF" w:rsidRPr="000729CF" w:rsidRDefault="000729CF" w:rsidP="000729CF">
            <w:pPr>
              <w:spacing w:after="120"/>
              <w:ind w:left="360"/>
              <w:rPr>
                <w:rFonts w:ascii="Arial" w:eastAsia="Calibri" w:hAnsi="Arial" w:cs="Arial"/>
                <w:sz w:val="24"/>
                <w:szCs w:val="24"/>
              </w:rPr>
            </w:pPr>
            <w:r w:rsidRPr="000729CF">
              <w:rPr>
                <w:rFonts w:ascii="Arial" w:eastAsia="Calibri" w:hAnsi="Arial" w:cs="Arial"/>
                <w:sz w:val="24"/>
                <w:szCs w:val="24"/>
              </w:rPr>
              <w:t>SMART action 2:</w:t>
            </w:r>
          </w:p>
          <w:p w14:paraId="08C60C8F" w14:textId="77777777" w:rsidR="000729CF" w:rsidRPr="000729CF" w:rsidRDefault="000729CF" w:rsidP="000729CF">
            <w:pPr>
              <w:spacing w:after="120"/>
              <w:ind w:left="360"/>
              <w:rPr>
                <w:rFonts w:ascii="Arial" w:eastAsia="Calibri" w:hAnsi="Arial" w:cs="Arial"/>
                <w:sz w:val="24"/>
                <w:szCs w:val="24"/>
              </w:rPr>
            </w:pPr>
            <w:r w:rsidRPr="000729CF">
              <w:rPr>
                <w:rFonts w:ascii="Arial" w:eastAsia="Calibri" w:hAnsi="Arial" w:cs="Arial"/>
                <w:sz w:val="24"/>
                <w:szCs w:val="24"/>
              </w:rPr>
              <w:t xml:space="preserve">The Council will undertake biannual surveys of parents/carers undertaken by the homes to ensure that the transition is a positive experience and that any issues/concerns have been addressed. </w:t>
            </w:r>
          </w:p>
        </w:tc>
      </w:tr>
      <w:tr w:rsidR="000729CF" w:rsidRPr="000729CF" w14:paraId="4A05AAF8" w14:textId="77777777" w:rsidTr="00BC26AB">
        <w:trPr>
          <w:trHeight w:val="847"/>
        </w:trPr>
        <w:tc>
          <w:tcPr>
            <w:tcW w:w="10456" w:type="dxa"/>
          </w:tcPr>
          <w:p w14:paraId="151DD7C6" w14:textId="77777777" w:rsidR="000729CF" w:rsidRPr="000729CF" w:rsidRDefault="000729CF" w:rsidP="000729CF">
            <w:pPr>
              <w:spacing w:after="120"/>
              <w:ind w:left="360"/>
              <w:rPr>
                <w:rFonts w:ascii="Arial" w:eastAsia="Calibri" w:hAnsi="Arial" w:cs="Arial"/>
                <w:sz w:val="24"/>
                <w:szCs w:val="24"/>
              </w:rPr>
            </w:pPr>
            <w:r w:rsidRPr="000729CF">
              <w:rPr>
                <w:rFonts w:ascii="Arial" w:eastAsia="Calibri" w:hAnsi="Arial" w:cs="Arial"/>
                <w:sz w:val="24"/>
                <w:szCs w:val="24"/>
              </w:rPr>
              <w:t>SMART action 3:</w:t>
            </w:r>
          </w:p>
          <w:p w14:paraId="34EB82CC" w14:textId="77777777" w:rsidR="000729CF" w:rsidRPr="000729CF" w:rsidRDefault="000729CF" w:rsidP="000729CF">
            <w:pPr>
              <w:spacing w:after="120"/>
              <w:ind w:left="360"/>
              <w:rPr>
                <w:rFonts w:ascii="Arial" w:eastAsia="Calibri" w:hAnsi="Arial" w:cs="Arial"/>
                <w:sz w:val="24"/>
                <w:szCs w:val="24"/>
              </w:rPr>
            </w:pPr>
            <w:r w:rsidRPr="000729CF">
              <w:rPr>
                <w:rFonts w:ascii="Arial" w:eastAsia="Calibri" w:hAnsi="Arial" w:cs="Arial"/>
                <w:sz w:val="24"/>
                <w:szCs w:val="24"/>
              </w:rPr>
              <w:t>The Council will undertake further intersectional data insights work into the race and ethnicity of those children who will be accessing Drove Road and Tudor House to ensure that there is at least proportionate representation and equity of access of those children who identify as Black or from the Global Majority. This will monitored through our quarterly performance boards.</w:t>
            </w:r>
          </w:p>
        </w:tc>
      </w:tr>
    </w:tbl>
    <w:p w14:paraId="567CC449" w14:textId="77777777" w:rsidR="000729CF" w:rsidRPr="000729CF" w:rsidRDefault="000729CF" w:rsidP="000729CF">
      <w:pPr>
        <w:spacing w:after="160" w:line="259" w:lineRule="auto"/>
        <w:rPr>
          <w:rFonts w:ascii="Arial" w:eastAsia="Calibri" w:hAnsi="Arial" w:cs="Arial"/>
          <w:sz w:val="24"/>
          <w:szCs w:val="24"/>
          <w:lang w:val="en-GB"/>
        </w:rPr>
      </w:pPr>
    </w:p>
    <w:p w14:paraId="0B82F658"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Outcome of your assessment</w:t>
      </w:r>
    </w:p>
    <w:p w14:paraId="3A314EEF"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Based on the information above give the proposal an impact score between 1 – 5. </w:t>
      </w:r>
    </w:p>
    <w:p w14:paraId="10ADECCF"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1= proposal has minimal impact and/or mitigating actions will significantly minimise the impact</w:t>
      </w:r>
    </w:p>
    <w:p w14:paraId="7B628DB3"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3= proposal will have a significant negative impact; however, mitigation actions will reduce the impact considerably.</w:t>
      </w:r>
    </w:p>
    <w:p w14:paraId="0EE2F754"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5= proposal has significant impact and mitigating actions will have limited effect on reducing impact.</w:t>
      </w:r>
    </w:p>
    <w:p w14:paraId="34370930" w14:textId="77777777" w:rsidR="000729CF" w:rsidRPr="000729CF" w:rsidRDefault="000729CF" w:rsidP="000729CF">
      <w:pPr>
        <w:rPr>
          <w:rFonts w:ascii="Arial" w:eastAsia="Calibri" w:hAnsi="Arial" w:cs="Arial"/>
          <w:sz w:val="24"/>
          <w:szCs w:val="24"/>
          <w:highlight w:val="yellow"/>
          <w:lang w:val="en-GB"/>
        </w:rPr>
      </w:pPr>
    </w:p>
    <w:tbl>
      <w:tblPr>
        <w:tblStyle w:val="TableGrid"/>
        <w:tblW w:w="0" w:type="auto"/>
        <w:tblLook w:val="04A0" w:firstRow="1" w:lastRow="0" w:firstColumn="1" w:lastColumn="0" w:noHBand="0" w:noVBand="1"/>
      </w:tblPr>
      <w:tblGrid>
        <w:gridCol w:w="3114"/>
        <w:gridCol w:w="7342"/>
      </w:tblGrid>
      <w:tr w:rsidR="000729CF" w:rsidRPr="000729CF" w14:paraId="15324FEB" w14:textId="77777777" w:rsidTr="00BC26AB">
        <w:trPr>
          <w:trHeight w:val="152"/>
        </w:trPr>
        <w:tc>
          <w:tcPr>
            <w:tcW w:w="3114" w:type="dxa"/>
          </w:tcPr>
          <w:p w14:paraId="3E684EB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Proposal’s impact score:</w:t>
            </w:r>
          </w:p>
        </w:tc>
        <w:tc>
          <w:tcPr>
            <w:tcW w:w="7342" w:type="dxa"/>
          </w:tcPr>
          <w:p w14:paraId="42A0282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3</w:t>
            </w:r>
          </w:p>
        </w:tc>
      </w:tr>
    </w:tbl>
    <w:p w14:paraId="4630B0BB" w14:textId="77777777" w:rsidR="000729CF" w:rsidRPr="000729CF" w:rsidRDefault="000729CF" w:rsidP="000729CF">
      <w:pPr>
        <w:spacing w:after="160" w:line="259" w:lineRule="auto"/>
        <w:rPr>
          <w:rFonts w:ascii="Arial" w:eastAsia="Calibri" w:hAnsi="Arial" w:cs="Arial"/>
          <w:sz w:val="24"/>
          <w:szCs w:val="24"/>
          <w:lang w:val="en-GB"/>
        </w:rPr>
      </w:pPr>
    </w:p>
    <w:bookmarkEnd w:id="74"/>
    <w:p w14:paraId="54F8BEEA"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Publication</w:t>
      </w:r>
    </w:p>
    <w:p w14:paraId="65C0EDB3"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All Equality Impact Assessments will be published. If you are recommending, and choosing not to publish your EIA, please provide a reason:</w:t>
      </w:r>
    </w:p>
    <w:tbl>
      <w:tblPr>
        <w:tblStyle w:val="TableGrid"/>
        <w:tblW w:w="0" w:type="auto"/>
        <w:tblLook w:val="04A0" w:firstRow="1" w:lastRow="0" w:firstColumn="1" w:lastColumn="0" w:noHBand="0" w:noVBand="1"/>
      </w:tblPr>
      <w:tblGrid>
        <w:gridCol w:w="10456"/>
      </w:tblGrid>
      <w:tr w:rsidR="000729CF" w:rsidRPr="000729CF" w14:paraId="037B7CD9" w14:textId="77777777" w:rsidTr="00BC26AB">
        <w:trPr>
          <w:trHeight w:val="803"/>
        </w:trPr>
        <w:tc>
          <w:tcPr>
            <w:tcW w:w="10456" w:type="dxa"/>
          </w:tcPr>
          <w:p w14:paraId="356BCBF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n/a</w:t>
            </w:r>
          </w:p>
        </w:tc>
      </w:tr>
    </w:tbl>
    <w:p w14:paraId="33714F53" w14:textId="77777777" w:rsidR="000729CF" w:rsidRPr="000729CF" w:rsidRDefault="000729CF" w:rsidP="000729CF">
      <w:pPr>
        <w:spacing w:after="160" w:line="259" w:lineRule="auto"/>
        <w:rPr>
          <w:rFonts w:ascii="Arial" w:eastAsia="Calibri" w:hAnsi="Arial" w:cs="Arial"/>
          <w:sz w:val="24"/>
          <w:szCs w:val="24"/>
          <w:lang w:val="en-GB"/>
        </w:rPr>
      </w:pPr>
    </w:p>
    <w:p w14:paraId="1CFCE95D"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Directorate and Service Approval</w:t>
      </w:r>
    </w:p>
    <w:tbl>
      <w:tblPr>
        <w:tblStyle w:val="TableGrid"/>
        <w:tblW w:w="0" w:type="auto"/>
        <w:tblLook w:val="04A0" w:firstRow="1" w:lastRow="0" w:firstColumn="1" w:lastColumn="0" w:noHBand="0" w:noVBand="1"/>
      </w:tblPr>
      <w:tblGrid>
        <w:gridCol w:w="3681"/>
        <w:gridCol w:w="4394"/>
        <w:gridCol w:w="2381"/>
      </w:tblGrid>
      <w:tr w:rsidR="000729CF" w:rsidRPr="000729CF" w14:paraId="3ACCA164" w14:textId="77777777" w:rsidTr="000729CF">
        <w:trPr>
          <w:trHeight w:val="20"/>
        </w:trPr>
        <w:tc>
          <w:tcPr>
            <w:tcW w:w="3681" w:type="dxa"/>
            <w:tcBorders>
              <w:bottom w:val="single" w:sz="4" w:space="0" w:color="auto"/>
            </w:tcBorders>
            <w:shd w:val="clear" w:color="auto" w:fill="D9D9D9"/>
          </w:tcPr>
          <w:p w14:paraId="2D914FD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3AB056F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 and Job Title:</w:t>
            </w:r>
          </w:p>
        </w:tc>
        <w:tc>
          <w:tcPr>
            <w:tcW w:w="2381" w:type="dxa"/>
            <w:shd w:val="clear" w:color="auto" w:fill="D9D9D9"/>
          </w:tcPr>
          <w:p w14:paraId="1A04877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65D70149" w14:textId="77777777" w:rsidTr="000729CF">
        <w:trPr>
          <w:trHeight w:val="20"/>
        </w:trPr>
        <w:tc>
          <w:tcPr>
            <w:tcW w:w="3681" w:type="dxa"/>
            <w:shd w:val="clear" w:color="auto" w:fill="E7E6E6"/>
          </w:tcPr>
          <w:p w14:paraId="57583AA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Responsible Lead Officer:</w:t>
            </w:r>
          </w:p>
        </w:tc>
        <w:tc>
          <w:tcPr>
            <w:tcW w:w="4394" w:type="dxa"/>
          </w:tcPr>
          <w:p w14:paraId="6ECF749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Georgina Clarke-Green</w:t>
            </w:r>
          </w:p>
        </w:tc>
        <w:tc>
          <w:tcPr>
            <w:tcW w:w="2381" w:type="dxa"/>
          </w:tcPr>
          <w:p w14:paraId="27B8566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19-01-24</w:t>
            </w:r>
          </w:p>
        </w:tc>
      </w:tr>
      <w:tr w:rsidR="000729CF" w:rsidRPr="000729CF" w14:paraId="6A9511D0" w14:textId="77777777" w:rsidTr="000729CF">
        <w:trPr>
          <w:trHeight w:val="20"/>
        </w:trPr>
        <w:tc>
          <w:tcPr>
            <w:tcW w:w="3681" w:type="dxa"/>
            <w:shd w:val="clear" w:color="auto" w:fill="E7E6E6"/>
          </w:tcPr>
          <w:p w14:paraId="045927E3" w14:textId="77777777" w:rsidR="000729CF" w:rsidRPr="000729CF" w:rsidRDefault="000729CF" w:rsidP="000729CF">
            <w:pPr>
              <w:spacing w:after="120"/>
              <w:rPr>
                <w:rFonts w:ascii="Arial" w:eastAsia="Calibri" w:hAnsi="Arial" w:cs="Arial"/>
                <w:b/>
                <w:bCs/>
                <w:sz w:val="24"/>
                <w:szCs w:val="24"/>
              </w:rPr>
            </w:pPr>
            <w:bookmarkStart w:id="77" w:name="_Hlk142050377"/>
            <w:r w:rsidRPr="000729CF">
              <w:rPr>
                <w:rFonts w:ascii="Arial" w:eastAsia="Calibri" w:hAnsi="Arial" w:cs="Arial"/>
                <w:b/>
                <w:bCs/>
                <w:sz w:val="24"/>
                <w:szCs w:val="24"/>
              </w:rPr>
              <w:t>Accountable Manager</w:t>
            </w:r>
            <w:bookmarkEnd w:id="77"/>
            <w:r w:rsidRPr="000729CF">
              <w:rPr>
                <w:rFonts w:ascii="Arial" w:eastAsia="Calibri" w:hAnsi="Arial" w:cs="Arial"/>
                <w:b/>
                <w:bCs/>
                <w:sz w:val="24"/>
                <w:szCs w:val="24"/>
              </w:rPr>
              <w:t>:</w:t>
            </w:r>
          </w:p>
        </w:tc>
        <w:tc>
          <w:tcPr>
            <w:tcW w:w="4394" w:type="dxa"/>
          </w:tcPr>
          <w:p w14:paraId="6B5BE53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Lorraine Hughes</w:t>
            </w:r>
          </w:p>
        </w:tc>
        <w:tc>
          <w:tcPr>
            <w:tcW w:w="2381" w:type="dxa"/>
          </w:tcPr>
          <w:p w14:paraId="3F74455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19-01-24</w:t>
            </w:r>
          </w:p>
        </w:tc>
      </w:tr>
    </w:tbl>
    <w:p w14:paraId="73D95863" w14:textId="77777777" w:rsidR="000729CF" w:rsidRPr="000729CF" w:rsidRDefault="000729CF" w:rsidP="000729CF">
      <w:pPr>
        <w:spacing w:after="160" w:line="259" w:lineRule="auto"/>
        <w:rPr>
          <w:rFonts w:ascii="Arial" w:eastAsia="Calibri" w:hAnsi="Arial" w:cs="Arial"/>
          <w:sz w:val="24"/>
          <w:szCs w:val="24"/>
          <w:lang w:val="en-GB"/>
        </w:rPr>
      </w:pPr>
    </w:p>
    <w:p w14:paraId="7420C985" w14:textId="77777777" w:rsidR="000729CF" w:rsidRPr="000729CF" w:rsidRDefault="000729CF" w:rsidP="000729CF">
      <w:pPr>
        <w:keepNext/>
        <w:keepLines/>
        <w:spacing w:before="40" w:after="160" w:line="259" w:lineRule="auto"/>
        <w:outlineLvl w:val="2"/>
        <w:rPr>
          <w:rFonts w:ascii="Arial" w:hAnsi="Arial" w:cs="Arial"/>
          <w:b/>
          <w:bCs/>
          <w:color w:val="000000"/>
          <w:sz w:val="28"/>
          <w:szCs w:val="28"/>
          <w:lang w:val="en-GB"/>
        </w:rPr>
      </w:pPr>
      <w:r w:rsidRPr="000729CF">
        <w:rPr>
          <w:rFonts w:ascii="Arial" w:hAnsi="Arial" w:cs="Arial"/>
          <w:b/>
          <w:bCs/>
          <w:color w:val="000000"/>
          <w:sz w:val="28"/>
          <w:szCs w:val="28"/>
          <w:lang w:val="en-GB"/>
        </w:rPr>
        <w:t>EDI Review and Approval:</w:t>
      </w:r>
    </w:p>
    <w:p w14:paraId="28DFE163" w14:textId="77777777" w:rsidR="000729CF" w:rsidRPr="000729CF" w:rsidRDefault="000729CF" w:rsidP="000729CF">
      <w:pPr>
        <w:spacing w:after="160" w:line="259" w:lineRule="auto"/>
        <w:rPr>
          <w:rFonts w:ascii="Arial" w:eastAsia="Calibri" w:hAnsi="Arial" w:cs="Arial"/>
          <w:sz w:val="24"/>
          <w:szCs w:val="24"/>
          <w:lang w:val="en-GB"/>
        </w:rPr>
      </w:pPr>
    </w:p>
    <w:p w14:paraId="2FD6665D" w14:textId="77777777" w:rsidR="000729CF" w:rsidRPr="000729CF" w:rsidRDefault="000729CF" w:rsidP="000729CF">
      <w:pPr>
        <w:keepNext/>
        <w:keepLines/>
        <w:spacing w:after="160" w:line="259" w:lineRule="auto"/>
        <w:ind w:left="283" w:hanging="283"/>
        <w:outlineLvl w:val="1"/>
        <w:rPr>
          <w:rFonts w:ascii="Arial" w:hAnsi="Arial" w:cs="Arial"/>
          <w:color w:val="2F5496"/>
          <w:sz w:val="24"/>
          <w:szCs w:val="24"/>
          <w:lang w:val="en-GB"/>
        </w:rPr>
      </w:pPr>
      <w:r w:rsidRPr="000729CF">
        <w:rPr>
          <w:rFonts w:ascii="Arial" w:hAnsi="Arial" w:cs="Arial"/>
          <w:color w:val="2F5496"/>
          <w:sz w:val="24"/>
          <w:szCs w:val="24"/>
          <w:lang w:val="en-GB"/>
        </w:rPr>
        <w:t>Equality Impact Assessment sign-off</w:t>
      </w:r>
    </w:p>
    <w:tbl>
      <w:tblPr>
        <w:tblStyle w:val="TableGrid"/>
        <w:tblW w:w="0" w:type="auto"/>
        <w:tblLook w:val="04A0" w:firstRow="1" w:lastRow="0" w:firstColumn="1" w:lastColumn="0" w:noHBand="0" w:noVBand="1"/>
      </w:tblPr>
      <w:tblGrid>
        <w:gridCol w:w="3681"/>
        <w:gridCol w:w="4394"/>
        <w:gridCol w:w="2381"/>
      </w:tblGrid>
      <w:tr w:rsidR="000729CF" w:rsidRPr="000729CF" w14:paraId="0AE1AB26" w14:textId="77777777" w:rsidTr="000729CF">
        <w:trPr>
          <w:trHeight w:val="20"/>
        </w:trPr>
        <w:tc>
          <w:tcPr>
            <w:tcW w:w="3681" w:type="dxa"/>
            <w:tcBorders>
              <w:bottom w:val="single" w:sz="4" w:space="0" w:color="auto"/>
            </w:tcBorders>
            <w:shd w:val="clear" w:color="auto" w:fill="D9D9D9"/>
          </w:tcPr>
          <w:p w14:paraId="4F21B7A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5B8E7E0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w:t>
            </w:r>
          </w:p>
        </w:tc>
        <w:tc>
          <w:tcPr>
            <w:tcW w:w="2381" w:type="dxa"/>
            <w:shd w:val="clear" w:color="auto" w:fill="D9D9D9"/>
          </w:tcPr>
          <w:p w14:paraId="04855A3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061BCF5F" w14:textId="77777777" w:rsidTr="000729CF">
        <w:trPr>
          <w:trHeight w:val="20"/>
        </w:trPr>
        <w:tc>
          <w:tcPr>
            <w:tcW w:w="3681" w:type="dxa"/>
            <w:shd w:val="clear" w:color="auto" w:fill="E7E6E6"/>
          </w:tcPr>
          <w:p w14:paraId="0E6F7DC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Head of Communities, Equality, and Third Sector (CETS) Service:</w:t>
            </w:r>
          </w:p>
        </w:tc>
        <w:tc>
          <w:tcPr>
            <w:tcW w:w="4394" w:type="dxa"/>
          </w:tcPr>
          <w:p w14:paraId="66387B1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Emma McDermott</w:t>
            </w:r>
          </w:p>
        </w:tc>
        <w:tc>
          <w:tcPr>
            <w:tcW w:w="2381" w:type="dxa"/>
          </w:tcPr>
          <w:p w14:paraId="1FD694E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23-01-24</w:t>
            </w:r>
          </w:p>
        </w:tc>
      </w:tr>
    </w:tbl>
    <w:p w14:paraId="73EF1460" w14:textId="77777777" w:rsidR="000729CF" w:rsidRPr="000729CF" w:rsidRDefault="000729CF" w:rsidP="000729CF">
      <w:pPr>
        <w:rPr>
          <w:rFonts w:ascii="Arial" w:eastAsia="Calibri" w:hAnsi="Arial" w:cs="Arial"/>
          <w:sz w:val="22"/>
          <w:szCs w:val="22"/>
          <w:lang w:val="en-GB"/>
        </w:rPr>
      </w:pPr>
    </w:p>
    <w:p w14:paraId="35ED8ECD" w14:textId="77777777" w:rsidR="000729CF" w:rsidRPr="000729CF" w:rsidRDefault="000729CF" w:rsidP="000729CF">
      <w:pPr>
        <w:keepNext/>
        <w:keepLines/>
        <w:spacing w:after="160" w:line="259" w:lineRule="auto"/>
        <w:outlineLvl w:val="1"/>
        <w:rPr>
          <w:rFonts w:ascii="Arial" w:eastAsia="Calibri" w:hAnsi="Arial" w:cs="Arial"/>
          <w:sz w:val="24"/>
          <w:szCs w:val="24"/>
          <w:lang w:val="en-GB"/>
        </w:rPr>
      </w:pPr>
    </w:p>
    <w:p w14:paraId="758C25E9" w14:textId="77777777" w:rsidR="000729CF" w:rsidRPr="000729CF" w:rsidRDefault="000729CF" w:rsidP="000729CF">
      <w:pPr>
        <w:spacing w:after="160" w:line="259" w:lineRule="auto"/>
        <w:rPr>
          <w:rFonts w:ascii="Arial" w:eastAsia="Calibri" w:hAnsi="Arial" w:cs="Arial"/>
          <w:sz w:val="24"/>
          <w:szCs w:val="24"/>
          <w:lang w:val="en-GB"/>
        </w:rPr>
      </w:pPr>
    </w:p>
    <w:p w14:paraId="1C975AE0"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br w:type="page"/>
      </w:r>
    </w:p>
    <w:p w14:paraId="75860755" w14:textId="77777777" w:rsidR="000729CF" w:rsidRPr="000729CF" w:rsidRDefault="000729CF" w:rsidP="000729CF">
      <w:pPr>
        <w:keepNext/>
        <w:keepLines/>
        <w:spacing w:after="160" w:line="259" w:lineRule="auto"/>
        <w:outlineLvl w:val="0"/>
        <w:rPr>
          <w:rFonts w:ascii="Arial" w:hAnsi="Arial" w:cs="Arial"/>
          <w:b/>
          <w:bCs/>
          <w:color w:val="2F5496"/>
          <w:sz w:val="28"/>
          <w:szCs w:val="28"/>
          <w:lang w:val="en-GB"/>
        </w:rPr>
      </w:pPr>
      <w:r w:rsidRPr="000729CF">
        <w:rPr>
          <w:rFonts w:ascii="Arial" w:hAnsi="Arial" w:cs="Arial"/>
          <w:b/>
          <w:bCs/>
          <w:color w:val="2F5496"/>
          <w:sz w:val="28"/>
          <w:szCs w:val="28"/>
          <w:lang w:val="en-GB"/>
        </w:rPr>
        <w:t>Budget Equality Impact Assessment (EIA) Template 2024/25 – Service Users</w:t>
      </w:r>
    </w:p>
    <w:p w14:paraId="31D43E6B" w14:textId="77777777" w:rsidR="000729CF" w:rsidRPr="000729CF" w:rsidRDefault="000729CF" w:rsidP="000729CF">
      <w:pPr>
        <w:spacing w:after="160" w:line="259" w:lineRule="auto"/>
        <w:rPr>
          <w:rFonts w:ascii="Arial" w:eastAsia="Calibri" w:hAnsi="Arial" w:cs="Arial"/>
          <w:sz w:val="24"/>
          <w:szCs w:val="24"/>
          <w:lang w:val="en-GB"/>
        </w:rPr>
      </w:pPr>
    </w:p>
    <w:p w14:paraId="366B5022" w14:textId="77777777" w:rsidR="000729CF" w:rsidRPr="000729CF" w:rsidRDefault="000729CF" w:rsidP="000729CF">
      <w:pPr>
        <w:keepNext/>
        <w:keepLines/>
        <w:spacing w:after="160" w:line="259" w:lineRule="auto"/>
        <w:ind w:left="720" w:hanging="360"/>
        <w:outlineLvl w:val="1"/>
        <w:rPr>
          <w:rFonts w:ascii="Arial" w:hAnsi="Arial" w:cs="Arial"/>
          <w:color w:val="2F5496"/>
          <w:sz w:val="24"/>
          <w:szCs w:val="24"/>
          <w:lang w:val="en-GB"/>
        </w:rPr>
      </w:pPr>
      <w:r w:rsidRPr="000729CF">
        <w:rPr>
          <w:rFonts w:ascii="Arial" w:hAnsi="Arial" w:cs="Arial"/>
          <w:color w:val="2F5496"/>
          <w:sz w:val="24"/>
          <w:szCs w:val="24"/>
          <w:lang w:val="en-GB"/>
        </w:rPr>
        <w:t xml:space="preserve">Budget Proposal </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6492"/>
      </w:tblGrid>
      <w:tr w:rsidR="000729CF" w:rsidRPr="000729CF" w14:paraId="6C4FB4A5"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4DEE0A35"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Title of budget saving being assessed:</w:t>
            </w:r>
          </w:p>
        </w:tc>
        <w:tc>
          <w:tcPr>
            <w:tcW w:w="6492" w:type="dxa"/>
            <w:shd w:val="clear" w:color="auto" w:fill="auto"/>
          </w:tcPr>
          <w:p w14:paraId="400A75A3" w14:textId="77777777" w:rsidR="000729CF" w:rsidRPr="000729CF" w:rsidRDefault="000729CF" w:rsidP="000729CF">
            <w:pPr>
              <w:spacing w:after="12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Family Support Services</w:t>
            </w:r>
          </w:p>
        </w:tc>
      </w:tr>
      <w:tr w:rsidR="000729CF" w:rsidRPr="000729CF" w14:paraId="7D5ECF39"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48D21441"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Name and title of officer responsible for this EIA: </w:t>
            </w:r>
          </w:p>
        </w:tc>
        <w:tc>
          <w:tcPr>
            <w:tcW w:w="6492" w:type="dxa"/>
            <w:shd w:val="clear" w:color="auto" w:fill="auto"/>
          </w:tcPr>
          <w:p w14:paraId="3E5FD442"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729CF">
              <w:rPr>
                <w:rFonts w:ascii="Arial" w:hAnsi="Arial" w:cs="Arial"/>
                <w:sz w:val="24"/>
                <w:szCs w:val="24"/>
              </w:rPr>
              <w:t>Georgina Clarke-Green, Assistant Director Health, SEN and Disability</w:t>
            </w:r>
          </w:p>
        </w:tc>
      </w:tr>
      <w:tr w:rsidR="000729CF" w:rsidRPr="000729CF" w14:paraId="6608A244" w14:textId="77777777" w:rsidTr="000729CF">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3940C973"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Directorate and Service Name: </w:t>
            </w:r>
          </w:p>
        </w:tc>
        <w:tc>
          <w:tcPr>
            <w:tcW w:w="6492" w:type="dxa"/>
            <w:shd w:val="clear" w:color="auto" w:fill="auto"/>
          </w:tcPr>
          <w:p w14:paraId="057D117B" w14:textId="77777777" w:rsidR="000729CF" w:rsidRPr="000729CF" w:rsidRDefault="000729CF" w:rsidP="000729CF">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Families, Children and Learning, SEN and Disability</w:t>
            </w:r>
          </w:p>
          <w:p w14:paraId="2A1440DA" w14:textId="77777777" w:rsidR="000729CF" w:rsidRPr="000729CF" w:rsidRDefault="000729CF" w:rsidP="000729CF">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Outreach service</w:t>
            </w:r>
          </w:p>
        </w:tc>
      </w:tr>
      <w:tr w:rsidR="000729CF" w:rsidRPr="000729CF" w14:paraId="0661BEC5"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7445F7F2"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Budget proposal no.</w:t>
            </w:r>
          </w:p>
        </w:tc>
        <w:tc>
          <w:tcPr>
            <w:tcW w:w="6492" w:type="dxa"/>
            <w:shd w:val="clear" w:color="auto" w:fill="auto"/>
          </w:tcPr>
          <w:p w14:paraId="3B45F8AC"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729CF">
              <w:rPr>
                <w:rFonts w:ascii="Arial" w:hAnsi="Arial" w:cs="Arial"/>
                <w:sz w:val="24"/>
                <w:szCs w:val="24"/>
              </w:rPr>
              <w:t>2</w:t>
            </w:r>
          </w:p>
        </w:tc>
      </w:tr>
    </w:tbl>
    <w:p w14:paraId="6EE04EB3" w14:textId="77777777" w:rsidR="000729CF" w:rsidRPr="000729CF" w:rsidRDefault="000729CF" w:rsidP="000729CF">
      <w:pPr>
        <w:spacing w:after="160" w:line="259" w:lineRule="auto"/>
        <w:rPr>
          <w:rFonts w:ascii="Arial" w:eastAsia="Calibri" w:hAnsi="Arial" w:cs="Arial"/>
          <w:sz w:val="24"/>
          <w:szCs w:val="24"/>
          <w:lang w:val="en-GB"/>
        </w:rPr>
      </w:pPr>
    </w:p>
    <w:p w14:paraId="2E381FA4"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Briefly describe the budget saving proposal: (use the wording in the budget spreadsheet and more detail if needed)</w:t>
      </w:r>
    </w:p>
    <w:tbl>
      <w:tblPr>
        <w:tblStyle w:val="TableGrid"/>
        <w:tblW w:w="0" w:type="auto"/>
        <w:tblLook w:val="04A0" w:firstRow="1" w:lastRow="0" w:firstColumn="1" w:lastColumn="0" w:noHBand="0" w:noVBand="1"/>
      </w:tblPr>
      <w:tblGrid>
        <w:gridCol w:w="10456"/>
      </w:tblGrid>
      <w:tr w:rsidR="000729CF" w:rsidRPr="000729CF" w14:paraId="5D306910" w14:textId="77777777" w:rsidTr="00BC26AB">
        <w:trPr>
          <w:trHeight w:val="851"/>
        </w:trPr>
        <w:tc>
          <w:tcPr>
            <w:tcW w:w="10456" w:type="dxa"/>
            <w:tcBorders>
              <w:bottom w:val="single" w:sz="4" w:space="0" w:color="auto"/>
            </w:tcBorders>
          </w:tcPr>
          <w:p w14:paraId="3A229EB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To achieve savings of £115k by ceasing funding the Outreach service. The service provides a range of opportunities for disabled children and young people within the community. The service supports those children and young people with complex needs to access a variety of activities and experiences. The service currently supports 11 families and has two staff. Most sessions are on a 1:1 or 2:1 basis and for 3 hours per week or fortnightly. There is a small waiting list for this service. </w:t>
            </w:r>
          </w:p>
        </w:tc>
      </w:tr>
      <w:tr w:rsidR="000729CF" w:rsidRPr="000729CF" w14:paraId="3A3AD7F9" w14:textId="77777777" w:rsidTr="00BC26AB">
        <w:trPr>
          <w:trHeight w:val="851"/>
        </w:trPr>
        <w:tc>
          <w:tcPr>
            <w:tcW w:w="10456" w:type="dxa"/>
            <w:tcBorders>
              <w:left w:val="nil"/>
              <w:right w:val="nil"/>
            </w:tcBorders>
          </w:tcPr>
          <w:p w14:paraId="253B71B1" w14:textId="77777777" w:rsidR="000729CF" w:rsidRPr="000729CF" w:rsidRDefault="000729CF" w:rsidP="000729CF">
            <w:pPr>
              <w:spacing w:after="120"/>
              <w:rPr>
                <w:rFonts w:ascii="Arial" w:eastAsia="Calibri" w:hAnsi="Arial" w:cs="Arial"/>
                <w:sz w:val="24"/>
                <w:szCs w:val="24"/>
              </w:rPr>
            </w:pPr>
          </w:p>
          <w:p w14:paraId="748555D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Summarise the most significant impacts identified by this assessment including which groups will be disproportionally negatively affected drawing out intersectional impacts as applicable:</w:t>
            </w:r>
          </w:p>
        </w:tc>
      </w:tr>
      <w:tr w:rsidR="000729CF" w:rsidRPr="000729CF" w14:paraId="678CAB5F" w14:textId="77777777" w:rsidTr="00BC26AB">
        <w:trPr>
          <w:trHeight w:val="851"/>
        </w:trPr>
        <w:tc>
          <w:tcPr>
            <w:tcW w:w="10456" w:type="dxa"/>
          </w:tcPr>
          <w:p w14:paraId="7E7C2E3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The Outreach Service currently supports 11 families. 5 of the 11 families are Black and from the Global Majority. 10 of the 11 children and young people using the service are male. There are several single parents/carers receiving respite through this service, these are predominantly women. </w:t>
            </w:r>
          </w:p>
          <w:p w14:paraId="7D05EE1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As part of this work, we are looking to redesign our in-house respite services and we are anticipating there may be an increased number of respite sessions available to support these families (see in house respite re-design budget EIA). In addition, we are seeking to have a more varied holiday offer through the work the council is undertaking on short breaks and holiday activities. Further work is also planned regarding a new Personal Assistant Co-ordinator role which will help support families to recruit and retain Personal Assistants. All these pieces of work will help to mitigate the impact upon families should this service cease. </w:t>
            </w:r>
          </w:p>
        </w:tc>
      </w:tr>
    </w:tbl>
    <w:p w14:paraId="1A973774" w14:textId="77777777" w:rsidR="000729CF" w:rsidRPr="000729CF" w:rsidRDefault="000729CF" w:rsidP="000729CF">
      <w:pPr>
        <w:rPr>
          <w:rFonts w:ascii="Arial" w:eastAsia="Calibri" w:hAnsi="Arial" w:cs="Arial"/>
          <w:sz w:val="24"/>
          <w:szCs w:val="24"/>
          <w:lang w:val="en-GB"/>
        </w:rPr>
      </w:pPr>
    </w:p>
    <w:p w14:paraId="36370BBF" w14:textId="77777777" w:rsidR="000729CF" w:rsidRPr="000729CF" w:rsidRDefault="000729CF" w:rsidP="000729CF">
      <w:pPr>
        <w:spacing w:after="160" w:line="259" w:lineRule="auto"/>
        <w:rPr>
          <w:rFonts w:ascii="Arial" w:eastAsia="Calibri" w:hAnsi="Arial" w:cs="Arial"/>
          <w:sz w:val="24"/>
          <w:szCs w:val="24"/>
          <w:lang w:val="en-GB"/>
        </w:rPr>
      </w:pPr>
    </w:p>
    <w:p w14:paraId="78CA7779"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Consultation, engagement and supporting EIAs</w:t>
      </w:r>
    </w:p>
    <w:p w14:paraId="0A565C0A"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consultations or engagement activities are being used to inform this assessment? </w:t>
      </w:r>
    </w:p>
    <w:p w14:paraId="2E15A182"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If consultation is planned or in process – state this and state when it will done/completed even if indicative. If no consultation completed or planned, state this, giving an explanation. </w:t>
      </w:r>
    </w:p>
    <w:tbl>
      <w:tblPr>
        <w:tblStyle w:val="TableGrid"/>
        <w:tblW w:w="0" w:type="auto"/>
        <w:tblLook w:val="04A0" w:firstRow="1" w:lastRow="0" w:firstColumn="1" w:lastColumn="0" w:noHBand="0" w:noVBand="1"/>
      </w:tblPr>
      <w:tblGrid>
        <w:gridCol w:w="10456"/>
      </w:tblGrid>
      <w:tr w:rsidR="000729CF" w:rsidRPr="000729CF" w14:paraId="7E853DA2" w14:textId="77777777" w:rsidTr="00BC26AB">
        <w:trPr>
          <w:trHeight w:val="871"/>
        </w:trPr>
        <w:tc>
          <w:tcPr>
            <w:tcW w:w="10456" w:type="dxa"/>
          </w:tcPr>
          <w:p w14:paraId="0EE1C2B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Consultation with staff will be completed by the 31 March 2024.</w:t>
            </w:r>
          </w:p>
          <w:p w14:paraId="05F7625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A consultation with the families who use this service will also be undertaken in February 2024 as well as a review of their care plans which will be undertaken by their Social Worker to ensure equality impacts including intersectional impacts are fully understood. This will be to ensure that we are planning with the families concerned what other support can be provided if the Outreach Service ceases to operate. </w:t>
            </w:r>
          </w:p>
        </w:tc>
      </w:tr>
    </w:tbl>
    <w:p w14:paraId="589A645D" w14:textId="77777777" w:rsidR="000729CF" w:rsidRPr="000729CF" w:rsidRDefault="000729CF" w:rsidP="000729CF">
      <w:pPr>
        <w:spacing w:after="160" w:line="259" w:lineRule="auto"/>
        <w:rPr>
          <w:rFonts w:ascii="Arial" w:eastAsia="Calibri" w:hAnsi="Arial" w:cs="Arial"/>
          <w:sz w:val="24"/>
          <w:szCs w:val="24"/>
          <w:lang w:val="en-GB"/>
        </w:rPr>
      </w:pPr>
    </w:p>
    <w:p w14:paraId="36092F02"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other budget or service EIAs can assist/have been used to inform this assessment?</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0729CF" w:rsidRPr="000729CF" w14:paraId="280BE622"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shd w:val="clear" w:color="auto" w:fill="FFFFFF"/>
          </w:tcPr>
          <w:p w14:paraId="195D36CC"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In house residential provision budget EIA. </w:t>
            </w:r>
          </w:p>
        </w:tc>
      </w:tr>
    </w:tbl>
    <w:p w14:paraId="6B887EC4" w14:textId="77777777" w:rsidR="000729CF" w:rsidRPr="000729CF" w:rsidRDefault="000729CF" w:rsidP="000729CF">
      <w:pPr>
        <w:spacing w:after="160" w:line="259" w:lineRule="auto"/>
        <w:rPr>
          <w:rFonts w:ascii="Arial" w:eastAsia="Calibri" w:hAnsi="Arial" w:cs="Arial"/>
          <w:sz w:val="24"/>
          <w:szCs w:val="24"/>
          <w:lang w:val="en-GB"/>
        </w:rPr>
      </w:pPr>
    </w:p>
    <w:p w14:paraId="6E740BED"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Current data and impact monitoring</w:t>
      </w:r>
    </w:p>
    <w:p w14:paraId="74FA847F"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Do you currently collect and analyse the following data to enable monitoring of the impact of this proposal? </w:t>
      </w:r>
    </w:p>
    <w:p w14:paraId="49B9F0A6"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Consider all possible intersections (Delete and State Yes, No, Not Applicable)</w:t>
      </w:r>
    </w:p>
    <w:tbl>
      <w:tblPr>
        <w:tblStyle w:val="TableGrid"/>
        <w:tblW w:w="10485" w:type="dxa"/>
        <w:tblLook w:val="04A0" w:firstRow="1" w:lastRow="0" w:firstColumn="1" w:lastColumn="0" w:noHBand="0" w:noVBand="1"/>
      </w:tblPr>
      <w:tblGrid>
        <w:gridCol w:w="6658"/>
        <w:gridCol w:w="3827"/>
      </w:tblGrid>
      <w:tr w:rsidR="000729CF" w:rsidRPr="000729CF" w14:paraId="0F6DABB6" w14:textId="77777777" w:rsidTr="000729CF">
        <w:trPr>
          <w:trHeight w:val="310"/>
        </w:trPr>
        <w:tc>
          <w:tcPr>
            <w:tcW w:w="6658" w:type="dxa"/>
            <w:shd w:val="clear" w:color="auto" w:fill="E7E6E6"/>
          </w:tcPr>
          <w:p w14:paraId="7D51FB8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Age</w:t>
            </w:r>
          </w:p>
        </w:tc>
        <w:tc>
          <w:tcPr>
            <w:tcW w:w="3827" w:type="dxa"/>
          </w:tcPr>
          <w:p w14:paraId="4D2B411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37902809" w14:textId="77777777" w:rsidTr="000729CF">
        <w:trPr>
          <w:trHeight w:val="20"/>
        </w:trPr>
        <w:tc>
          <w:tcPr>
            <w:tcW w:w="6658" w:type="dxa"/>
            <w:shd w:val="clear" w:color="auto" w:fill="E7E6E6"/>
          </w:tcPr>
          <w:p w14:paraId="7D61251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Disability and inclusive adjustments, coverage under equality act and not</w:t>
            </w:r>
          </w:p>
        </w:tc>
        <w:tc>
          <w:tcPr>
            <w:tcW w:w="3827" w:type="dxa"/>
          </w:tcPr>
          <w:p w14:paraId="12D95B4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4BA14F4D" w14:textId="77777777" w:rsidTr="000729CF">
        <w:trPr>
          <w:trHeight w:val="20"/>
        </w:trPr>
        <w:tc>
          <w:tcPr>
            <w:tcW w:w="6658" w:type="dxa"/>
            <w:shd w:val="clear" w:color="auto" w:fill="E7E6E6"/>
          </w:tcPr>
          <w:p w14:paraId="305CA84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Ethnicity, ‘Race’, ethnic heritage (including Gypsy, Roma, Travellers)</w:t>
            </w:r>
          </w:p>
        </w:tc>
        <w:tc>
          <w:tcPr>
            <w:tcW w:w="3827" w:type="dxa"/>
          </w:tcPr>
          <w:p w14:paraId="6DB1734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65EEF830" w14:textId="77777777" w:rsidTr="000729CF">
        <w:trPr>
          <w:trHeight w:val="20"/>
        </w:trPr>
        <w:tc>
          <w:tcPr>
            <w:tcW w:w="6658" w:type="dxa"/>
            <w:shd w:val="clear" w:color="auto" w:fill="E7E6E6"/>
          </w:tcPr>
          <w:p w14:paraId="066C206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Religion, Belief, Spirituality, Faith, or Atheism</w:t>
            </w:r>
          </w:p>
        </w:tc>
        <w:tc>
          <w:tcPr>
            <w:tcW w:w="3827" w:type="dxa"/>
          </w:tcPr>
          <w:p w14:paraId="7D23EAA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22F5B17C" w14:textId="77777777" w:rsidTr="000729CF">
        <w:trPr>
          <w:trHeight w:val="20"/>
        </w:trPr>
        <w:tc>
          <w:tcPr>
            <w:tcW w:w="6658" w:type="dxa"/>
            <w:shd w:val="clear" w:color="auto" w:fill="E7E6E6"/>
          </w:tcPr>
          <w:p w14:paraId="1BB447B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Identity and Sex (including non-binary and Intersex people)</w:t>
            </w:r>
          </w:p>
        </w:tc>
        <w:tc>
          <w:tcPr>
            <w:tcW w:w="3827" w:type="dxa"/>
          </w:tcPr>
          <w:p w14:paraId="6E2F2D9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2EB43028" w14:textId="77777777" w:rsidTr="000729CF">
        <w:trPr>
          <w:trHeight w:val="20"/>
        </w:trPr>
        <w:tc>
          <w:tcPr>
            <w:tcW w:w="6658" w:type="dxa"/>
            <w:shd w:val="clear" w:color="auto" w:fill="E7E6E6"/>
          </w:tcPr>
          <w:p w14:paraId="46A6A69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3827" w:type="dxa"/>
          </w:tcPr>
          <w:p w14:paraId="025269D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40FCD906" w14:textId="77777777" w:rsidTr="000729CF">
        <w:trPr>
          <w:trHeight w:val="20"/>
        </w:trPr>
        <w:tc>
          <w:tcPr>
            <w:tcW w:w="6658" w:type="dxa"/>
            <w:shd w:val="clear" w:color="auto" w:fill="E7E6E6"/>
          </w:tcPr>
          <w:p w14:paraId="51A8457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3827" w:type="dxa"/>
          </w:tcPr>
          <w:p w14:paraId="3F7D323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462CCDE2" w14:textId="77777777" w:rsidTr="000729CF">
        <w:trPr>
          <w:trHeight w:val="20"/>
        </w:trPr>
        <w:tc>
          <w:tcPr>
            <w:tcW w:w="6658" w:type="dxa"/>
            <w:shd w:val="clear" w:color="auto" w:fill="E7E6E6"/>
          </w:tcPr>
          <w:p w14:paraId="3F1EA1F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3827" w:type="dxa"/>
          </w:tcPr>
          <w:p w14:paraId="1538FC1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3D9CCD73" w14:textId="77777777" w:rsidTr="000729CF">
        <w:trPr>
          <w:trHeight w:val="20"/>
        </w:trPr>
        <w:tc>
          <w:tcPr>
            <w:tcW w:w="6658" w:type="dxa"/>
            <w:shd w:val="clear" w:color="auto" w:fill="E7E6E6"/>
          </w:tcPr>
          <w:p w14:paraId="3FE33FC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Pregnant people, Maternity, Paternity, Adoption, Menopause, (In)fertility (across the gender spectrum)</w:t>
            </w:r>
          </w:p>
        </w:tc>
        <w:tc>
          <w:tcPr>
            <w:tcW w:w="3827" w:type="dxa"/>
          </w:tcPr>
          <w:p w14:paraId="0C12859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4E86FF98" w14:textId="77777777" w:rsidTr="000729CF">
        <w:trPr>
          <w:trHeight w:val="20"/>
        </w:trPr>
        <w:tc>
          <w:tcPr>
            <w:tcW w:w="6658" w:type="dxa"/>
            <w:shd w:val="clear" w:color="auto" w:fill="E7E6E6"/>
          </w:tcPr>
          <w:p w14:paraId="4382807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3827" w:type="dxa"/>
          </w:tcPr>
          <w:p w14:paraId="0086CD8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59926C2C" w14:textId="77777777" w:rsidTr="000729CF">
        <w:trPr>
          <w:trHeight w:val="20"/>
        </w:trPr>
        <w:tc>
          <w:tcPr>
            <w:tcW w:w="6658" w:type="dxa"/>
            <w:shd w:val="clear" w:color="auto" w:fill="E7E6E6"/>
          </w:tcPr>
          <w:p w14:paraId="2C083E5E" w14:textId="77777777" w:rsidR="000729CF" w:rsidRPr="000729CF" w:rsidRDefault="000729CF" w:rsidP="000729CF">
            <w:pPr>
              <w:spacing w:after="120"/>
              <w:rPr>
                <w:rFonts w:ascii="Arial" w:hAnsi="Arial" w:cs="Arial"/>
                <w:b/>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p>
        </w:tc>
        <w:tc>
          <w:tcPr>
            <w:tcW w:w="3827" w:type="dxa"/>
          </w:tcPr>
          <w:p w14:paraId="534D5A6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3BF4D575" w14:textId="77777777" w:rsidTr="000729CF">
        <w:trPr>
          <w:trHeight w:val="20"/>
        </w:trPr>
        <w:tc>
          <w:tcPr>
            <w:tcW w:w="6658" w:type="dxa"/>
            <w:shd w:val="clear" w:color="auto" w:fill="E7E6E6"/>
          </w:tcPr>
          <w:p w14:paraId="614CC1C1" w14:textId="77777777" w:rsidR="000729CF" w:rsidRPr="000729CF" w:rsidRDefault="000729CF" w:rsidP="000729CF">
            <w:pPr>
              <w:spacing w:after="120"/>
              <w:rPr>
                <w:rFonts w:ascii="Arial" w:hAnsi="Arial" w:cs="Arial"/>
                <w:b/>
                <w:sz w:val="24"/>
                <w:szCs w:val="24"/>
              </w:rPr>
            </w:pPr>
            <w:r w:rsidRPr="000729CF">
              <w:rPr>
                <w:rFonts w:ascii="Arial" w:eastAsia="Calibri" w:hAnsi="Arial" w:cs="Arial"/>
                <w:b/>
                <w:bCs/>
                <w:color w:val="000000"/>
                <w:sz w:val="24"/>
                <w:szCs w:val="24"/>
              </w:rPr>
              <w:t>Carers</w:t>
            </w:r>
          </w:p>
        </w:tc>
        <w:tc>
          <w:tcPr>
            <w:tcW w:w="3827" w:type="dxa"/>
          </w:tcPr>
          <w:p w14:paraId="58B1E6E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33AB5A75" w14:textId="77777777" w:rsidTr="000729CF">
        <w:trPr>
          <w:trHeight w:val="20"/>
        </w:trPr>
        <w:tc>
          <w:tcPr>
            <w:tcW w:w="6658" w:type="dxa"/>
            <w:shd w:val="clear" w:color="auto" w:fill="E7E6E6"/>
          </w:tcPr>
          <w:p w14:paraId="3AADCEA8"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Looked after children, Care Leavers, Care and fostering experienced people</w:t>
            </w:r>
          </w:p>
        </w:tc>
        <w:tc>
          <w:tcPr>
            <w:tcW w:w="3827" w:type="dxa"/>
          </w:tcPr>
          <w:p w14:paraId="38DDE51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1DCFE459" w14:textId="77777777" w:rsidTr="000729CF">
        <w:trPr>
          <w:trHeight w:val="20"/>
        </w:trPr>
        <w:tc>
          <w:tcPr>
            <w:tcW w:w="6658" w:type="dxa"/>
            <w:shd w:val="clear" w:color="auto" w:fill="E7E6E6"/>
          </w:tcPr>
          <w:p w14:paraId="4FBA1AF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 and people in vulnerable situations (All aspects and intersections)</w:t>
            </w:r>
          </w:p>
        </w:tc>
        <w:tc>
          <w:tcPr>
            <w:tcW w:w="3827" w:type="dxa"/>
          </w:tcPr>
          <w:p w14:paraId="31A83A4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62886A3D" w14:textId="77777777" w:rsidTr="000729CF">
        <w:trPr>
          <w:trHeight w:val="20"/>
        </w:trPr>
        <w:tc>
          <w:tcPr>
            <w:tcW w:w="6658" w:type="dxa"/>
            <w:shd w:val="clear" w:color="auto" w:fill="E7E6E6"/>
          </w:tcPr>
          <w:p w14:paraId="4B77F32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Socio-economic Disadvantage</w:t>
            </w:r>
          </w:p>
        </w:tc>
        <w:tc>
          <w:tcPr>
            <w:tcW w:w="3827" w:type="dxa"/>
          </w:tcPr>
          <w:p w14:paraId="53B85B0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2DC2CDFA" w14:textId="77777777" w:rsidTr="000729CF">
        <w:trPr>
          <w:trHeight w:val="20"/>
        </w:trPr>
        <w:tc>
          <w:tcPr>
            <w:tcW w:w="6658" w:type="dxa"/>
            <w:shd w:val="clear" w:color="auto" w:fill="E7E6E6"/>
          </w:tcPr>
          <w:p w14:paraId="2660926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Homelessness and associated risk and vulnerability</w:t>
            </w:r>
          </w:p>
        </w:tc>
        <w:tc>
          <w:tcPr>
            <w:tcW w:w="3827" w:type="dxa"/>
          </w:tcPr>
          <w:p w14:paraId="61DE71D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54F6BFFD" w14:textId="77777777" w:rsidTr="000729CF">
        <w:trPr>
          <w:trHeight w:val="20"/>
        </w:trPr>
        <w:tc>
          <w:tcPr>
            <w:tcW w:w="6658" w:type="dxa"/>
            <w:shd w:val="clear" w:color="auto" w:fill="E7E6E6"/>
          </w:tcPr>
          <w:p w14:paraId="2564CD7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3827" w:type="dxa"/>
          </w:tcPr>
          <w:p w14:paraId="272BC37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660016B0" w14:textId="77777777" w:rsidTr="000729CF">
        <w:trPr>
          <w:trHeight w:val="20"/>
        </w:trPr>
        <w:tc>
          <w:tcPr>
            <w:tcW w:w="6658" w:type="dxa"/>
            <w:shd w:val="clear" w:color="auto" w:fill="E7E6E6"/>
          </w:tcPr>
          <w:p w14:paraId="19302E3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 (please specify here and add additional rows as needed)</w:t>
            </w:r>
          </w:p>
        </w:tc>
        <w:tc>
          <w:tcPr>
            <w:tcW w:w="3827" w:type="dxa"/>
          </w:tcPr>
          <w:p w14:paraId="686AD87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69D6F765" w14:textId="77777777" w:rsidTr="000729CF">
        <w:trPr>
          <w:trHeight w:val="20"/>
        </w:trPr>
        <w:tc>
          <w:tcPr>
            <w:tcW w:w="6658" w:type="dxa"/>
            <w:shd w:val="clear" w:color="auto" w:fill="E7E6E6"/>
          </w:tcPr>
          <w:p w14:paraId="2C7351A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Lone parents</w:t>
            </w:r>
          </w:p>
        </w:tc>
        <w:tc>
          <w:tcPr>
            <w:tcW w:w="3827" w:type="dxa"/>
          </w:tcPr>
          <w:p w14:paraId="5F0F525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230EE6F6" w14:textId="77777777" w:rsidTr="000729CF">
        <w:trPr>
          <w:trHeight w:val="20"/>
        </w:trPr>
        <w:tc>
          <w:tcPr>
            <w:tcW w:w="6658" w:type="dxa"/>
            <w:shd w:val="clear" w:color="auto" w:fill="E7E6E6"/>
          </w:tcPr>
          <w:p w14:paraId="76DDE07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Carers</w:t>
            </w:r>
          </w:p>
        </w:tc>
        <w:tc>
          <w:tcPr>
            <w:tcW w:w="3827" w:type="dxa"/>
          </w:tcPr>
          <w:p w14:paraId="38F8277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288248DD" w14:textId="77777777" w:rsidTr="000729CF">
        <w:trPr>
          <w:trHeight w:val="20"/>
        </w:trPr>
        <w:tc>
          <w:tcPr>
            <w:tcW w:w="6658" w:type="dxa"/>
            <w:shd w:val="clear" w:color="auto" w:fill="E7E6E6"/>
          </w:tcPr>
          <w:p w14:paraId="0DBF1FF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People facing literacy and numeracy barriers</w:t>
            </w:r>
          </w:p>
          <w:p w14:paraId="783A3433" w14:textId="77777777" w:rsidR="000729CF" w:rsidRPr="000729CF" w:rsidRDefault="000729CF" w:rsidP="000729CF">
            <w:pPr>
              <w:spacing w:after="120"/>
              <w:rPr>
                <w:rFonts w:ascii="Arial" w:eastAsia="Calibri" w:hAnsi="Arial" w:cs="Arial"/>
                <w:b/>
                <w:bCs/>
                <w:sz w:val="24"/>
                <w:szCs w:val="24"/>
              </w:rPr>
            </w:pPr>
          </w:p>
        </w:tc>
        <w:tc>
          <w:tcPr>
            <w:tcW w:w="3827" w:type="dxa"/>
          </w:tcPr>
          <w:p w14:paraId="6BF170D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bl>
    <w:p w14:paraId="293203A7" w14:textId="77777777" w:rsidR="000729CF" w:rsidRPr="000729CF" w:rsidRDefault="000729CF" w:rsidP="000729CF">
      <w:pPr>
        <w:rPr>
          <w:rFonts w:ascii="Arial" w:eastAsia="Calibri" w:hAnsi="Arial" w:cs="Arial"/>
          <w:sz w:val="24"/>
          <w:szCs w:val="24"/>
          <w:lang w:val="en-GB"/>
        </w:rPr>
      </w:pPr>
    </w:p>
    <w:p w14:paraId="7EC2EE70"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1742378D"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6259CF3F"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2A70987A"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3C964C13"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6CF140E1"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7E52D89E"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4B4D205B"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68DF1FBE"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52D1B050"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5165C34E"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If you answered “NO” to any of the above, how will you gather this data to enable improved monitoring of impact for this proposal?</w:t>
      </w:r>
    </w:p>
    <w:tbl>
      <w:tblPr>
        <w:tblStyle w:val="TableGrid"/>
        <w:tblW w:w="0" w:type="auto"/>
        <w:tblLook w:val="04A0" w:firstRow="1" w:lastRow="0" w:firstColumn="1" w:lastColumn="0" w:noHBand="0" w:noVBand="1"/>
      </w:tblPr>
      <w:tblGrid>
        <w:gridCol w:w="10456"/>
      </w:tblGrid>
      <w:tr w:rsidR="000729CF" w:rsidRPr="000729CF" w14:paraId="1EBB687F" w14:textId="77777777" w:rsidTr="00BC26AB">
        <w:trPr>
          <w:trHeight w:val="757"/>
        </w:trPr>
        <w:tc>
          <w:tcPr>
            <w:tcW w:w="10456" w:type="dxa"/>
          </w:tcPr>
          <w:p w14:paraId="480263C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We will seek to establish data on whether the families who are accessing these provisions are Armed Forces personnel, their families or veterans. This can be undertaken through the social care assessment process.</w:t>
            </w:r>
          </w:p>
        </w:tc>
      </w:tr>
    </w:tbl>
    <w:p w14:paraId="16A48C62" w14:textId="77777777" w:rsidR="000729CF" w:rsidRPr="000729CF" w:rsidRDefault="000729CF" w:rsidP="000729CF">
      <w:pPr>
        <w:rPr>
          <w:rFonts w:ascii="Arial" w:eastAsia="Calibri" w:hAnsi="Arial" w:cs="Arial"/>
          <w:sz w:val="24"/>
          <w:szCs w:val="24"/>
          <w:lang w:val="en-GB"/>
        </w:rPr>
      </w:pPr>
    </w:p>
    <w:p w14:paraId="41AA4093"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are the arrangements for monitoring, and reviewing the impact of this proposal?</w:t>
      </w:r>
    </w:p>
    <w:tbl>
      <w:tblPr>
        <w:tblStyle w:val="TableGrid"/>
        <w:tblW w:w="0" w:type="auto"/>
        <w:tblLook w:val="04A0" w:firstRow="1" w:lastRow="0" w:firstColumn="1" w:lastColumn="0" w:noHBand="0" w:noVBand="1"/>
      </w:tblPr>
      <w:tblGrid>
        <w:gridCol w:w="10456"/>
      </w:tblGrid>
      <w:tr w:rsidR="000729CF" w:rsidRPr="000729CF" w14:paraId="267E1D64" w14:textId="77777777" w:rsidTr="00BC26AB">
        <w:trPr>
          <w:trHeight w:val="757"/>
        </w:trPr>
        <w:tc>
          <w:tcPr>
            <w:tcW w:w="10456" w:type="dxa"/>
          </w:tcPr>
          <w:p w14:paraId="3B7C315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Reviews of care plans will be undertaken by Social Workers for all the children who access this service to ensure that we are planning with the families concerned what other support can be provided if the Outreach Service ceases to operate. The impact on these families will be monitored through regular reviews by Social Workers.</w:t>
            </w:r>
          </w:p>
        </w:tc>
      </w:tr>
    </w:tbl>
    <w:p w14:paraId="4F3A5B0C" w14:textId="77777777" w:rsidR="000729CF" w:rsidRPr="000729CF" w:rsidRDefault="000729CF" w:rsidP="000729CF">
      <w:pPr>
        <w:rPr>
          <w:rFonts w:ascii="Arial" w:eastAsia="Calibri" w:hAnsi="Arial" w:cs="Arial"/>
          <w:sz w:val="24"/>
          <w:szCs w:val="24"/>
          <w:lang w:val="en-GB"/>
        </w:rPr>
      </w:pPr>
    </w:p>
    <w:p w14:paraId="0CC3AD69" w14:textId="77777777" w:rsidR="000729CF" w:rsidRPr="000729CF" w:rsidRDefault="000729CF" w:rsidP="000729CF">
      <w:pPr>
        <w:rPr>
          <w:rFonts w:ascii="Arial" w:eastAsia="Calibri" w:hAnsi="Arial" w:cs="Arial"/>
          <w:sz w:val="24"/>
          <w:szCs w:val="24"/>
          <w:lang w:val="en-GB"/>
        </w:rPr>
      </w:pPr>
    </w:p>
    <w:p w14:paraId="49E044A6"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Impacts</w:t>
      </w:r>
    </w:p>
    <w:p w14:paraId="3BB6744A"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Briefly state source of data or data analysis being used to describe the </w:t>
      </w:r>
      <w:r w:rsidRPr="000729CF">
        <w:rPr>
          <w:rFonts w:ascii="Arial" w:eastAsia="Calibri" w:hAnsi="Arial" w:cs="Arial"/>
          <w:color w:val="000000"/>
          <w:sz w:val="24"/>
          <w:szCs w:val="24"/>
          <w:bdr w:val="none" w:sz="0" w:space="0" w:color="auto" w:frame="1"/>
          <w:lang w:val="en-GB"/>
        </w:rPr>
        <w:t xml:space="preserve">disproportionate negative impacts. </w:t>
      </w:r>
      <w:r w:rsidRPr="000729CF">
        <w:rPr>
          <w:rFonts w:ascii="Arial" w:eastAsia="Calibri" w:hAnsi="Arial" w:cs="Arial"/>
          <w:sz w:val="24"/>
          <w:szCs w:val="24"/>
          <w:lang w:val="en-GB"/>
        </w:rPr>
        <w:t xml:space="preserve">Preferably provide link to data/ analysis if open data source. </w:t>
      </w:r>
    </w:p>
    <w:tbl>
      <w:tblPr>
        <w:tblStyle w:val="TableGrid"/>
        <w:tblW w:w="10485" w:type="dxa"/>
        <w:tblLook w:val="04A0" w:firstRow="1" w:lastRow="0" w:firstColumn="1" w:lastColumn="0" w:noHBand="0" w:noVBand="1"/>
      </w:tblPr>
      <w:tblGrid>
        <w:gridCol w:w="2985"/>
        <w:gridCol w:w="2123"/>
        <w:gridCol w:w="5377"/>
      </w:tblGrid>
      <w:tr w:rsidR="000729CF" w:rsidRPr="000729CF" w14:paraId="7C53DD1D" w14:textId="77777777" w:rsidTr="000729CF">
        <w:trPr>
          <w:trHeight w:val="20"/>
        </w:trPr>
        <w:tc>
          <w:tcPr>
            <w:tcW w:w="2985" w:type="dxa"/>
            <w:shd w:val="clear" w:color="auto" w:fill="E7E6E6"/>
          </w:tcPr>
          <w:p w14:paraId="6198088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Assess impact for different population groups</w:t>
            </w:r>
          </w:p>
        </w:tc>
        <w:tc>
          <w:tcPr>
            <w:tcW w:w="2123" w:type="dxa"/>
            <w:shd w:val="clear" w:color="auto" w:fill="E7E6E6"/>
          </w:tcPr>
          <w:p w14:paraId="208B43F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Is there a possible disproportionate negative impact? </w:t>
            </w:r>
          </w:p>
          <w:p w14:paraId="19BAFAF4" w14:textId="77777777" w:rsidR="000729CF" w:rsidRPr="000729CF" w:rsidRDefault="000729CF" w:rsidP="000729CF">
            <w:pPr>
              <w:spacing w:after="120"/>
              <w:rPr>
                <w:rFonts w:ascii="Arial" w:eastAsia="Calibri" w:hAnsi="Arial" w:cs="Arial"/>
                <w:b/>
                <w:bCs/>
                <w:sz w:val="24"/>
                <w:szCs w:val="24"/>
              </w:rPr>
            </w:pPr>
          </w:p>
          <w:p w14:paraId="353A1A2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b/>
                <w:bCs/>
                <w:sz w:val="24"/>
                <w:szCs w:val="24"/>
              </w:rPr>
              <w:t>State Yes or No</w:t>
            </w:r>
          </w:p>
        </w:tc>
        <w:tc>
          <w:tcPr>
            <w:tcW w:w="5377" w:type="dxa"/>
            <w:shd w:val="clear" w:color="auto" w:fill="E7E6E6"/>
          </w:tcPr>
          <w:p w14:paraId="110A879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Describe the potential negative impact, considering for differences within groups For example, different ethnic groups, and peoples intersecting identities e.g. disabled women of faith</w:t>
            </w:r>
          </w:p>
          <w:p w14:paraId="5C00668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OR</w:t>
            </w:r>
          </w:p>
          <w:p w14:paraId="166A052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If no impact is identified, briefly state why.</w:t>
            </w:r>
          </w:p>
        </w:tc>
      </w:tr>
      <w:tr w:rsidR="000729CF" w:rsidRPr="000729CF" w14:paraId="09A67142" w14:textId="77777777" w:rsidTr="000729CF">
        <w:trPr>
          <w:trHeight w:val="20"/>
        </w:trPr>
        <w:tc>
          <w:tcPr>
            <w:tcW w:w="2985" w:type="dxa"/>
            <w:shd w:val="clear" w:color="auto" w:fill="E7E6E6"/>
          </w:tcPr>
          <w:p w14:paraId="385693B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Age </w:t>
            </w:r>
          </w:p>
          <w:p w14:paraId="6C6E198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sz w:val="24"/>
                <w:szCs w:val="24"/>
              </w:rPr>
              <w:t>including those under 16, young adults, multiple ethnicities, those with various intersections.</w:t>
            </w:r>
          </w:p>
        </w:tc>
        <w:tc>
          <w:tcPr>
            <w:tcW w:w="2123" w:type="dxa"/>
          </w:tcPr>
          <w:p w14:paraId="56D5B9B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6042768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service will no longer be operational and will impact upon those children and young people under 18 who are accessing the service.</w:t>
            </w:r>
          </w:p>
          <w:p w14:paraId="70C9D2B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However, as part of the SEND Short Break commissioning process we will be exploring with our providers their ability to support those families who will be affected. Social workers will work with the families to put a package of support in place that will help to mitigate the loss of their weekly or fortnightly session. When going out to the market the council has also sought providers that will support young people up to the age of 25 so we expect to increase the age range.</w:t>
            </w:r>
          </w:p>
        </w:tc>
      </w:tr>
      <w:tr w:rsidR="000729CF" w:rsidRPr="000729CF" w14:paraId="37F4DD72" w14:textId="77777777" w:rsidTr="000729CF">
        <w:trPr>
          <w:trHeight w:val="20"/>
        </w:trPr>
        <w:tc>
          <w:tcPr>
            <w:tcW w:w="2985" w:type="dxa"/>
            <w:shd w:val="clear" w:color="auto" w:fill="E7E6E6"/>
          </w:tcPr>
          <w:p w14:paraId="5153A74D"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 xml:space="preserve">Disability </w:t>
            </w:r>
            <w:r w:rsidRPr="000729CF">
              <w:rPr>
                <w:rFonts w:ascii="Arial" w:eastAsia="Calibri" w:hAnsi="Arial" w:cs="Arial"/>
                <w:sz w:val="24"/>
                <w:szCs w:val="24"/>
              </w:rPr>
              <w:t>includes physical and sensory disabled, D/deaf, deafened, hard of hearing, blind, neurodiverse people, people with non-visible disabilities.</w:t>
            </w:r>
          </w:p>
        </w:tc>
        <w:tc>
          <w:tcPr>
            <w:tcW w:w="2123" w:type="dxa"/>
          </w:tcPr>
          <w:p w14:paraId="114602E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45EA07C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All the children impacted by the service ceasing will have learning disabilities and complex needs. Therefore, there will be an impact for this group.</w:t>
            </w:r>
          </w:p>
          <w:p w14:paraId="3E39F99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As part of the SEND Short Break commissioning process we will be exploring with our providers their ability to support those families who will be impacted and working towards putting a package of support in place for them. We have specifically asked for providers that can support children and young people with complex needs and expect to have these within our new offer.</w:t>
            </w:r>
          </w:p>
          <w:p w14:paraId="5128356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color w:val="0B0C0C"/>
                <w:sz w:val="24"/>
                <w:szCs w:val="24"/>
              </w:rPr>
              <w:t>Family hubs are also bringing together different services in a ‘one stop shop’ for support and information from a variety of services making it easier to help families.</w:t>
            </w:r>
          </w:p>
          <w:p w14:paraId="0E9652D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remodelling of our in-house provision will also support more short break overnight capacity.</w:t>
            </w:r>
          </w:p>
        </w:tc>
      </w:tr>
      <w:tr w:rsidR="000729CF" w:rsidRPr="000729CF" w14:paraId="418E0F5C" w14:textId="77777777" w:rsidTr="000729CF">
        <w:trPr>
          <w:trHeight w:val="20"/>
        </w:trPr>
        <w:tc>
          <w:tcPr>
            <w:tcW w:w="2985" w:type="dxa"/>
            <w:shd w:val="clear" w:color="auto" w:fill="E7E6E6"/>
          </w:tcPr>
          <w:p w14:paraId="47E02200" w14:textId="77777777" w:rsidR="000729CF" w:rsidRPr="000729CF" w:rsidRDefault="000729CF" w:rsidP="000729CF">
            <w:pPr>
              <w:keepNext/>
              <w:keepLines/>
              <w:spacing w:before="40"/>
              <w:outlineLvl w:val="2"/>
              <w:rPr>
                <w:rFonts w:ascii="Arial" w:hAnsi="Arial" w:cs="Arial"/>
                <w:color w:val="1F3763"/>
                <w:sz w:val="24"/>
                <w:szCs w:val="24"/>
              </w:rPr>
            </w:pPr>
            <w:r w:rsidRPr="000729CF">
              <w:rPr>
                <w:rFonts w:ascii="Arial" w:hAnsi="Arial" w:cs="Arial"/>
                <w:b/>
                <w:bCs/>
                <w:color w:val="000000"/>
                <w:sz w:val="24"/>
                <w:szCs w:val="24"/>
              </w:rPr>
              <w:t>Ethnicity, ‘</w:t>
            </w:r>
            <w:r w:rsidRPr="000729CF">
              <w:rPr>
                <w:rFonts w:ascii="Arial" w:hAnsi="Arial" w:cs="Arial"/>
                <w:color w:val="000000"/>
                <w:sz w:val="24"/>
                <w:szCs w:val="24"/>
              </w:rPr>
              <w:t>Race’, ethnic heritage including Gypsy, Roma, Travellers</w:t>
            </w:r>
          </w:p>
        </w:tc>
        <w:tc>
          <w:tcPr>
            <w:tcW w:w="2123" w:type="dxa"/>
          </w:tcPr>
          <w:p w14:paraId="7C852DB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1C36DB6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5 of the 11 children being supported by the Outreach Service are either Black or from the Global Majority. Therefore, there will be a disproportionate impact upon this population. We will be working closely with these families to ensure that we provide other support that will meet the needs of their children. </w:t>
            </w:r>
          </w:p>
          <w:p w14:paraId="7F8B10A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Language support, as well as an interpreter, will be provided should it be required when working with these families to ensure that information on other opportunities for support are accessible include translated materials should they be required. </w:t>
            </w:r>
          </w:p>
          <w:p w14:paraId="150A862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We will also ensure that all social workers supporting the families are aware of support available and signpost accordingly. If children and/or parents/carers indicate that they are experiencing discrimination, there will be signposting in place to ensure that they have the relevant support that they need or access to a relevant discriminatory community group that they can contact for assistance.</w:t>
            </w:r>
          </w:p>
          <w:p w14:paraId="4FCA261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As part of the SEND Short Break commissioning process we will be exploring with our providers their ability to support those families who will be affected, and we have asked for expressions of interest from providers that would like to run specific sessions for Black and Global Majority children and young people with SEND. </w:t>
            </w:r>
          </w:p>
          <w:p w14:paraId="1925287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remodelling of our in-house provision will also support more short break overnight capacity.</w:t>
            </w:r>
          </w:p>
        </w:tc>
      </w:tr>
      <w:tr w:rsidR="000729CF" w:rsidRPr="000729CF" w14:paraId="2C88D36D" w14:textId="77777777" w:rsidTr="000729CF">
        <w:trPr>
          <w:trHeight w:val="20"/>
        </w:trPr>
        <w:tc>
          <w:tcPr>
            <w:tcW w:w="2985" w:type="dxa"/>
            <w:shd w:val="clear" w:color="auto" w:fill="E7E6E6"/>
          </w:tcPr>
          <w:p w14:paraId="01F003C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Religion, Spirituality, Faith, Atheism, and philosophical belief </w:t>
            </w:r>
          </w:p>
        </w:tc>
        <w:tc>
          <w:tcPr>
            <w:tcW w:w="2123" w:type="dxa"/>
          </w:tcPr>
          <w:p w14:paraId="6FCCD9F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20D2537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The Specialist Community Disability Service and the Safeguarding and Care service hold data on their children and young people they support in terms of their religion or belief. It is likely there will be range of religions and belief systems within the cohort who may have accessed or be accessing the support currently.  </w:t>
            </w:r>
          </w:p>
          <w:p w14:paraId="3FD9B7E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We will be working closely with these families to ensure that we provide other support that will meet the needs of their children. </w:t>
            </w:r>
          </w:p>
          <w:p w14:paraId="1E70FC6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We will also ensure that all social workers supporting the families are aware of support available and signpost accordingly. If children and/or parents/carers indicate that they are experiencing discrimination, there will be signposting in place to ensure that they have the relevant support that they need or access to a relevant discriminatory community group that they can contact for assistance.</w:t>
            </w:r>
          </w:p>
          <w:p w14:paraId="6F909D7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As part of the SEND Short Break commissioning process we will be exploring with our providers their ability to support those families who will be affected. </w:t>
            </w:r>
          </w:p>
          <w:p w14:paraId="19F5BD1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We expect any new providers supporting these children to make any adjustments required to ensure observance of their religion or belief system and this will be sensitively and inclusively incorporated into the activities of their placement. This includes dietary, spiritual and/or attire.</w:t>
            </w:r>
          </w:p>
          <w:p w14:paraId="0363F3B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remodelling of our in-house provision will also support more short break overnight capacity.</w:t>
            </w:r>
          </w:p>
        </w:tc>
      </w:tr>
      <w:tr w:rsidR="000729CF" w:rsidRPr="000729CF" w14:paraId="5529970A" w14:textId="77777777" w:rsidTr="000729CF">
        <w:trPr>
          <w:trHeight w:val="20"/>
        </w:trPr>
        <w:tc>
          <w:tcPr>
            <w:tcW w:w="2985" w:type="dxa"/>
            <w:shd w:val="clear" w:color="auto" w:fill="E7E6E6"/>
          </w:tcPr>
          <w:p w14:paraId="1823B55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Gender and Sex </w:t>
            </w:r>
            <w:r w:rsidRPr="000729CF">
              <w:rPr>
                <w:rFonts w:ascii="Arial" w:eastAsia="Calibri" w:hAnsi="Arial" w:cs="Arial"/>
                <w:sz w:val="24"/>
                <w:szCs w:val="24"/>
              </w:rPr>
              <w:t>including non-binary and intersex people</w:t>
            </w:r>
          </w:p>
        </w:tc>
        <w:tc>
          <w:tcPr>
            <w:tcW w:w="2123" w:type="dxa"/>
          </w:tcPr>
          <w:p w14:paraId="2CEFD18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0745C72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The gender split of children and young people with SEN and Disabilities is 29% Female and 71% Male. The service currently supports 10 males and 1 female. This is primarily because we only have male staff members and are not able to offer support to females currently. Therefore, there may be an impact on males. </w:t>
            </w:r>
          </w:p>
          <w:p w14:paraId="1AF5722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There are no children and young people accessing the service who identify as non-binary or intersex. </w:t>
            </w:r>
          </w:p>
        </w:tc>
      </w:tr>
      <w:tr w:rsidR="000729CF" w:rsidRPr="000729CF" w14:paraId="660E5E38" w14:textId="77777777" w:rsidTr="000729CF">
        <w:trPr>
          <w:trHeight w:val="20"/>
        </w:trPr>
        <w:tc>
          <w:tcPr>
            <w:tcW w:w="2985" w:type="dxa"/>
            <w:shd w:val="clear" w:color="auto" w:fill="E7E6E6"/>
          </w:tcPr>
          <w:p w14:paraId="3794360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2123" w:type="dxa"/>
          </w:tcPr>
          <w:p w14:paraId="4BEA34E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72FCC49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There are currently no children or young people who identify as trans within the current group of children being supported by this service. Therefore, there should be no disproportionate impact. </w:t>
            </w:r>
          </w:p>
        </w:tc>
      </w:tr>
      <w:tr w:rsidR="000729CF" w:rsidRPr="000729CF" w14:paraId="6E5F51FE" w14:textId="77777777" w:rsidTr="000729CF">
        <w:trPr>
          <w:trHeight w:val="20"/>
        </w:trPr>
        <w:tc>
          <w:tcPr>
            <w:tcW w:w="2985" w:type="dxa"/>
            <w:shd w:val="clear" w:color="auto" w:fill="E7E6E6"/>
          </w:tcPr>
          <w:p w14:paraId="50417F4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2123" w:type="dxa"/>
          </w:tcPr>
          <w:p w14:paraId="7BBDC1E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39C5A53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There are currently no children or young people who identify as LGBTQ within the current group of children being supported by this service. Therefore, there should be no disproportionate impact on this group.</w:t>
            </w:r>
          </w:p>
        </w:tc>
      </w:tr>
      <w:tr w:rsidR="000729CF" w:rsidRPr="000729CF" w14:paraId="43101793" w14:textId="77777777" w:rsidTr="000729CF">
        <w:trPr>
          <w:trHeight w:val="20"/>
        </w:trPr>
        <w:tc>
          <w:tcPr>
            <w:tcW w:w="2985" w:type="dxa"/>
            <w:shd w:val="clear" w:color="auto" w:fill="E7E6E6"/>
          </w:tcPr>
          <w:p w14:paraId="59D96D8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2123" w:type="dxa"/>
          </w:tcPr>
          <w:p w14:paraId="054B3EB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32B0C8B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It is unlikely there will be any disproportionate impact within this group as 8 of the children and young people supported by this service are under 16 with only 3 over the age of 16. These are under 18 and would require the consent of their parents/carers and may need a Mental Capacity assessment.</w:t>
            </w:r>
          </w:p>
        </w:tc>
      </w:tr>
      <w:tr w:rsidR="000729CF" w:rsidRPr="000729CF" w14:paraId="3467B395" w14:textId="77777777" w:rsidTr="000729CF">
        <w:trPr>
          <w:trHeight w:val="20"/>
        </w:trPr>
        <w:tc>
          <w:tcPr>
            <w:tcW w:w="2985" w:type="dxa"/>
            <w:shd w:val="clear" w:color="auto" w:fill="E7E6E6"/>
          </w:tcPr>
          <w:p w14:paraId="5B65441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Pregnancy, Maternity, Paternity, Adoption, Menopause, (In)fertility </w:t>
            </w:r>
            <w:r w:rsidRPr="000729CF">
              <w:rPr>
                <w:rFonts w:ascii="Arial" w:eastAsia="Calibri" w:hAnsi="Arial" w:cs="Arial"/>
                <w:color w:val="000000"/>
                <w:sz w:val="24"/>
                <w:szCs w:val="24"/>
              </w:rPr>
              <w:t>(across intersections and non-binary gender spectrum)</w:t>
            </w:r>
          </w:p>
        </w:tc>
        <w:tc>
          <w:tcPr>
            <w:tcW w:w="2123" w:type="dxa"/>
          </w:tcPr>
          <w:p w14:paraId="56F2BA9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38EE0E13"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We do not hold data about pregnancies of the parents/carers. However, we are aware that parents/carers may be in situations where they are pregnant, on maternity/paternity leave or caring for younger children.  It may be that families who have children accessing this service are in within this grouping.  When working with the families to identify new provision will ensure we will accommodate any bespoke needs and provide support to all those where we are aware that their circumstances mean that they require additional support.</w:t>
            </w:r>
          </w:p>
          <w:p w14:paraId="1F9EBE1B" w14:textId="77777777" w:rsidR="000729CF" w:rsidRPr="000729CF" w:rsidRDefault="000729CF" w:rsidP="000729CF">
            <w:pPr>
              <w:spacing w:after="120"/>
              <w:rPr>
                <w:rFonts w:ascii="Arial" w:eastAsia="Calibri" w:hAnsi="Arial" w:cs="Arial"/>
                <w:sz w:val="24"/>
                <w:szCs w:val="24"/>
              </w:rPr>
            </w:pPr>
          </w:p>
          <w:p w14:paraId="27EFC51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There are likely to be children and young people who have been fostered or adopted who have accessed this service and where this is the case the appropriate support will be provided through the BHCC fostering and adoption team and their social worker.</w:t>
            </w:r>
          </w:p>
        </w:tc>
      </w:tr>
      <w:tr w:rsidR="000729CF" w:rsidRPr="000729CF" w14:paraId="32A26CDE" w14:textId="77777777" w:rsidTr="000729CF">
        <w:trPr>
          <w:trHeight w:val="20"/>
        </w:trPr>
        <w:tc>
          <w:tcPr>
            <w:tcW w:w="2985" w:type="dxa"/>
            <w:shd w:val="clear" w:color="auto" w:fill="E7E6E6"/>
          </w:tcPr>
          <w:p w14:paraId="09611A8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2123" w:type="dxa"/>
          </w:tcPr>
          <w:p w14:paraId="6D432D6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4532383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There are no disproportionate impacts identified for this group at this time.</w:t>
            </w:r>
          </w:p>
        </w:tc>
      </w:tr>
      <w:tr w:rsidR="000729CF" w:rsidRPr="000729CF" w14:paraId="21F5D45F" w14:textId="77777777" w:rsidTr="000729CF">
        <w:trPr>
          <w:trHeight w:val="20"/>
        </w:trPr>
        <w:tc>
          <w:tcPr>
            <w:tcW w:w="2985" w:type="dxa"/>
            <w:shd w:val="clear" w:color="auto" w:fill="E7E6E6"/>
          </w:tcPr>
          <w:p w14:paraId="1C375BEA" w14:textId="77777777" w:rsidR="000729CF" w:rsidRPr="000729CF" w:rsidRDefault="000729CF" w:rsidP="000729CF">
            <w:pPr>
              <w:spacing w:after="120"/>
              <w:rPr>
                <w:rFonts w:ascii="Arial" w:eastAsia="Calibri" w:hAnsi="Arial" w:cs="Arial"/>
                <w:b/>
                <w:bCs/>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r w:rsidRPr="000729CF">
              <w:rPr>
                <w:rFonts w:ascii="Arial" w:hAnsi="Arial" w:cs="Arial"/>
                <w:color w:val="000000"/>
                <w:sz w:val="24"/>
                <w:szCs w:val="24"/>
              </w:rPr>
              <w:t>considering for age, language, and various intersections</w:t>
            </w:r>
          </w:p>
        </w:tc>
        <w:tc>
          <w:tcPr>
            <w:tcW w:w="2123" w:type="dxa"/>
          </w:tcPr>
          <w:p w14:paraId="12CDDCA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7E95BDF0"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 xml:space="preserve">We are not aware that any of the families using this service are from within these groups. However, should this be the case there may an impact upon this population. We realise that this group may be particularly vulnerable, and we will be working closely with these families to ensure that we provide other support that will meet the needs of their children. </w:t>
            </w:r>
          </w:p>
          <w:p w14:paraId="51A49BE5" w14:textId="77777777" w:rsidR="000729CF" w:rsidRPr="000729CF" w:rsidRDefault="000729CF" w:rsidP="000729CF">
            <w:pPr>
              <w:rPr>
                <w:rFonts w:ascii="Arial" w:eastAsia="Calibri" w:hAnsi="Arial" w:cs="Arial"/>
                <w:sz w:val="24"/>
                <w:szCs w:val="24"/>
              </w:rPr>
            </w:pPr>
          </w:p>
          <w:p w14:paraId="32FD75D6"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 xml:space="preserve">Language support, as well as an interpreter, will be provided should it be required when working with these families to ensure that information on other opportunities for support are accessible include translated materials should they be required. </w:t>
            </w:r>
          </w:p>
          <w:p w14:paraId="409E5DD2" w14:textId="77777777" w:rsidR="000729CF" w:rsidRPr="000729CF" w:rsidRDefault="000729CF" w:rsidP="000729CF">
            <w:pPr>
              <w:rPr>
                <w:rFonts w:ascii="Arial" w:eastAsia="Calibri" w:hAnsi="Arial" w:cs="Arial"/>
                <w:sz w:val="24"/>
                <w:szCs w:val="24"/>
              </w:rPr>
            </w:pPr>
          </w:p>
          <w:p w14:paraId="16821B48"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We will also ensure that all social workers supporting the families are aware of support available and signpost accordingly. If children and/or parents/carers indicate that they are experiencing discrimination, there will be signposting in place to ensure that they have the relevant support that they need or access to a relevant discriminatory community group that they can contact for assistance.</w:t>
            </w:r>
          </w:p>
          <w:p w14:paraId="185D5267" w14:textId="77777777" w:rsidR="000729CF" w:rsidRPr="000729CF" w:rsidRDefault="000729CF" w:rsidP="000729CF">
            <w:pPr>
              <w:rPr>
                <w:rFonts w:ascii="Arial" w:eastAsia="Calibri" w:hAnsi="Arial" w:cs="Arial"/>
                <w:sz w:val="24"/>
                <w:szCs w:val="24"/>
              </w:rPr>
            </w:pPr>
          </w:p>
          <w:p w14:paraId="4F2F0A91"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 xml:space="preserve">As part of the SEND Short Break commissioning process we will be exploring with our providers their ability to support those families who will be affected. </w:t>
            </w:r>
          </w:p>
          <w:p w14:paraId="5AB52BA6" w14:textId="77777777" w:rsidR="000729CF" w:rsidRPr="000729CF" w:rsidRDefault="000729CF" w:rsidP="000729CF">
            <w:pPr>
              <w:rPr>
                <w:rFonts w:ascii="Arial" w:eastAsia="Calibri" w:hAnsi="Arial" w:cs="Arial"/>
                <w:sz w:val="24"/>
                <w:szCs w:val="24"/>
              </w:rPr>
            </w:pPr>
          </w:p>
          <w:p w14:paraId="73586A60" w14:textId="77777777" w:rsidR="000729CF" w:rsidRPr="000729CF" w:rsidRDefault="000729CF" w:rsidP="000729CF">
            <w:pPr>
              <w:rPr>
                <w:rFonts w:ascii="Arial" w:eastAsia="Calibri" w:hAnsi="Arial" w:cs="Arial"/>
                <w:color w:val="FF0000"/>
                <w:sz w:val="24"/>
                <w:szCs w:val="24"/>
              </w:rPr>
            </w:pPr>
            <w:r w:rsidRPr="000729CF">
              <w:rPr>
                <w:rFonts w:ascii="Arial" w:eastAsia="Calibri" w:hAnsi="Arial" w:cs="Arial"/>
                <w:sz w:val="24"/>
                <w:szCs w:val="24"/>
              </w:rPr>
              <w:t>The remodelling of our in-house provision will also support more short break overnight capacity.</w:t>
            </w:r>
          </w:p>
        </w:tc>
      </w:tr>
      <w:tr w:rsidR="000729CF" w:rsidRPr="000729CF" w14:paraId="49F404DD" w14:textId="77777777" w:rsidTr="000729CF">
        <w:trPr>
          <w:trHeight w:val="20"/>
        </w:trPr>
        <w:tc>
          <w:tcPr>
            <w:tcW w:w="2985" w:type="dxa"/>
            <w:shd w:val="clear" w:color="auto" w:fill="E7E6E6"/>
          </w:tcPr>
          <w:p w14:paraId="6EE0FEC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Carers </w:t>
            </w:r>
            <w:r w:rsidRPr="000729CF">
              <w:rPr>
                <w:rFonts w:ascii="Arial" w:hAnsi="Arial" w:cs="Arial"/>
                <w:color w:val="000000"/>
                <w:sz w:val="24"/>
                <w:szCs w:val="24"/>
              </w:rPr>
              <w:t>considering for age, language, and various intersections</w:t>
            </w:r>
          </w:p>
        </w:tc>
        <w:tc>
          <w:tcPr>
            <w:tcW w:w="2123" w:type="dxa"/>
          </w:tcPr>
          <w:p w14:paraId="489AEFF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7AF477E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Carers may rely on this support to have a short break from their caring duties. Therefore, there is likely to be an impact upon this group.</w:t>
            </w:r>
          </w:p>
          <w:p w14:paraId="0FA9847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Social Workers will be working closely with these families to ensure that we provide other support that will meet the needs of their children. </w:t>
            </w:r>
          </w:p>
          <w:p w14:paraId="754C445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As part of the SEND Short Break commissioning process we will be exploring with our providers their ability to support those families who will be affected. </w:t>
            </w:r>
          </w:p>
          <w:p w14:paraId="09E5A4E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remodelling of our in-house provision will also support more short break overnight capacity, which may also be of benefit to this group.</w:t>
            </w:r>
          </w:p>
        </w:tc>
      </w:tr>
      <w:tr w:rsidR="000729CF" w:rsidRPr="000729CF" w14:paraId="58BF9022" w14:textId="77777777" w:rsidTr="000729CF">
        <w:trPr>
          <w:trHeight w:val="20"/>
        </w:trPr>
        <w:tc>
          <w:tcPr>
            <w:tcW w:w="2985" w:type="dxa"/>
            <w:shd w:val="clear" w:color="auto" w:fill="E7E6E6"/>
          </w:tcPr>
          <w:p w14:paraId="316B6F0C"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 xml:space="preserve">Looked after children, Care Leavers, Care and fostering experienced people </w:t>
            </w:r>
            <w:r w:rsidRPr="000729CF">
              <w:rPr>
                <w:rFonts w:ascii="Arial" w:hAnsi="Arial" w:cs="Arial"/>
                <w:color w:val="000000"/>
                <w:sz w:val="24"/>
                <w:szCs w:val="24"/>
              </w:rPr>
              <w:t>considering for age, language, and various intersections</w:t>
            </w:r>
          </w:p>
        </w:tc>
        <w:tc>
          <w:tcPr>
            <w:tcW w:w="2123" w:type="dxa"/>
          </w:tcPr>
          <w:p w14:paraId="018FF44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0A9A33B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There are no children being supported by this service who are looked after by the local authority or who are care leavers or in foster care. Therefore, there should be no disproportionate impact upon this group.</w:t>
            </w:r>
          </w:p>
        </w:tc>
      </w:tr>
      <w:tr w:rsidR="000729CF" w:rsidRPr="000729CF" w14:paraId="30A02636" w14:textId="77777777" w:rsidTr="000729CF">
        <w:trPr>
          <w:trHeight w:val="20"/>
        </w:trPr>
        <w:tc>
          <w:tcPr>
            <w:tcW w:w="2985" w:type="dxa"/>
            <w:shd w:val="clear" w:color="auto" w:fill="E7E6E6"/>
          </w:tcPr>
          <w:p w14:paraId="48094FB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w:t>
            </w:r>
          </w:p>
        </w:tc>
        <w:tc>
          <w:tcPr>
            <w:tcW w:w="2123" w:type="dxa"/>
          </w:tcPr>
          <w:p w14:paraId="2843FC1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532AEBA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We are not aware of any children open to the outreach team who live in homes where there is domestic and/or sexual abuse. However, if this were the case closing the outreach service could put further pressure on these families. To mitigate against this social work and assessment support will be provided.  </w:t>
            </w:r>
          </w:p>
        </w:tc>
      </w:tr>
      <w:tr w:rsidR="000729CF" w:rsidRPr="000729CF" w14:paraId="258FAA97" w14:textId="77777777" w:rsidTr="000729CF">
        <w:trPr>
          <w:trHeight w:val="20"/>
        </w:trPr>
        <w:tc>
          <w:tcPr>
            <w:tcW w:w="2985" w:type="dxa"/>
            <w:shd w:val="clear" w:color="auto" w:fill="E7E6E6"/>
          </w:tcPr>
          <w:p w14:paraId="0AE6C1B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Socio-economic disadvantage </w:t>
            </w:r>
            <w:r w:rsidRPr="000729CF">
              <w:rPr>
                <w:rFonts w:ascii="Arial" w:eastAsia="Calibri" w:hAnsi="Arial" w:cs="Arial"/>
                <w:color w:val="000000"/>
                <w:sz w:val="24"/>
                <w:szCs w:val="24"/>
              </w:rPr>
              <w:t>considering for age, disability, D/deaf/ blind, ethnicity, expatriate background, and various intersections</w:t>
            </w:r>
          </w:p>
        </w:tc>
        <w:tc>
          <w:tcPr>
            <w:tcW w:w="2123" w:type="dxa"/>
          </w:tcPr>
          <w:p w14:paraId="51A1F94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4DE5A97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Additional burdens due to the cost of living could have disproportionate impact on women due to the nature of their employment types and barriers to employment for those with sole childcare. Having a child with a disability and being a single parent/carer can place additional pressure on the family and their ability to cope. </w:t>
            </w:r>
          </w:p>
          <w:p w14:paraId="7EA2C6F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Having a child with a disability also has an impact on a family’s potential earnings as one parent or carer often is the primary carer. This can make families with children who are disabled less financially resilient and place additional pressure on the home and the ability to manage.</w:t>
            </w:r>
          </w:p>
          <w:p w14:paraId="45B7ED4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There are several single parents/carers who benefit from this service and therefore they will be impacted upon. To mitigate against this social work and assessment support will be provided.  </w:t>
            </w:r>
          </w:p>
          <w:p w14:paraId="3C16F79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As part of the SEND Short Break commissioning process we will be exploring with our providers their ability to support those families who will be affected. Financial support will be provided for those families who have a low income or who are disadvantaged to access these provisions.</w:t>
            </w:r>
          </w:p>
          <w:p w14:paraId="58252F2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remodelling of our in-house provision will also support more short break overnight capacity, which may also be of benefit to this group.</w:t>
            </w:r>
          </w:p>
        </w:tc>
      </w:tr>
      <w:tr w:rsidR="000729CF" w:rsidRPr="000729CF" w14:paraId="6178A5EE" w14:textId="77777777" w:rsidTr="000729CF">
        <w:trPr>
          <w:trHeight w:val="20"/>
        </w:trPr>
        <w:tc>
          <w:tcPr>
            <w:tcW w:w="2985" w:type="dxa"/>
            <w:shd w:val="clear" w:color="auto" w:fill="E7E6E6"/>
          </w:tcPr>
          <w:p w14:paraId="1390232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Homeless and rough sleepers </w:t>
            </w:r>
            <w:r w:rsidRPr="000729CF">
              <w:rPr>
                <w:rFonts w:ascii="Arial" w:eastAsia="Calibri" w:hAnsi="Arial" w:cs="Arial"/>
                <w:color w:val="000000"/>
                <w:sz w:val="24"/>
                <w:szCs w:val="24"/>
              </w:rPr>
              <w:t>considering for age, veteran, ethnicity, language, and various intersections</w:t>
            </w:r>
          </w:p>
        </w:tc>
        <w:tc>
          <w:tcPr>
            <w:tcW w:w="2123" w:type="dxa"/>
          </w:tcPr>
          <w:p w14:paraId="1BA1167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0DE691E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families who will be impacted by this saving are not homeless or rough sleepers.</w:t>
            </w:r>
          </w:p>
        </w:tc>
      </w:tr>
      <w:tr w:rsidR="000729CF" w:rsidRPr="000729CF" w14:paraId="56A19F19" w14:textId="77777777" w:rsidTr="000729CF">
        <w:trPr>
          <w:trHeight w:val="20"/>
        </w:trPr>
        <w:tc>
          <w:tcPr>
            <w:tcW w:w="2985" w:type="dxa"/>
            <w:shd w:val="clear" w:color="auto" w:fill="E7E6E6"/>
          </w:tcPr>
          <w:p w14:paraId="6C82993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2123" w:type="dxa"/>
          </w:tcPr>
          <w:p w14:paraId="693BBEB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340FA109" w14:textId="77777777" w:rsidR="000729CF" w:rsidRPr="000729CF" w:rsidRDefault="000729CF" w:rsidP="000729CF">
            <w:pPr>
              <w:spacing w:after="120"/>
              <w:rPr>
                <w:rFonts w:ascii="Arial" w:eastAsia="Calibri" w:hAnsi="Arial" w:cs="Arial"/>
                <w:sz w:val="24"/>
                <w:szCs w:val="24"/>
              </w:rPr>
            </w:pPr>
          </w:p>
        </w:tc>
      </w:tr>
      <w:tr w:rsidR="000729CF" w:rsidRPr="000729CF" w14:paraId="391160CC" w14:textId="77777777" w:rsidTr="000729CF">
        <w:trPr>
          <w:trHeight w:val="20"/>
        </w:trPr>
        <w:tc>
          <w:tcPr>
            <w:tcW w:w="2985" w:type="dxa"/>
            <w:shd w:val="clear" w:color="auto" w:fill="E7E6E6"/>
          </w:tcPr>
          <w:p w14:paraId="1161713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 (please specify here and add additional rows as needed)</w:t>
            </w:r>
          </w:p>
        </w:tc>
        <w:tc>
          <w:tcPr>
            <w:tcW w:w="2123" w:type="dxa"/>
          </w:tcPr>
          <w:p w14:paraId="624099AD" w14:textId="77777777" w:rsidR="000729CF" w:rsidRPr="000729CF" w:rsidRDefault="000729CF" w:rsidP="000729CF">
            <w:pPr>
              <w:spacing w:after="120"/>
              <w:rPr>
                <w:rFonts w:ascii="Arial" w:eastAsia="Calibri" w:hAnsi="Arial" w:cs="Arial"/>
                <w:sz w:val="24"/>
                <w:szCs w:val="24"/>
              </w:rPr>
            </w:pPr>
          </w:p>
        </w:tc>
        <w:tc>
          <w:tcPr>
            <w:tcW w:w="5377" w:type="dxa"/>
          </w:tcPr>
          <w:p w14:paraId="63546E1E" w14:textId="77777777" w:rsidR="000729CF" w:rsidRPr="000729CF" w:rsidRDefault="000729CF" w:rsidP="000729CF">
            <w:pPr>
              <w:spacing w:after="120"/>
              <w:rPr>
                <w:rFonts w:ascii="Arial" w:eastAsia="Calibri" w:hAnsi="Arial" w:cs="Arial"/>
                <w:sz w:val="24"/>
                <w:szCs w:val="24"/>
              </w:rPr>
            </w:pPr>
          </w:p>
        </w:tc>
      </w:tr>
    </w:tbl>
    <w:p w14:paraId="6ABB3B2A" w14:textId="77777777" w:rsidR="000729CF" w:rsidRPr="000729CF" w:rsidRDefault="000729CF" w:rsidP="000729CF">
      <w:pPr>
        <w:spacing w:after="160" w:line="259" w:lineRule="auto"/>
        <w:rPr>
          <w:rFonts w:ascii="Arial" w:eastAsia="Calibri" w:hAnsi="Arial" w:cs="Arial"/>
          <w:b/>
          <w:bCs/>
          <w:sz w:val="24"/>
          <w:szCs w:val="24"/>
          <w:lang w:val="en-GB"/>
        </w:rPr>
      </w:pPr>
    </w:p>
    <w:p w14:paraId="2BD997EB"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55A5EE28"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59AE61ED"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11EFA26F"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31372DEE"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2CE9C061"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1E861691"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191C7D8A"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7508C7D5"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6CE73920"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7D877F7A" w14:textId="77777777" w:rsidR="000729CF" w:rsidRPr="000729CF" w:rsidRDefault="000729CF" w:rsidP="000729CF">
      <w:pPr>
        <w:rPr>
          <w:rFonts w:ascii="Arial" w:eastAsia="Calibri" w:hAnsi="Arial" w:cs="Arial"/>
          <w:sz w:val="24"/>
          <w:szCs w:val="24"/>
          <w:lang w:val="en-GB"/>
        </w:rPr>
      </w:pPr>
    </w:p>
    <w:p w14:paraId="52325917"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Cumulative impacts</w:t>
      </w:r>
    </w:p>
    <w:p w14:paraId="7090A53D"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Are there other budget proposals from other service areas that might worsen or mitigate the impacts from your proposal? Please give a brief description including name of other service(s).</w:t>
      </w:r>
    </w:p>
    <w:tbl>
      <w:tblPr>
        <w:tblStyle w:val="TableGrid"/>
        <w:tblW w:w="0" w:type="auto"/>
        <w:tblLook w:val="04A0" w:firstRow="1" w:lastRow="0" w:firstColumn="1" w:lastColumn="0" w:noHBand="0" w:noVBand="1"/>
      </w:tblPr>
      <w:tblGrid>
        <w:gridCol w:w="10456"/>
      </w:tblGrid>
      <w:tr w:rsidR="000729CF" w:rsidRPr="000729CF" w14:paraId="0C735465" w14:textId="77777777" w:rsidTr="00BC26AB">
        <w:tc>
          <w:tcPr>
            <w:tcW w:w="10456" w:type="dxa"/>
          </w:tcPr>
          <w:p w14:paraId="782005D9"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 xml:space="preserve">Increasing the access to respite provision through the re-design of Drove Road and Tudor House will mean there may be more opportunities for families to have a short break that may help to mitigate against loss of the outreach service. </w:t>
            </w:r>
          </w:p>
          <w:p w14:paraId="7F8D5D39" w14:textId="77777777" w:rsidR="000729CF" w:rsidRPr="000729CF" w:rsidRDefault="000729CF" w:rsidP="000729CF">
            <w:pPr>
              <w:rPr>
                <w:rFonts w:ascii="Arial" w:eastAsia="Calibri" w:hAnsi="Arial" w:cs="Arial"/>
                <w:sz w:val="24"/>
                <w:szCs w:val="24"/>
              </w:rPr>
            </w:pPr>
          </w:p>
          <w:p w14:paraId="6D3E5C99"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We are looking to redesign our in-house respite services and we are anticipating there may be an increased number of overnight respite sessions available to support these families (see in house respite re-design budget EIA). In addition, we are seeking to have a more robust and varied holiday offer. Further work is also planned regarding PA support which should also help to mitigate the service ceasing.</w:t>
            </w:r>
          </w:p>
        </w:tc>
      </w:tr>
    </w:tbl>
    <w:p w14:paraId="3F794F14" w14:textId="77777777" w:rsidR="000729CF" w:rsidRPr="000729CF" w:rsidRDefault="000729CF" w:rsidP="000729CF">
      <w:pPr>
        <w:spacing w:after="160" w:line="259" w:lineRule="auto"/>
        <w:rPr>
          <w:rFonts w:ascii="Arial" w:eastAsia="Calibri" w:hAnsi="Arial" w:cs="Arial"/>
          <w:sz w:val="24"/>
          <w:szCs w:val="24"/>
          <w:lang w:val="en-GB"/>
        </w:rPr>
      </w:pPr>
    </w:p>
    <w:p w14:paraId="2BDB886F"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Action planning</w:t>
      </w:r>
    </w:p>
    <w:p w14:paraId="200DDFD2"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SMART actions will be taken to mitigate the disproportionate impacts identified in section 3? If no mitigating action is possible, please state and explain why. Add additional rows as required. </w:t>
      </w:r>
    </w:p>
    <w:tbl>
      <w:tblPr>
        <w:tblStyle w:val="TableGrid"/>
        <w:tblW w:w="0" w:type="auto"/>
        <w:tblLook w:val="04A0" w:firstRow="1" w:lastRow="0" w:firstColumn="1" w:lastColumn="0" w:noHBand="0" w:noVBand="1"/>
      </w:tblPr>
      <w:tblGrid>
        <w:gridCol w:w="10456"/>
      </w:tblGrid>
      <w:tr w:rsidR="000729CF" w:rsidRPr="000729CF" w14:paraId="180754AA" w14:textId="77777777" w:rsidTr="00BC26AB">
        <w:trPr>
          <w:trHeight w:val="847"/>
        </w:trPr>
        <w:tc>
          <w:tcPr>
            <w:tcW w:w="10456" w:type="dxa"/>
          </w:tcPr>
          <w:p w14:paraId="4F50386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SMART action 1:</w:t>
            </w:r>
          </w:p>
          <w:p w14:paraId="5391B631" w14:textId="77777777" w:rsidR="000729CF" w:rsidRPr="000729CF" w:rsidRDefault="000729CF" w:rsidP="000729CF">
            <w:pPr>
              <w:spacing w:after="120"/>
              <w:ind w:left="360"/>
              <w:rPr>
                <w:rFonts w:ascii="Arial" w:eastAsia="Calibri" w:hAnsi="Arial" w:cs="Arial"/>
                <w:sz w:val="24"/>
                <w:szCs w:val="24"/>
              </w:rPr>
            </w:pPr>
            <w:r w:rsidRPr="000729CF">
              <w:rPr>
                <w:rFonts w:ascii="Arial" w:eastAsia="Calibri" w:hAnsi="Arial" w:cs="Arial"/>
                <w:sz w:val="24"/>
                <w:szCs w:val="24"/>
              </w:rPr>
              <w:t>The council will work with providers to look at how we will address the gaps in provision left by the ceasing of the Outreach Service from March 2024.</w:t>
            </w:r>
          </w:p>
        </w:tc>
      </w:tr>
      <w:tr w:rsidR="000729CF" w:rsidRPr="000729CF" w14:paraId="35AEE764" w14:textId="77777777" w:rsidTr="00BC26AB">
        <w:trPr>
          <w:trHeight w:val="847"/>
        </w:trPr>
        <w:tc>
          <w:tcPr>
            <w:tcW w:w="10456" w:type="dxa"/>
          </w:tcPr>
          <w:p w14:paraId="6C47AF9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SMART action 2:</w:t>
            </w:r>
          </w:p>
          <w:p w14:paraId="1527DF51" w14:textId="77777777" w:rsidR="000729CF" w:rsidRPr="000729CF" w:rsidRDefault="000729CF" w:rsidP="000729CF">
            <w:pPr>
              <w:spacing w:after="120"/>
              <w:ind w:left="360"/>
              <w:rPr>
                <w:rFonts w:ascii="Arial" w:eastAsia="Calibri" w:hAnsi="Arial" w:cs="Arial"/>
                <w:sz w:val="24"/>
                <w:szCs w:val="24"/>
              </w:rPr>
            </w:pPr>
            <w:r w:rsidRPr="000729CF">
              <w:rPr>
                <w:rFonts w:ascii="Arial" w:eastAsia="Calibri" w:hAnsi="Arial" w:cs="Arial"/>
                <w:sz w:val="24"/>
                <w:szCs w:val="24"/>
              </w:rPr>
              <w:t xml:space="preserve">Over the next 6 months the council will continue its work with Family Hubs and in house short breaks providers to develop an improved Early Help offer to prevent family breakdown. </w:t>
            </w:r>
          </w:p>
        </w:tc>
      </w:tr>
    </w:tbl>
    <w:p w14:paraId="11EFAD50" w14:textId="77777777" w:rsidR="000729CF" w:rsidRPr="000729CF" w:rsidRDefault="000729CF" w:rsidP="000729CF">
      <w:pPr>
        <w:spacing w:after="160" w:line="259" w:lineRule="auto"/>
        <w:rPr>
          <w:rFonts w:ascii="Arial" w:eastAsia="Calibri" w:hAnsi="Arial" w:cs="Arial"/>
          <w:sz w:val="24"/>
          <w:szCs w:val="24"/>
          <w:lang w:val="en-GB"/>
        </w:rPr>
      </w:pPr>
    </w:p>
    <w:p w14:paraId="32D8A291"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Outcome of your assessment</w:t>
      </w:r>
    </w:p>
    <w:p w14:paraId="3BE1599C"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Based on the information above give the proposal an impact score between 1 – 5. </w:t>
      </w:r>
    </w:p>
    <w:p w14:paraId="4F3793B5"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1= proposal has minimal impact and/or mitigating actions will significantly minimise the impact</w:t>
      </w:r>
    </w:p>
    <w:p w14:paraId="222A5F06"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3= proposal will have a significant negative impact; however, mitigation actions will reduce the impact considerably.</w:t>
      </w:r>
    </w:p>
    <w:p w14:paraId="4E8C1B9B"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5= proposal has significant impact and mitigating actions will have limited effect on reducing impact.</w:t>
      </w:r>
    </w:p>
    <w:p w14:paraId="700BEC83" w14:textId="77777777" w:rsidR="000729CF" w:rsidRPr="000729CF" w:rsidRDefault="000729CF" w:rsidP="000729CF">
      <w:pPr>
        <w:rPr>
          <w:rFonts w:ascii="Arial" w:eastAsia="Calibri" w:hAnsi="Arial" w:cs="Arial"/>
          <w:sz w:val="24"/>
          <w:szCs w:val="24"/>
          <w:highlight w:val="yellow"/>
          <w:lang w:val="en-GB"/>
        </w:rPr>
      </w:pPr>
    </w:p>
    <w:tbl>
      <w:tblPr>
        <w:tblStyle w:val="TableGrid"/>
        <w:tblW w:w="0" w:type="auto"/>
        <w:tblLook w:val="04A0" w:firstRow="1" w:lastRow="0" w:firstColumn="1" w:lastColumn="0" w:noHBand="0" w:noVBand="1"/>
      </w:tblPr>
      <w:tblGrid>
        <w:gridCol w:w="3114"/>
        <w:gridCol w:w="7342"/>
      </w:tblGrid>
      <w:tr w:rsidR="000729CF" w:rsidRPr="000729CF" w14:paraId="6C76648E" w14:textId="77777777" w:rsidTr="00BC26AB">
        <w:trPr>
          <w:trHeight w:val="152"/>
        </w:trPr>
        <w:tc>
          <w:tcPr>
            <w:tcW w:w="3114" w:type="dxa"/>
          </w:tcPr>
          <w:p w14:paraId="147D4A5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Proposal’s impact score:</w:t>
            </w:r>
          </w:p>
        </w:tc>
        <w:tc>
          <w:tcPr>
            <w:tcW w:w="7342" w:type="dxa"/>
          </w:tcPr>
          <w:p w14:paraId="2598A81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3</w:t>
            </w:r>
          </w:p>
        </w:tc>
      </w:tr>
    </w:tbl>
    <w:p w14:paraId="14FC9DBD" w14:textId="77777777" w:rsidR="000729CF" w:rsidRPr="000729CF" w:rsidRDefault="000729CF" w:rsidP="000729CF">
      <w:pPr>
        <w:spacing w:after="160" w:line="259" w:lineRule="auto"/>
        <w:rPr>
          <w:rFonts w:ascii="Arial" w:eastAsia="Calibri" w:hAnsi="Arial" w:cs="Arial"/>
          <w:sz w:val="24"/>
          <w:szCs w:val="24"/>
          <w:lang w:val="en-GB"/>
        </w:rPr>
      </w:pPr>
    </w:p>
    <w:p w14:paraId="3A3C22C5"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Publication</w:t>
      </w:r>
    </w:p>
    <w:p w14:paraId="300EA181"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All Equality Impact Assessments will be published. If you are recommending, and choosing not to publish your EIA, please provide a reason:</w:t>
      </w:r>
    </w:p>
    <w:tbl>
      <w:tblPr>
        <w:tblStyle w:val="TableGrid"/>
        <w:tblW w:w="0" w:type="auto"/>
        <w:tblLook w:val="04A0" w:firstRow="1" w:lastRow="0" w:firstColumn="1" w:lastColumn="0" w:noHBand="0" w:noVBand="1"/>
      </w:tblPr>
      <w:tblGrid>
        <w:gridCol w:w="10456"/>
      </w:tblGrid>
      <w:tr w:rsidR="000729CF" w:rsidRPr="000729CF" w14:paraId="631FF468" w14:textId="77777777" w:rsidTr="00BC26AB">
        <w:trPr>
          <w:trHeight w:val="803"/>
        </w:trPr>
        <w:tc>
          <w:tcPr>
            <w:tcW w:w="10456" w:type="dxa"/>
          </w:tcPr>
          <w:p w14:paraId="3C56A5B5" w14:textId="77777777" w:rsidR="000729CF" w:rsidRPr="000729CF" w:rsidRDefault="000729CF" w:rsidP="000729CF">
            <w:pPr>
              <w:spacing w:after="120"/>
              <w:rPr>
                <w:rFonts w:ascii="Arial" w:eastAsia="Calibri" w:hAnsi="Arial" w:cs="Arial"/>
                <w:sz w:val="24"/>
                <w:szCs w:val="24"/>
              </w:rPr>
            </w:pPr>
          </w:p>
        </w:tc>
      </w:tr>
    </w:tbl>
    <w:p w14:paraId="5BF029F3" w14:textId="77777777" w:rsidR="000729CF" w:rsidRPr="000729CF" w:rsidRDefault="000729CF" w:rsidP="000729CF">
      <w:pPr>
        <w:spacing w:after="160" w:line="259" w:lineRule="auto"/>
        <w:rPr>
          <w:rFonts w:ascii="Arial" w:eastAsia="Calibri" w:hAnsi="Arial" w:cs="Arial"/>
          <w:sz w:val="24"/>
          <w:szCs w:val="24"/>
          <w:lang w:val="en-GB"/>
        </w:rPr>
      </w:pPr>
    </w:p>
    <w:p w14:paraId="278625E5"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Directorate and Service Approval</w:t>
      </w:r>
    </w:p>
    <w:tbl>
      <w:tblPr>
        <w:tblStyle w:val="TableGrid"/>
        <w:tblW w:w="0" w:type="auto"/>
        <w:tblLook w:val="04A0" w:firstRow="1" w:lastRow="0" w:firstColumn="1" w:lastColumn="0" w:noHBand="0" w:noVBand="1"/>
      </w:tblPr>
      <w:tblGrid>
        <w:gridCol w:w="3681"/>
        <w:gridCol w:w="4394"/>
        <w:gridCol w:w="2381"/>
      </w:tblGrid>
      <w:tr w:rsidR="000729CF" w:rsidRPr="000729CF" w14:paraId="4522C553" w14:textId="77777777" w:rsidTr="000729CF">
        <w:trPr>
          <w:trHeight w:val="20"/>
        </w:trPr>
        <w:tc>
          <w:tcPr>
            <w:tcW w:w="3681" w:type="dxa"/>
            <w:tcBorders>
              <w:bottom w:val="single" w:sz="4" w:space="0" w:color="auto"/>
            </w:tcBorders>
            <w:shd w:val="clear" w:color="auto" w:fill="D9D9D9"/>
          </w:tcPr>
          <w:p w14:paraId="60689B2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2814322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 and Job Title:</w:t>
            </w:r>
          </w:p>
        </w:tc>
        <w:tc>
          <w:tcPr>
            <w:tcW w:w="2381" w:type="dxa"/>
            <w:shd w:val="clear" w:color="auto" w:fill="D9D9D9"/>
          </w:tcPr>
          <w:p w14:paraId="29D4007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51EF56FC" w14:textId="77777777" w:rsidTr="000729CF">
        <w:trPr>
          <w:trHeight w:val="20"/>
        </w:trPr>
        <w:tc>
          <w:tcPr>
            <w:tcW w:w="3681" w:type="dxa"/>
            <w:shd w:val="clear" w:color="auto" w:fill="E7E6E6"/>
          </w:tcPr>
          <w:p w14:paraId="61F8D0C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Responsible Lead Officer:</w:t>
            </w:r>
          </w:p>
        </w:tc>
        <w:tc>
          <w:tcPr>
            <w:tcW w:w="4394" w:type="dxa"/>
          </w:tcPr>
          <w:p w14:paraId="216F258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Georgina Clarke-Green</w:t>
            </w:r>
          </w:p>
        </w:tc>
        <w:tc>
          <w:tcPr>
            <w:tcW w:w="2381" w:type="dxa"/>
          </w:tcPr>
          <w:p w14:paraId="3FFFC32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19-01-24</w:t>
            </w:r>
          </w:p>
        </w:tc>
      </w:tr>
      <w:tr w:rsidR="000729CF" w:rsidRPr="000729CF" w14:paraId="7B9AA8B2" w14:textId="77777777" w:rsidTr="000729CF">
        <w:trPr>
          <w:trHeight w:val="20"/>
        </w:trPr>
        <w:tc>
          <w:tcPr>
            <w:tcW w:w="3681" w:type="dxa"/>
            <w:shd w:val="clear" w:color="auto" w:fill="E7E6E6"/>
          </w:tcPr>
          <w:p w14:paraId="65E8DFE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Accountable Manager:</w:t>
            </w:r>
          </w:p>
        </w:tc>
        <w:tc>
          <w:tcPr>
            <w:tcW w:w="4394" w:type="dxa"/>
          </w:tcPr>
          <w:p w14:paraId="31E1AEE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Lorraine Hughes</w:t>
            </w:r>
          </w:p>
        </w:tc>
        <w:tc>
          <w:tcPr>
            <w:tcW w:w="2381" w:type="dxa"/>
          </w:tcPr>
          <w:p w14:paraId="39FEB60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19-01-24</w:t>
            </w:r>
          </w:p>
        </w:tc>
      </w:tr>
    </w:tbl>
    <w:p w14:paraId="7746B9A9" w14:textId="77777777" w:rsidR="000729CF" w:rsidRPr="000729CF" w:rsidRDefault="000729CF" w:rsidP="000729CF">
      <w:pPr>
        <w:spacing w:after="160" w:line="259" w:lineRule="auto"/>
        <w:rPr>
          <w:rFonts w:ascii="Arial" w:eastAsia="Calibri" w:hAnsi="Arial" w:cs="Arial"/>
          <w:b/>
          <w:bCs/>
          <w:sz w:val="24"/>
          <w:szCs w:val="24"/>
          <w:lang w:val="en-GB"/>
        </w:rPr>
      </w:pPr>
    </w:p>
    <w:p w14:paraId="6F4D721E" w14:textId="77777777" w:rsidR="000729CF" w:rsidRPr="000729CF" w:rsidRDefault="000729CF" w:rsidP="000729CF">
      <w:pPr>
        <w:spacing w:after="160" w:line="259" w:lineRule="auto"/>
        <w:rPr>
          <w:rFonts w:ascii="Arial" w:eastAsia="Calibri" w:hAnsi="Arial" w:cs="Arial"/>
          <w:sz w:val="18"/>
          <w:szCs w:val="18"/>
          <w:lang w:val="en-GB"/>
        </w:rPr>
      </w:pPr>
    </w:p>
    <w:p w14:paraId="091FCE21" w14:textId="77777777" w:rsidR="000729CF" w:rsidRPr="000729CF" w:rsidRDefault="000729CF" w:rsidP="000729CF">
      <w:pPr>
        <w:keepNext/>
        <w:keepLines/>
        <w:spacing w:before="40" w:after="160" w:line="259" w:lineRule="auto"/>
        <w:outlineLvl w:val="2"/>
        <w:rPr>
          <w:rFonts w:ascii="Arial" w:hAnsi="Arial" w:cs="Arial"/>
          <w:b/>
          <w:bCs/>
          <w:color w:val="000000"/>
          <w:sz w:val="28"/>
          <w:szCs w:val="28"/>
          <w:lang w:val="en-GB"/>
        </w:rPr>
      </w:pPr>
      <w:r w:rsidRPr="000729CF">
        <w:rPr>
          <w:rFonts w:ascii="Arial" w:hAnsi="Arial" w:cs="Arial"/>
          <w:b/>
          <w:bCs/>
          <w:color w:val="000000"/>
          <w:sz w:val="28"/>
          <w:szCs w:val="28"/>
          <w:lang w:val="en-GB"/>
        </w:rPr>
        <w:t>EDI Review and Approval:</w:t>
      </w:r>
    </w:p>
    <w:p w14:paraId="24338AC0" w14:textId="77777777" w:rsidR="000729CF" w:rsidRPr="000729CF" w:rsidRDefault="000729CF" w:rsidP="000729CF">
      <w:pPr>
        <w:spacing w:after="160" w:line="259" w:lineRule="auto"/>
        <w:rPr>
          <w:rFonts w:ascii="Arial" w:eastAsia="Calibri" w:hAnsi="Arial" w:cs="Arial"/>
          <w:sz w:val="24"/>
          <w:szCs w:val="24"/>
          <w:lang w:val="en-GB"/>
        </w:rPr>
      </w:pPr>
    </w:p>
    <w:p w14:paraId="685EBB85" w14:textId="77777777" w:rsidR="000729CF" w:rsidRPr="000729CF" w:rsidRDefault="000729CF" w:rsidP="000729CF">
      <w:pPr>
        <w:keepNext/>
        <w:keepLines/>
        <w:spacing w:after="160" w:line="259" w:lineRule="auto"/>
        <w:ind w:left="283" w:hanging="283"/>
        <w:outlineLvl w:val="1"/>
        <w:rPr>
          <w:rFonts w:ascii="Arial" w:hAnsi="Arial" w:cs="Arial"/>
          <w:color w:val="2F5496"/>
          <w:sz w:val="24"/>
          <w:szCs w:val="24"/>
          <w:lang w:val="en-GB"/>
        </w:rPr>
      </w:pPr>
      <w:r w:rsidRPr="000729CF">
        <w:rPr>
          <w:rFonts w:ascii="Arial" w:hAnsi="Arial" w:cs="Arial"/>
          <w:color w:val="2F5496"/>
          <w:sz w:val="24"/>
          <w:szCs w:val="24"/>
          <w:lang w:val="en-GB"/>
        </w:rPr>
        <w:t>Equality Impact Assessment sign-off</w:t>
      </w:r>
    </w:p>
    <w:tbl>
      <w:tblPr>
        <w:tblStyle w:val="TableGrid"/>
        <w:tblW w:w="0" w:type="auto"/>
        <w:tblLook w:val="04A0" w:firstRow="1" w:lastRow="0" w:firstColumn="1" w:lastColumn="0" w:noHBand="0" w:noVBand="1"/>
      </w:tblPr>
      <w:tblGrid>
        <w:gridCol w:w="3681"/>
        <w:gridCol w:w="4394"/>
        <w:gridCol w:w="2381"/>
      </w:tblGrid>
      <w:tr w:rsidR="000729CF" w:rsidRPr="000729CF" w14:paraId="030FF717" w14:textId="77777777" w:rsidTr="000729CF">
        <w:trPr>
          <w:trHeight w:val="20"/>
        </w:trPr>
        <w:tc>
          <w:tcPr>
            <w:tcW w:w="3681" w:type="dxa"/>
            <w:tcBorders>
              <w:bottom w:val="single" w:sz="4" w:space="0" w:color="auto"/>
            </w:tcBorders>
            <w:shd w:val="clear" w:color="auto" w:fill="D9D9D9"/>
          </w:tcPr>
          <w:p w14:paraId="154CBA0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3B88864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w:t>
            </w:r>
          </w:p>
        </w:tc>
        <w:tc>
          <w:tcPr>
            <w:tcW w:w="2381" w:type="dxa"/>
            <w:shd w:val="clear" w:color="auto" w:fill="D9D9D9"/>
          </w:tcPr>
          <w:p w14:paraId="7F949B1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701F4F77" w14:textId="77777777" w:rsidTr="000729CF">
        <w:trPr>
          <w:trHeight w:val="20"/>
        </w:trPr>
        <w:tc>
          <w:tcPr>
            <w:tcW w:w="3681" w:type="dxa"/>
            <w:shd w:val="clear" w:color="auto" w:fill="E7E6E6"/>
          </w:tcPr>
          <w:p w14:paraId="1686E68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Head of Communities, Equality, and Third Sector (CETS) Service:</w:t>
            </w:r>
          </w:p>
        </w:tc>
        <w:tc>
          <w:tcPr>
            <w:tcW w:w="4394" w:type="dxa"/>
          </w:tcPr>
          <w:p w14:paraId="5046933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Emma McDermott</w:t>
            </w:r>
          </w:p>
        </w:tc>
        <w:tc>
          <w:tcPr>
            <w:tcW w:w="2381" w:type="dxa"/>
          </w:tcPr>
          <w:p w14:paraId="3E8ADBC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23-01-24</w:t>
            </w:r>
          </w:p>
        </w:tc>
      </w:tr>
    </w:tbl>
    <w:p w14:paraId="7C387C11" w14:textId="77777777" w:rsidR="000729CF" w:rsidRPr="000729CF" w:rsidRDefault="000729CF" w:rsidP="000729CF">
      <w:pPr>
        <w:rPr>
          <w:rFonts w:ascii="Arial" w:eastAsia="Calibri" w:hAnsi="Arial" w:cs="Arial"/>
          <w:sz w:val="22"/>
          <w:szCs w:val="22"/>
          <w:lang w:val="en-GB"/>
        </w:rPr>
      </w:pPr>
    </w:p>
    <w:p w14:paraId="1DFC917D" w14:textId="77777777" w:rsidR="000729CF" w:rsidRPr="000729CF" w:rsidRDefault="000729CF" w:rsidP="000729CF">
      <w:pPr>
        <w:spacing w:after="160" w:line="259" w:lineRule="auto"/>
        <w:rPr>
          <w:rFonts w:ascii="Arial" w:eastAsia="Calibri" w:hAnsi="Arial" w:cs="Arial"/>
          <w:b/>
          <w:bCs/>
          <w:sz w:val="24"/>
          <w:szCs w:val="24"/>
          <w:lang w:val="en-GB"/>
        </w:rPr>
      </w:pPr>
    </w:p>
    <w:p w14:paraId="7D661EE1" w14:textId="77777777" w:rsidR="000729CF" w:rsidRPr="000729CF" w:rsidRDefault="000729CF" w:rsidP="000729CF">
      <w:pPr>
        <w:keepNext/>
        <w:keepLines/>
        <w:spacing w:after="160" w:line="259" w:lineRule="auto"/>
        <w:outlineLvl w:val="1"/>
        <w:rPr>
          <w:rFonts w:ascii="Arial" w:eastAsia="Calibri" w:hAnsi="Arial" w:cs="Arial"/>
          <w:sz w:val="24"/>
          <w:szCs w:val="24"/>
          <w:lang w:val="en-GB"/>
        </w:rPr>
      </w:pPr>
    </w:p>
    <w:p w14:paraId="51BB9FF7" w14:textId="77777777" w:rsidR="000729CF" w:rsidRPr="000729CF" w:rsidRDefault="000729CF" w:rsidP="000729CF">
      <w:pPr>
        <w:spacing w:after="160" w:line="259" w:lineRule="auto"/>
        <w:rPr>
          <w:rFonts w:ascii="Arial" w:eastAsia="Calibri" w:hAnsi="Arial" w:cs="Arial"/>
          <w:sz w:val="24"/>
          <w:szCs w:val="24"/>
          <w:lang w:val="en-GB"/>
        </w:rPr>
      </w:pPr>
    </w:p>
    <w:p w14:paraId="25F494E2"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br w:type="page"/>
      </w:r>
    </w:p>
    <w:p w14:paraId="330066E3" w14:textId="77777777" w:rsidR="000729CF" w:rsidRPr="000729CF" w:rsidRDefault="000729CF" w:rsidP="000729CF">
      <w:pPr>
        <w:keepNext/>
        <w:keepLines/>
        <w:spacing w:after="160" w:line="259" w:lineRule="auto"/>
        <w:outlineLvl w:val="0"/>
        <w:rPr>
          <w:rFonts w:ascii="Arial" w:hAnsi="Arial" w:cs="Arial"/>
          <w:b/>
          <w:bCs/>
          <w:color w:val="2F5496"/>
          <w:sz w:val="28"/>
          <w:szCs w:val="28"/>
          <w:lang w:val="en-GB"/>
        </w:rPr>
      </w:pPr>
      <w:r w:rsidRPr="000729CF">
        <w:rPr>
          <w:rFonts w:ascii="Arial" w:hAnsi="Arial" w:cs="Arial"/>
          <w:b/>
          <w:bCs/>
          <w:color w:val="2F5496"/>
          <w:sz w:val="28"/>
          <w:szCs w:val="28"/>
          <w:lang w:val="en-GB"/>
        </w:rPr>
        <w:t>Budget Equality Impact Assessment (EIA) 2024/25 – Service Users</w:t>
      </w:r>
    </w:p>
    <w:p w14:paraId="3177E290" w14:textId="77777777" w:rsidR="000729CF" w:rsidRPr="000729CF" w:rsidRDefault="000729CF" w:rsidP="000729CF">
      <w:pPr>
        <w:spacing w:after="160" w:line="259" w:lineRule="auto"/>
        <w:rPr>
          <w:rFonts w:ascii="Arial" w:eastAsia="Calibri" w:hAnsi="Arial" w:cs="Arial"/>
          <w:sz w:val="24"/>
          <w:szCs w:val="24"/>
          <w:lang w:val="en-GB"/>
        </w:rPr>
      </w:pPr>
    </w:p>
    <w:p w14:paraId="5F3B8ED2" w14:textId="77777777" w:rsidR="000729CF" w:rsidRPr="000729CF" w:rsidRDefault="000729CF" w:rsidP="000729CF">
      <w:pPr>
        <w:keepNext/>
        <w:keepLines/>
        <w:spacing w:after="160" w:line="259" w:lineRule="auto"/>
        <w:ind w:left="720" w:hanging="360"/>
        <w:outlineLvl w:val="1"/>
        <w:rPr>
          <w:rFonts w:ascii="Arial" w:hAnsi="Arial" w:cs="Arial"/>
          <w:color w:val="2F5496"/>
          <w:sz w:val="24"/>
          <w:szCs w:val="24"/>
          <w:lang w:val="en-GB"/>
        </w:rPr>
      </w:pPr>
      <w:r w:rsidRPr="000729CF">
        <w:rPr>
          <w:rFonts w:ascii="Arial" w:hAnsi="Arial" w:cs="Arial"/>
          <w:color w:val="2F5496"/>
          <w:sz w:val="24"/>
          <w:szCs w:val="24"/>
          <w:lang w:val="en-GB"/>
        </w:rPr>
        <w:t xml:space="preserve">Budget Proposal </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6492"/>
      </w:tblGrid>
      <w:tr w:rsidR="000729CF" w:rsidRPr="000729CF" w14:paraId="66623E68"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0AE2E655"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Title of budget saving being assessed:</w:t>
            </w:r>
          </w:p>
        </w:tc>
        <w:tc>
          <w:tcPr>
            <w:tcW w:w="6492" w:type="dxa"/>
            <w:shd w:val="clear" w:color="auto" w:fill="auto"/>
          </w:tcPr>
          <w:p w14:paraId="3DAB0EC4" w14:textId="77777777" w:rsidR="000729CF" w:rsidRPr="000729CF" w:rsidRDefault="000729CF" w:rsidP="000729CF">
            <w:pPr>
              <w:spacing w:after="12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Disability Placements</w:t>
            </w:r>
          </w:p>
        </w:tc>
      </w:tr>
      <w:tr w:rsidR="000729CF" w:rsidRPr="000729CF" w14:paraId="71BCD1CC"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62010760"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Name and title of officer responsible for this EIA: </w:t>
            </w:r>
          </w:p>
        </w:tc>
        <w:tc>
          <w:tcPr>
            <w:tcW w:w="6492" w:type="dxa"/>
            <w:shd w:val="clear" w:color="auto" w:fill="auto"/>
          </w:tcPr>
          <w:p w14:paraId="5C84E7C8"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729CF">
              <w:rPr>
                <w:rFonts w:ascii="Arial" w:hAnsi="Arial" w:cs="Arial"/>
                <w:sz w:val="24"/>
                <w:szCs w:val="24"/>
              </w:rPr>
              <w:t>Georgina Clarke-Green, Assistant Director Health, Special Educational Needs and Disability</w:t>
            </w:r>
          </w:p>
        </w:tc>
      </w:tr>
      <w:tr w:rsidR="000729CF" w:rsidRPr="000729CF" w14:paraId="2460EDFA" w14:textId="77777777" w:rsidTr="000729CF">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73C97FC2"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Directorate and Service Name: </w:t>
            </w:r>
          </w:p>
        </w:tc>
        <w:tc>
          <w:tcPr>
            <w:tcW w:w="6492" w:type="dxa"/>
            <w:shd w:val="clear" w:color="auto" w:fill="auto"/>
          </w:tcPr>
          <w:p w14:paraId="14373109" w14:textId="77777777" w:rsidR="000729CF" w:rsidRPr="000729CF" w:rsidRDefault="000729CF" w:rsidP="000729CF">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Families, Children and Learning, Disability Placements</w:t>
            </w:r>
          </w:p>
        </w:tc>
      </w:tr>
      <w:tr w:rsidR="000729CF" w:rsidRPr="000729CF" w14:paraId="1D184B14"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35966324"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Budget proposal no.</w:t>
            </w:r>
          </w:p>
        </w:tc>
        <w:tc>
          <w:tcPr>
            <w:tcW w:w="6492" w:type="dxa"/>
            <w:shd w:val="clear" w:color="auto" w:fill="auto"/>
          </w:tcPr>
          <w:p w14:paraId="65663551"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729CF">
              <w:rPr>
                <w:rFonts w:ascii="Arial" w:hAnsi="Arial" w:cs="Arial"/>
                <w:sz w:val="24"/>
                <w:szCs w:val="24"/>
              </w:rPr>
              <w:t>3</w:t>
            </w:r>
          </w:p>
        </w:tc>
      </w:tr>
    </w:tbl>
    <w:p w14:paraId="48051243" w14:textId="77777777" w:rsidR="000729CF" w:rsidRPr="000729CF" w:rsidRDefault="000729CF" w:rsidP="000729CF">
      <w:pPr>
        <w:spacing w:after="160" w:line="259" w:lineRule="auto"/>
        <w:rPr>
          <w:rFonts w:ascii="Arial" w:eastAsia="Calibri" w:hAnsi="Arial" w:cs="Arial"/>
          <w:sz w:val="24"/>
          <w:szCs w:val="24"/>
          <w:lang w:val="en-GB"/>
        </w:rPr>
      </w:pPr>
    </w:p>
    <w:p w14:paraId="059A5F92"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Briefly describe the budget saving proposal: (use the wording in the budget spreadsheet and more detail if needed)</w:t>
      </w:r>
    </w:p>
    <w:tbl>
      <w:tblPr>
        <w:tblStyle w:val="TableGrid"/>
        <w:tblW w:w="0" w:type="auto"/>
        <w:tblLook w:val="04A0" w:firstRow="1" w:lastRow="0" w:firstColumn="1" w:lastColumn="0" w:noHBand="0" w:noVBand="1"/>
      </w:tblPr>
      <w:tblGrid>
        <w:gridCol w:w="10456"/>
      </w:tblGrid>
      <w:tr w:rsidR="000729CF" w:rsidRPr="000729CF" w14:paraId="5A1C5C4F" w14:textId="77777777" w:rsidTr="00BC26AB">
        <w:trPr>
          <w:trHeight w:val="851"/>
        </w:trPr>
        <w:tc>
          <w:tcPr>
            <w:tcW w:w="10456" w:type="dxa"/>
            <w:tcBorders>
              <w:bottom w:val="single" w:sz="4" w:space="0" w:color="auto"/>
            </w:tcBorders>
          </w:tcPr>
          <w:p w14:paraId="0E51259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Achieve £250k of savings through limiting the number of expensive external residential placements through commissioning and brokerage work. This is a demand led budget that must respond to presenting needs, including high-cost placements. This reduction in budget will impact only on children with a learning disability in the care of the local authority. </w:t>
            </w:r>
          </w:p>
        </w:tc>
      </w:tr>
      <w:tr w:rsidR="000729CF" w:rsidRPr="000729CF" w14:paraId="619CC6D5" w14:textId="77777777" w:rsidTr="00BC26AB">
        <w:trPr>
          <w:trHeight w:val="851"/>
        </w:trPr>
        <w:tc>
          <w:tcPr>
            <w:tcW w:w="10456" w:type="dxa"/>
            <w:tcBorders>
              <w:left w:val="nil"/>
              <w:right w:val="nil"/>
            </w:tcBorders>
          </w:tcPr>
          <w:p w14:paraId="0D0E3AF6" w14:textId="77777777" w:rsidR="000729CF" w:rsidRPr="000729CF" w:rsidRDefault="000729CF" w:rsidP="000729CF">
            <w:pPr>
              <w:spacing w:after="120"/>
              <w:rPr>
                <w:rFonts w:ascii="Arial" w:eastAsia="Calibri" w:hAnsi="Arial" w:cs="Arial"/>
                <w:sz w:val="24"/>
                <w:szCs w:val="24"/>
              </w:rPr>
            </w:pPr>
          </w:p>
          <w:p w14:paraId="75F8B74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Summarise the most significant impacts identified by this assessment including which groups will be disproportionally negatively affected drawing out intersectional impacts as applicable:</w:t>
            </w:r>
          </w:p>
        </w:tc>
      </w:tr>
      <w:tr w:rsidR="000729CF" w:rsidRPr="000729CF" w14:paraId="376430E1" w14:textId="77777777" w:rsidTr="00BC26AB">
        <w:trPr>
          <w:trHeight w:val="851"/>
        </w:trPr>
        <w:tc>
          <w:tcPr>
            <w:tcW w:w="10456" w:type="dxa"/>
          </w:tcPr>
          <w:p w14:paraId="5684CCB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£795k pressure funding will offset the £250k saving and this will essentially mean the overall budget will increase by £545K. </w:t>
            </w:r>
          </w:p>
          <w:p w14:paraId="3FAD910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Over the last three years we have seen national sufficiency issues regarding placements and a significant increase in the unit cost for a placement with new placements averaging between £7,000 and £10,000 per week for children and young people with complex needs. This is placing great pressure on the system. To assist in bringing down these costs we have a new Head of Commissioning for the Families, Children and Learning Directorate. This post will take a strategic approach that maximises the commissioning opportunities and capitalises on the overlaps in delivery within lower cost early intervention provision and services such as alternative provision, short breaks, and family hubs, with aim of reducing the need of out of city care placements. A focus on cross boundary commissioning of services/provision will also further support efficiency savings through providing a wider base from which to support and challenge private providers.</w:t>
            </w:r>
          </w:p>
          <w:p w14:paraId="00A23EA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The re-design of our in-house respite provision is intended to provide more opportunities for respite for families to provide them with a short break and help prevent children coming into care, with the proposal to make Tudor House a full-time residential provision we would be increasing the provision for full time care placement. In addition, we are developing </w:t>
            </w:r>
            <w:proofErr w:type="gramStart"/>
            <w:r w:rsidRPr="000729CF">
              <w:rPr>
                <w:rFonts w:ascii="Arial" w:eastAsia="Calibri" w:hAnsi="Arial" w:cs="Arial"/>
                <w:sz w:val="24"/>
                <w:szCs w:val="24"/>
              </w:rPr>
              <w:t>a new short</w:t>
            </w:r>
            <w:proofErr w:type="gramEnd"/>
            <w:r w:rsidRPr="000729CF">
              <w:rPr>
                <w:rFonts w:ascii="Arial" w:eastAsia="Calibri" w:hAnsi="Arial" w:cs="Arial"/>
                <w:sz w:val="24"/>
                <w:szCs w:val="24"/>
              </w:rPr>
              <w:t xml:space="preserve"> break offer which should provide a wider range of providers that parents/carers will be able to access through their direct payments. Further work is also being undertaken to develop the role of Personal Assistant Co-ordinator to help support families recruit and retain Personal Assistants.</w:t>
            </w:r>
          </w:p>
          <w:p w14:paraId="6B4B00A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These early intervention measures will help to achieve the savings as fewer children and young people with complex needs should need to come into care.  </w:t>
            </w:r>
          </w:p>
        </w:tc>
      </w:tr>
    </w:tbl>
    <w:p w14:paraId="19B3E7A8" w14:textId="77777777" w:rsidR="000729CF" w:rsidRPr="000729CF" w:rsidRDefault="000729CF" w:rsidP="000729CF">
      <w:pPr>
        <w:spacing w:after="160" w:line="259" w:lineRule="auto"/>
        <w:rPr>
          <w:rFonts w:ascii="Arial" w:eastAsia="Calibri" w:hAnsi="Arial" w:cs="Arial"/>
          <w:sz w:val="24"/>
          <w:szCs w:val="24"/>
          <w:lang w:val="en-GB"/>
        </w:rPr>
      </w:pPr>
    </w:p>
    <w:p w14:paraId="25CAC930"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Consultation, engagement and supporting EIAs</w:t>
      </w:r>
    </w:p>
    <w:p w14:paraId="6F94EFE8"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consultations or engagement activities are being used to inform this assessment? </w:t>
      </w:r>
    </w:p>
    <w:p w14:paraId="3FC47D55"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If consultation is planned or in process – state this and state when it will done/completed even if indicative. If no consultation completed or planned, state this, giving an explanation. </w:t>
      </w:r>
    </w:p>
    <w:tbl>
      <w:tblPr>
        <w:tblStyle w:val="TableGrid"/>
        <w:tblW w:w="0" w:type="auto"/>
        <w:tblLook w:val="04A0" w:firstRow="1" w:lastRow="0" w:firstColumn="1" w:lastColumn="0" w:noHBand="0" w:noVBand="1"/>
      </w:tblPr>
      <w:tblGrid>
        <w:gridCol w:w="10456"/>
      </w:tblGrid>
      <w:tr w:rsidR="000729CF" w:rsidRPr="000729CF" w14:paraId="26916D23" w14:textId="77777777" w:rsidTr="00BC26AB">
        <w:trPr>
          <w:trHeight w:val="871"/>
        </w:trPr>
        <w:tc>
          <w:tcPr>
            <w:tcW w:w="10456" w:type="dxa"/>
          </w:tcPr>
          <w:p w14:paraId="70090F0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consultation is planned as savings will need to be achieved through negotiating lower costs with providers and using our own in-house provision more efficiently. </w:t>
            </w:r>
          </w:p>
        </w:tc>
      </w:tr>
    </w:tbl>
    <w:p w14:paraId="34148E30" w14:textId="77777777" w:rsidR="000729CF" w:rsidRPr="000729CF" w:rsidRDefault="000729CF" w:rsidP="000729CF">
      <w:pPr>
        <w:spacing w:after="160" w:line="259" w:lineRule="auto"/>
        <w:rPr>
          <w:rFonts w:ascii="Arial" w:eastAsia="Calibri" w:hAnsi="Arial" w:cs="Arial"/>
          <w:sz w:val="24"/>
          <w:szCs w:val="24"/>
          <w:lang w:val="en-GB"/>
        </w:rPr>
      </w:pPr>
    </w:p>
    <w:p w14:paraId="139FA34D"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other budget or service EIAs can assist/have been used to inform this assessment?</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0729CF" w:rsidRPr="000729CF" w14:paraId="70A1C3AA"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shd w:val="clear" w:color="auto" w:fill="FFFFFF"/>
          </w:tcPr>
          <w:p w14:paraId="6E488EF8"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In house residential provision budget EIA. </w:t>
            </w:r>
          </w:p>
        </w:tc>
      </w:tr>
    </w:tbl>
    <w:p w14:paraId="08DC4F77" w14:textId="77777777" w:rsidR="000729CF" w:rsidRPr="000729CF" w:rsidRDefault="000729CF" w:rsidP="000729CF">
      <w:pPr>
        <w:spacing w:after="160" w:line="259" w:lineRule="auto"/>
        <w:rPr>
          <w:rFonts w:ascii="Arial" w:eastAsia="Calibri" w:hAnsi="Arial" w:cs="Arial"/>
          <w:sz w:val="24"/>
          <w:szCs w:val="24"/>
          <w:lang w:val="en-GB"/>
        </w:rPr>
      </w:pPr>
    </w:p>
    <w:p w14:paraId="06E141B4"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Current data and impact monitoring</w:t>
      </w:r>
    </w:p>
    <w:p w14:paraId="0AA25615"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Do you currently collect and analyse the following data to enable monitoring of the impact of this proposal? </w:t>
      </w:r>
    </w:p>
    <w:p w14:paraId="10CD263E"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Consider all possible intersections (Delete and State Yes, No, Not Applicable)</w:t>
      </w:r>
    </w:p>
    <w:tbl>
      <w:tblPr>
        <w:tblStyle w:val="TableGrid"/>
        <w:tblW w:w="10485" w:type="dxa"/>
        <w:tblLook w:val="04A0" w:firstRow="1" w:lastRow="0" w:firstColumn="1" w:lastColumn="0" w:noHBand="0" w:noVBand="1"/>
      </w:tblPr>
      <w:tblGrid>
        <w:gridCol w:w="6658"/>
        <w:gridCol w:w="3827"/>
      </w:tblGrid>
      <w:tr w:rsidR="000729CF" w:rsidRPr="000729CF" w14:paraId="4DB41016" w14:textId="77777777" w:rsidTr="000729CF">
        <w:trPr>
          <w:trHeight w:val="310"/>
        </w:trPr>
        <w:tc>
          <w:tcPr>
            <w:tcW w:w="6658" w:type="dxa"/>
            <w:shd w:val="clear" w:color="auto" w:fill="E7E6E6"/>
          </w:tcPr>
          <w:p w14:paraId="2940DE5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Age</w:t>
            </w:r>
          </w:p>
        </w:tc>
        <w:tc>
          <w:tcPr>
            <w:tcW w:w="3827" w:type="dxa"/>
          </w:tcPr>
          <w:p w14:paraId="389F2DF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1606D916" w14:textId="77777777" w:rsidTr="000729CF">
        <w:trPr>
          <w:trHeight w:val="20"/>
        </w:trPr>
        <w:tc>
          <w:tcPr>
            <w:tcW w:w="6658" w:type="dxa"/>
            <w:shd w:val="clear" w:color="auto" w:fill="E7E6E6"/>
          </w:tcPr>
          <w:p w14:paraId="0FD9F94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Disability and inclusive adjustments, coverage under equality act and not</w:t>
            </w:r>
          </w:p>
        </w:tc>
        <w:tc>
          <w:tcPr>
            <w:tcW w:w="3827" w:type="dxa"/>
          </w:tcPr>
          <w:p w14:paraId="383CF81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48D2FCE4" w14:textId="77777777" w:rsidTr="000729CF">
        <w:trPr>
          <w:trHeight w:val="20"/>
        </w:trPr>
        <w:tc>
          <w:tcPr>
            <w:tcW w:w="6658" w:type="dxa"/>
            <w:shd w:val="clear" w:color="auto" w:fill="E7E6E6"/>
          </w:tcPr>
          <w:p w14:paraId="1FC2DA1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Ethnicity, ‘Race’, ethnic heritage (including Gypsy, Roma, Travellers)</w:t>
            </w:r>
          </w:p>
        </w:tc>
        <w:tc>
          <w:tcPr>
            <w:tcW w:w="3827" w:type="dxa"/>
          </w:tcPr>
          <w:p w14:paraId="1135679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70486214" w14:textId="77777777" w:rsidTr="000729CF">
        <w:trPr>
          <w:trHeight w:val="20"/>
        </w:trPr>
        <w:tc>
          <w:tcPr>
            <w:tcW w:w="6658" w:type="dxa"/>
            <w:shd w:val="clear" w:color="auto" w:fill="E7E6E6"/>
          </w:tcPr>
          <w:p w14:paraId="613CA12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Religion, Belief, Spirituality, Faith, or Atheism</w:t>
            </w:r>
          </w:p>
        </w:tc>
        <w:tc>
          <w:tcPr>
            <w:tcW w:w="3827" w:type="dxa"/>
          </w:tcPr>
          <w:p w14:paraId="6DFF255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4210407E" w14:textId="77777777" w:rsidTr="000729CF">
        <w:trPr>
          <w:trHeight w:val="20"/>
        </w:trPr>
        <w:tc>
          <w:tcPr>
            <w:tcW w:w="6658" w:type="dxa"/>
            <w:shd w:val="clear" w:color="auto" w:fill="E7E6E6"/>
          </w:tcPr>
          <w:p w14:paraId="23E793A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Identity and Sex (including non-binary and Intersex people)</w:t>
            </w:r>
          </w:p>
        </w:tc>
        <w:tc>
          <w:tcPr>
            <w:tcW w:w="3827" w:type="dxa"/>
          </w:tcPr>
          <w:p w14:paraId="06172C6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6E819DC3" w14:textId="77777777" w:rsidTr="000729CF">
        <w:trPr>
          <w:trHeight w:val="20"/>
        </w:trPr>
        <w:tc>
          <w:tcPr>
            <w:tcW w:w="6658" w:type="dxa"/>
            <w:shd w:val="clear" w:color="auto" w:fill="E7E6E6"/>
          </w:tcPr>
          <w:p w14:paraId="0486F50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3827" w:type="dxa"/>
          </w:tcPr>
          <w:p w14:paraId="4872931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2DA931A9" w14:textId="77777777" w:rsidTr="000729CF">
        <w:trPr>
          <w:trHeight w:val="20"/>
        </w:trPr>
        <w:tc>
          <w:tcPr>
            <w:tcW w:w="6658" w:type="dxa"/>
            <w:shd w:val="clear" w:color="auto" w:fill="E7E6E6"/>
          </w:tcPr>
          <w:p w14:paraId="7D8E3BD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3827" w:type="dxa"/>
          </w:tcPr>
          <w:p w14:paraId="5499DC6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4B2DCC28" w14:textId="77777777" w:rsidTr="000729CF">
        <w:trPr>
          <w:trHeight w:val="20"/>
        </w:trPr>
        <w:tc>
          <w:tcPr>
            <w:tcW w:w="6658" w:type="dxa"/>
            <w:shd w:val="clear" w:color="auto" w:fill="E7E6E6"/>
          </w:tcPr>
          <w:p w14:paraId="4EE2FCD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3827" w:type="dxa"/>
          </w:tcPr>
          <w:p w14:paraId="750B3CF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4C04D447" w14:textId="77777777" w:rsidTr="000729CF">
        <w:trPr>
          <w:trHeight w:val="20"/>
        </w:trPr>
        <w:tc>
          <w:tcPr>
            <w:tcW w:w="6658" w:type="dxa"/>
            <w:shd w:val="clear" w:color="auto" w:fill="E7E6E6"/>
          </w:tcPr>
          <w:p w14:paraId="36FDF5D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Pregnant people, Maternity, Paternity, Adoption, Menopause, (In)fertility (across the gender spectrum)</w:t>
            </w:r>
          </w:p>
        </w:tc>
        <w:tc>
          <w:tcPr>
            <w:tcW w:w="3827" w:type="dxa"/>
          </w:tcPr>
          <w:p w14:paraId="47CE2F9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257C2F29" w14:textId="77777777" w:rsidTr="000729CF">
        <w:trPr>
          <w:trHeight w:val="20"/>
        </w:trPr>
        <w:tc>
          <w:tcPr>
            <w:tcW w:w="6658" w:type="dxa"/>
            <w:shd w:val="clear" w:color="auto" w:fill="E7E6E6"/>
          </w:tcPr>
          <w:p w14:paraId="70507D8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3827" w:type="dxa"/>
          </w:tcPr>
          <w:p w14:paraId="5AEBDCA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2A86E055" w14:textId="77777777" w:rsidTr="000729CF">
        <w:trPr>
          <w:trHeight w:val="20"/>
        </w:trPr>
        <w:tc>
          <w:tcPr>
            <w:tcW w:w="6658" w:type="dxa"/>
            <w:shd w:val="clear" w:color="auto" w:fill="E7E6E6"/>
          </w:tcPr>
          <w:p w14:paraId="2829F87C" w14:textId="77777777" w:rsidR="000729CF" w:rsidRPr="000729CF" w:rsidRDefault="000729CF" w:rsidP="000729CF">
            <w:pPr>
              <w:spacing w:after="120"/>
              <w:rPr>
                <w:rFonts w:ascii="Arial" w:hAnsi="Arial" w:cs="Arial"/>
                <w:b/>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p>
        </w:tc>
        <w:tc>
          <w:tcPr>
            <w:tcW w:w="3827" w:type="dxa"/>
          </w:tcPr>
          <w:p w14:paraId="6D2E768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6C7E5C94" w14:textId="77777777" w:rsidTr="000729CF">
        <w:trPr>
          <w:trHeight w:val="20"/>
        </w:trPr>
        <w:tc>
          <w:tcPr>
            <w:tcW w:w="6658" w:type="dxa"/>
            <w:shd w:val="clear" w:color="auto" w:fill="E7E6E6"/>
          </w:tcPr>
          <w:p w14:paraId="1358DFF1" w14:textId="77777777" w:rsidR="000729CF" w:rsidRPr="000729CF" w:rsidRDefault="000729CF" w:rsidP="000729CF">
            <w:pPr>
              <w:spacing w:after="120"/>
              <w:rPr>
                <w:rFonts w:ascii="Arial" w:hAnsi="Arial" w:cs="Arial"/>
                <w:b/>
                <w:sz w:val="24"/>
                <w:szCs w:val="24"/>
              </w:rPr>
            </w:pPr>
            <w:r w:rsidRPr="000729CF">
              <w:rPr>
                <w:rFonts w:ascii="Arial" w:eastAsia="Calibri" w:hAnsi="Arial" w:cs="Arial"/>
                <w:b/>
                <w:bCs/>
                <w:color w:val="000000"/>
                <w:sz w:val="24"/>
                <w:szCs w:val="24"/>
              </w:rPr>
              <w:t>Carers</w:t>
            </w:r>
          </w:p>
        </w:tc>
        <w:tc>
          <w:tcPr>
            <w:tcW w:w="3827" w:type="dxa"/>
          </w:tcPr>
          <w:p w14:paraId="5393E9D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0B8809CB" w14:textId="77777777" w:rsidTr="000729CF">
        <w:trPr>
          <w:trHeight w:val="20"/>
        </w:trPr>
        <w:tc>
          <w:tcPr>
            <w:tcW w:w="6658" w:type="dxa"/>
            <w:shd w:val="clear" w:color="auto" w:fill="E7E6E6"/>
          </w:tcPr>
          <w:p w14:paraId="46B28F8E"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Looked after children, Care Leavers, Care and fostering experienced people</w:t>
            </w:r>
          </w:p>
        </w:tc>
        <w:tc>
          <w:tcPr>
            <w:tcW w:w="3827" w:type="dxa"/>
          </w:tcPr>
          <w:p w14:paraId="4B3A02B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48D04B9A" w14:textId="77777777" w:rsidTr="000729CF">
        <w:trPr>
          <w:trHeight w:val="20"/>
        </w:trPr>
        <w:tc>
          <w:tcPr>
            <w:tcW w:w="6658" w:type="dxa"/>
            <w:shd w:val="clear" w:color="auto" w:fill="E7E6E6"/>
          </w:tcPr>
          <w:p w14:paraId="7CEC714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 and people in vulnerable situations (All aspects and intersections)</w:t>
            </w:r>
          </w:p>
        </w:tc>
        <w:tc>
          <w:tcPr>
            <w:tcW w:w="3827" w:type="dxa"/>
          </w:tcPr>
          <w:p w14:paraId="15C1D9E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6B0E1391" w14:textId="77777777" w:rsidTr="000729CF">
        <w:trPr>
          <w:trHeight w:val="20"/>
        </w:trPr>
        <w:tc>
          <w:tcPr>
            <w:tcW w:w="6658" w:type="dxa"/>
            <w:shd w:val="clear" w:color="auto" w:fill="E7E6E6"/>
          </w:tcPr>
          <w:p w14:paraId="79F13BF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Socio-economic Disadvantage</w:t>
            </w:r>
          </w:p>
        </w:tc>
        <w:tc>
          <w:tcPr>
            <w:tcW w:w="3827" w:type="dxa"/>
          </w:tcPr>
          <w:p w14:paraId="3697727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4487654C" w14:textId="77777777" w:rsidTr="000729CF">
        <w:trPr>
          <w:trHeight w:val="20"/>
        </w:trPr>
        <w:tc>
          <w:tcPr>
            <w:tcW w:w="6658" w:type="dxa"/>
            <w:shd w:val="clear" w:color="auto" w:fill="E7E6E6"/>
          </w:tcPr>
          <w:p w14:paraId="16119C9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Homelessness and associated risk and vulnerability</w:t>
            </w:r>
          </w:p>
        </w:tc>
        <w:tc>
          <w:tcPr>
            <w:tcW w:w="3827" w:type="dxa"/>
          </w:tcPr>
          <w:p w14:paraId="3CAFEF9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52217FF3" w14:textId="77777777" w:rsidTr="000729CF">
        <w:trPr>
          <w:trHeight w:val="20"/>
        </w:trPr>
        <w:tc>
          <w:tcPr>
            <w:tcW w:w="6658" w:type="dxa"/>
            <w:shd w:val="clear" w:color="auto" w:fill="E7E6E6"/>
          </w:tcPr>
          <w:p w14:paraId="1945EE9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3827" w:type="dxa"/>
          </w:tcPr>
          <w:p w14:paraId="2ADF433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742CAF48" w14:textId="77777777" w:rsidTr="000729CF">
        <w:trPr>
          <w:trHeight w:val="20"/>
        </w:trPr>
        <w:tc>
          <w:tcPr>
            <w:tcW w:w="6658" w:type="dxa"/>
            <w:shd w:val="clear" w:color="auto" w:fill="E7E6E6"/>
          </w:tcPr>
          <w:p w14:paraId="6A365C4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w:t>
            </w:r>
            <w:r w:rsidRPr="000729CF">
              <w:rPr>
                <w:rFonts w:ascii="Arial" w:eastAsia="Calibri" w:hAnsi="Arial" w:cs="Arial"/>
                <w:sz w:val="24"/>
                <w:szCs w:val="24"/>
              </w:rPr>
              <w:t xml:space="preserve"> </w:t>
            </w:r>
          </w:p>
        </w:tc>
        <w:tc>
          <w:tcPr>
            <w:tcW w:w="3827" w:type="dxa"/>
          </w:tcPr>
          <w:p w14:paraId="427DEE5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57EE6E4A" w14:textId="77777777" w:rsidTr="000729CF">
        <w:trPr>
          <w:trHeight w:val="20"/>
        </w:trPr>
        <w:tc>
          <w:tcPr>
            <w:tcW w:w="6658" w:type="dxa"/>
            <w:shd w:val="clear" w:color="auto" w:fill="E7E6E6"/>
          </w:tcPr>
          <w:p w14:paraId="714D41C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Lone parent</w:t>
            </w:r>
          </w:p>
        </w:tc>
        <w:tc>
          <w:tcPr>
            <w:tcW w:w="3827" w:type="dxa"/>
          </w:tcPr>
          <w:p w14:paraId="3BE193C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59FFED40" w14:textId="77777777" w:rsidTr="000729CF">
        <w:trPr>
          <w:trHeight w:val="20"/>
        </w:trPr>
        <w:tc>
          <w:tcPr>
            <w:tcW w:w="6658" w:type="dxa"/>
            <w:shd w:val="clear" w:color="auto" w:fill="E7E6E6"/>
          </w:tcPr>
          <w:p w14:paraId="7109ED8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Carers</w:t>
            </w:r>
          </w:p>
        </w:tc>
        <w:tc>
          <w:tcPr>
            <w:tcW w:w="3827" w:type="dxa"/>
          </w:tcPr>
          <w:p w14:paraId="24EAAD1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535A82F6" w14:textId="77777777" w:rsidTr="000729CF">
        <w:trPr>
          <w:trHeight w:val="20"/>
        </w:trPr>
        <w:tc>
          <w:tcPr>
            <w:tcW w:w="6658" w:type="dxa"/>
            <w:shd w:val="clear" w:color="auto" w:fill="E7E6E6"/>
          </w:tcPr>
          <w:p w14:paraId="4A3DA78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People facing literacy and numeracy barriers</w:t>
            </w:r>
          </w:p>
        </w:tc>
        <w:tc>
          <w:tcPr>
            <w:tcW w:w="3827" w:type="dxa"/>
          </w:tcPr>
          <w:p w14:paraId="3A51133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bl>
    <w:p w14:paraId="525F05BC" w14:textId="77777777" w:rsidR="000729CF" w:rsidRPr="000729CF" w:rsidRDefault="000729CF" w:rsidP="000729CF">
      <w:pPr>
        <w:rPr>
          <w:rFonts w:ascii="Arial" w:eastAsia="Calibri" w:hAnsi="Arial" w:cs="Arial"/>
          <w:sz w:val="24"/>
          <w:szCs w:val="24"/>
          <w:lang w:val="en-GB"/>
        </w:rPr>
      </w:pPr>
    </w:p>
    <w:p w14:paraId="226BEC7E"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215C6688"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70D63131"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642A1112"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3CDDCB83"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23D5309E"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44B6D093"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346C7391"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3F9A4530"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1C5D0F2B"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391B9819" w14:textId="77777777" w:rsidR="000729CF" w:rsidRPr="000729CF" w:rsidRDefault="000729CF" w:rsidP="000729CF">
      <w:pPr>
        <w:rPr>
          <w:rFonts w:ascii="Arial" w:eastAsia="Calibri" w:hAnsi="Arial" w:cs="Arial"/>
          <w:sz w:val="24"/>
          <w:szCs w:val="24"/>
          <w:lang w:val="en-GB"/>
        </w:rPr>
      </w:pPr>
    </w:p>
    <w:p w14:paraId="72A6C8C0"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If you answered “NO” to any of the above, how will you gather this data to enable improved monitoring of impact for this proposal?</w:t>
      </w:r>
    </w:p>
    <w:tbl>
      <w:tblPr>
        <w:tblStyle w:val="TableGrid"/>
        <w:tblW w:w="0" w:type="auto"/>
        <w:tblLook w:val="04A0" w:firstRow="1" w:lastRow="0" w:firstColumn="1" w:lastColumn="0" w:noHBand="0" w:noVBand="1"/>
      </w:tblPr>
      <w:tblGrid>
        <w:gridCol w:w="10456"/>
      </w:tblGrid>
      <w:tr w:rsidR="000729CF" w:rsidRPr="000729CF" w14:paraId="0B25BC2B" w14:textId="77777777" w:rsidTr="00BC26AB">
        <w:trPr>
          <w:trHeight w:val="757"/>
        </w:trPr>
        <w:tc>
          <w:tcPr>
            <w:tcW w:w="10456" w:type="dxa"/>
          </w:tcPr>
          <w:p w14:paraId="03706D8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We will seek to establish data on whether the families who are accessing these provisions are Armed Forces personnel, their families or veterans. This can be undertaken through the social care assessment process.</w:t>
            </w:r>
          </w:p>
        </w:tc>
      </w:tr>
    </w:tbl>
    <w:p w14:paraId="41B069FB" w14:textId="77777777" w:rsidR="000729CF" w:rsidRPr="000729CF" w:rsidRDefault="000729CF" w:rsidP="000729CF">
      <w:pPr>
        <w:rPr>
          <w:rFonts w:ascii="Arial" w:eastAsia="Calibri" w:hAnsi="Arial" w:cs="Arial"/>
          <w:sz w:val="24"/>
          <w:szCs w:val="24"/>
          <w:lang w:val="en-GB"/>
        </w:rPr>
      </w:pPr>
    </w:p>
    <w:p w14:paraId="27DE8A0B"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are the arrangements for monitoring, and reviewing the impact of this proposal?</w:t>
      </w:r>
    </w:p>
    <w:tbl>
      <w:tblPr>
        <w:tblStyle w:val="TableGrid"/>
        <w:tblW w:w="0" w:type="auto"/>
        <w:tblLook w:val="04A0" w:firstRow="1" w:lastRow="0" w:firstColumn="1" w:lastColumn="0" w:noHBand="0" w:noVBand="1"/>
      </w:tblPr>
      <w:tblGrid>
        <w:gridCol w:w="10456"/>
      </w:tblGrid>
      <w:tr w:rsidR="000729CF" w:rsidRPr="000729CF" w14:paraId="50D1C70D" w14:textId="77777777" w:rsidTr="00BC26AB">
        <w:trPr>
          <w:trHeight w:val="757"/>
        </w:trPr>
        <w:tc>
          <w:tcPr>
            <w:tcW w:w="10456" w:type="dxa"/>
          </w:tcPr>
          <w:p w14:paraId="1F6282E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A robust process is in place for children needing to come into care through the Entry to Care panel, decisions are made at this panel as to whether a child comes into care and whether a foster care or residential care placement is sought. Regular ‘Me and My World’ reviews are undertaken by Independent Reviewing Officers with all children in care, and placement support meetings are held when required. These meeting include any changes to support needs and negotiations with providers. Social Workers visit children every 6 weeks in their care placement to ensure their needs are being met.</w:t>
            </w:r>
          </w:p>
          <w:p w14:paraId="214435D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Monthly budget monitoring meetings are in place to monitor spend on providers. Continue to collect and analyse equality data of children in care through quarterly Directorate Management Team performance boards. Impact of early intervention measures will be monitored through quarterly contract meetings with providers.</w:t>
            </w:r>
          </w:p>
        </w:tc>
      </w:tr>
    </w:tbl>
    <w:p w14:paraId="1ACE310A" w14:textId="77777777" w:rsidR="000729CF" w:rsidRPr="000729CF" w:rsidRDefault="000729CF" w:rsidP="000729CF">
      <w:pPr>
        <w:rPr>
          <w:rFonts w:ascii="Arial" w:eastAsia="Calibri" w:hAnsi="Arial" w:cs="Arial"/>
          <w:sz w:val="24"/>
          <w:szCs w:val="24"/>
          <w:lang w:val="en-GB"/>
        </w:rPr>
      </w:pPr>
    </w:p>
    <w:p w14:paraId="733C1503"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Impacts</w:t>
      </w:r>
    </w:p>
    <w:p w14:paraId="62FEFFC3"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Briefly state source of data or data analysis being used to describe the </w:t>
      </w:r>
      <w:r w:rsidRPr="000729CF">
        <w:rPr>
          <w:rFonts w:ascii="Arial" w:eastAsia="Calibri" w:hAnsi="Arial" w:cs="Arial"/>
          <w:color w:val="000000"/>
          <w:sz w:val="24"/>
          <w:szCs w:val="24"/>
          <w:bdr w:val="none" w:sz="0" w:space="0" w:color="auto" w:frame="1"/>
          <w:lang w:val="en-GB"/>
        </w:rPr>
        <w:t xml:space="preserve">disproportionate negative impacts. </w:t>
      </w:r>
      <w:r w:rsidRPr="000729CF">
        <w:rPr>
          <w:rFonts w:ascii="Arial" w:eastAsia="Calibri" w:hAnsi="Arial" w:cs="Arial"/>
          <w:sz w:val="24"/>
          <w:szCs w:val="24"/>
          <w:lang w:val="en-GB"/>
        </w:rPr>
        <w:t xml:space="preserve">Preferably provide link to data/ analysis if open data source. </w:t>
      </w:r>
    </w:p>
    <w:tbl>
      <w:tblPr>
        <w:tblStyle w:val="TableGrid"/>
        <w:tblW w:w="10485" w:type="dxa"/>
        <w:tblLook w:val="04A0" w:firstRow="1" w:lastRow="0" w:firstColumn="1" w:lastColumn="0" w:noHBand="0" w:noVBand="1"/>
      </w:tblPr>
      <w:tblGrid>
        <w:gridCol w:w="2985"/>
        <w:gridCol w:w="2123"/>
        <w:gridCol w:w="5377"/>
      </w:tblGrid>
      <w:tr w:rsidR="000729CF" w:rsidRPr="000729CF" w14:paraId="4AEB5F47" w14:textId="77777777" w:rsidTr="000729CF">
        <w:trPr>
          <w:trHeight w:val="20"/>
        </w:trPr>
        <w:tc>
          <w:tcPr>
            <w:tcW w:w="2985" w:type="dxa"/>
            <w:shd w:val="clear" w:color="auto" w:fill="E7E6E6"/>
          </w:tcPr>
          <w:p w14:paraId="6BA6B66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Assess impact for different population groups</w:t>
            </w:r>
          </w:p>
        </w:tc>
        <w:tc>
          <w:tcPr>
            <w:tcW w:w="2123" w:type="dxa"/>
            <w:shd w:val="clear" w:color="auto" w:fill="E7E6E6"/>
          </w:tcPr>
          <w:p w14:paraId="75B1649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Is there a possible disproportionate negative impact? </w:t>
            </w:r>
          </w:p>
          <w:p w14:paraId="316CCB66" w14:textId="77777777" w:rsidR="000729CF" w:rsidRPr="000729CF" w:rsidRDefault="000729CF" w:rsidP="000729CF">
            <w:pPr>
              <w:spacing w:after="120"/>
              <w:rPr>
                <w:rFonts w:ascii="Arial" w:eastAsia="Calibri" w:hAnsi="Arial" w:cs="Arial"/>
                <w:b/>
                <w:bCs/>
                <w:sz w:val="24"/>
                <w:szCs w:val="24"/>
              </w:rPr>
            </w:pPr>
          </w:p>
          <w:p w14:paraId="35C3DA1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b/>
                <w:bCs/>
                <w:sz w:val="24"/>
                <w:szCs w:val="24"/>
              </w:rPr>
              <w:t>State Yes or No</w:t>
            </w:r>
          </w:p>
        </w:tc>
        <w:tc>
          <w:tcPr>
            <w:tcW w:w="5377" w:type="dxa"/>
            <w:shd w:val="clear" w:color="auto" w:fill="E7E6E6"/>
          </w:tcPr>
          <w:p w14:paraId="3592ED5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Describe the potential negative impact, considering for differences within groups For example, different ethnic groups, and peoples intersecting identities e.g. disabled women of faith</w:t>
            </w:r>
          </w:p>
          <w:p w14:paraId="60A6F60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OR</w:t>
            </w:r>
          </w:p>
          <w:p w14:paraId="0039F7F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If no impact is identified, briefly state why.</w:t>
            </w:r>
          </w:p>
        </w:tc>
      </w:tr>
      <w:tr w:rsidR="000729CF" w:rsidRPr="000729CF" w14:paraId="3824AEF9" w14:textId="77777777" w:rsidTr="000729CF">
        <w:trPr>
          <w:trHeight w:val="20"/>
        </w:trPr>
        <w:tc>
          <w:tcPr>
            <w:tcW w:w="2985" w:type="dxa"/>
            <w:shd w:val="clear" w:color="auto" w:fill="E7E6E6"/>
          </w:tcPr>
          <w:p w14:paraId="42B313B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Age </w:t>
            </w:r>
          </w:p>
          <w:p w14:paraId="6B0925E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sz w:val="24"/>
                <w:szCs w:val="24"/>
              </w:rPr>
              <w:t>including those under 16, young adults, multiple ethnicities, those with various intersections.</w:t>
            </w:r>
          </w:p>
        </w:tc>
        <w:tc>
          <w:tcPr>
            <w:tcW w:w="2123" w:type="dxa"/>
          </w:tcPr>
          <w:p w14:paraId="5901075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17841D7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All the children and young people this will impact will be under 18 they will have complex needs and be vulnerable needing to be in care and at risk of requiring a high-cost placement due to their needs.</w:t>
            </w:r>
          </w:p>
          <w:p w14:paraId="426BAEF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It is hoped that the impact in part will be mitigated by a wider range of early intervention provision/ services that will help support families keep their children at home.</w:t>
            </w:r>
          </w:p>
        </w:tc>
      </w:tr>
      <w:tr w:rsidR="000729CF" w:rsidRPr="000729CF" w14:paraId="2F1DC105" w14:textId="77777777" w:rsidTr="000729CF">
        <w:trPr>
          <w:trHeight w:val="20"/>
        </w:trPr>
        <w:tc>
          <w:tcPr>
            <w:tcW w:w="2985" w:type="dxa"/>
            <w:shd w:val="clear" w:color="auto" w:fill="E7E6E6"/>
          </w:tcPr>
          <w:p w14:paraId="72594D7C"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 xml:space="preserve">Disability </w:t>
            </w:r>
            <w:r w:rsidRPr="000729CF">
              <w:rPr>
                <w:rFonts w:ascii="Arial" w:eastAsia="Calibri" w:hAnsi="Arial" w:cs="Arial"/>
                <w:sz w:val="24"/>
                <w:szCs w:val="24"/>
              </w:rPr>
              <w:t>includes physical and sensory disabled, D/deaf, deafened, hard of hearing, blind, neurodiverse people, people with non-visible disabilities.</w:t>
            </w:r>
          </w:p>
        </w:tc>
        <w:tc>
          <w:tcPr>
            <w:tcW w:w="2123" w:type="dxa"/>
          </w:tcPr>
          <w:p w14:paraId="66FE95B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4FC3721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All of the children will have learning disabilities and complex needs. Many of them will also have medical needs that will incur joint funding arrangements with the Integrated Care Board. Because of the complexities in need and the pressure families are under some of these young people will need externally provided specialist placements.</w:t>
            </w:r>
          </w:p>
          <w:p w14:paraId="17FBBA1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It is hoped that the impact in part will be mitigated by a wider range of early intervention provision/ services that will help support families keep their children at home.</w:t>
            </w:r>
          </w:p>
        </w:tc>
      </w:tr>
      <w:tr w:rsidR="000729CF" w:rsidRPr="000729CF" w14:paraId="65FCF440" w14:textId="77777777" w:rsidTr="000729CF">
        <w:trPr>
          <w:trHeight w:val="20"/>
        </w:trPr>
        <w:tc>
          <w:tcPr>
            <w:tcW w:w="2985" w:type="dxa"/>
            <w:shd w:val="clear" w:color="auto" w:fill="E7E6E6"/>
          </w:tcPr>
          <w:p w14:paraId="2382A20D" w14:textId="77777777" w:rsidR="000729CF" w:rsidRPr="000729CF" w:rsidRDefault="000729CF" w:rsidP="000729CF">
            <w:pPr>
              <w:keepNext/>
              <w:keepLines/>
              <w:spacing w:before="40"/>
              <w:outlineLvl w:val="2"/>
              <w:rPr>
                <w:rFonts w:ascii="Arial" w:hAnsi="Arial" w:cs="Arial"/>
                <w:color w:val="1F3763"/>
                <w:sz w:val="24"/>
                <w:szCs w:val="24"/>
              </w:rPr>
            </w:pPr>
            <w:r w:rsidRPr="000729CF">
              <w:rPr>
                <w:rFonts w:ascii="Arial" w:hAnsi="Arial" w:cs="Arial"/>
                <w:b/>
                <w:bCs/>
                <w:color w:val="000000"/>
                <w:sz w:val="24"/>
                <w:szCs w:val="24"/>
              </w:rPr>
              <w:t>Ethnicity, ‘</w:t>
            </w:r>
            <w:r w:rsidRPr="000729CF">
              <w:rPr>
                <w:rFonts w:ascii="Arial" w:hAnsi="Arial" w:cs="Arial"/>
                <w:color w:val="000000"/>
                <w:sz w:val="24"/>
                <w:szCs w:val="24"/>
              </w:rPr>
              <w:t>Race’, ethnic heritage including Gypsy, Roma, Travellers</w:t>
            </w:r>
          </w:p>
        </w:tc>
        <w:tc>
          <w:tcPr>
            <w:tcW w:w="2123" w:type="dxa"/>
          </w:tcPr>
          <w:p w14:paraId="658FA04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52043ED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41% (7 out of 17) of children and young people who are currently in a disability residential care placement are either Black or from the Global Majority. Therefore, the reduction in funding is likely to impact upon this population.</w:t>
            </w:r>
          </w:p>
          <w:p w14:paraId="07EBE52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Further work needs to be undertaken to identify why such a high percentage of children and young people with a disability who are Black or from the Global Majority are in residential care. This work will inform our commissioning strategy so that we are putting in effective early intervention from a care perspective specifically for these families. This work should help to prevent children coming into care.</w:t>
            </w:r>
          </w:p>
          <w:p w14:paraId="7FC1AB6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As part of the SEND Short Break commissioning process we will be exploring with our providers their ability to support those families who will be affected, and we have asked for expressions of interest from providers who would like to run specific sessions for Black and Global Majority children and young people with SEND. </w:t>
            </w:r>
          </w:p>
          <w:p w14:paraId="43D88F4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remodelling of our in-house provision will also support more short break overnight capacity and we need to ensure that the access to this provision reflects the diversity within the city.</w:t>
            </w:r>
          </w:p>
        </w:tc>
      </w:tr>
      <w:tr w:rsidR="000729CF" w:rsidRPr="000729CF" w14:paraId="0EB2A7D2" w14:textId="77777777" w:rsidTr="000729CF">
        <w:trPr>
          <w:trHeight w:val="20"/>
        </w:trPr>
        <w:tc>
          <w:tcPr>
            <w:tcW w:w="2985" w:type="dxa"/>
            <w:shd w:val="clear" w:color="auto" w:fill="E7E6E6"/>
          </w:tcPr>
          <w:p w14:paraId="34331F3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Religion, Spirituality, Faith, Atheism, and philosophical belief </w:t>
            </w:r>
          </w:p>
        </w:tc>
        <w:tc>
          <w:tcPr>
            <w:tcW w:w="2123" w:type="dxa"/>
          </w:tcPr>
          <w:p w14:paraId="2840F39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5ECCEE2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Specialist Community Disability Service and the Safeguarding and Care service hold data on their children and young people they support in terms of their religion or belief. It is likely there will be range of religions and belief systems within the cohort who may require specialist residential placements.  Therefore, there may be an impact on this group.</w:t>
            </w:r>
          </w:p>
          <w:p w14:paraId="76D9E86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Further work will need to be undertaken on this data to inform our commissioning of provision going forward and to ensure that providers actively engage and celebrate religious and faith celebrated days to affirm children to engage further with the communities.</w:t>
            </w:r>
          </w:p>
          <w:p w14:paraId="20B65A4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We would expect all activities to ensure observance of religion or belief and will sensitively and inclusively show considerations towards dietary, spiritual and/or attire. This will be an area that is kept under review through the Me and My World process.</w:t>
            </w:r>
          </w:p>
        </w:tc>
      </w:tr>
      <w:tr w:rsidR="000729CF" w:rsidRPr="000729CF" w14:paraId="646AA5CD" w14:textId="77777777" w:rsidTr="000729CF">
        <w:trPr>
          <w:trHeight w:val="20"/>
        </w:trPr>
        <w:tc>
          <w:tcPr>
            <w:tcW w:w="2985" w:type="dxa"/>
            <w:shd w:val="clear" w:color="auto" w:fill="E7E6E6"/>
          </w:tcPr>
          <w:p w14:paraId="76DCDC1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Gender and Sex </w:t>
            </w:r>
            <w:r w:rsidRPr="000729CF">
              <w:rPr>
                <w:rFonts w:ascii="Arial" w:eastAsia="Calibri" w:hAnsi="Arial" w:cs="Arial"/>
                <w:sz w:val="24"/>
                <w:szCs w:val="24"/>
              </w:rPr>
              <w:t>including non-binary and intersex people</w:t>
            </w:r>
          </w:p>
        </w:tc>
        <w:tc>
          <w:tcPr>
            <w:tcW w:w="2123" w:type="dxa"/>
          </w:tcPr>
          <w:p w14:paraId="11F405B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598B3F1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gender split of children and young people with SEN and Disabilities is 29% Female and 71% Male. However, the decision to place is based upon need and the gender of the child would not negatively impact upon the commissioning of a placement.</w:t>
            </w:r>
          </w:p>
          <w:p w14:paraId="4DFFABB2" w14:textId="77777777" w:rsidR="000729CF" w:rsidRPr="000729CF" w:rsidRDefault="000729CF" w:rsidP="000729CF">
            <w:pPr>
              <w:rPr>
                <w:rFonts w:ascii="Arial" w:eastAsia="Calibri" w:hAnsi="Arial" w:cs="Arial"/>
                <w:color w:val="FF0000"/>
                <w:sz w:val="24"/>
                <w:szCs w:val="24"/>
              </w:rPr>
            </w:pPr>
          </w:p>
        </w:tc>
      </w:tr>
      <w:tr w:rsidR="000729CF" w:rsidRPr="000729CF" w14:paraId="05E8F50F" w14:textId="77777777" w:rsidTr="000729CF">
        <w:trPr>
          <w:trHeight w:val="20"/>
        </w:trPr>
        <w:tc>
          <w:tcPr>
            <w:tcW w:w="2985" w:type="dxa"/>
            <w:shd w:val="clear" w:color="auto" w:fill="E7E6E6"/>
          </w:tcPr>
          <w:p w14:paraId="6A67970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2123" w:type="dxa"/>
          </w:tcPr>
          <w:p w14:paraId="231963B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20137FE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Some children in care identify as non-binary or trans as well as having complex needs, their vulnerability may require placement in more specialist residential provision and therefore a reduction in budget may impact upon residential placements for these young people. </w:t>
            </w:r>
          </w:p>
          <w:p w14:paraId="271FB17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It is hoped that the impact in part will be mitigated by a wider range of early intervention provision/ services that will help support families keep their children at home. By keeping young people local access to the Brighton &amp; Hove’s Trans Toolkit may also be helpful and could be adapted to meet the individual needs of children and young people.</w:t>
            </w:r>
          </w:p>
        </w:tc>
      </w:tr>
      <w:tr w:rsidR="000729CF" w:rsidRPr="000729CF" w14:paraId="5FE003C5" w14:textId="77777777" w:rsidTr="000729CF">
        <w:trPr>
          <w:trHeight w:val="20"/>
        </w:trPr>
        <w:tc>
          <w:tcPr>
            <w:tcW w:w="2985" w:type="dxa"/>
            <w:shd w:val="clear" w:color="auto" w:fill="E7E6E6"/>
          </w:tcPr>
          <w:p w14:paraId="550E027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2123" w:type="dxa"/>
          </w:tcPr>
          <w:p w14:paraId="158143A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1B0E49B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We have not yet identified any disproportionate impacts on this group because the data available about children and young people’s sexual orientation is inconclusive.  However, we are aware that discrimination against sexual orientation remains a prevalent issue. When placing with providers we need to be assured that if there are any circumstances where individuals need support, that they are supported and get access to the right guidance and resources that have been adapted to meet their needs.</w:t>
            </w:r>
          </w:p>
          <w:p w14:paraId="0E2FEE92" w14:textId="77777777" w:rsidR="000729CF" w:rsidRPr="000729CF" w:rsidRDefault="000729CF" w:rsidP="000729CF">
            <w:pPr>
              <w:rPr>
                <w:rFonts w:ascii="Arial" w:eastAsia="Calibri" w:hAnsi="Arial" w:cs="Arial"/>
                <w:color w:val="FF0000"/>
                <w:sz w:val="24"/>
                <w:szCs w:val="24"/>
              </w:rPr>
            </w:pPr>
          </w:p>
        </w:tc>
      </w:tr>
      <w:tr w:rsidR="000729CF" w:rsidRPr="000729CF" w14:paraId="286C4941" w14:textId="77777777" w:rsidTr="000729CF">
        <w:trPr>
          <w:trHeight w:val="20"/>
        </w:trPr>
        <w:tc>
          <w:tcPr>
            <w:tcW w:w="2985" w:type="dxa"/>
            <w:shd w:val="clear" w:color="auto" w:fill="E7E6E6"/>
          </w:tcPr>
          <w:p w14:paraId="2FFD874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2123" w:type="dxa"/>
          </w:tcPr>
          <w:p w14:paraId="2C3B085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6FBC5DE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young people attending in care placements will be under the age of 18. It is unlikely this would apply. However, if a young person who is between the ages of 16 and 18 and has parental consent to enter a marriage or civil partnership support will be provided to the young person and family concerned. A Mental Capacity assessment will be completed if required.</w:t>
            </w:r>
          </w:p>
        </w:tc>
      </w:tr>
      <w:tr w:rsidR="000729CF" w:rsidRPr="000729CF" w14:paraId="595847E9" w14:textId="77777777" w:rsidTr="000729CF">
        <w:trPr>
          <w:trHeight w:val="20"/>
        </w:trPr>
        <w:tc>
          <w:tcPr>
            <w:tcW w:w="2985" w:type="dxa"/>
            <w:shd w:val="clear" w:color="auto" w:fill="E7E6E6"/>
          </w:tcPr>
          <w:p w14:paraId="5D431BB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Pregnancy, Maternity, Paternity, Adoption, Menopause, (In)fertility </w:t>
            </w:r>
            <w:r w:rsidRPr="000729CF">
              <w:rPr>
                <w:rFonts w:ascii="Arial" w:eastAsia="Calibri" w:hAnsi="Arial" w:cs="Arial"/>
                <w:color w:val="000000"/>
                <w:sz w:val="24"/>
                <w:szCs w:val="24"/>
              </w:rPr>
              <w:t>(across intersections and non-binary gender spectrum)</w:t>
            </w:r>
          </w:p>
        </w:tc>
        <w:tc>
          <w:tcPr>
            <w:tcW w:w="2123" w:type="dxa"/>
          </w:tcPr>
          <w:p w14:paraId="728AA11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4B53650C"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However, there are likely to be children and young people who have been adopted in care placements and where this is the case the appropriate support will be provided through the BHCC adoption team and their Social Worker.</w:t>
            </w:r>
          </w:p>
        </w:tc>
      </w:tr>
      <w:tr w:rsidR="000729CF" w:rsidRPr="000729CF" w14:paraId="1C3D6510" w14:textId="77777777" w:rsidTr="000729CF">
        <w:trPr>
          <w:trHeight w:val="20"/>
        </w:trPr>
        <w:tc>
          <w:tcPr>
            <w:tcW w:w="2985" w:type="dxa"/>
            <w:shd w:val="clear" w:color="auto" w:fill="E7E6E6"/>
          </w:tcPr>
          <w:p w14:paraId="2ACBAB9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2123" w:type="dxa"/>
          </w:tcPr>
          <w:p w14:paraId="6282493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3B3FDE3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There are no disproportionate impacts identified for this group at this time.</w:t>
            </w:r>
          </w:p>
        </w:tc>
      </w:tr>
      <w:tr w:rsidR="000729CF" w:rsidRPr="000729CF" w14:paraId="6F75397C" w14:textId="77777777" w:rsidTr="000729CF">
        <w:trPr>
          <w:trHeight w:val="20"/>
        </w:trPr>
        <w:tc>
          <w:tcPr>
            <w:tcW w:w="2985" w:type="dxa"/>
            <w:shd w:val="clear" w:color="auto" w:fill="E7E6E6"/>
          </w:tcPr>
          <w:p w14:paraId="7A5AD24D" w14:textId="77777777" w:rsidR="000729CF" w:rsidRPr="000729CF" w:rsidRDefault="000729CF" w:rsidP="000729CF">
            <w:pPr>
              <w:spacing w:after="120"/>
              <w:rPr>
                <w:rFonts w:ascii="Arial" w:eastAsia="Calibri" w:hAnsi="Arial" w:cs="Arial"/>
                <w:b/>
                <w:bCs/>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r w:rsidRPr="000729CF">
              <w:rPr>
                <w:rFonts w:ascii="Arial" w:hAnsi="Arial" w:cs="Arial"/>
                <w:color w:val="000000"/>
                <w:sz w:val="24"/>
                <w:szCs w:val="24"/>
              </w:rPr>
              <w:t>considering for age, language, and various intersections</w:t>
            </w:r>
          </w:p>
        </w:tc>
        <w:tc>
          <w:tcPr>
            <w:tcW w:w="2123" w:type="dxa"/>
          </w:tcPr>
          <w:p w14:paraId="0942DCB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651A4559"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 xml:space="preserve">Families from with these backgrounds may have experienced previous trauma and / or racism and children and young people and their families may need additional support. These are a vulnerable group, and some children and young people may need to come into care. </w:t>
            </w:r>
          </w:p>
          <w:p w14:paraId="3BE3649D" w14:textId="77777777" w:rsidR="000729CF" w:rsidRPr="000729CF" w:rsidRDefault="000729CF" w:rsidP="000729CF">
            <w:pPr>
              <w:rPr>
                <w:rFonts w:ascii="Arial" w:eastAsia="Calibri" w:hAnsi="Arial" w:cs="Arial"/>
                <w:sz w:val="24"/>
                <w:szCs w:val="24"/>
              </w:rPr>
            </w:pPr>
          </w:p>
          <w:p w14:paraId="1D97A97D"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Further work needs to be undertaken as to the prevalence of this group within the specialist disability service so that it can inform our commissioning strategy and our work with providers going forward. Specific early intervention work will need to be commissioned that will help to support these families to prevent family breakdown.</w:t>
            </w:r>
          </w:p>
          <w:p w14:paraId="5E4DDAB4" w14:textId="77777777" w:rsidR="000729CF" w:rsidRPr="000729CF" w:rsidRDefault="000729CF" w:rsidP="000729CF">
            <w:pPr>
              <w:rPr>
                <w:rFonts w:ascii="Arial" w:eastAsia="Calibri" w:hAnsi="Arial" w:cs="Arial"/>
                <w:sz w:val="24"/>
                <w:szCs w:val="24"/>
              </w:rPr>
            </w:pPr>
          </w:p>
          <w:p w14:paraId="6BCC115E"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The remodelling of our in-house provision will also support more short break overnight capacity and we need to ensure that the access to this provision reflects the diversity within the city.</w:t>
            </w:r>
          </w:p>
          <w:p w14:paraId="0EC32528" w14:textId="77777777" w:rsidR="000729CF" w:rsidRPr="000729CF" w:rsidRDefault="000729CF" w:rsidP="000729CF">
            <w:pPr>
              <w:rPr>
                <w:rFonts w:ascii="Arial" w:eastAsia="Calibri" w:hAnsi="Arial" w:cs="Arial"/>
                <w:sz w:val="24"/>
                <w:szCs w:val="24"/>
              </w:rPr>
            </w:pPr>
          </w:p>
        </w:tc>
      </w:tr>
      <w:tr w:rsidR="000729CF" w:rsidRPr="000729CF" w14:paraId="2C944816" w14:textId="77777777" w:rsidTr="000729CF">
        <w:trPr>
          <w:trHeight w:val="20"/>
        </w:trPr>
        <w:tc>
          <w:tcPr>
            <w:tcW w:w="2985" w:type="dxa"/>
            <w:shd w:val="clear" w:color="auto" w:fill="E7E6E6"/>
          </w:tcPr>
          <w:p w14:paraId="7F2B2E9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Carers </w:t>
            </w:r>
            <w:r w:rsidRPr="000729CF">
              <w:rPr>
                <w:rFonts w:ascii="Arial" w:hAnsi="Arial" w:cs="Arial"/>
                <w:color w:val="000000"/>
                <w:sz w:val="24"/>
                <w:szCs w:val="24"/>
              </w:rPr>
              <w:t>considering for age, language, and various intersections</w:t>
            </w:r>
          </w:p>
        </w:tc>
        <w:tc>
          <w:tcPr>
            <w:tcW w:w="2123" w:type="dxa"/>
          </w:tcPr>
          <w:p w14:paraId="36A79AC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56EA374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There may be delays to accessing care placements through not being able to secure a suitable placement and local packages of support will need to be agreed and implemented with carers until a placement can be identified. Therefore, there is likely to be an impact on this group.</w:t>
            </w:r>
          </w:p>
          <w:p w14:paraId="7257C7A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remodelling of our in-house provision will also support more short break overnight capacity, and this is likely to help carers.</w:t>
            </w:r>
          </w:p>
        </w:tc>
      </w:tr>
      <w:tr w:rsidR="000729CF" w:rsidRPr="000729CF" w14:paraId="75C3A57A" w14:textId="77777777" w:rsidTr="000729CF">
        <w:trPr>
          <w:trHeight w:val="20"/>
        </w:trPr>
        <w:tc>
          <w:tcPr>
            <w:tcW w:w="2985" w:type="dxa"/>
            <w:shd w:val="clear" w:color="auto" w:fill="E7E6E6"/>
          </w:tcPr>
          <w:p w14:paraId="4F9E40CB"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 xml:space="preserve">Looked after children, Care Leavers, Care and fostering experienced people </w:t>
            </w:r>
            <w:r w:rsidRPr="000729CF">
              <w:rPr>
                <w:rFonts w:ascii="Arial" w:hAnsi="Arial" w:cs="Arial"/>
                <w:color w:val="000000"/>
                <w:sz w:val="24"/>
                <w:szCs w:val="24"/>
              </w:rPr>
              <w:t>considering for age, language, and various intersections</w:t>
            </w:r>
          </w:p>
        </w:tc>
        <w:tc>
          <w:tcPr>
            <w:tcW w:w="2123" w:type="dxa"/>
          </w:tcPr>
          <w:p w14:paraId="05288C8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7FA4F12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All children in this cohort will be looked after children. Care leavers will continue to be supported through our 14-25 transitions </w:t>
            </w:r>
            <w:proofErr w:type="spellStart"/>
            <w:r w:rsidRPr="000729CF">
              <w:rPr>
                <w:rFonts w:ascii="Arial" w:eastAsia="Calibri" w:hAnsi="Arial" w:cs="Arial"/>
                <w:sz w:val="24"/>
                <w:szCs w:val="24"/>
              </w:rPr>
              <w:t>PoD</w:t>
            </w:r>
            <w:proofErr w:type="spellEnd"/>
            <w:r w:rsidRPr="000729CF">
              <w:rPr>
                <w:rFonts w:ascii="Arial" w:eastAsia="Calibri" w:hAnsi="Arial" w:cs="Arial"/>
                <w:sz w:val="24"/>
                <w:szCs w:val="24"/>
              </w:rPr>
              <w:t xml:space="preserve"> and/or the Care Leavers team and may be impacted upon.  </w:t>
            </w:r>
          </w:p>
        </w:tc>
      </w:tr>
      <w:tr w:rsidR="000729CF" w:rsidRPr="000729CF" w14:paraId="33ABAC6D" w14:textId="77777777" w:rsidTr="000729CF">
        <w:trPr>
          <w:trHeight w:val="20"/>
        </w:trPr>
        <w:tc>
          <w:tcPr>
            <w:tcW w:w="2985" w:type="dxa"/>
            <w:shd w:val="clear" w:color="auto" w:fill="E7E6E6"/>
          </w:tcPr>
          <w:p w14:paraId="6DB02A8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w:t>
            </w:r>
          </w:p>
        </w:tc>
        <w:tc>
          <w:tcPr>
            <w:tcW w:w="2123" w:type="dxa"/>
          </w:tcPr>
          <w:p w14:paraId="1A5CB54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71A3CAE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A reason for children or young people being placed in full times care could be where they are living in a home where there is domestic abuse or sexual violence. Therefore, this group may be impacted. These families will be supported by their social workers and a review assessment will be undertaken to mitigate against any risk.</w:t>
            </w:r>
          </w:p>
        </w:tc>
      </w:tr>
      <w:tr w:rsidR="000729CF" w:rsidRPr="000729CF" w14:paraId="27A60E5B" w14:textId="77777777" w:rsidTr="000729CF">
        <w:trPr>
          <w:trHeight w:val="20"/>
        </w:trPr>
        <w:tc>
          <w:tcPr>
            <w:tcW w:w="2985" w:type="dxa"/>
            <w:shd w:val="clear" w:color="auto" w:fill="E7E6E6"/>
          </w:tcPr>
          <w:p w14:paraId="5C02A78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Socio-economic disadvantage </w:t>
            </w:r>
            <w:r w:rsidRPr="000729CF">
              <w:rPr>
                <w:rFonts w:ascii="Arial" w:eastAsia="Calibri" w:hAnsi="Arial" w:cs="Arial"/>
                <w:color w:val="000000"/>
                <w:sz w:val="24"/>
                <w:szCs w:val="24"/>
              </w:rPr>
              <w:t>considering for age, disability, D/deaf/ blind, ethnicity, expatriate background, and various intersections</w:t>
            </w:r>
          </w:p>
        </w:tc>
        <w:tc>
          <w:tcPr>
            <w:tcW w:w="2123" w:type="dxa"/>
          </w:tcPr>
          <w:p w14:paraId="6CE2401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3EC1557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Additional burdens due to the cost of living could have disproportionate impact on women due to the nature of their employment types and barriers to employment for those with sole childcare. Having a child with a disability and being a single parent/carer can place additional pressure on the family and their ability to cope. This can then lead to a breakdown of the family.</w:t>
            </w:r>
          </w:p>
          <w:p w14:paraId="19F9CA5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Having a child with a disability also has an impact on a family’s potential earnings as one parent or carer often is the primary carer. This can make families with children who are disabled less financially resilient and place additional pressure on the home and the ability to manage.</w:t>
            </w:r>
          </w:p>
          <w:p w14:paraId="1ED375D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Therefore, it is likely that this cohort may be impacted upon. </w:t>
            </w:r>
          </w:p>
          <w:p w14:paraId="315BBE7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It is hoped that the impact in part will be mitigated by a wider range of early intervention provision/ services that will help support families keep their children at home.</w:t>
            </w:r>
          </w:p>
        </w:tc>
      </w:tr>
      <w:tr w:rsidR="000729CF" w:rsidRPr="000729CF" w14:paraId="51988461" w14:textId="77777777" w:rsidTr="000729CF">
        <w:trPr>
          <w:trHeight w:val="20"/>
        </w:trPr>
        <w:tc>
          <w:tcPr>
            <w:tcW w:w="2985" w:type="dxa"/>
            <w:shd w:val="clear" w:color="auto" w:fill="E7E6E6"/>
          </w:tcPr>
          <w:p w14:paraId="288184F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Homeless and rough sleepers </w:t>
            </w:r>
            <w:r w:rsidRPr="000729CF">
              <w:rPr>
                <w:rFonts w:ascii="Arial" w:eastAsia="Calibri" w:hAnsi="Arial" w:cs="Arial"/>
                <w:color w:val="000000"/>
                <w:sz w:val="24"/>
                <w:szCs w:val="24"/>
              </w:rPr>
              <w:t>considering for age, veteran, ethnicity, language, and various intersections</w:t>
            </w:r>
          </w:p>
        </w:tc>
        <w:tc>
          <w:tcPr>
            <w:tcW w:w="2123" w:type="dxa"/>
          </w:tcPr>
          <w:p w14:paraId="0BD6AB4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4575C1C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children and young people who will be impacted by this saving are not likely to be homeless or rough sleepers as they will be in care.</w:t>
            </w:r>
          </w:p>
        </w:tc>
      </w:tr>
      <w:tr w:rsidR="000729CF" w:rsidRPr="000729CF" w14:paraId="68829093" w14:textId="77777777" w:rsidTr="000729CF">
        <w:trPr>
          <w:trHeight w:val="20"/>
        </w:trPr>
        <w:tc>
          <w:tcPr>
            <w:tcW w:w="2985" w:type="dxa"/>
            <w:shd w:val="clear" w:color="auto" w:fill="E7E6E6"/>
          </w:tcPr>
          <w:p w14:paraId="631B4BD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2123" w:type="dxa"/>
          </w:tcPr>
          <w:p w14:paraId="29393F5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143FA3FB" w14:textId="77777777" w:rsidR="000729CF" w:rsidRPr="000729CF" w:rsidRDefault="000729CF" w:rsidP="000729CF">
            <w:pPr>
              <w:spacing w:after="120"/>
              <w:rPr>
                <w:rFonts w:ascii="Arial" w:eastAsia="Calibri" w:hAnsi="Arial" w:cs="Arial"/>
                <w:sz w:val="24"/>
                <w:szCs w:val="24"/>
              </w:rPr>
            </w:pPr>
          </w:p>
        </w:tc>
      </w:tr>
      <w:tr w:rsidR="000729CF" w:rsidRPr="000729CF" w14:paraId="2DDE2B95" w14:textId="77777777" w:rsidTr="000729CF">
        <w:trPr>
          <w:trHeight w:val="20"/>
        </w:trPr>
        <w:tc>
          <w:tcPr>
            <w:tcW w:w="2985" w:type="dxa"/>
            <w:shd w:val="clear" w:color="auto" w:fill="E7E6E6"/>
          </w:tcPr>
          <w:p w14:paraId="73F140A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 (please specify here and add additional rows as needed)</w:t>
            </w:r>
          </w:p>
        </w:tc>
        <w:tc>
          <w:tcPr>
            <w:tcW w:w="2123" w:type="dxa"/>
          </w:tcPr>
          <w:p w14:paraId="094B0E8F" w14:textId="77777777" w:rsidR="000729CF" w:rsidRPr="000729CF" w:rsidRDefault="000729CF" w:rsidP="000729CF">
            <w:pPr>
              <w:spacing w:after="120"/>
              <w:rPr>
                <w:rFonts w:ascii="Arial" w:eastAsia="Calibri" w:hAnsi="Arial" w:cs="Arial"/>
                <w:sz w:val="24"/>
                <w:szCs w:val="24"/>
              </w:rPr>
            </w:pPr>
          </w:p>
        </w:tc>
        <w:tc>
          <w:tcPr>
            <w:tcW w:w="5377" w:type="dxa"/>
          </w:tcPr>
          <w:p w14:paraId="1F7A3208" w14:textId="77777777" w:rsidR="000729CF" w:rsidRPr="000729CF" w:rsidRDefault="000729CF" w:rsidP="000729CF">
            <w:pPr>
              <w:spacing w:after="120"/>
              <w:rPr>
                <w:rFonts w:ascii="Arial" w:eastAsia="Calibri" w:hAnsi="Arial" w:cs="Arial"/>
                <w:sz w:val="24"/>
                <w:szCs w:val="24"/>
              </w:rPr>
            </w:pPr>
          </w:p>
        </w:tc>
      </w:tr>
    </w:tbl>
    <w:p w14:paraId="3F3AC254" w14:textId="77777777" w:rsidR="000729CF" w:rsidRPr="000729CF" w:rsidRDefault="000729CF" w:rsidP="000729CF">
      <w:pPr>
        <w:spacing w:after="160" w:line="259" w:lineRule="auto"/>
        <w:rPr>
          <w:rFonts w:ascii="Arial" w:eastAsia="Calibri" w:hAnsi="Arial" w:cs="Arial"/>
          <w:b/>
          <w:bCs/>
          <w:sz w:val="24"/>
          <w:szCs w:val="24"/>
          <w:lang w:val="en-GB"/>
        </w:rPr>
      </w:pPr>
    </w:p>
    <w:p w14:paraId="4C3DEA21"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7E4BD71D"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3E887FA7"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1595F6EC"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352E79A0"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52FCCA50"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46EA3B13"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22E923D7"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6510C412"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4F3EE5FE"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3B0A19FD" w14:textId="77777777" w:rsidR="000729CF" w:rsidRPr="000729CF" w:rsidRDefault="000729CF" w:rsidP="000729CF">
      <w:pPr>
        <w:rPr>
          <w:rFonts w:ascii="Arial" w:eastAsia="Calibri" w:hAnsi="Arial" w:cs="Arial"/>
          <w:sz w:val="24"/>
          <w:szCs w:val="24"/>
          <w:lang w:val="en-GB"/>
        </w:rPr>
      </w:pPr>
    </w:p>
    <w:p w14:paraId="0D93DB26"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Cumulative impacts</w:t>
      </w:r>
    </w:p>
    <w:p w14:paraId="7C4B0B48"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Are there other budget proposals from other service areas that might worsen or mitigate the impacts from your proposal? Please give a brief description including name of other service(s).</w:t>
      </w:r>
    </w:p>
    <w:tbl>
      <w:tblPr>
        <w:tblStyle w:val="TableGrid"/>
        <w:tblW w:w="0" w:type="auto"/>
        <w:tblLook w:val="04A0" w:firstRow="1" w:lastRow="0" w:firstColumn="1" w:lastColumn="0" w:noHBand="0" w:noVBand="1"/>
      </w:tblPr>
      <w:tblGrid>
        <w:gridCol w:w="10456"/>
      </w:tblGrid>
      <w:tr w:rsidR="000729CF" w:rsidRPr="000729CF" w14:paraId="21038838" w14:textId="77777777" w:rsidTr="00BC26AB">
        <w:tc>
          <w:tcPr>
            <w:tcW w:w="10456" w:type="dxa"/>
          </w:tcPr>
          <w:p w14:paraId="65FCB820"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Increasing the access to respite provision through the re-design of Drove Road and Tudor House will mean there may be more opportunities for families to have a short break that may help prevent children coming into care. There will also be an emergency placement available should a child need an emergency placement in a crisis. Our aim is that the re-design of Tudor House will increase the number of full-time care placements in the city.</w:t>
            </w:r>
          </w:p>
          <w:p w14:paraId="2B307DEA" w14:textId="77777777" w:rsidR="000729CF" w:rsidRPr="000729CF" w:rsidRDefault="000729CF" w:rsidP="000729CF">
            <w:pPr>
              <w:rPr>
                <w:rFonts w:ascii="Arial" w:eastAsia="Calibri" w:hAnsi="Arial" w:cs="Arial"/>
                <w:sz w:val="24"/>
                <w:szCs w:val="24"/>
              </w:rPr>
            </w:pPr>
          </w:p>
          <w:p w14:paraId="7E5B4F1F"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The removal of the Outreach Service could exacerbate the situation as this will reduce the support for 11 families and therefore will potentially impact upon the family’s ability to manage. However, every child will be supported by their social worker and review assessment of their needs will be undertaken. This will also be mitigated by the development of a range of early interventions mentioned previously.</w:t>
            </w:r>
          </w:p>
          <w:p w14:paraId="0FF765A8" w14:textId="77777777" w:rsidR="000729CF" w:rsidRPr="000729CF" w:rsidRDefault="000729CF" w:rsidP="000729CF">
            <w:pPr>
              <w:rPr>
                <w:rFonts w:ascii="Arial" w:eastAsia="Calibri" w:hAnsi="Arial" w:cs="Arial"/>
                <w:sz w:val="24"/>
                <w:szCs w:val="24"/>
              </w:rPr>
            </w:pPr>
          </w:p>
        </w:tc>
      </w:tr>
    </w:tbl>
    <w:p w14:paraId="1F8D89F0" w14:textId="77777777" w:rsidR="000729CF" w:rsidRPr="000729CF" w:rsidRDefault="000729CF" w:rsidP="000729CF">
      <w:pPr>
        <w:spacing w:after="160" w:line="259" w:lineRule="auto"/>
        <w:rPr>
          <w:rFonts w:ascii="Arial" w:eastAsia="Calibri" w:hAnsi="Arial" w:cs="Arial"/>
          <w:sz w:val="24"/>
          <w:szCs w:val="24"/>
          <w:lang w:val="en-GB"/>
        </w:rPr>
      </w:pPr>
    </w:p>
    <w:p w14:paraId="13F17B81"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Action planning</w:t>
      </w:r>
    </w:p>
    <w:p w14:paraId="321BC9FF"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SMART actions will be taken to mitigate the disproportionate impacts identified in section 3? If no mitigating action is possible, please state and explain why. Add additional rows as required. </w:t>
      </w:r>
    </w:p>
    <w:tbl>
      <w:tblPr>
        <w:tblStyle w:val="TableGrid"/>
        <w:tblW w:w="0" w:type="auto"/>
        <w:tblLook w:val="04A0" w:firstRow="1" w:lastRow="0" w:firstColumn="1" w:lastColumn="0" w:noHBand="0" w:noVBand="1"/>
      </w:tblPr>
      <w:tblGrid>
        <w:gridCol w:w="10456"/>
      </w:tblGrid>
      <w:tr w:rsidR="000729CF" w:rsidRPr="000729CF" w14:paraId="6358B9F5" w14:textId="77777777" w:rsidTr="00BC26AB">
        <w:trPr>
          <w:trHeight w:val="847"/>
        </w:trPr>
        <w:tc>
          <w:tcPr>
            <w:tcW w:w="10456" w:type="dxa"/>
          </w:tcPr>
          <w:p w14:paraId="6F211613" w14:textId="77777777" w:rsidR="000729CF" w:rsidRPr="000729CF" w:rsidRDefault="000729CF" w:rsidP="000729CF">
            <w:pPr>
              <w:spacing w:after="120"/>
              <w:ind w:left="360"/>
              <w:rPr>
                <w:rFonts w:ascii="Arial" w:eastAsia="Calibri" w:hAnsi="Arial" w:cs="Arial"/>
                <w:sz w:val="24"/>
                <w:szCs w:val="24"/>
              </w:rPr>
            </w:pPr>
            <w:r w:rsidRPr="000729CF">
              <w:rPr>
                <w:rFonts w:ascii="Arial" w:eastAsia="Calibri" w:hAnsi="Arial" w:cs="Arial"/>
                <w:sz w:val="24"/>
                <w:szCs w:val="24"/>
              </w:rPr>
              <w:t xml:space="preserve">SMART action 1: The Council will continue to negotiate with providers on the framework on reducing the costs of high-cost packages and to develop local providers and provision.  The new Head of FCL Commissioning will continue to address seek further ways to make these processes more efficient. </w:t>
            </w:r>
          </w:p>
        </w:tc>
      </w:tr>
      <w:tr w:rsidR="000729CF" w:rsidRPr="000729CF" w14:paraId="60903858" w14:textId="77777777" w:rsidTr="00BC26AB">
        <w:trPr>
          <w:trHeight w:val="847"/>
        </w:trPr>
        <w:tc>
          <w:tcPr>
            <w:tcW w:w="10456" w:type="dxa"/>
          </w:tcPr>
          <w:p w14:paraId="5DE2CAF0" w14:textId="77777777" w:rsidR="000729CF" w:rsidRPr="000729CF" w:rsidRDefault="000729CF" w:rsidP="000729CF">
            <w:pPr>
              <w:spacing w:after="120"/>
              <w:ind w:left="360"/>
              <w:rPr>
                <w:rFonts w:ascii="Arial" w:eastAsia="Calibri" w:hAnsi="Arial" w:cs="Arial"/>
                <w:sz w:val="24"/>
                <w:szCs w:val="24"/>
              </w:rPr>
            </w:pPr>
            <w:r w:rsidRPr="000729CF">
              <w:rPr>
                <w:rFonts w:ascii="Arial" w:eastAsia="Calibri" w:hAnsi="Arial" w:cs="Arial"/>
                <w:sz w:val="24"/>
                <w:szCs w:val="24"/>
              </w:rPr>
              <w:t>SMART action 2: The Council will continue to work with Family Hubs and in house short breaks providers and external providers to develop an improved Early Help and short breaks offer to prevent family breakdown.</w:t>
            </w:r>
          </w:p>
        </w:tc>
      </w:tr>
      <w:tr w:rsidR="000729CF" w:rsidRPr="000729CF" w14:paraId="6779269B" w14:textId="77777777" w:rsidTr="00BC26AB">
        <w:trPr>
          <w:trHeight w:val="847"/>
        </w:trPr>
        <w:tc>
          <w:tcPr>
            <w:tcW w:w="10456" w:type="dxa"/>
          </w:tcPr>
          <w:p w14:paraId="17CE7C09" w14:textId="77777777" w:rsidR="000729CF" w:rsidRPr="000729CF" w:rsidRDefault="000729CF" w:rsidP="000729CF">
            <w:pPr>
              <w:spacing w:after="120"/>
              <w:ind w:left="360"/>
              <w:rPr>
                <w:rFonts w:ascii="Arial" w:eastAsia="Calibri" w:hAnsi="Arial" w:cs="Arial"/>
                <w:sz w:val="24"/>
                <w:szCs w:val="24"/>
              </w:rPr>
            </w:pPr>
            <w:r w:rsidRPr="000729CF">
              <w:rPr>
                <w:rFonts w:ascii="Arial" w:eastAsia="Calibri" w:hAnsi="Arial" w:cs="Arial"/>
                <w:sz w:val="24"/>
                <w:szCs w:val="24"/>
              </w:rPr>
              <w:t>SMART action 3: The Council will explore developing a complex needs in-house foster carer service to reduce reliance on more expensive independent provider provision.  This will happen within the next 6 months.</w:t>
            </w:r>
          </w:p>
        </w:tc>
      </w:tr>
    </w:tbl>
    <w:p w14:paraId="2DCAF122" w14:textId="77777777" w:rsidR="000729CF" w:rsidRPr="000729CF" w:rsidRDefault="000729CF" w:rsidP="000729CF">
      <w:pPr>
        <w:spacing w:after="160" w:line="259" w:lineRule="auto"/>
        <w:rPr>
          <w:rFonts w:ascii="Arial" w:eastAsia="Calibri" w:hAnsi="Arial" w:cs="Arial"/>
          <w:sz w:val="24"/>
          <w:szCs w:val="24"/>
          <w:lang w:val="en-GB"/>
        </w:rPr>
      </w:pPr>
    </w:p>
    <w:p w14:paraId="5D91839C"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Outcome of your assessment</w:t>
      </w:r>
    </w:p>
    <w:p w14:paraId="3272E4D8"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Based on the information above give the proposal an impact score between 1 – 5. </w:t>
      </w:r>
    </w:p>
    <w:p w14:paraId="7CC1FEE4"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1= proposal has minimal impact and/or mitigating actions will significantly minimise the impact</w:t>
      </w:r>
    </w:p>
    <w:p w14:paraId="395C7B85"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3= proposal will have a significant negative impact; however, mitigation actions will reduce the impact considerably.</w:t>
      </w:r>
    </w:p>
    <w:p w14:paraId="2BFB7F8D"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5= proposal has significant impact and mitigating actions will have limited effect on reducing impact.</w:t>
      </w:r>
    </w:p>
    <w:p w14:paraId="6A58FCB7" w14:textId="77777777" w:rsidR="000729CF" w:rsidRPr="000729CF" w:rsidRDefault="000729CF" w:rsidP="000729CF">
      <w:pPr>
        <w:rPr>
          <w:rFonts w:ascii="Arial" w:eastAsia="Calibri" w:hAnsi="Arial" w:cs="Arial"/>
          <w:sz w:val="24"/>
          <w:szCs w:val="24"/>
          <w:highlight w:val="yellow"/>
          <w:lang w:val="en-GB"/>
        </w:rPr>
      </w:pPr>
    </w:p>
    <w:tbl>
      <w:tblPr>
        <w:tblStyle w:val="TableGrid"/>
        <w:tblW w:w="0" w:type="auto"/>
        <w:tblLook w:val="04A0" w:firstRow="1" w:lastRow="0" w:firstColumn="1" w:lastColumn="0" w:noHBand="0" w:noVBand="1"/>
      </w:tblPr>
      <w:tblGrid>
        <w:gridCol w:w="3114"/>
        <w:gridCol w:w="7342"/>
      </w:tblGrid>
      <w:tr w:rsidR="000729CF" w:rsidRPr="000729CF" w14:paraId="54EFE7AE" w14:textId="77777777" w:rsidTr="00BC26AB">
        <w:trPr>
          <w:trHeight w:val="152"/>
        </w:trPr>
        <w:tc>
          <w:tcPr>
            <w:tcW w:w="3114" w:type="dxa"/>
          </w:tcPr>
          <w:p w14:paraId="72E3F70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Proposal’s impact score:</w:t>
            </w:r>
          </w:p>
        </w:tc>
        <w:tc>
          <w:tcPr>
            <w:tcW w:w="7342" w:type="dxa"/>
          </w:tcPr>
          <w:p w14:paraId="2E88E61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3</w:t>
            </w:r>
          </w:p>
        </w:tc>
      </w:tr>
    </w:tbl>
    <w:p w14:paraId="1297EA8F" w14:textId="77777777" w:rsidR="000729CF" w:rsidRPr="000729CF" w:rsidRDefault="000729CF" w:rsidP="000729CF">
      <w:pPr>
        <w:spacing w:after="160" w:line="259" w:lineRule="auto"/>
        <w:rPr>
          <w:rFonts w:ascii="Arial" w:eastAsia="Calibri" w:hAnsi="Arial" w:cs="Arial"/>
          <w:sz w:val="24"/>
          <w:szCs w:val="24"/>
          <w:lang w:val="en-GB"/>
        </w:rPr>
      </w:pPr>
    </w:p>
    <w:p w14:paraId="690E3C73"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Publication</w:t>
      </w:r>
    </w:p>
    <w:p w14:paraId="6231F313"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All Equality Impact Assessments will be published. If you are recommending, and choosing not to publish your EIA, please provide a reason:</w:t>
      </w:r>
    </w:p>
    <w:tbl>
      <w:tblPr>
        <w:tblStyle w:val="TableGrid"/>
        <w:tblW w:w="0" w:type="auto"/>
        <w:tblLook w:val="04A0" w:firstRow="1" w:lastRow="0" w:firstColumn="1" w:lastColumn="0" w:noHBand="0" w:noVBand="1"/>
      </w:tblPr>
      <w:tblGrid>
        <w:gridCol w:w="10456"/>
      </w:tblGrid>
      <w:tr w:rsidR="000729CF" w:rsidRPr="000729CF" w14:paraId="0B88B875" w14:textId="77777777" w:rsidTr="00BC26AB">
        <w:trPr>
          <w:trHeight w:val="803"/>
        </w:trPr>
        <w:tc>
          <w:tcPr>
            <w:tcW w:w="10456" w:type="dxa"/>
          </w:tcPr>
          <w:p w14:paraId="3146FDF0" w14:textId="77777777" w:rsidR="000729CF" w:rsidRPr="000729CF" w:rsidRDefault="000729CF" w:rsidP="000729CF">
            <w:pPr>
              <w:spacing w:after="120"/>
              <w:rPr>
                <w:rFonts w:ascii="Arial" w:eastAsia="Calibri" w:hAnsi="Arial" w:cs="Arial"/>
                <w:sz w:val="24"/>
                <w:szCs w:val="24"/>
              </w:rPr>
            </w:pPr>
          </w:p>
        </w:tc>
      </w:tr>
    </w:tbl>
    <w:p w14:paraId="171912EF" w14:textId="77777777" w:rsidR="000729CF" w:rsidRPr="000729CF" w:rsidRDefault="000729CF" w:rsidP="000729CF">
      <w:pPr>
        <w:spacing w:after="160" w:line="259" w:lineRule="auto"/>
        <w:rPr>
          <w:rFonts w:ascii="Arial" w:eastAsia="Calibri" w:hAnsi="Arial" w:cs="Arial"/>
          <w:sz w:val="24"/>
          <w:szCs w:val="24"/>
          <w:lang w:val="en-GB"/>
        </w:rPr>
      </w:pPr>
    </w:p>
    <w:p w14:paraId="37F817AB"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Directorate and Service Approval</w:t>
      </w:r>
    </w:p>
    <w:tbl>
      <w:tblPr>
        <w:tblStyle w:val="TableGrid"/>
        <w:tblW w:w="0" w:type="auto"/>
        <w:tblLook w:val="04A0" w:firstRow="1" w:lastRow="0" w:firstColumn="1" w:lastColumn="0" w:noHBand="0" w:noVBand="1"/>
      </w:tblPr>
      <w:tblGrid>
        <w:gridCol w:w="3681"/>
        <w:gridCol w:w="4394"/>
        <w:gridCol w:w="2381"/>
      </w:tblGrid>
      <w:tr w:rsidR="000729CF" w:rsidRPr="000729CF" w14:paraId="04421FC4" w14:textId="77777777" w:rsidTr="000729CF">
        <w:trPr>
          <w:trHeight w:val="20"/>
        </w:trPr>
        <w:tc>
          <w:tcPr>
            <w:tcW w:w="3681" w:type="dxa"/>
            <w:tcBorders>
              <w:bottom w:val="single" w:sz="4" w:space="0" w:color="auto"/>
            </w:tcBorders>
            <w:shd w:val="clear" w:color="auto" w:fill="D9D9D9"/>
          </w:tcPr>
          <w:p w14:paraId="43B0C17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6EFB54A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 and Job Title:</w:t>
            </w:r>
          </w:p>
        </w:tc>
        <w:tc>
          <w:tcPr>
            <w:tcW w:w="2381" w:type="dxa"/>
            <w:shd w:val="clear" w:color="auto" w:fill="D9D9D9"/>
          </w:tcPr>
          <w:p w14:paraId="3AEBD47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24E1A6D2" w14:textId="77777777" w:rsidTr="000729CF">
        <w:trPr>
          <w:trHeight w:val="20"/>
        </w:trPr>
        <w:tc>
          <w:tcPr>
            <w:tcW w:w="3681" w:type="dxa"/>
            <w:shd w:val="clear" w:color="auto" w:fill="E7E6E6"/>
          </w:tcPr>
          <w:p w14:paraId="77C9497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Responsible Lead Officer:</w:t>
            </w:r>
          </w:p>
        </w:tc>
        <w:tc>
          <w:tcPr>
            <w:tcW w:w="4394" w:type="dxa"/>
          </w:tcPr>
          <w:p w14:paraId="00143AF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Georgina Clarke-Green</w:t>
            </w:r>
          </w:p>
        </w:tc>
        <w:tc>
          <w:tcPr>
            <w:tcW w:w="2381" w:type="dxa"/>
          </w:tcPr>
          <w:p w14:paraId="2326DC6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19-01-24</w:t>
            </w:r>
          </w:p>
        </w:tc>
      </w:tr>
      <w:tr w:rsidR="000729CF" w:rsidRPr="000729CF" w14:paraId="5996D3D7" w14:textId="77777777" w:rsidTr="000729CF">
        <w:trPr>
          <w:trHeight w:val="20"/>
        </w:trPr>
        <w:tc>
          <w:tcPr>
            <w:tcW w:w="3681" w:type="dxa"/>
            <w:shd w:val="clear" w:color="auto" w:fill="E7E6E6"/>
          </w:tcPr>
          <w:p w14:paraId="7FC99A2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Accountable Manager:</w:t>
            </w:r>
          </w:p>
        </w:tc>
        <w:tc>
          <w:tcPr>
            <w:tcW w:w="4394" w:type="dxa"/>
          </w:tcPr>
          <w:p w14:paraId="742AEE0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Lorraine Hughes</w:t>
            </w:r>
          </w:p>
        </w:tc>
        <w:tc>
          <w:tcPr>
            <w:tcW w:w="2381" w:type="dxa"/>
          </w:tcPr>
          <w:p w14:paraId="2DF98CA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19-01-24</w:t>
            </w:r>
          </w:p>
        </w:tc>
      </w:tr>
    </w:tbl>
    <w:p w14:paraId="0A49B6C6" w14:textId="77777777" w:rsidR="000729CF" w:rsidRPr="000729CF" w:rsidRDefault="000729CF" w:rsidP="000729CF">
      <w:pPr>
        <w:spacing w:after="160" w:line="259" w:lineRule="auto"/>
        <w:rPr>
          <w:rFonts w:ascii="Arial" w:eastAsia="Calibri" w:hAnsi="Arial" w:cs="Arial"/>
          <w:sz w:val="18"/>
          <w:szCs w:val="18"/>
          <w:lang w:val="en-GB"/>
        </w:rPr>
      </w:pPr>
    </w:p>
    <w:p w14:paraId="48F59156" w14:textId="77777777" w:rsidR="000729CF" w:rsidRPr="000729CF" w:rsidRDefault="000729CF" w:rsidP="000729CF">
      <w:pPr>
        <w:keepNext/>
        <w:keepLines/>
        <w:spacing w:before="40" w:after="160" w:line="259" w:lineRule="auto"/>
        <w:outlineLvl w:val="2"/>
        <w:rPr>
          <w:rFonts w:ascii="Arial" w:hAnsi="Arial" w:cs="Arial"/>
          <w:b/>
          <w:bCs/>
          <w:color w:val="000000"/>
          <w:sz w:val="28"/>
          <w:szCs w:val="28"/>
          <w:lang w:val="en-GB"/>
        </w:rPr>
      </w:pPr>
      <w:r w:rsidRPr="000729CF">
        <w:rPr>
          <w:rFonts w:ascii="Arial" w:hAnsi="Arial" w:cs="Arial"/>
          <w:b/>
          <w:bCs/>
          <w:color w:val="000000"/>
          <w:sz w:val="28"/>
          <w:szCs w:val="28"/>
          <w:lang w:val="en-GB"/>
        </w:rPr>
        <w:t>EDI Review and Approval:</w:t>
      </w:r>
    </w:p>
    <w:p w14:paraId="0FD56E0E" w14:textId="77777777" w:rsidR="000729CF" w:rsidRPr="000729CF" w:rsidRDefault="000729CF" w:rsidP="000729CF">
      <w:pPr>
        <w:spacing w:after="160" w:line="259" w:lineRule="auto"/>
        <w:rPr>
          <w:rFonts w:ascii="Arial" w:eastAsia="Calibri" w:hAnsi="Arial" w:cs="Arial"/>
          <w:sz w:val="24"/>
          <w:szCs w:val="24"/>
          <w:lang w:val="en-GB"/>
        </w:rPr>
      </w:pPr>
    </w:p>
    <w:p w14:paraId="09EBD273" w14:textId="77777777" w:rsidR="000729CF" w:rsidRPr="000729CF" w:rsidRDefault="000729CF" w:rsidP="000729CF">
      <w:pPr>
        <w:keepNext/>
        <w:keepLines/>
        <w:spacing w:after="160" w:line="259" w:lineRule="auto"/>
        <w:ind w:left="283" w:hanging="283"/>
        <w:outlineLvl w:val="1"/>
        <w:rPr>
          <w:rFonts w:ascii="Arial" w:hAnsi="Arial" w:cs="Arial"/>
          <w:color w:val="2F5496"/>
          <w:sz w:val="24"/>
          <w:szCs w:val="24"/>
          <w:lang w:val="en-GB"/>
        </w:rPr>
      </w:pPr>
      <w:r w:rsidRPr="000729CF">
        <w:rPr>
          <w:rFonts w:ascii="Arial" w:hAnsi="Arial" w:cs="Arial"/>
          <w:color w:val="2F5496"/>
          <w:sz w:val="24"/>
          <w:szCs w:val="24"/>
          <w:lang w:val="en-GB"/>
        </w:rPr>
        <w:t>Equality Impact Assessment sign-off</w:t>
      </w:r>
    </w:p>
    <w:tbl>
      <w:tblPr>
        <w:tblStyle w:val="TableGrid"/>
        <w:tblW w:w="0" w:type="auto"/>
        <w:tblLook w:val="04A0" w:firstRow="1" w:lastRow="0" w:firstColumn="1" w:lastColumn="0" w:noHBand="0" w:noVBand="1"/>
      </w:tblPr>
      <w:tblGrid>
        <w:gridCol w:w="3681"/>
        <w:gridCol w:w="4394"/>
        <w:gridCol w:w="2381"/>
      </w:tblGrid>
      <w:tr w:rsidR="000729CF" w:rsidRPr="000729CF" w14:paraId="2C48707D" w14:textId="77777777" w:rsidTr="000729CF">
        <w:trPr>
          <w:trHeight w:val="20"/>
        </w:trPr>
        <w:tc>
          <w:tcPr>
            <w:tcW w:w="3681" w:type="dxa"/>
            <w:tcBorders>
              <w:bottom w:val="single" w:sz="4" w:space="0" w:color="auto"/>
            </w:tcBorders>
            <w:shd w:val="clear" w:color="auto" w:fill="D9D9D9"/>
          </w:tcPr>
          <w:p w14:paraId="36F5449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7A5450C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w:t>
            </w:r>
          </w:p>
        </w:tc>
        <w:tc>
          <w:tcPr>
            <w:tcW w:w="2381" w:type="dxa"/>
            <w:shd w:val="clear" w:color="auto" w:fill="D9D9D9"/>
          </w:tcPr>
          <w:p w14:paraId="0FAAF36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587ACE12" w14:textId="77777777" w:rsidTr="000729CF">
        <w:trPr>
          <w:trHeight w:val="20"/>
        </w:trPr>
        <w:tc>
          <w:tcPr>
            <w:tcW w:w="3681" w:type="dxa"/>
            <w:shd w:val="clear" w:color="auto" w:fill="E7E6E6"/>
          </w:tcPr>
          <w:p w14:paraId="72103C7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Head of Communities, Equality, and Third Sector (CETS) Service:</w:t>
            </w:r>
          </w:p>
        </w:tc>
        <w:tc>
          <w:tcPr>
            <w:tcW w:w="4394" w:type="dxa"/>
          </w:tcPr>
          <w:p w14:paraId="73ED290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Emma McDermott</w:t>
            </w:r>
          </w:p>
        </w:tc>
        <w:tc>
          <w:tcPr>
            <w:tcW w:w="2381" w:type="dxa"/>
          </w:tcPr>
          <w:p w14:paraId="6C4CC6F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22-01-24</w:t>
            </w:r>
          </w:p>
        </w:tc>
      </w:tr>
    </w:tbl>
    <w:p w14:paraId="7A40739C" w14:textId="77777777" w:rsidR="000729CF" w:rsidRPr="000729CF" w:rsidRDefault="000729CF" w:rsidP="000729CF">
      <w:pPr>
        <w:rPr>
          <w:rFonts w:ascii="Arial" w:eastAsia="Calibri" w:hAnsi="Arial" w:cs="Arial"/>
          <w:sz w:val="22"/>
          <w:szCs w:val="22"/>
          <w:lang w:val="en-GB"/>
        </w:rPr>
      </w:pPr>
    </w:p>
    <w:p w14:paraId="15A0172B" w14:textId="77777777" w:rsidR="000729CF" w:rsidRPr="000729CF" w:rsidRDefault="000729CF" w:rsidP="000729CF">
      <w:pPr>
        <w:spacing w:after="160" w:line="259" w:lineRule="auto"/>
        <w:rPr>
          <w:rFonts w:ascii="Arial" w:eastAsia="Calibri" w:hAnsi="Arial" w:cs="Arial"/>
          <w:b/>
          <w:bCs/>
          <w:sz w:val="24"/>
          <w:szCs w:val="24"/>
          <w:lang w:val="en-GB"/>
        </w:rPr>
      </w:pPr>
    </w:p>
    <w:p w14:paraId="39A58AE3" w14:textId="77777777" w:rsidR="000729CF" w:rsidRPr="000729CF" w:rsidRDefault="000729CF" w:rsidP="000729CF">
      <w:pPr>
        <w:spacing w:after="160" w:line="259" w:lineRule="auto"/>
        <w:rPr>
          <w:rFonts w:ascii="Arial" w:eastAsia="Calibri" w:hAnsi="Arial" w:cs="Arial"/>
          <w:sz w:val="24"/>
          <w:szCs w:val="24"/>
          <w:lang w:val="en-GB"/>
        </w:rPr>
      </w:pPr>
    </w:p>
    <w:p w14:paraId="1ECDFE22" w14:textId="77777777" w:rsidR="000729CF" w:rsidRPr="000729CF" w:rsidRDefault="000729CF" w:rsidP="000729CF">
      <w:pPr>
        <w:spacing w:after="160" w:line="259" w:lineRule="auto"/>
        <w:rPr>
          <w:rFonts w:ascii="Arial" w:eastAsia="Calibri" w:hAnsi="Arial" w:cs="Arial"/>
          <w:sz w:val="24"/>
          <w:szCs w:val="24"/>
          <w:lang w:val="en-GB"/>
        </w:rPr>
      </w:pPr>
    </w:p>
    <w:p w14:paraId="5F9B25C2"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br w:type="page"/>
      </w:r>
    </w:p>
    <w:p w14:paraId="5E046149" w14:textId="77777777" w:rsidR="000729CF" w:rsidRPr="000729CF" w:rsidRDefault="000729CF" w:rsidP="000729CF">
      <w:pPr>
        <w:keepNext/>
        <w:keepLines/>
        <w:spacing w:after="160" w:line="259" w:lineRule="auto"/>
        <w:outlineLvl w:val="0"/>
        <w:rPr>
          <w:rFonts w:ascii="Arial" w:hAnsi="Arial" w:cs="Arial"/>
          <w:b/>
          <w:bCs/>
          <w:color w:val="2F5496"/>
          <w:sz w:val="28"/>
          <w:szCs w:val="28"/>
          <w:lang w:val="en-GB"/>
        </w:rPr>
      </w:pPr>
      <w:r w:rsidRPr="000729CF">
        <w:rPr>
          <w:rFonts w:ascii="Arial" w:hAnsi="Arial" w:cs="Arial"/>
          <w:b/>
          <w:bCs/>
          <w:color w:val="2F5496"/>
          <w:sz w:val="28"/>
          <w:szCs w:val="28"/>
          <w:lang w:val="en-GB"/>
        </w:rPr>
        <w:t>Budget Equality Impact Assessment (EIA) 2024/25 – Service Users</w:t>
      </w:r>
    </w:p>
    <w:p w14:paraId="6915173E" w14:textId="77777777" w:rsidR="000729CF" w:rsidRPr="000729CF" w:rsidRDefault="000729CF" w:rsidP="000729CF">
      <w:pPr>
        <w:spacing w:after="160" w:line="259" w:lineRule="auto"/>
        <w:rPr>
          <w:rFonts w:ascii="Arial" w:eastAsia="Calibri" w:hAnsi="Arial" w:cs="Arial"/>
          <w:sz w:val="24"/>
          <w:szCs w:val="24"/>
          <w:lang w:val="en-GB"/>
        </w:rPr>
      </w:pPr>
    </w:p>
    <w:p w14:paraId="69298AAD" w14:textId="77777777" w:rsidR="000729CF" w:rsidRPr="000729CF" w:rsidRDefault="000729CF" w:rsidP="000729CF">
      <w:pPr>
        <w:keepNext/>
        <w:keepLines/>
        <w:spacing w:after="160" w:line="259" w:lineRule="auto"/>
        <w:ind w:left="720" w:hanging="360"/>
        <w:outlineLvl w:val="1"/>
        <w:rPr>
          <w:rFonts w:ascii="Arial" w:hAnsi="Arial" w:cs="Arial"/>
          <w:color w:val="2F5496"/>
          <w:sz w:val="24"/>
          <w:szCs w:val="24"/>
          <w:lang w:val="en-GB"/>
        </w:rPr>
      </w:pPr>
      <w:r w:rsidRPr="000729CF">
        <w:rPr>
          <w:rFonts w:ascii="Arial" w:hAnsi="Arial" w:cs="Arial"/>
          <w:color w:val="2F5496"/>
          <w:sz w:val="24"/>
          <w:szCs w:val="24"/>
          <w:lang w:val="en-GB"/>
        </w:rPr>
        <w:t xml:space="preserve">Budget Proposal </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6492"/>
      </w:tblGrid>
      <w:tr w:rsidR="000729CF" w:rsidRPr="000729CF" w14:paraId="1727AF09"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79B9F0ED"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Title of budget saving being assessed:</w:t>
            </w:r>
          </w:p>
        </w:tc>
        <w:tc>
          <w:tcPr>
            <w:tcW w:w="6492" w:type="dxa"/>
            <w:shd w:val="clear" w:color="auto" w:fill="auto"/>
          </w:tcPr>
          <w:p w14:paraId="6D5CAB62" w14:textId="77777777" w:rsidR="000729CF" w:rsidRPr="000729CF" w:rsidRDefault="000729CF" w:rsidP="000729CF">
            <w:pPr>
              <w:spacing w:after="12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School Improvement (Environmental Education)</w:t>
            </w:r>
          </w:p>
        </w:tc>
      </w:tr>
      <w:tr w:rsidR="000729CF" w:rsidRPr="000729CF" w14:paraId="7730C98A"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6872BD6A"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Name and title of officer responsible for this EIA: </w:t>
            </w:r>
          </w:p>
        </w:tc>
        <w:tc>
          <w:tcPr>
            <w:tcW w:w="6492" w:type="dxa"/>
            <w:shd w:val="clear" w:color="auto" w:fill="auto"/>
          </w:tcPr>
          <w:p w14:paraId="14D980D9"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729CF">
              <w:rPr>
                <w:rFonts w:ascii="Arial" w:hAnsi="Arial" w:cs="Arial"/>
                <w:sz w:val="24"/>
                <w:szCs w:val="24"/>
              </w:rPr>
              <w:t>Mark Storey, Head of Education Standards and Achievement</w:t>
            </w:r>
          </w:p>
        </w:tc>
      </w:tr>
      <w:tr w:rsidR="000729CF" w:rsidRPr="000729CF" w14:paraId="4DCB9BC7" w14:textId="77777777" w:rsidTr="000729CF">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25B0A2A1"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Directorate and Service Name: </w:t>
            </w:r>
          </w:p>
        </w:tc>
        <w:tc>
          <w:tcPr>
            <w:tcW w:w="6492" w:type="dxa"/>
            <w:shd w:val="clear" w:color="auto" w:fill="auto"/>
          </w:tcPr>
          <w:p w14:paraId="045BB8C2" w14:textId="77777777" w:rsidR="000729CF" w:rsidRPr="000729CF" w:rsidRDefault="000729CF" w:rsidP="000729CF">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Families, Children and Learning, Education and Skills</w:t>
            </w:r>
          </w:p>
        </w:tc>
      </w:tr>
      <w:tr w:rsidR="000729CF" w:rsidRPr="000729CF" w14:paraId="2F04DB7D"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17240F11"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Budget proposal no.</w:t>
            </w:r>
          </w:p>
        </w:tc>
        <w:tc>
          <w:tcPr>
            <w:tcW w:w="6492" w:type="dxa"/>
            <w:shd w:val="clear" w:color="auto" w:fill="auto"/>
          </w:tcPr>
          <w:p w14:paraId="5D62B69F"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729CF">
              <w:rPr>
                <w:rFonts w:ascii="Arial" w:hAnsi="Arial" w:cs="Arial"/>
                <w:sz w:val="24"/>
                <w:szCs w:val="24"/>
              </w:rPr>
              <w:t>4</w:t>
            </w:r>
          </w:p>
        </w:tc>
      </w:tr>
    </w:tbl>
    <w:p w14:paraId="68650933" w14:textId="77777777" w:rsidR="000729CF" w:rsidRPr="000729CF" w:rsidRDefault="000729CF" w:rsidP="000729CF">
      <w:pPr>
        <w:spacing w:after="160" w:line="259" w:lineRule="auto"/>
        <w:rPr>
          <w:rFonts w:ascii="Arial" w:eastAsia="Calibri" w:hAnsi="Arial" w:cs="Arial"/>
          <w:sz w:val="24"/>
          <w:szCs w:val="24"/>
          <w:lang w:val="en-GB"/>
        </w:rPr>
      </w:pPr>
    </w:p>
    <w:p w14:paraId="071ECB9D"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Briefly describe the budget saving proposal: (use the wording in the budget spreadsheet and more detail if needed)</w:t>
      </w:r>
    </w:p>
    <w:tbl>
      <w:tblPr>
        <w:tblStyle w:val="TableGrid"/>
        <w:tblW w:w="0" w:type="auto"/>
        <w:tblLook w:val="04A0" w:firstRow="1" w:lastRow="0" w:firstColumn="1" w:lastColumn="0" w:noHBand="0" w:noVBand="1"/>
      </w:tblPr>
      <w:tblGrid>
        <w:gridCol w:w="10456"/>
      </w:tblGrid>
      <w:tr w:rsidR="000729CF" w:rsidRPr="000729CF" w14:paraId="28D82FBC" w14:textId="77777777" w:rsidTr="00BC26AB">
        <w:trPr>
          <w:trHeight w:val="851"/>
        </w:trPr>
        <w:tc>
          <w:tcPr>
            <w:tcW w:w="10456" w:type="dxa"/>
            <w:tcBorders>
              <w:bottom w:val="single" w:sz="4" w:space="0" w:color="auto"/>
            </w:tcBorders>
          </w:tcPr>
          <w:p w14:paraId="4375F09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A total saving of £61,000 from a budget of £335,000 is proposed in the School Improvement budget.  This comprises:</w:t>
            </w:r>
          </w:p>
          <w:p w14:paraId="1E9BD7A7" w14:textId="77777777" w:rsidR="000729CF" w:rsidRPr="000729CF" w:rsidRDefault="000729CF" w:rsidP="00CE70A3">
            <w:pPr>
              <w:numPr>
                <w:ilvl w:val="0"/>
                <w:numId w:val="102"/>
              </w:numPr>
              <w:spacing w:after="120"/>
              <w:rPr>
                <w:rFonts w:ascii="Arial" w:eastAsia="Calibri" w:hAnsi="Arial" w:cs="Arial"/>
                <w:sz w:val="24"/>
                <w:szCs w:val="24"/>
              </w:rPr>
            </w:pPr>
            <w:r w:rsidRPr="000729CF">
              <w:rPr>
                <w:rFonts w:ascii="Arial" w:eastAsia="Calibri" w:hAnsi="Arial" w:cs="Arial"/>
                <w:sz w:val="24"/>
                <w:szCs w:val="24"/>
              </w:rPr>
              <w:t>£20,000 efficiency savings and new source of income.  This can be done with negligible impact on staff or service users.</w:t>
            </w:r>
          </w:p>
          <w:p w14:paraId="5BACF2BD" w14:textId="77777777" w:rsidR="000729CF" w:rsidRPr="000729CF" w:rsidRDefault="000729CF" w:rsidP="00CE70A3">
            <w:pPr>
              <w:numPr>
                <w:ilvl w:val="0"/>
                <w:numId w:val="102"/>
              </w:numPr>
              <w:spacing w:after="120"/>
              <w:rPr>
                <w:rFonts w:ascii="Arial" w:eastAsia="Calibri" w:hAnsi="Arial" w:cs="Arial"/>
                <w:sz w:val="24"/>
                <w:szCs w:val="24"/>
              </w:rPr>
            </w:pPr>
            <w:r w:rsidRPr="000729CF">
              <w:rPr>
                <w:rFonts w:ascii="Arial" w:eastAsia="Calibri" w:hAnsi="Arial" w:cs="Arial"/>
                <w:sz w:val="24"/>
                <w:szCs w:val="24"/>
              </w:rPr>
              <w:t>£41,000 on Environmental Education. This will impact on schools.</w:t>
            </w:r>
          </w:p>
          <w:p w14:paraId="14E92B08" w14:textId="77777777" w:rsidR="000729CF" w:rsidRPr="000729CF" w:rsidRDefault="000729CF" w:rsidP="000729CF">
            <w:pPr>
              <w:spacing w:after="120"/>
              <w:rPr>
                <w:rFonts w:ascii="Arial" w:eastAsia="Calibri" w:hAnsi="Arial" w:cs="Arial"/>
                <w:sz w:val="24"/>
                <w:szCs w:val="24"/>
              </w:rPr>
            </w:pPr>
            <w:r w:rsidRPr="000729CF">
              <w:rPr>
                <w:rFonts w:ascii="Arial" w:hAnsi="Arial" w:cs="Arial"/>
                <w:sz w:val="24"/>
                <w:szCs w:val="24"/>
              </w:rPr>
              <w:t xml:space="preserve">This EIA </w:t>
            </w:r>
            <w:r w:rsidRPr="000729CF">
              <w:rPr>
                <w:rFonts w:ascii="Arial" w:eastAsia="Calibri" w:hAnsi="Arial" w:cs="Arial"/>
                <w:sz w:val="24"/>
                <w:szCs w:val="24"/>
              </w:rPr>
              <w:t>refers to the Environmental Education budget saving only (£</w:t>
            </w:r>
            <w:r w:rsidRPr="000729CF">
              <w:rPr>
                <w:rFonts w:ascii="Arial" w:hAnsi="Arial" w:cs="Arial"/>
                <w:sz w:val="24"/>
                <w:szCs w:val="24"/>
              </w:rPr>
              <w:t>41,000 which is 100% of amount spent on Environmental Education).  This funds</w:t>
            </w:r>
            <w:r w:rsidRPr="000729CF">
              <w:rPr>
                <w:rFonts w:ascii="Arial" w:eastAsia="Calibri" w:hAnsi="Arial" w:cs="Arial"/>
                <w:sz w:val="24"/>
                <w:szCs w:val="24"/>
              </w:rPr>
              <w:t>:</w:t>
            </w:r>
          </w:p>
          <w:p w14:paraId="50249ABC" w14:textId="77777777" w:rsidR="000729CF" w:rsidRPr="000729CF" w:rsidRDefault="000729CF" w:rsidP="00CE70A3">
            <w:pPr>
              <w:numPr>
                <w:ilvl w:val="0"/>
                <w:numId w:val="103"/>
              </w:numPr>
              <w:contextualSpacing/>
              <w:rPr>
                <w:rFonts w:ascii="Arial" w:hAnsi="Arial" w:cs="Arial"/>
                <w:sz w:val="24"/>
                <w:szCs w:val="24"/>
              </w:rPr>
            </w:pPr>
            <w:r w:rsidRPr="000729CF">
              <w:rPr>
                <w:rFonts w:ascii="Arial" w:hAnsi="Arial" w:cs="Arial"/>
                <w:sz w:val="24"/>
                <w:szCs w:val="24"/>
              </w:rPr>
              <w:t xml:space="preserve">a part-time Environmental Education Officer who designs and delivers the city’s Climate Change, Sustainability and Environmental Education programme  </w:t>
            </w:r>
          </w:p>
          <w:p w14:paraId="27510D6B" w14:textId="77777777" w:rsidR="000729CF" w:rsidRPr="000729CF" w:rsidRDefault="000729CF" w:rsidP="00CE70A3">
            <w:pPr>
              <w:numPr>
                <w:ilvl w:val="0"/>
                <w:numId w:val="103"/>
              </w:numPr>
              <w:contextualSpacing/>
              <w:rPr>
                <w:rFonts w:ascii="Arial" w:hAnsi="Arial" w:cs="Arial"/>
                <w:sz w:val="24"/>
                <w:szCs w:val="24"/>
              </w:rPr>
            </w:pPr>
            <w:r w:rsidRPr="000729CF">
              <w:rPr>
                <w:rFonts w:ascii="Arial" w:hAnsi="Arial" w:cs="Arial"/>
                <w:sz w:val="24"/>
                <w:szCs w:val="24"/>
              </w:rPr>
              <w:t xml:space="preserve">training, advice and support to school leaders and teachers </w:t>
            </w:r>
          </w:p>
          <w:p w14:paraId="6B7C83A8" w14:textId="77777777" w:rsidR="000729CF" w:rsidRPr="000729CF" w:rsidRDefault="000729CF" w:rsidP="00CE70A3">
            <w:pPr>
              <w:numPr>
                <w:ilvl w:val="0"/>
                <w:numId w:val="103"/>
              </w:numPr>
              <w:contextualSpacing/>
              <w:rPr>
                <w:rFonts w:ascii="Arial" w:hAnsi="Arial" w:cs="Arial"/>
                <w:sz w:val="24"/>
                <w:szCs w:val="24"/>
              </w:rPr>
            </w:pPr>
            <w:r w:rsidRPr="000729CF">
              <w:rPr>
                <w:rFonts w:ascii="Arial" w:hAnsi="Arial" w:cs="Arial"/>
                <w:sz w:val="24"/>
                <w:szCs w:val="24"/>
              </w:rPr>
              <w:t xml:space="preserve">the development and regular updating of a dedicated </w:t>
            </w:r>
            <w:hyperlink r:id="rId34" w:history="1">
              <w:r w:rsidRPr="000729CF">
                <w:rPr>
                  <w:rFonts w:ascii="Arial" w:hAnsi="Arial" w:cs="Arial"/>
                  <w:color w:val="0563C1"/>
                  <w:sz w:val="24"/>
                  <w:szCs w:val="24"/>
                  <w:u w:val="single"/>
                </w:rPr>
                <w:t>website</w:t>
              </w:r>
            </w:hyperlink>
            <w:r w:rsidRPr="000729CF">
              <w:rPr>
                <w:rFonts w:ascii="Arial" w:hAnsi="Arial" w:cs="Arial"/>
                <w:sz w:val="24"/>
                <w:szCs w:val="24"/>
              </w:rPr>
              <w:t xml:space="preserve"> </w:t>
            </w:r>
            <w:r w:rsidRPr="000729CF">
              <w:rPr>
                <w:rFonts w:ascii="Arial" w:eastAsia="Calibri" w:hAnsi="Arial" w:cs="Arial"/>
                <w:sz w:val="24"/>
                <w:szCs w:val="24"/>
              </w:rPr>
              <w:t xml:space="preserve">to share </w:t>
            </w:r>
            <w:r w:rsidRPr="000729CF">
              <w:rPr>
                <w:rFonts w:ascii="Arial" w:hAnsi="Arial" w:cs="Arial"/>
                <w:sz w:val="24"/>
                <w:szCs w:val="24"/>
              </w:rPr>
              <w:t>resources and best practice</w:t>
            </w:r>
          </w:p>
          <w:p w14:paraId="22D3B04E" w14:textId="77777777" w:rsidR="000729CF" w:rsidRPr="000729CF" w:rsidRDefault="000729CF" w:rsidP="00CE70A3">
            <w:pPr>
              <w:numPr>
                <w:ilvl w:val="0"/>
                <w:numId w:val="103"/>
              </w:numPr>
              <w:contextualSpacing/>
              <w:rPr>
                <w:rFonts w:ascii="Arial" w:hAnsi="Arial" w:cs="Arial"/>
                <w:sz w:val="24"/>
                <w:szCs w:val="24"/>
              </w:rPr>
            </w:pPr>
            <w:r w:rsidRPr="000729CF">
              <w:rPr>
                <w:rFonts w:ascii="Arial" w:hAnsi="Arial" w:cs="Arial"/>
                <w:sz w:val="24"/>
                <w:szCs w:val="24"/>
              </w:rPr>
              <w:t>opportunities for school staff and pupils from across the city to network with each other and external organisations to initiate change</w:t>
            </w:r>
          </w:p>
          <w:p w14:paraId="2E1F65F2" w14:textId="77777777" w:rsidR="000729CF" w:rsidRPr="000729CF" w:rsidRDefault="000729CF" w:rsidP="000729CF">
            <w:pPr>
              <w:spacing w:after="120"/>
              <w:ind w:left="720"/>
              <w:rPr>
                <w:rFonts w:ascii="Arial" w:eastAsia="Calibri" w:hAnsi="Arial" w:cs="Arial"/>
                <w:sz w:val="24"/>
                <w:szCs w:val="24"/>
              </w:rPr>
            </w:pPr>
          </w:p>
          <w:p w14:paraId="0596C4F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It does not provide a service directly to children and young people or the public.  </w:t>
            </w:r>
          </w:p>
          <w:p w14:paraId="040E04B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There is no statutory requirement for schools to provide environment and sustainability education. The content and breadth is not stipulated in any way. Schools will however still continue to provide environmental </w:t>
            </w:r>
            <w:proofErr w:type="gramStart"/>
            <w:r w:rsidRPr="000729CF">
              <w:rPr>
                <w:rFonts w:ascii="Arial" w:eastAsia="Calibri" w:hAnsi="Arial" w:cs="Arial"/>
                <w:sz w:val="24"/>
                <w:szCs w:val="24"/>
              </w:rPr>
              <w:t>education,</w:t>
            </w:r>
            <w:proofErr w:type="gramEnd"/>
            <w:r w:rsidRPr="000729CF">
              <w:rPr>
                <w:rFonts w:ascii="Arial" w:eastAsia="Calibri" w:hAnsi="Arial" w:cs="Arial"/>
                <w:sz w:val="24"/>
                <w:szCs w:val="24"/>
              </w:rPr>
              <w:t xml:space="preserve"> however it will no longer be co-ordinated centrally and teachers will not have the support of an expert council officer.</w:t>
            </w:r>
          </w:p>
        </w:tc>
      </w:tr>
      <w:tr w:rsidR="000729CF" w:rsidRPr="000729CF" w14:paraId="45A8DCF0" w14:textId="77777777" w:rsidTr="00BC26AB">
        <w:trPr>
          <w:trHeight w:val="851"/>
        </w:trPr>
        <w:tc>
          <w:tcPr>
            <w:tcW w:w="10456" w:type="dxa"/>
            <w:tcBorders>
              <w:left w:val="nil"/>
              <w:right w:val="nil"/>
            </w:tcBorders>
          </w:tcPr>
          <w:p w14:paraId="08AC02D0" w14:textId="77777777" w:rsidR="000729CF" w:rsidRPr="000729CF" w:rsidRDefault="000729CF" w:rsidP="000729CF">
            <w:pPr>
              <w:spacing w:after="120"/>
              <w:rPr>
                <w:rFonts w:ascii="Arial" w:eastAsia="Calibri" w:hAnsi="Arial" w:cs="Arial"/>
                <w:sz w:val="24"/>
                <w:szCs w:val="24"/>
              </w:rPr>
            </w:pPr>
          </w:p>
          <w:p w14:paraId="49F48BE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Summarise the most significant impacts identified by this assessment including which groups will be disproportionally negatively affected drawing out intersectional impacts as applicable:</w:t>
            </w:r>
          </w:p>
        </w:tc>
      </w:tr>
      <w:tr w:rsidR="000729CF" w:rsidRPr="000729CF" w14:paraId="78E50C5C" w14:textId="77777777" w:rsidTr="00BC26AB">
        <w:trPr>
          <w:trHeight w:val="851"/>
        </w:trPr>
        <w:tc>
          <w:tcPr>
            <w:tcW w:w="10456" w:type="dxa"/>
          </w:tcPr>
          <w:p w14:paraId="7A30B4D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This saving may impact on children and young people as it contributes to their education and helps to give them a voice in an area that is a huge concern to many of them. </w:t>
            </w:r>
          </w:p>
          <w:p w14:paraId="3997355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We cannot measure the impact as there is no GCSE or other assessment of pupils in this area.</w:t>
            </w:r>
          </w:p>
        </w:tc>
      </w:tr>
    </w:tbl>
    <w:p w14:paraId="06181E83" w14:textId="77777777" w:rsidR="000729CF" w:rsidRPr="000729CF" w:rsidRDefault="000729CF" w:rsidP="000729CF">
      <w:pPr>
        <w:rPr>
          <w:rFonts w:ascii="Arial" w:eastAsia="Calibri" w:hAnsi="Arial" w:cs="Arial"/>
          <w:sz w:val="24"/>
          <w:szCs w:val="24"/>
          <w:lang w:val="en-GB"/>
        </w:rPr>
      </w:pPr>
    </w:p>
    <w:p w14:paraId="66572915"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Consultation, engagement and supporting EIAs</w:t>
      </w:r>
    </w:p>
    <w:p w14:paraId="38CFEBE3"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consultations or engagement activities are being used to inform this assessment? </w:t>
      </w:r>
    </w:p>
    <w:p w14:paraId="1B993477"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If consultation is planned or in process – state this and state when it will done/completed even if indicative. If no consultation completed or planned, state this, giving an explanation. </w:t>
      </w:r>
    </w:p>
    <w:tbl>
      <w:tblPr>
        <w:tblStyle w:val="TableGrid"/>
        <w:tblW w:w="0" w:type="auto"/>
        <w:tblLook w:val="04A0" w:firstRow="1" w:lastRow="0" w:firstColumn="1" w:lastColumn="0" w:noHBand="0" w:noVBand="1"/>
      </w:tblPr>
      <w:tblGrid>
        <w:gridCol w:w="10456"/>
      </w:tblGrid>
      <w:tr w:rsidR="000729CF" w:rsidRPr="000729CF" w14:paraId="422D6633" w14:textId="77777777" w:rsidTr="00BC26AB">
        <w:trPr>
          <w:trHeight w:val="871"/>
        </w:trPr>
        <w:tc>
          <w:tcPr>
            <w:tcW w:w="10456" w:type="dxa"/>
          </w:tcPr>
          <w:p w14:paraId="5F7E7A4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This saving was proposed in January 2024 so there has been insufficient time for detailed consultation. We expect schools and young people to object to the proposal.</w:t>
            </w:r>
          </w:p>
          <w:p w14:paraId="1225760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There will be consultation as part of the appropriate HR process when deleting a post.  This includes consultation with post holder. </w:t>
            </w:r>
          </w:p>
        </w:tc>
      </w:tr>
    </w:tbl>
    <w:p w14:paraId="62B677D6" w14:textId="77777777" w:rsidR="000729CF" w:rsidRPr="000729CF" w:rsidRDefault="000729CF" w:rsidP="000729CF">
      <w:pPr>
        <w:spacing w:after="160" w:line="259" w:lineRule="auto"/>
        <w:rPr>
          <w:rFonts w:ascii="Arial" w:eastAsia="Calibri" w:hAnsi="Arial" w:cs="Arial"/>
          <w:sz w:val="24"/>
          <w:szCs w:val="24"/>
          <w:lang w:val="en-GB"/>
        </w:rPr>
      </w:pPr>
    </w:p>
    <w:p w14:paraId="0D202742"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other budget or service EIAs can assist/have been used to inform this assessment?</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0729CF" w:rsidRPr="000729CF" w14:paraId="733391E0"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shd w:val="clear" w:color="auto" w:fill="FFFFFF"/>
          </w:tcPr>
          <w:p w14:paraId="258ED2A4"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None</w:t>
            </w:r>
          </w:p>
        </w:tc>
      </w:tr>
    </w:tbl>
    <w:p w14:paraId="1C703656" w14:textId="77777777" w:rsidR="000729CF" w:rsidRPr="000729CF" w:rsidRDefault="000729CF" w:rsidP="000729CF">
      <w:pPr>
        <w:spacing w:after="160" w:line="259" w:lineRule="auto"/>
        <w:rPr>
          <w:rFonts w:ascii="Arial" w:eastAsia="Calibri" w:hAnsi="Arial" w:cs="Arial"/>
          <w:sz w:val="24"/>
          <w:szCs w:val="24"/>
          <w:lang w:val="en-GB"/>
        </w:rPr>
      </w:pPr>
    </w:p>
    <w:p w14:paraId="17E153BE"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Current data and impact monitoring</w:t>
      </w:r>
    </w:p>
    <w:p w14:paraId="3A5652FA"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Do you currently collect and analyse the following data to enable monitoring of the impact of this proposal? </w:t>
      </w:r>
    </w:p>
    <w:p w14:paraId="1CBA0814"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Consider all possible intersections (Delete and State Yes, No, Not Applicable)</w:t>
      </w:r>
    </w:p>
    <w:tbl>
      <w:tblPr>
        <w:tblStyle w:val="TableGrid"/>
        <w:tblW w:w="10485" w:type="dxa"/>
        <w:tblLook w:val="04A0" w:firstRow="1" w:lastRow="0" w:firstColumn="1" w:lastColumn="0" w:noHBand="0" w:noVBand="1"/>
      </w:tblPr>
      <w:tblGrid>
        <w:gridCol w:w="6658"/>
        <w:gridCol w:w="3827"/>
      </w:tblGrid>
      <w:tr w:rsidR="000729CF" w:rsidRPr="000729CF" w14:paraId="7E01169D" w14:textId="77777777" w:rsidTr="000729CF">
        <w:trPr>
          <w:trHeight w:val="310"/>
        </w:trPr>
        <w:tc>
          <w:tcPr>
            <w:tcW w:w="6658" w:type="dxa"/>
            <w:shd w:val="clear" w:color="auto" w:fill="E7E6E6"/>
          </w:tcPr>
          <w:p w14:paraId="27D4B72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Age</w:t>
            </w:r>
          </w:p>
        </w:tc>
        <w:tc>
          <w:tcPr>
            <w:tcW w:w="3827" w:type="dxa"/>
          </w:tcPr>
          <w:p w14:paraId="2682ABA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795EAC50" w14:textId="77777777" w:rsidTr="000729CF">
        <w:trPr>
          <w:trHeight w:val="20"/>
        </w:trPr>
        <w:tc>
          <w:tcPr>
            <w:tcW w:w="6658" w:type="dxa"/>
            <w:shd w:val="clear" w:color="auto" w:fill="E7E6E6"/>
          </w:tcPr>
          <w:p w14:paraId="0ACD6E2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Disability and inclusive adjustments, coverage under equality act and not</w:t>
            </w:r>
          </w:p>
        </w:tc>
        <w:tc>
          <w:tcPr>
            <w:tcW w:w="3827" w:type="dxa"/>
          </w:tcPr>
          <w:p w14:paraId="0607EEB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438A5289" w14:textId="77777777" w:rsidTr="000729CF">
        <w:trPr>
          <w:trHeight w:val="20"/>
        </w:trPr>
        <w:tc>
          <w:tcPr>
            <w:tcW w:w="6658" w:type="dxa"/>
            <w:shd w:val="clear" w:color="auto" w:fill="E7E6E6"/>
          </w:tcPr>
          <w:p w14:paraId="4005693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Ethnicity, ‘Race’, ethnic heritage (including Gypsy, Roma, Travellers)</w:t>
            </w:r>
          </w:p>
        </w:tc>
        <w:tc>
          <w:tcPr>
            <w:tcW w:w="3827" w:type="dxa"/>
          </w:tcPr>
          <w:p w14:paraId="2AA2D32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58D81259" w14:textId="77777777" w:rsidTr="000729CF">
        <w:trPr>
          <w:trHeight w:val="20"/>
        </w:trPr>
        <w:tc>
          <w:tcPr>
            <w:tcW w:w="6658" w:type="dxa"/>
            <w:shd w:val="clear" w:color="auto" w:fill="E7E6E6"/>
          </w:tcPr>
          <w:p w14:paraId="2C8D186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Religion, Belief, Spirituality, Faith, or Atheism</w:t>
            </w:r>
          </w:p>
        </w:tc>
        <w:tc>
          <w:tcPr>
            <w:tcW w:w="3827" w:type="dxa"/>
          </w:tcPr>
          <w:p w14:paraId="3BEEF27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21D8FC74" w14:textId="77777777" w:rsidTr="000729CF">
        <w:trPr>
          <w:trHeight w:val="20"/>
        </w:trPr>
        <w:tc>
          <w:tcPr>
            <w:tcW w:w="6658" w:type="dxa"/>
            <w:shd w:val="clear" w:color="auto" w:fill="E7E6E6"/>
          </w:tcPr>
          <w:p w14:paraId="7444C1B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Identity and Sex (including non-binary and Intersex people)</w:t>
            </w:r>
          </w:p>
        </w:tc>
        <w:tc>
          <w:tcPr>
            <w:tcW w:w="3827" w:type="dxa"/>
          </w:tcPr>
          <w:p w14:paraId="0CC94E9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4341557E" w14:textId="77777777" w:rsidTr="000729CF">
        <w:trPr>
          <w:trHeight w:val="20"/>
        </w:trPr>
        <w:tc>
          <w:tcPr>
            <w:tcW w:w="6658" w:type="dxa"/>
            <w:shd w:val="clear" w:color="auto" w:fill="E7E6E6"/>
          </w:tcPr>
          <w:p w14:paraId="1C59C2D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3827" w:type="dxa"/>
          </w:tcPr>
          <w:p w14:paraId="3A9362C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2F6063D5" w14:textId="77777777" w:rsidTr="000729CF">
        <w:trPr>
          <w:trHeight w:val="20"/>
        </w:trPr>
        <w:tc>
          <w:tcPr>
            <w:tcW w:w="6658" w:type="dxa"/>
            <w:shd w:val="clear" w:color="auto" w:fill="E7E6E6"/>
          </w:tcPr>
          <w:p w14:paraId="3C799D8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3827" w:type="dxa"/>
          </w:tcPr>
          <w:p w14:paraId="209C832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5D76613A" w14:textId="77777777" w:rsidTr="000729CF">
        <w:trPr>
          <w:trHeight w:val="20"/>
        </w:trPr>
        <w:tc>
          <w:tcPr>
            <w:tcW w:w="6658" w:type="dxa"/>
            <w:shd w:val="clear" w:color="auto" w:fill="E7E6E6"/>
          </w:tcPr>
          <w:p w14:paraId="1FE2B51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3827" w:type="dxa"/>
          </w:tcPr>
          <w:p w14:paraId="574A6E4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2C9A80BD" w14:textId="77777777" w:rsidTr="000729CF">
        <w:trPr>
          <w:trHeight w:val="20"/>
        </w:trPr>
        <w:tc>
          <w:tcPr>
            <w:tcW w:w="6658" w:type="dxa"/>
            <w:shd w:val="clear" w:color="auto" w:fill="E7E6E6"/>
          </w:tcPr>
          <w:p w14:paraId="217CE56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Pregnant people, Maternity, Paternity, Adoption, Menopause, (In)fertility (across the gender spectrum)</w:t>
            </w:r>
          </w:p>
        </w:tc>
        <w:tc>
          <w:tcPr>
            <w:tcW w:w="3827" w:type="dxa"/>
          </w:tcPr>
          <w:p w14:paraId="4F7A945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77711CD9" w14:textId="77777777" w:rsidTr="000729CF">
        <w:trPr>
          <w:trHeight w:val="20"/>
        </w:trPr>
        <w:tc>
          <w:tcPr>
            <w:tcW w:w="6658" w:type="dxa"/>
            <w:shd w:val="clear" w:color="auto" w:fill="E7E6E6"/>
          </w:tcPr>
          <w:p w14:paraId="3E499B0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3827" w:type="dxa"/>
          </w:tcPr>
          <w:p w14:paraId="28CDBA4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7C2EA22C" w14:textId="77777777" w:rsidTr="000729CF">
        <w:trPr>
          <w:trHeight w:val="20"/>
        </w:trPr>
        <w:tc>
          <w:tcPr>
            <w:tcW w:w="6658" w:type="dxa"/>
            <w:shd w:val="clear" w:color="auto" w:fill="E7E6E6"/>
          </w:tcPr>
          <w:p w14:paraId="496C9ADB" w14:textId="77777777" w:rsidR="000729CF" w:rsidRPr="000729CF" w:rsidRDefault="000729CF" w:rsidP="000729CF">
            <w:pPr>
              <w:spacing w:after="120"/>
              <w:rPr>
                <w:rFonts w:ascii="Arial" w:hAnsi="Arial" w:cs="Arial"/>
                <w:b/>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p>
        </w:tc>
        <w:tc>
          <w:tcPr>
            <w:tcW w:w="3827" w:type="dxa"/>
          </w:tcPr>
          <w:p w14:paraId="667D9E4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1682D146" w14:textId="77777777" w:rsidTr="000729CF">
        <w:trPr>
          <w:trHeight w:val="20"/>
        </w:trPr>
        <w:tc>
          <w:tcPr>
            <w:tcW w:w="6658" w:type="dxa"/>
            <w:shd w:val="clear" w:color="auto" w:fill="E7E6E6"/>
          </w:tcPr>
          <w:p w14:paraId="241066A6" w14:textId="77777777" w:rsidR="000729CF" w:rsidRPr="000729CF" w:rsidRDefault="000729CF" w:rsidP="000729CF">
            <w:pPr>
              <w:spacing w:after="120"/>
              <w:rPr>
                <w:rFonts w:ascii="Arial" w:hAnsi="Arial" w:cs="Arial"/>
                <w:b/>
                <w:sz w:val="24"/>
                <w:szCs w:val="24"/>
              </w:rPr>
            </w:pPr>
            <w:r w:rsidRPr="000729CF">
              <w:rPr>
                <w:rFonts w:ascii="Arial" w:eastAsia="Calibri" w:hAnsi="Arial" w:cs="Arial"/>
                <w:b/>
                <w:bCs/>
                <w:color w:val="000000"/>
                <w:sz w:val="24"/>
                <w:szCs w:val="24"/>
              </w:rPr>
              <w:t>Carers</w:t>
            </w:r>
          </w:p>
        </w:tc>
        <w:tc>
          <w:tcPr>
            <w:tcW w:w="3827" w:type="dxa"/>
          </w:tcPr>
          <w:p w14:paraId="243EC11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1A2D8339" w14:textId="77777777" w:rsidTr="000729CF">
        <w:trPr>
          <w:trHeight w:val="20"/>
        </w:trPr>
        <w:tc>
          <w:tcPr>
            <w:tcW w:w="6658" w:type="dxa"/>
            <w:shd w:val="clear" w:color="auto" w:fill="E7E6E6"/>
          </w:tcPr>
          <w:p w14:paraId="33A32134"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Looked after children, Care Leavers, Care and fostering experienced people</w:t>
            </w:r>
          </w:p>
        </w:tc>
        <w:tc>
          <w:tcPr>
            <w:tcW w:w="3827" w:type="dxa"/>
          </w:tcPr>
          <w:p w14:paraId="143D994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229884AC" w14:textId="77777777" w:rsidTr="000729CF">
        <w:trPr>
          <w:trHeight w:val="20"/>
        </w:trPr>
        <w:tc>
          <w:tcPr>
            <w:tcW w:w="6658" w:type="dxa"/>
            <w:shd w:val="clear" w:color="auto" w:fill="E7E6E6"/>
          </w:tcPr>
          <w:p w14:paraId="5F0FDA0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 and people in vulnerable situations (All aspects and intersections)</w:t>
            </w:r>
          </w:p>
        </w:tc>
        <w:tc>
          <w:tcPr>
            <w:tcW w:w="3827" w:type="dxa"/>
          </w:tcPr>
          <w:p w14:paraId="7E2D155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1308A638" w14:textId="77777777" w:rsidTr="000729CF">
        <w:trPr>
          <w:trHeight w:val="20"/>
        </w:trPr>
        <w:tc>
          <w:tcPr>
            <w:tcW w:w="6658" w:type="dxa"/>
            <w:shd w:val="clear" w:color="auto" w:fill="E7E6E6"/>
          </w:tcPr>
          <w:p w14:paraId="50267AD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Socio-economic Disadvantage</w:t>
            </w:r>
          </w:p>
        </w:tc>
        <w:tc>
          <w:tcPr>
            <w:tcW w:w="3827" w:type="dxa"/>
          </w:tcPr>
          <w:p w14:paraId="6F43B1C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0FDFC78C" w14:textId="77777777" w:rsidTr="000729CF">
        <w:trPr>
          <w:trHeight w:val="20"/>
        </w:trPr>
        <w:tc>
          <w:tcPr>
            <w:tcW w:w="6658" w:type="dxa"/>
            <w:shd w:val="clear" w:color="auto" w:fill="E7E6E6"/>
          </w:tcPr>
          <w:p w14:paraId="4DDD745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Homelessness and associated risk and vulnerability</w:t>
            </w:r>
          </w:p>
        </w:tc>
        <w:tc>
          <w:tcPr>
            <w:tcW w:w="3827" w:type="dxa"/>
          </w:tcPr>
          <w:p w14:paraId="43C5A1D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6E542444" w14:textId="77777777" w:rsidTr="000729CF">
        <w:trPr>
          <w:trHeight w:val="20"/>
        </w:trPr>
        <w:tc>
          <w:tcPr>
            <w:tcW w:w="6658" w:type="dxa"/>
            <w:shd w:val="clear" w:color="auto" w:fill="E7E6E6"/>
          </w:tcPr>
          <w:p w14:paraId="16F7100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3827" w:type="dxa"/>
          </w:tcPr>
          <w:p w14:paraId="1F2F22B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7E9C0224" w14:textId="77777777" w:rsidTr="000729CF">
        <w:trPr>
          <w:trHeight w:val="20"/>
        </w:trPr>
        <w:tc>
          <w:tcPr>
            <w:tcW w:w="6658" w:type="dxa"/>
            <w:shd w:val="clear" w:color="auto" w:fill="E7E6E6"/>
          </w:tcPr>
          <w:p w14:paraId="2D0037B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Children and Young People</w:t>
            </w:r>
          </w:p>
        </w:tc>
        <w:tc>
          <w:tcPr>
            <w:tcW w:w="3827" w:type="dxa"/>
          </w:tcPr>
          <w:p w14:paraId="7C6660C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bl>
    <w:p w14:paraId="420B1A7C" w14:textId="77777777" w:rsidR="000729CF" w:rsidRPr="000729CF" w:rsidRDefault="000729CF" w:rsidP="000729CF">
      <w:pPr>
        <w:rPr>
          <w:rFonts w:ascii="Arial" w:eastAsia="Calibri" w:hAnsi="Arial" w:cs="Arial"/>
          <w:sz w:val="24"/>
          <w:szCs w:val="24"/>
          <w:lang w:val="en-GB"/>
        </w:rPr>
      </w:pPr>
    </w:p>
    <w:p w14:paraId="3F03E72E"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13C8AB47"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145F74EC"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2D154911"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24A0E805"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4BF1CF4C"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16AA7B64"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254C6A92"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7FA12233"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63AA0373"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0C53359C" w14:textId="77777777" w:rsidR="000729CF" w:rsidRPr="000729CF" w:rsidRDefault="000729CF" w:rsidP="000729CF">
      <w:pPr>
        <w:rPr>
          <w:rFonts w:ascii="Arial" w:eastAsia="Calibri" w:hAnsi="Arial" w:cs="Arial"/>
          <w:sz w:val="24"/>
          <w:szCs w:val="24"/>
          <w:lang w:val="en-GB"/>
        </w:rPr>
      </w:pPr>
    </w:p>
    <w:p w14:paraId="6F3C6B8C"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If you answered “NO” to any of the above, how will you gather this data to enable improved monitoring of impact for this proposal?</w:t>
      </w:r>
    </w:p>
    <w:tbl>
      <w:tblPr>
        <w:tblStyle w:val="TableGrid"/>
        <w:tblW w:w="0" w:type="auto"/>
        <w:tblLook w:val="04A0" w:firstRow="1" w:lastRow="0" w:firstColumn="1" w:lastColumn="0" w:noHBand="0" w:noVBand="1"/>
      </w:tblPr>
      <w:tblGrid>
        <w:gridCol w:w="10456"/>
      </w:tblGrid>
      <w:tr w:rsidR="000729CF" w:rsidRPr="000729CF" w14:paraId="48A82318" w14:textId="77777777" w:rsidTr="00BC26AB">
        <w:trPr>
          <w:trHeight w:val="757"/>
        </w:trPr>
        <w:tc>
          <w:tcPr>
            <w:tcW w:w="10456" w:type="dxa"/>
          </w:tcPr>
          <w:p w14:paraId="7BF6DDC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bl>
    <w:p w14:paraId="755721EA" w14:textId="77777777" w:rsidR="000729CF" w:rsidRPr="000729CF" w:rsidRDefault="000729CF" w:rsidP="000729CF">
      <w:pPr>
        <w:rPr>
          <w:rFonts w:ascii="Arial" w:eastAsia="Calibri" w:hAnsi="Arial" w:cs="Arial"/>
          <w:sz w:val="24"/>
          <w:szCs w:val="24"/>
          <w:lang w:val="en-GB"/>
        </w:rPr>
      </w:pPr>
    </w:p>
    <w:p w14:paraId="2ABCF1D0"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are the arrangements for monitoring, and reviewing the impact of this proposal?</w:t>
      </w:r>
    </w:p>
    <w:tbl>
      <w:tblPr>
        <w:tblStyle w:val="TableGrid"/>
        <w:tblW w:w="0" w:type="auto"/>
        <w:tblLook w:val="04A0" w:firstRow="1" w:lastRow="0" w:firstColumn="1" w:lastColumn="0" w:noHBand="0" w:noVBand="1"/>
      </w:tblPr>
      <w:tblGrid>
        <w:gridCol w:w="10456"/>
      </w:tblGrid>
      <w:tr w:rsidR="000729CF" w:rsidRPr="000729CF" w14:paraId="5DCDCEB6" w14:textId="77777777" w:rsidTr="00BC26AB">
        <w:trPr>
          <w:trHeight w:val="757"/>
        </w:trPr>
        <w:tc>
          <w:tcPr>
            <w:tcW w:w="10456" w:type="dxa"/>
          </w:tcPr>
          <w:p w14:paraId="2D95904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We will meet with the headteachers from the Brighton &amp; Hove Education Partnership in 2024/25 to hear their feedback on the impact of this saving.</w:t>
            </w:r>
          </w:p>
        </w:tc>
      </w:tr>
    </w:tbl>
    <w:p w14:paraId="3B7FF5CF" w14:textId="77777777" w:rsidR="000729CF" w:rsidRPr="000729CF" w:rsidRDefault="000729CF" w:rsidP="000729CF">
      <w:pPr>
        <w:rPr>
          <w:rFonts w:ascii="Arial" w:eastAsia="Calibri" w:hAnsi="Arial" w:cs="Arial"/>
          <w:sz w:val="24"/>
          <w:szCs w:val="24"/>
          <w:lang w:val="en-GB"/>
        </w:rPr>
      </w:pPr>
    </w:p>
    <w:p w14:paraId="3705C9EF" w14:textId="77777777" w:rsidR="000729CF" w:rsidRPr="000729CF" w:rsidRDefault="000729CF" w:rsidP="000729CF">
      <w:pPr>
        <w:rPr>
          <w:rFonts w:ascii="Arial" w:eastAsia="Calibri" w:hAnsi="Arial" w:cs="Arial"/>
          <w:sz w:val="24"/>
          <w:szCs w:val="24"/>
          <w:lang w:val="en-GB"/>
        </w:rPr>
      </w:pPr>
    </w:p>
    <w:p w14:paraId="7420B774"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Impacts</w:t>
      </w:r>
    </w:p>
    <w:p w14:paraId="262AD0FB"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Briefly state source of data or data analysis being used to describe the </w:t>
      </w:r>
      <w:r w:rsidRPr="000729CF">
        <w:rPr>
          <w:rFonts w:ascii="Arial" w:eastAsia="Calibri" w:hAnsi="Arial" w:cs="Arial"/>
          <w:color w:val="000000"/>
          <w:sz w:val="24"/>
          <w:szCs w:val="24"/>
          <w:bdr w:val="none" w:sz="0" w:space="0" w:color="auto" w:frame="1"/>
          <w:lang w:val="en-GB"/>
        </w:rPr>
        <w:t xml:space="preserve">disproportionate negative impacts. </w:t>
      </w:r>
      <w:r w:rsidRPr="000729CF">
        <w:rPr>
          <w:rFonts w:ascii="Arial" w:eastAsia="Calibri" w:hAnsi="Arial" w:cs="Arial"/>
          <w:sz w:val="24"/>
          <w:szCs w:val="24"/>
          <w:lang w:val="en-GB"/>
        </w:rPr>
        <w:t xml:space="preserve">Preferably provide link to data/ analysis if open data source. </w:t>
      </w:r>
    </w:p>
    <w:p w14:paraId="53A00021"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Data and analysis sources may include (not an exhaustive list):</w:t>
      </w:r>
    </w:p>
    <w:tbl>
      <w:tblPr>
        <w:tblStyle w:val="TableGrid"/>
        <w:tblW w:w="10485" w:type="dxa"/>
        <w:tblLook w:val="04A0" w:firstRow="1" w:lastRow="0" w:firstColumn="1" w:lastColumn="0" w:noHBand="0" w:noVBand="1"/>
      </w:tblPr>
      <w:tblGrid>
        <w:gridCol w:w="2985"/>
        <w:gridCol w:w="2123"/>
        <w:gridCol w:w="5377"/>
      </w:tblGrid>
      <w:tr w:rsidR="000729CF" w:rsidRPr="000729CF" w14:paraId="754FA9CB" w14:textId="77777777" w:rsidTr="000729CF">
        <w:trPr>
          <w:trHeight w:val="20"/>
        </w:trPr>
        <w:tc>
          <w:tcPr>
            <w:tcW w:w="2985" w:type="dxa"/>
            <w:shd w:val="clear" w:color="auto" w:fill="E7E6E6"/>
          </w:tcPr>
          <w:p w14:paraId="3C31CEC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Assess impact for different population groups</w:t>
            </w:r>
          </w:p>
        </w:tc>
        <w:tc>
          <w:tcPr>
            <w:tcW w:w="2123" w:type="dxa"/>
            <w:shd w:val="clear" w:color="auto" w:fill="E7E6E6"/>
          </w:tcPr>
          <w:p w14:paraId="5DD570A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Is there a possible disproportionate negative impact? </w:t>
            </w:r>
          </w:p>
          <w:p w14:paraId="604F3C10" w14:textId="77777777" w:rsidR="000729CF" w:rsidRPr="000729CF" w:rsidRDefault="000729CF" w:rsidP="000729CF">
            <w:pPr>
              <w:spacing w:after="120"/>
              <w:rPr>
                <w:rFonts w:ascii="Arial" w:eastAsia="Calibri" w:hAnsi="Arial" w:cs="Arial"/>
                <w:b/>
                <w:bCs/>
                <w:sz w:val="24"/>
                <w:szCs w:val="24"/>
              </w:rPr>
            </w:pPr>
          </w:p>
          <w:p w14:paraId="5AC00EA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b/>
                <w:bCs/>
                <w:sz w:val="24"/>
                <w:szCs w:val="24"/>
              </w:rPr>
              <w:t>State Yes or No</w:t>
            </w:r>
          </w:p>
        </w:tc>
        <w:tc>
          <w:tcPr>
            <w:tcW w:w="5377" w:type="dxa"/>
            <w:shd w:val="clear" w:color="auto" w:fill="E7E6E6"/>
          </w:tcPr>
          <w:p w14:paraId="14FED22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Describe the potential negative impact, considering for differences within groups For example, different ethnic groups, and peoples intersecting identities e.g. disabled women of faith</w:t>
            </w:r>
          </w:p>
          <w:p w14:paraId="0ED189A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OR</w:t>
            </w:r>
          </w:p>
          <w:p w14:paraId="179975F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If no impact is identified, briefly state why.</w:t>
            </w:r>
          </w:p>
        </w:tc>
      </w:tr>
      <w:tr w:rsidR="000729CF" w:rsidRPr="000729CF" w14:paraId="36740240" w14:textId="77777777" w:rsidTr="000729CF">
        <w:trPr>
          <w:trHeight w:val="20"/>
        </w:trPr>
        <w:tc>
          <w:tcPr>
            <w:tcW w:w="2985" w:type="dxa"/>
            <w:shd w:val="clear" w:color="auto" w:fill="E7E6E6"/>
          </w:tcPr>
          <w:p w14:paraId="0C31D6D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Age </w:t>
            </w:r>
          </w:p>
          <w:p w14:paraId="6F0CE1E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sz w:val="24"/>
                <w:szCs w:val="24"/>
              </w:rPr>
              <w:t>including those under 16, young adults, multiple ethnicities, those with various intersections.</w:t>
            </w:r>
          </w:p>
        </w:tc>
        <w:tc>
          <w:tcPr>
            <w:tcW w:w="2123" w:type="dxa"/>
          </w:tcPr>
          <w:p w14:paraId="5C426FC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7BC6BC4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This service supports school leaders and teachers and not children and young people directly. This cut could mean the quality of ‘environmental and sustainability education’ that pupils receive is not as robust or effective as it would be had the service continued. </w:t>
            </w:r>
          </w:p>
          <w:p w14:paraId="1232806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It could also mean some young people have less opportunity to have their voice heard </w:t>
            </w:r>
          </w:p>
        </w:tc>
      </w:tr>
      <w:tr w:rsidR="000729CF" w:rsidRPr="000729CF" w14:paraId="472BB787" w14:textId="77777777" w:rsidTr="000729CF">
        <w:trPr>
          <w:trHeight w:val="20"/>
        </w:trPr>
        <w:tc>
          <w:tcPr>
            <w:tcW w:w="2985" w:type="dxa"/>
            <w:shd w:val="clear" w:color="auto" w:fill="E7E6E6"/>
          </w:tcPr>
          <w:p w14:paraId="1B871224"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 xml:space="preserve">Disability </w:t>
            </w:r>
            <w:r w:rsidRPr="000729CF">
              <w:rPr>
                <w:rFonts w:ascii="Arial" w:eastAsia="Calibri" w:hAnsi="Arial" w:cs="Arial"/>
                <w:sz w:val="24"/>
                <w:szCs w:val="24"/>
              </w:rPr>
              <w:t>includes physical and sensory disabled, D/deaf, deafened, hard of hearing, blind, neurodiverse people, people with non-visible disabilities.</w:t>
            </w:r>
          </w:p>
        </w:tc>
        <w:tc>
          <w:tcPr>
            <w:tcW w:w="2123" w:type="dxa"/>
          </w:tcPr>
          <w:p w14:paraId="27CFAE1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c>
          <w:tcPr>
            <w:tcW w:w="5377" w:type="dxa"/>
          </w:tcPr>
          <w:p w14:paraId="65569F5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6971BFC5" w14:textId="77777777" w:rsidTr="000729CF">
        <w:trPr>
          <w:trHeight w:val="20"/>
        </w:trPr>
        <w:tc>
          <w:tcPr>
            <w:tcW w:w="2985" w:type="dxa"/>
            <w:shd w:val="clear" w:color="auto" w:fill="E7E6E6"/>
          </w:tcPr>
          <w:p w14:paraId="732C9799" w14:textId="77777777" w:rsidR="000729CF" w:rsidRPr="000729CF" w:rsidRDefault="000729CF" w:rsidP="000729CF">
            <w:pPr>
              <w:keepNext/>
              <w:keepLines/>
              <w:spacing w:before="40"/>
              <w:outlineLvl w:val="2"/>
              <w:rPr>
                <w:rFonts w:ascii="Arial" w:hAnsi="Arial" w:cs="Arial"/>
                <w:color w:val="1F3763"/>
                <w:sz w:val="24"/>
                <w:szCs w:val="24"/>
              </w:rPr>
            </w:pPr>
            <w:r w:rsidRPr="000729CF">
              <w:rPr>
                <w:rFonts w:ascii="Arial" w:hAnsi="Arial" w:cs="Arial"/>
                <w:b/>
                <w:bCs/>
                <w:color w:val="000000"/>
                <w:sz w:val="24"/>
                <w:szCs w:val="24"/>
              </w:rPr>
              <w:t>Ethnicity, ‘</w:t>
            </w:r>
            <w:r w:rsidRPr="000729CF">
              <w:rPr>
                <w:rFonts w:ascii="Arial" w:hAnsi="Arial" w:cs="Arial"/>
                <w:color w:val="000000"/>
                <w:sz w:val="24"/>
                <w:szCs w:val="24"/>
              </w:rPr>
              <w:t>Race’, ethnic heritage including Gypsy, Roma, Travellers</w:t>
            </w:r>
          </w:p>
        </w:tc>
        <w:tc>
          <w:tcPr>
            <w:tcW w:w="2123" w:type="dxa"/>
          </w:tcPr>
          <w:p w14:paraId="10C0B57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c>
          <w:tcPr>
            <w:tcW w:w="5377" w:type="dxa"/>
          </w:tcPr>
          <w:p w14:paraId="4BFDFA2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2BB38EEF" w14:textId="77777777" w:rsidTr="000729CF">
        <w:trPr>
          <w:trHeight w:val="20"/>
        </w:trPr>
        <w:tc>
          <w:tcPr>
            <w:tcW w:w="2985" w:type="dxa"/>
            <w:shd w:val="clear" w:color="auto" w:fill="E7E6E6"/>
          </w:tcPr>
          <w:p w14:paraId="4BD6C51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Religion, Spirituality, Faith, Atheism, and philosophical belief </w:t>
            </w:r>
          </w:p>
        </w:tc>
        <w:tc>
          <w:tcPr>
            <w:tcW w:w="2123" w:type="dxa"/>
          </w:tcPr>
          <w:p w14:paraId="09545CC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0478DC9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42C0892C" w14:textId="77777777" w:rsidTr="000729CF">
        <w:trPr>
          <w:trHeight w:val="20"/>
        </w:trPr>
        <w:tc>
          <w:tcPr>
            <w:tcW w:w="2985" w:type="dxa"/>
            <w:shd w:val="clear" w:color="auto" w:fill="E7E6E6"/>
          </w:tcPr>
          <w:p w14:paraId="227F26E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Gender and Sex </w:t>
            </w:r>
            <w:r w:rsidRPr="000729CF">
              <w:rPr>
                <w:rFonts w:ascii="Arial" w:eastAsia="Calibri" w:hAnsi="Arial" w:cs="Arial"/>
                <w:sz w:val="24"/>
                <w:szCs w:val="24"/>
              </w:rPr>
              <w:t>including non-binary and intersex people</w:t>
            </w:r>
          </w:p>
        </w:tc>
        <w:tc>
          <w:tcPr>
            <w:tcW w:w="2123" w:type="dxa"/>
          </w:tcPr>
          <w:p w14:paraId="0303B7E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40B389F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19CBA1ED" w14:textId="77777777" w:rsidTr="000729CF">
        <w:trPr>
          <w:trHeight w:val="20"/>
        </w:trPr>
        <w:tc>
          <w:tcPr>
            <w:tcW w:w="2985" w:type="dxa"/>
            <w:shd w:val="clear" w:color="auto" w:fill="E7E6E6"/>
          </w:tcPr>
          <w:p w14:paraId="6F5B2F8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2123" w:type="dxa"/>
          </w:tcPr>
          <w:p w14:paraId="183C3AD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59AB403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2E4C8715" w14:textId="77777777" w:rsidTr="000729CF">
        <w:trPr>
          <w:trHeight w:val="20"/>
        </w:trPr>
        <w:tc>
          <w:tcPr>
            <w:tcW w:w="2985" w:type="dxa"/>
            <w:shd w:val="clear" w:color="auto" w:fill="E7E6E6"/>
          </w:tcPr>
          <w:p w14:paraId="340FC50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2123" w:type="dxa"/>
          </w:tcPr>
          <w:p w14:paraId="5C07A09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c>
          <w:tcPr>
            <w:tcW w:w="5377" w:type="dxa"/>
          </w:tcPr>
          <w:p w14:paraId="2BA9DB3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4DEBF58C" w14:textId="77777777" w:rsidTr="000729CF">
        <w:trPr>
          <w:trHeight w:val="20"/>
        </w:trPr>
        <w:tc>
          <w:tcPr>
            <w:tcW w:w="2985" w:type="dxa"/>
            <w:shd w:val="clear" w:color="auto" w:fill="E7E6E6"/>
          </w:tcPr>
          <w:p w14:paraId="48E6F4E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2123" w:type="dxa"/>
          </w:tcPr>
          <w:p w14:paraId="5F4D948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3E473C9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23824724" w14:textId="77777777" w:rsidTr="000729CF">
        <w:trPr>
          <w:trHeight w:val="20"/>
        </w:trPr>
        <w:tc>
          <w:tcPr>
            <w:tcW w:w="2985" w:type="dxa"/>
            <w:shd w:val="clear" w:color="auto" w:fill="E7E6E6"/>
          </w:tcPr>
          <w:p w14:paraId="7037D86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Pregnancy, Maternity, Paternity, Adoption, Menopause, (In)fertility </w:t>
            </w:r>
            <w:r w:rsidRPr="000729CF">
              <w:rPr>
                <w:rFonts w:ascii="Arial" w:eastAsia="Calibri" w:hAnsi="Arial" w:cs="Arial"/>
                <w:color w:val="000000"/>
                <w:sz w:val="24"/>
                <w:szCs w:val="24"/>
              </w:rPr>
              <w:t>(across intersections and non-binary gender spectrum)</w:t>
            </w:r>
          </w:p>
        </w:tc>
        <w:tc>
          <w:tcPr>
            <w:tcW w:w="2123" w:type="dxa"/>
          </w:tcPr>
          <w:p w14:paraId="2975810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1BE461A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6CF7C922" w14:textId="77777777" w:rsidTr="000729CF">
        <w:trPr>
          <w:trHeight w:val="20"/>
        </w:trPr>
        <w:tc>
          <w:tcPr>
            <w:tcW w:w="2985" w:type="dxa"/>
            <w:shd w:val="clear" w:color="auto" w:fill="E7E6E6"/>
          </w:tcPr>
          <w:p w14:paraId="57EFE7E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2123" w:type="dxa"/>
          </w:tcPr>
          <w:p w14:paraId="29A048C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05140B0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0CAD215C" w14:textId="77777777" w:rsidTr="000729CF">
        <w:trPr>
          <w:trHeight w:val="20"/>
        </w:trPr>
        <w:tc>
          <w:tcPr>
            <w:tcW w:w="2985" w:type="dxa"/>
            <w:shd w:val="clear" w:color="auto" w:fill="E7E6E6"/>
          </w:tcPr>
          <w:p w14:paraId="78EC0307" w14:textId="77777777" w:rsidR="000729CF" w:rsidRPr="000729CF" w:rsidRDefault="000729CF" w:rsidP="000729CF">
            <w:pPr>
              <w:spacing w:after="120"/>
              <w:rPr>
                <w:rFonts w:ascii="Arial" w:eastAsia="Calibri" w:hAnsi="Arial" w:cs="Arial"/>
                <w:b/>
                <w:bCs/>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r w:rsidRPr="000729CF">
              <w:rPr>
                <w:rFonts w:ascii="Arial" w:hAnsi="Arial" w:cs="Arial"/>
                <w:color w:val="000000"/>
                <w:sz w:val="24"/>
                <w:szCs w:val="24"/>
              </w:rPr>
              <w:t>considering for age, language, and various intersections</w:t>
            </w:r>
          </w:p>
        </w:tc>
        <w:tc>
          <w:tcPr>
            <w:tcW w:w="2123" w:type="dxa"/>
          </w:tcPr>
          <w:p w14:paraId="113D101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6EA00A0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1F3B5057" w14:textId="77777777" w:rsidTr="000729CF">
        <w:trPr>
          <w:trHeight w:val="20"/>
        </w:trPr>
        <w:tc>
          <w:tcPr>
            <w:tcW w:w="2985" w:type="dxa"/>
            <w:shd w:val="clear" w:color="auto" w:fill="E7E6E6"/>
          </w:tcPr>
          <w:p w14:paraId="68E57B1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Carers </w:t>
            </w:r>
            <w:r w:rsidRPr="000729CF">
              <w:rPr>
                <w:rFonts w:ascii="Arial" w:hAnsi="Arial" w:cs="Arial"/>
                <w:color w:val="000000"/>
                <w:sz w:val="24"/>
                <w:szCs w:val="24"/>
              </w:rPr>
              <w:t>considering for age, language, and various intersections</w:t>
            </w:r>
          </w:p>
        </w:tc>
        <w:tc>
          <w:tcPr>
            <w:tcW w:w="2123" w:type="dxa"/>
          </w:tcPr>
          <w:p w14:paraId="46B03C2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c>
          <w:tcPr>
            <w:tcW w:w="5377" w:type="dxa"/>
          </w:tcPr>
          <w:p w14:paraId="7200AEB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3F5BF60B" w14:textId="77777777" w:rsidTr="000729CF">
        <w:trPr>
          <w:trHeight w:val="20"/>
        </w:trPr>
        <w:tc>
          <w:tcPr>
            <w:tcW w:w="2985" w:type="dxa"/>
            <w:shd w:val="clear" w:color="auto" w:fill="E7E6E6"/>
          </w:tcPr>
          <w:p w14:paraId="4185D360"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 xml:space="preserve">Looked after children, Care Leavers, Care and fostering experienced people </w:t>
            </w:r>
            <w:r w:rsidRPr="000729CF">
              <w:rPr>
                <w:rFonts w:ascii="Arial" w:hAnsi="Arial" w:cs="Arial"/>
                <w:color w:val="000000"/>
                <w:sz w:val="24"/>
                <w:szCs w:val="24"/>
              </w:rPr>
              <w:t>considering for age, language, and various intersections</w:t>
            </w:r>
          </w:p>
        </w:tc>
        <w:tc>
          <w:tcPr>
            <w:tcW w:w="2123" w:type="dxa"/>
          </w:tcPr>
          <w:p w14:paraId="460AE57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2B10D22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0CD838AC" w14:textId="77777777" w:rsidTr="000729CF">
        <w:trPr>
          <w:trHeight w:val="20"/>
        </w:trPr>
        <w:tc>
          <w:tcPr>
            <w:tcW w:w="2985" w:type="dxa"/>
            <w:shd w:val="clear" w:color="auto" w:fill="E7E6E6"/>
          </w:tcPr>
          <w:p w14:paraId="45FADAD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w:t>
            </w:r>
          </w:p>
        </w:tc>
        <w:tc>
          <w:tcPr>
            <w:tcW w:w="2123" w:type="dxa"/>
          </w:tcPr>
          <w:p w14:paraId="43AA319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733D2C4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78866509" w14:textId="77777777" w:rsidTr="000729CF">
        <w:trPr>
          <w:trHeight w:val="20"/>
        </w:trPr>
        <w:tc>
          <w:tcPr>
            <w:tcW w:w="2985" w:type="dxa"/>
            <w:shd w:val="clear" w:color="auto" w:fill="E7E6E6"/>
          </w:tcPr>
          <w:p w14:paraId="5E02DDA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Socio-economic disadvantage </w:t>
            </w:r>
            <w:r w:rsidRPr="000729CF">
              <w:rPr>
                <w:rFonts w:ascii="Arial" w:eastAsia="Calibri" w:hAnsi="Arial" w:cs="Arial"/>
                <w:color w:val="000000"/>
                <w:sz w:val="24"/>
                <w:szCs w:val="24"/>
              </w:rPr>
              <w:t>considering for age, disability, D/deaf/ blind, ethnicity, expatriate background, and various intersections</w:t>
            </w:r>
          </w:p>
        </w:tc>
        <w:tc>
          <w:tcPr>
            <w:tcW w:w="2123" w:type="dxa"/>
          </w:tcPr>
          <w:p w14:paraId="2EFE07D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62808BF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7BCA1A7A" w14:textId="77777777" w:rsidTr="000729CF">
        <w:trPr>
          <w:trHeight w:val="20"/>
        </w:trPr>
        <w:tc>
          <w:tcPr>
            <w:tcW w:w="2985" w:type="dxa"/>
            <w:shd w:val="clear" w:color="auto" w:fill="E7E6E6"/>
          </w:tcPr>
          <w:p w14:paraId="56DEF01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Homeless and rough sleepers </w:t>
            </w:r>
            <w:r w:rsidRPr="000729CF">
              <w:rPr>
                <w:rFonts w:ascii="Arial" w:eastAsia="Calibri" w:hAnsi="Arial" w:cs="Arial"/>
                <w:color w:val="000000"/>
                <w:sz w:val="24"/>
                <w:szCs w:val="24"/>
              </w:rPr>
              <w:t>considering for age, veteran, ethnicity, language, and various intersections</w:t>
            </w:r>
          </w:p>
        </w:tc>
        <w:tc>
          <w:tcPr>
            <w:tcW w:w="2123" w:type="dxa"/>
          </w:tcPr>
          <w:p w14:paraId="41ADC33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4227613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317E5B8E" w14:textId="77777777" w:rsidTr="000729CF">
        <w:trPr>
          <w:trHeight w:val="20"/>
        </w:trPr>
        <w:tc>
          <w:tcPr>
            <w:tcW w:w="2985" w:type="dxa"/>
            <w:shd w:val="clear" w:color="auto" w:fill="E7E6E6"/>
          </w:tcPr>
          <w:p w14:paraId="1366B8C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2123" w:type="dxa"/>
          </w:tcPr>
          <w:p w14:paraId="66CC5B5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48D86A9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1F844B2B" w14:textId="77777777" w:rsidTr="000729CF">
        <w:trPr>
          <w:trHeight w:val="20"/>
        </w:trPr>
        <w:tc>
          <w:tcPr>
            <w:tcW w:w="2985" w:type="dxa"/>
            <w:shd w:val="clear" w:color="auto" w:fill="E7E6E6"/>
          </w:tcPr>
          <w:p w14:paraId="578B269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 (please specify here and add additional rows as needed)</w:t>
            </w:r>
          </w:p>
        </w:tc>
        <w:tc>
          <w:tcPr>
            <w:tcW w:w="2123" w:type="dxa"/>
          </w:tcPr>
          <w:p w14:paraId="10550837" w14:textId="77777777" w:rsidR="000729CF" w:rsidRPr="000729CF" w:rsidRDefault="000729CF" w:rsidP="000729CF">
            <w:pPr>
              <w:spacing w:after="120"/>
              <w:rPr>
                <w:rFonts w:ascii="Arial" w:eastAsia="Calibri" w:hAnsi="Arial" w:cs="Arial"/>
                <w:sz w:val="24"/>
                <w:szCs w:val="24"/>
              </w:rPr>
            </w:pPr>
          </w:p>
        </w:tc>
        <w:tc>
          <w:tcPr>
            <w:tcW w:w="5377" w:type="dxa"/>
          </w:tcPr>
          <w:p w14:paraId="2928DBC8" w14:textId="77777777" w:rsidR="000729CF" w:rsidRPr="000729CF" w:rsidRDefault="000729CF" w:rsidP="000729CF">
            <w:pPr>
              <w:spacing w:after="120"/>
              <w:rPr>
                <w:rFonts w:ascii="Arial" w:eastAsia="Calibri" w:hAnsi="Arial" w:cs="Arial"/>
                <w:sz w:val="24"/>
                <w:szCs w:val="24"/>
              </w:rPr>
            </w:pPr>
          </w:p>
        </w:tc>
      </w:tr>
    </w:tbl>
    <w:p w14:paraId="31447D59" w14:textId="77777777" w:rsidR="000729CF" w:rsidRPr="000729CF" w:rsidRDefault="000729CF" w:rsidP="000729CF">
      <w:pPr>
        <w:spacing w:after="160" w:line="259" w:lineRule="auto"/>
        <w:rPr>
          <w:rFonts w:ascii="Arial" w:eastAsia="Calibri" w:hAnsi="Arial" w:cs="Arial"/>
          <w:b/>
          <w:bCs/>
          <w:sz w:val="24"/>
          <w:szCs w:val="24"/>
          <w:lang w:val="en-GB"/>
        </w:rPr>
      </w:pPr>
    </w:p>
    <w:p w14:paraId="2B89992C"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58C5FEA8"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3EC74C6C"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7ECB9975"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63CB0F9E"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002312D1"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5C959D69"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72C4BBE8"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006997B0"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6DECFDB2"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37CD8FCD" w14:textId="77777777" w:rsidR="000729CF" w:rsidRPr="000729CF" w:rsidRDefault="000729CF" w:rsidP="000729CF">
      <w:pPr>
        <w:rPr>
          <w:rFonts w:ascii="Arial" w:eastAsia="Calibri" w:hAnsi="Arial" w:cs="Arial"/>
          <w:sz w:val="24"/>
          <w:szCs w:val="24"/>
          <w:lang w:val="en-GB"/>
        </w:rPr>
      </w:pPr>
    </w:p>
    <w:p w14:paraId="6412702E"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Cumulative impacts</w:t>
      </w:r>
    </w:p>
    <w:p w14:paraId="32668435"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Are there other budget proposals from other service areas that might worsen or mitigate the impacts from your proposal? Please give a brief description including name of other service(s).</w:t>
      </w:r>
    </w:p>
    <w:tbl>
      <w:tblPr>
        <w:tblStyle w:val="TableGrid"/>
        <w:tblW w:w="0" w:type="auto"/>
        <w:tblLook w:val="04A0" w:firstRow="1" w:lastRow="0" w:firstColumn="1" w:lastColumn="0" w:noHBand="0" w:noVBand="1"/>
      </w:tblPr>
      <w:tblGrid>
        <w:gridCol w:w="10456"/>
      </w:tblGrid>
      <w:tr w:rsidR="000729CF" w:rsidRPr="000729CF" w14:paraId="4BE916F4" w14:textId="77777777" w:rsidTr="00BC26AB">
        <w:tc>
          <w:tcPr>
            <w:tcW w:w="10456" w:type="dxa"/>
          </w:tcPr>
          <w:p w14:paraId="21EAA385"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 xml:space="preserve">No </w:t>
            </w:r>
          </w:p>
          <w:p w14:paraId="418FFCFC" w14:textId="77777777" w:rsidR="000729CF" w:rsidRPr="000729CF" w:rsidRDefault="000729CF" w:rsidP="000729CF">
            <w:pPr>
              <w:rPr>
                <w:rFonts w:ascii="Arial" w:eastAsia="Calibri" w:hAnsi="Arial" w:cs="Arial"/>
                <w:sz w:val="24"/>
                <w:szCs w:val="24"/>
              </w:rPr>
            </w:pPr>
          </w:p>
        </w:tc>
      </w:tr>
    </w:tbl>
    <w:p w14:paraId="48226C73" w14:textId="77777777" w:rsidR="000729CF" w:rsidRPr="000729CF" w:rsidRDefault="000729CF" w:rsidP="000729CF">
      <w:pPr>
        <w:spacing w:after="160" w:line="259" w:lineRule="auto"/>
        <w:rPr>
          <w:rFonts w:ascii="Arial" w:eastAsia="Calibri" w:hAnsi="Arial" w:cs="Arial"/>
          <w:sz w:val="24"/>
          <w:szCs w:val="24"/>
          <w:lang w:val="en-GB"/>
        </w:rPr>
      </w:pPr>
    </w:p>
    <w:p w14:paraId="6BA76180"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Action planning</w:t>
      </w:r>
    </w:p>
    <w:p w14:paraId="0F5450A8"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SMART actions will be taken to mitigate the disproportionate impacts identified in section 3? If no mitigating action is possible, please state and explain why. Add additional rows as required. </w:t>
      </w:r>
    </w:p>
    <w:tbl>
      <w:tblPr>
        <w:tblStyle w:val="TableGrid"/>
        <w:tblW w:w="0" w:type="auto"/>
        <w:tblLook w:val="04A0" w:firstRow="1" w:lastRow="0" w:firstColumn="1" w:lastColumn="0" w:noHBand="0" w:noVBand="1"/>
      </w:tblPr>
      <w:tblGrid>
        <w:gridCol w:w="10456"/>
      </w:tblGrid>
      <w:tr w:rsidR="000729CF" w:rsidRPr="000729CF" w14:paraId="0243B0B4" w14:textId="77777777" w:rsidTr="00BC26AB">
        <w:trPr>
          <w:trHeight w:val="847"/>
        </w:trPr>
        <w:tc>
          <w:tcPr>
            <w:tcW w:w="10456" w:type="dxa"/>
          </w:tcPr>
          <w:p w14:paraId="30A6F8E6" w14:textId="77777777" w:rsidR="000729CF" w:rsidRPr="000729CF" w:rsidRDefault="000729CF" w:rsidP="000729CF">
            <w:pPr>
              <w:spacing w:after="120"/>
              <w:ind w:left="360"/>
              <w:rPr>
                <w:rFonts w:ascii="Arial" w:eastAsia="Calibri" w:hAnsi="Arial" w:cs="Arial"/>
                <w:sz w:val="24"/>
                <w:szCs w:val="24"/>
              </w:rPr>
            </w:pPr>
            <w:r w:rsidRPr="000729CF">
              <w:rPr>
                <w:rFonts w:ascii="Arial" w:eastAsia="Calibri" w:hAnsi="Arial" w:cs="Arial"/>
                <w:sz w:val="24"/>
                <w:szCs w:val="24"/>
              </w:rPr>
              <w:t>SMART action 1:</w:t>
            </w:r>
          </w:p>
          <w:p w14:paraId="10A76E6B" w14:textId="77777777" w:rsidR="000729CF" w:rsidRPr="000729CF" w:rsidRDefault="000729CF" w:rsidP="000729CF">
            <w:pPr>
              <w:spacing w:after="120"/>
              <w:ind w:left="360"/>
              <w:rPr>
                <w:rFonts w:ascii="Arial" w:eastAsia="Calibri" w:hAnsi="Arial" w:cs="Arial"/>
                <w:sz w:val="24"/>
                <w:szCs w:val="24"/>
              </w:rPr>
            </w:pPr>
            <w:r w:rsidRPr="000729CF">
              <w:rPr>
                <w:rFonts w:ascii="Arial" w:eastAsia="Calibri" w:hAnsi="Arial" w:cs="Arial"/>
                <w:sz w:val="24"/>
                <w:szCs w:val="24"/>
              </w:rPr>
              <w:t>The Education Adviser for PSHE will pick up the topic of environment and education within schools’ PSHE networks from April 2024.  Materials of use that are received by the council will be disseminated via the Schools’ Bulletin or the PSHE network.  As far as possible we will encourage conversation on this topic at this network.</w:t>
            </w:r>
          </w:p>
        </w:tc>
      </w:tr>
      <w:tr w:rsidR="000729CF" w:rsidRPr="000729CF" w14:paraId="27A171E2" w14:textId="77777777" w:rsidTr="00BC26AB">
        <w:trPr>
          <w:trHeight w:val="847"/>
        </w:trPr>
        <w:tc>
          <w:tcPr>
            <w:tcW w:w="10456" w:type="dxa"/>
          </w:tcPr>
          <w:p w14:paraId="79DE94D9" w14:textId="77777777" w:rsidR="000729CF" w:rsidRPr="000729CF" w:rsidRDefault="000729CF" w:rsidP="000729CF">
            <w:pPr>
              <w:spacing w:after="120"/>
              <w:ind w:left="360"/>
              <w:rPr>
                <w:rFonts w:ascii="Arial" w:eastAsia="Calibri" w:hAnsi="Arial" w:cs="Arial"/>
                <w:sz w:val="24"/>
                <w:szCs w:val="24"/>
              </w:rPr>
            </w:pPr>
            <w:r w:rsidRPr="000729CF">
              <w:rPr>
                <w:rFonts w:ascii="Arial" w:eastAsia="Calibri" w:hAnsi="Arial" w:cs="Arial"/>
                <w:sz w:val="24"/>
                <w:szCs w:val="24"/>
              </w:rPr>
              <w:t>SMART action 2:</w:t>
            </w:r>
          </w:p>
          <w:p w14:paraId="6B013028" w14:textId="77777777" w:rsidR="000729CF" w:rsidRPr="000729CF" w:rsidRDefault="000729CF" w:rsidP="000729CF">
            <w:pPr>
              <w:spacing w:after="120"/>
              <w:ind w:left="360"/>
              <w:rPr>
                <w:rFonts w:ascii="Arial" w:eastAsia="Calibri" w:hAnsi="Arial" w:cs="Arial"/>
                <w:sz w:val="24"/>
                <w:szCs w:val="24"/>
              </w:rPr>
            </w:pPr>
            <w:r w:rsidRPr="000729CF">
              <w:rPr>
                <w:rFonts w:ascii="Arial" w:eastAsia="Calibri" w:hAnsi="Arial" w:cs="Arial"/>
                <w:sz w:val="24"/>
                <w:szCs w:val="24"/>
              </w:rPr>
              <w:t>The Head of Education Standards and Achievement will add environment and sustainability to headteacher meeting agendas on an annual basis.  At these meetings we will aim to share activity and ideas that are happening with the city.</w:t>
            </w:r>
          </w:p>
        </w:tc>
      </w:tr>
      <w:tr w:rsidR="000729CF" w:rsidRPr="000729CF" w14:paraId="4896D7AE" w14:textId="77777777" w:rsidTr="00BC26AB">
        <w:trPr>
          <w:trHeight w:val="847"/>
        </w:trPr>
        <w:tc>
          <w:tcPr>
            <w:tcW w:w="10456" w:type="dxa"/>
          </w:tcPr>
          <w:p w14:paraId="779AAE9C" w14:textId="77777777" w:rsidR="000729CF" w:rsidRPr="000729CF" w:rsidRDefault="000729CF" w:rsidP="000729CF">
            <w:pPr>
              <w:spacing w:after="120"/>
              <w:ind w:left="360"/>
              <w:rPr>
                <w:rFonts w:ascii="Arial" w:eastAsia="Calibri" w:hAnsi="Arial" w:cs="Arial"/>
                <w:sz w:val="24"/>
                <w:szCs w:val="24"/>
              </w:rPr>
            </w:pPr>
            <w:r w:rsidRPr="000729CF">
              <w:rPr>
                <w:rFonts w:ascii="Arial" w:eastAsia="Calibri" w:hAnsi="Arial" w:cs="Arial"/>
                <w:sz w:val="24"/>
                <w:szCs w:val="24"/>
              </w:rPr>
              <w:t>SMART action 3:</w:t>
            </w:r>
          </w:p>
          <w:p w14:paraId="042989C4" w14:textId="77777777" w:rsidR="000729CF" w:rsidRPr="000729CF" w:rsidRDefault="000729CF" w:rsidP="000729CF">
            <w:pPr>
              <w:spacing w:after="120"/>
              <w:ind w:left="360"/>
              <w:rPr>
                <w:rFonts w:ascii="Arial" w:eastAsia="Calibri" w:hAnsi="Arial" w:cs="Arial"/>
                <w:sz w:val="24"/>
                <w:szCs w:val="24"/>
              </w:rPr>
            </w:pPr>
            <w:r w:rsidRPr="000729CF">
              <w:rPr>
                <w:rFonts w:ascii="Arial" w:eastAsia="Calibri" w:hAnsi="Arial" w:cs="Arial"/>
                <w:sz w:val="24"/>
                <w:szCs w:val="24"/>
              </w:rPr>
              <w:t xml:space="preserve">The Head of Education Standards and Achievement will request that schools pick up some of this work including the running of networks for sharing practice; opportunities for young people to have their voice heard; running of a website.  This will be addressed in the chairs of partnerships meeting by May 2024. </w:t>
            </w:r>
          </w:p>
        </w:tc>
      </w:tr>
    </w:tbl>
    <w:p w14:paraId="5DDCFFE2" w14:textId="77777777" w:rsidR="000729CF" w:rsidRPr="000729CF" w:rsidRDefault="000729CF" w:rsidP="000729CF">
      <w:pPr>
        <w:spacing w:after="160" w:line="259" w:lineRule="auto"/>
        <w:rPr>
          <w:rFonts w:ascii="Arial" w:eastAsia="Calibri" w:hAnsi="Arial" w:cs="Arial"/>
          <w:sz w:val="24"/>
          <w:szCs w:val="24"/>
          <w:lang w:val="en-GB"/>
        </w:rPr>
      </w:pPr>
    </w:p>
    <w:p w14:paraId="02515A7F"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Outcome of your assessment</w:t>
      </w:r>
    </w:p>
    <w:p w14:paraId="06096201"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Based on the information above give the proposal an impact score between 1 – 5. </w:t>
      </w:r>
    </w:p>
    <w:p w14:paraId="310165C2"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1= proposal has minimal impact and/or mitigating actions will significantly minimise the impact</w:t>
      </w:r>
    </w:p>
    <w:p w14:paraId="1DA98016"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3= proposal will have a significant negative impact; however, mitigation actions will reduce the impact considerably.</w:t>
      </w:r>
    </w:p>
    <w:p w14:paraId="0AA39490"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5= proposal has significant impact and mitigating actions will have limited effect on reducing impact.</w:t>
      </w:r>
    </w:p>
    <w:p w14:paraId="40871BDC" w14:textId="77777777" w:rsidR="000729CF" w:rsidRPr="000729CF" w:rsidRDefault="000729CF" w:rsidP="000729CF">
      <w:pPr>
        <w:rPr>
          <w:rFonts w:ascii="Arial" w:eastAsia="Calibri" w:hAnsi="Arial" w:cs="Arial"/>
          <w:sz w:val="24"/>
          <w:szCs w:val="24"/>
          <w:highlight w:val="yellow"/>
          <w:lang w:val="en-GB"/>
        </w:rPr>
      </w:pPr>
    </w:p>
    <w:tbl>
      <w:tblPr>
        <w:tblStyle w:val="TableGrid"/>
        <w:tblW w:w="0" w:type="auto"/>
        <w:tblLook w:val="04A0" w:firstRow="1" w:lastRow="0" w:firstColumn="1" w:lastColumn="0" w:noHBand="0" w:noVBand="1"/>
      </w:tblPr>
      <w:tblGrid>
        <w:gridCol w:w="3114"/>
        <w:gridCol w:w="7342"/>
      </w:tblGrid>
      <w:tr w:rsidR="000729CF" w:rsidRPr="000729CF" w14:paraId="4CF6E9F9" w14:textId="77777777" w:rsidTr="00BC26AB">
        <w:trPr>
          <w:trHeight w:val="152"/>
        </w:trPr>
        <w:tc>
          <w:tcPr>
            <w:tcW w:w="3114" w:type="dxa"/>
          </w:tcPr>
          <w:p w14:paraId="1A44AA5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Proposal’s impact score:</w:t>
            </w:r>
          </w:p>
        </w:tc>
        <w:tc>
          <w:tcPr>
            <w:tcW w:w="7342" w:type="dxa"/>
          </w:tcPr>
          <w:p w14:paraId="5746AA0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3</w:t>
            </w:r>
          </w:p>
        </w:tc>
      </w:tr>
    </w:tbl>
    <w:p w14:paraId="377ADE35" w14:textId="77777777" w:rsidR="000729CF" w:rsidRPr="000729CF" w:rsidRDefault="000729CF" w:rsidP="000729CF">
      <w:pPr>
        <w:spacing w:after="160" w:line="259" w:lineRule="auto"/>
        <w:rPr>
          <w:rFonts w:ascii="Arial" w:eastAsia="Calibri" w:hAnsi="Arial" w:cs="Arial"/>
          <w:sz w:val="24"/>
          <w:szCs w:val="24"/>
          <w:lang w:val="en-GB"/>
        </w:rPr>
      </w:pPr>
    </w:p>
    <w:p w14:paraId="7FAB6E8B"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Publication</w:t>
      </w:r>
    </w:p>
    <w:p w14:paraId="6EBCBBC9"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All Equality Impact Assessments will be published. If you are recommending, and choosing not to publish your EIA, please provide a reason:</w:t>
      </w:r>
    </w:p>
    <w:p w14:paraId="597D006F"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Directorate and Service Approval</w:t>
      </w:r>
    </w:p>
    <w:tbl>
      <w:tblPr>
        <w:tblStyle w:val="TableGrid"/>
        <w:tblW w:w="0" w:type="auto"/>
        <w:tblLook w:val="04A0" w:firstRow="1" w:lastRow="0" w:firstColumn="1" w:lastColumn="0" w:noHBand="0" w:noVBand="1"/>
      </w:tblPr>
      <w:tblGrid>
        <w:gridCol w:w="3681"/>
        <w:gridCol w:w="4394"/>
        <w:gridCol w:w="2381"/>
      </w:tblGrid>
      <w:tr w:rsidR="000729CF" w:rsidRPr="000729CF" w14:paraId="7B775E8A" w14:textId="77777777" w:rsidTr="000729CF">
        <w:trPr>
          <w:trHeight w:val="20"/>
        </w:trPr>
        <w:tc>
          <w:tcPr>
            <w:tcW w:w="3681" w:type="dxa"/>
            <w:tcBorders>
              <w:bottom w:val="single" w:sz="4" w:space="0" w:color="auto"/>
            </w:tcBorders>
            <w:shd w:val="clear" w:color="auto" w:fill="D9D9D9"/>
          </w:tcPr>
          <w:p w14:paraId="2B868A4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6372909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 and Job Title:</w:t>
            </w:r>
          </w:p>
        </w:tc>
        <w:tc>
          <w:tcPr>
            <w:tcW w:w="2381" w:type="dxa"/>
            <w:shd w:val="clear" w:color="auto" w:fill="D9D9D9"/>
          </w:tcPr>
          <w:p w14:paraId="3D22CF4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6E815D08" w14:textId="77777777" w:rsidTr="000729CF">
        <w:trPr>
          <w:trHeight w:val="20"/>
        </w:trPr>
        <w:tc>
          <w:tcPr>
            <w:tcW w:w="3681" w:type="dxa"/>
            <w:shd w:val="clear" w:color="auto" w:fill="E7E6E6"/>
          </w:tcPr>
          <w:p w14:paraId="2D72BC5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Responsible Lead Officer:</w:t>
            </w:r>
          </w:p>
        </w:tc>
        <w:tc>
          <w:tcPr>
            <w:tcW w:w="4394" w:type="dxa"/>
          </w:tcPr>
          <w:p w14:paraId="25B0E26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Mark Storey</w:t>
            </w:r>
          </w:p>
          <w:p w14:paraId="0DE9454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Head of Education Standards &amp; Achievement</w:t>
            </w:r>
          </w:p>
        </w:tc>
        <w:tc>
          <w:tcPr>
            <w:tcW w:w="2381" w:type="dxa"/>
          </w:tcPr>
          <w:p w14:paraId="4912BA4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18/01/2024</w:t>
            </w:r>
          </w:p>
        </w:tc>
      </w:tr>
      <w:tr w:rsidR="000729CF" w:rsidRPr="000729CF" w14:paraId="3AF3B631" w14:textId="77777777" w:rsidTr="000729CF">
        <w:trPr>
          <w:trHeight w:val="20"/>
        </w:trPr>
        <w:tc>
          <w:tcPr>
            <w:tcW w:w="3681" w:type="dxa"/>
            <w:shd w:val="clear" w:color="auto" w:fill="E7E6E6"/>
          </w:tcPr>
          <w:p w14:paraId="73DAE5E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Accountable Manager:</w:t>
            </w:r>
          </w:p>
        </w:tc>
        <w:tc>
          <w:tcPr>
            <w:tcW w:w="4394" w:type="dxa"/>
          </w:tcPr>
          <w:p w14:paraId="2FB3B63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noProof/>
                <w:sz w:val="24"/>
                <w:szCs w:val="24"/>
              </w:rPr>
              <w:drawing>
                <wp:inline distT="0" distB="0" distL="0" distR="0" wp14:anchorId="4E6594B6" wp14:editId="2A06D9C5">
                  <wp:extent cx="723900" cy="632372"/>
                  <wp:effectExtent l="0" t="0" r="0" b="0"/>
                  <wp:docPr id="9" name="Picture 9" descr="A close-up of a signa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86676" name="Picture 9" descr="A close-up of a signature&#10;&#10;Description automatically generated with medium confidence"/>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26712" cy="634828"/>
                          </a:xfrm>
                          <a:prstGeom prst="rect">
                            <a:avLst/>
                          </a:prstGeom>
                        </pic:spPr>
                      </pic:pic>
                    </a:graphicData>
                  </a:graphic>
                </wp:inline>
              </w:drawing>
            </w:r>
          </w:p>
          <w:p w14:paraId="1C619B2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Jo Lyons</w:t>
            </w:r>
          </w:p>
          <w:p w14:paraId="678A95E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Assistant Director, Families Children &amp; Learning (Education &amp; Skills) </w:t>
            </w:r>
          </w:p>
        </w:tc>
        <w:tc>
          <w:tcPr>
            <w:tcW w:w="2381" w:type="dxa"/>
          </w:tcPr>
          <w:p w14:paraId="4AA51A6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19/01/2024</w:t>
            </w:r>
          </w:p>
        </w:tc>
      </w:tr>
    </w:tbl>
    <w:p w14:paraId="32A1538A" w14:textId="77777777" w:rsidR="000729CF" w:rsidRPr="000729CF" w:rsidRDefault="000729CF" w:rsidP="000729CF">
      <w:pPr>
        <w:spacing w:after="160" w:line="259" w:lineRule="auto"/>
        <w:rPr>
          <w:rFonts w:ascii="Arial" w:eastAsia="Calibri" w:hAnsi="Arial" w:cs="Arial"/>
          <w:sz w:val="24"/>
          <w:szCs w:val="24"/>
          <w:lang w:val="en-GB"/>
        </w:rPr>
      </w:pPr>
    </w:p>
    <w:p w14:paraId="720E9186" w14:textId="77777777" w:rsidR="000729CF" w:rsidRPr="000729CF" w:rsidRDefault="000729CF" w:rsidP="000729CF">
      <w:pPr>
        <w:keepNext/>
        <w:keepLines/>
        <w:spacing w:before="40" w:after="160" w:line="259" w:lineRule="auto"/>
        <w:outlineLvl w:val="2"/>
        <w:rPr>
          <w:rFonts w:ascii="Arial" w:hAnsi="Arial" w:cs="Arial"/>
          <w:b/>
          <w:bCs/>
          <w:color w:val="000000"/>
          <w:sz w:val="28"/>
          <w:szCs w:val="28"/>
          <w:lang w:val="en-GB"/>
        </w:rPr>
      </w:pPr>
      <w:r w:rsidRPr="000729CF">
        <w:rPr>
          <w:rFonts w:ascii="Arial" w:hAnsi="Arial" w:cs="Arial"/>
          <w:b/>
          <w:bCs/>
          <w:color w:val="000000"/>
          <w:sz w:val="28"/>
          <w:szCs w:val="28"/>
          <w:lang w:val="en-GB"/>
        </w:rPr>
        <w:t>EDI Review and Approval:</w:t>
      </w:r>
    </w:p>
    <w:p w14:paraId="33F1AAF4" w14:textId="77777777" w:rsidR="000729CF" w:rsidRPr="000729CF" w:rsidRDefault="000729CF" w:rsidP="000729CF">
      <w:pPr>
        <w:spacing w:after="160" w:line="259" w:lineRule="auto"/>
        <w:rPr>
          <w:rFonts w:ascii="Arial" w:eastAsia="Calibri" w:hAnsi="Arial" w:cs="Arial"/>
          <w:sz w:val="24"/>
          <w:szCs w:val="24"/>
          <w:lang w:val="en-GB"/>
        </w:rPr>
      </w:pPr>
    </w:p>
    <w:p w14:paraId="5938346C" w14:textId="77777777" w:rsidR="000729CF" w:rsidRPr="000729CF" w:rsidRDefault="000729CF" w:rsidP="000729CF">
      <w:pPr>
        <w:keepNext/>
        <w:keepLines/>
        <w:spacing w:after="160" w:line="259" w:lineRule="auto"/>
        <w:ind w:left="283" w:hanging="283"/>
        <w:outlineLvl w:val="1"/>
        <w:rPr>
          <w:rFonts w:ascii="Arial" w:hAnsi="Arial" w:cs="Arial"/>
          <w:color w:val="2F5496"/>
          <w:sz w:val="24"/>
          <w:szCs w:val="24"/>
          <w:lang w:val="en-GB"/>
        </w:rPr>
      </w:pPr>
      <w:r w:rsidRPr="000729CF">
        <w:rPr>
          <w:rFonts w:ascii="Arial" w:hAnsi="Arial" w:cs="Arial"/>
          <w:color w:val="2F5496"/>
          <w:sz w:val="24"/>
          <w:szCs w:val="24"/>
          <w:lang w:val="en-GB"/>
        </w:rPr>
        <w:t>Equality Impact Assessment sign-off</w:t>
      </w:r>
    </w:p>
    <w:tbl>
      <w:tblPr>
        <w:tblStyle w:val="TableGrid"/>
        <w:tblW w:w="0" w:type="auto"/>
        <w:tblLook w:val="04A0" w:firstRow="1" w:lastRow="0" w:firstColumn="1" w:lastColumn="0" w:noHBand="0" w:noVBand="1"/>
      </w:tblPr>
      <w:tblGrid>
        <w:gridCol w:w="3681"/>
        <w:gridCol w:w="4394"/>
        <w:gridCol w:w="2381"/>
      </w:tblGrid>
      <w:tr w:rsidR="000729CF" w:rsidRPr="000729CF" w14:paraId="248F493B" w14:textId="77777777" w:rsidTr="000729CF">
        <w:trPr>
          <w:trHeight w:val="20"/>
        </w:trPr>
        <w:tc>
          <w:tcPr>
            <w:tcW w:w="3681" w:type="dxa"/>
            <w:tcBorders>
              <w:bottom w:val="single" w:sz="4" w:space="0" w:color="auto"/>
            </w:tcBorders>
            <w:shd w:val="clear" w:color="auto" w:fill="D9D9D9"/>
          </w:tcPr>
          <w:p w14:paraId="5C3FEEA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1BB320D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w:t>
            </w:r>
          </w:p>
        </w:tc>
        <w:tc>
          <w:tcPr>
            <w:tcW w:w="2381" w:type="dxa"/>
            <w:shd w:val="clear" w:color="auto" w:fill="D9D9D9"/>
          </w:tcPr>
          <w:p w14:paraId="4200677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6220AC59" w14:textId="77777777" w:rsidTr="000729CF">
        <w:trPr>
          <w:trHeight w:val="20"/>
        </w:trPr>
        <w:tc>
          <w:tcPr>
            <w:tcW w:w="3681" w:type="dxa"/>
            <w:shd w:val="clear" w:color="auto" w:fill="E7E6E6"/>
          </w:tcPr>
          <w:p w14:paraId="27F92AF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Head of Communities, Equality, and Third Sector (CETS) Service:</w:t>
            </w:r>
          </w:p>
        </w:tc>
        <w:tc>
          <w:tcPr>
            <w:tcW w:w="4394" w:type="dxa"/>
          </w:tcPr>
          <w:p w14:paraId="1CF1E0A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Emma McDermott</w:t>
            </w:r>
          </w:p>
        </w:tc>
        <w:tc>
          <w:tcPr>
            <w:tcW w:w="2381" w:type="dxa"/>
          </w:tcPr>
          <w:p w14:paraId="0643625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23-01-24</w:t>
            </w:r>
          </w:p>
        </w:tc>
      </w:tr>
    </w:tbl>
    <w:p w14:paraId="1A80BF21" w14:textId="77777777" w:rsidR="000729CF" w:rsidRPr="000729CF" w:rsidRDefault="000729CF" w:rsidP="000729CF">
      <w:pPr>
        <w:rPr>
          <w:rFonts w:ascii="Arial" w:eastAsia="Calibri" w:hAnsi="Arial" w:cs="Arial"/>
          <w:sz w:val="22"/>
          <w:szCs w:val="22"/>
          <w:lang w:val="en-GB"/>
        </w:rPr>
      </w:pPr>
    </w:p>
    <w:p w14:paraId="583124F0" w14:textId="77777777" w:rsidR="000729CF" w:rsidRPr="000729CF" w:rsidRDefault="000729CF" w:rsidP="000729CF">
      <w:pPr>
        <w:spacing w:after="160" w:line="259" w:lineRule="auto"/>
        <w:rPr>
          <w:rFonts w:ascii="Arial" w:eastAsia="Calibri" w:hAnsi="Arial" w:cs="Arial"/>
          <w:b/>
          <w:bCs/>
          <w:sz w:val="24"/>
          <w:szCs w:val="24"/>
          <w:lang w:val="en-GB"/>
        </w:rPr>
      </w:pPr>
    </w:p>
    <w:p w14:paraId="7062DDC1" w14:textId="77777777" w:rsidR="000729CF" w:rsidRPr="000729CF" w:rsidRDefault="000729CF" w:rsidP="000729CF">
      <w:pPr>
        <w:keepNext/>
        <w:keepLines/>
        <w:spacing w:after="160" w:line="259" w:lineRule="auto"/>
        <w:outlineLvl w:val="1"/>
        <w:rPr>
          <w:rFonts w:ascii="Arial" w:eastAsia="Calibri" w:hAnsi="Arial" w:cs="Arial"/>
          <w:sz w:val="24"/>
          <w:szCs w:val="24"/>
          <w:lang w:val="en-GB"/>
        </w:rPr>
      </w:pPr>
    </w:p>
    <w:p w14:paraId="1BE23BC3" w14:textId="77777777" w:rsidR="000729CF" w:rsidRPr="000729CF" w:rsidRDefault="000729CF" w:rsidP="000729CF">
      <w:pPr>
        <w:spacing w:after="160" w:line="259" w:lineRule="auto"/>
        <w:rPr>
          <w:rFonts w:ascii="Arial" w:eastAsia="Calibri" w:hAnsi="Arial" w:cs="Arial"/>
          <w:sz w:val="24"/>
          <w:szCs w:val="24"/>
          <w:lang w:val="en-GB"/>
        </w:rPr>
      </w:pPr>
    </w:p>
    <w:p w14:paraId="511B6B0D"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br w:type="page"/>
      </w:r>
    </w:p>
    <w:p w14:paraId="23E6A8F1" w14:textId="77777777" w:rsidR="000729CF" w:rsidRPr="000729CF" w:rsidRDefault="000729CF" w:rsidP="000729CF">
      <w:pPr>
        <w:keepNext/>
        <w:keepLines/>
        <w:spacing w:after="160" w:line="259" w:lineRule="auto"/>
        <w:outlineLvl w:val="0"/>
        <w:rPr>
          <w:rFonts w:ascii="Arial" w:hAnsi="Arial" w:cs="Arial"/>
          <w:b/>
          <w:bCs/>
          <w:color w:val="2F5496"/>
          <w:sz w:val="28"/>
          <w:szCs w:val="28"/>
          <w:lang w:val="en-GB"/>
        </w:rPr>
      </w:pPr>
      <w:r w:rsidRPr="000729CF">
        <w:rPr>
          <w:rFonts w:ascii="Arial" w:hAnsi="Arial" w:cs="Arial"/>
          <w:b/>
          <w:bCs/>
          <w:color w:val="2F5496"/>
          <w:sz w:val="28"/>
          <w:szCs w:val="28"/>
          <w:lang w:val="en-GB"/>
        </w:rPr>
        <w:t>Budget Equality Impact Assessment (EIA) 2024/25 – Service Users</w:t>
      </w:r>
    </w:p>
    <w:p w14:paraId="62EBE982" w14:textId="77777777" w:rsidR="000729CF" w:rsidRPr="000729CF" w:rsidRDefault="000729CF" w:rsidP="000729CF">
      <w:pPr>
        <w:spacing w:after="160" w:line="259" w:lineRule="auto"/>
        <w:rPr>
          <w:rFonts w:ascii="Arial" w:eastAsia="Calibri" w:hAnsi="Arial" w:cs="Arial"/>
          <w:sz w:val="24"/>
          <w:szCs w:val="24"/>
          <w:lang w:val="en-GB"/>
        </w:rPr>
      </w:pPr>
    </w:p>
    <w:p w14:paraId="0F6A16C4" w14:textId="77777777" w:rsidR="000729CF" w:rsidRPr="000729CF" w:rsidRDefault="000729CF" w:rsidP="000729CF">
      <w:pPr>
        <w:keepNext/>
        <w:keepLines/>
        <w:spacing w:after="160" w:line="259" w:lineRule="auto"/>
        <w:ind w:left="720" w:hanging="360"/>
        <w:outlineLvl w:val="1"/>
        <w:rPr>
          <w:rFonts w:ascii="Arial" w:hAnsi="Arial" w:cs="Arial"/>
          <w:color w:val="2F5496"/>
          <w:sz w:val="24"/>
          <w:szCs w:val="24"/>
          <w:lang w:val="en-GB"/>
        </w:rPr>
      </w:pPr>
      <w:r w:rsidRPr="000729CF">
        <w:rPr>
          <w:rFonts w:ascii="Arial" w:hAnsi="Arial" w:cs="Arial"/>
          <w:color w:val="2F5496"/>
          <w:sz w:val="24"/>
          <w:szCs w:val="24"/>
          <w:lang w:val="en-GB"/>
        </w:rPr>
        <w:t xml:space="preserve">Budget Proposal </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6492"/>
      </w:tblGrid>
      <w:tr w:rsidR="000729CF" w:rsidRPr="000729CF" w14:paraId="45CB6397"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73F81E50"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Title of budget saving being assessed:</w:t>
            </w:r>
          </w:p>
        </w:tc>
        <w:tc>
          <w:tcPr>
            <w:tcW w:w="6492" w:type="dxa"/>
            <w:shd w:val="clear" w:color="auto" w:fill="auto"/>
          </w:tcPr>
          <w:p w14:paraId="10AFDD59" w14:textId="77777777" w:rsidR="000729CF" w:rsidRPr="000729CF" w:rsidRDefault="000729CF" w:rsidP="000729CF">
            <w:pPr>
              <w:spacing w:after="12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Youth led grants</w:t>
            </w:r>
          </w:p>
        </w:tc>
      </w:tr>
      <w:tr w:rsidR="000729CF" w:rsidRPr="000729CF" w14:paraId="633ABF10"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26B883E7"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Name and title of officer responsible for this EIA: </w:t>
            </w:r>
          </w:p>
        </w:tc>
        <w:tc>
          <w:tcPr>
            <w:tcW w:w="6492" w:type="dxa"/>
            <w:shd w:val="clear" w:color="auto" w:fill="auto"/>
          </w:tcPr>
          <w:p w14:paraId="0FA90BEA"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729CF">
              <w:rPr>
                <w:rFonts w:ascii="Arial" w:hAnsi="Arial" w:cs="Arial"/>
                <w:sz w:val="24"/>
                <w:szCs w:val="24"/>
              </w:rPr>
              <w:t>Jo Templeman, Head of Family Hubs</w:t>
            </w:r>
          </w:p>
        </w:tc>
      </w:tr>
      <w:tr w:rsidR="000729CF" w:rsidRPr="000729CF" w14:paraId="5BA9710F" w14:textId="77777777" w:rsidTr="000729CF">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5FC0A559"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Directorate and Service Name: </w:t>
            </w:r>
          </w:p>
        </w:tc>
        <w:tc>
          <w:tcPr>
            <w:tcW w:w="6492" w:type="dxa"/>
            <w:shd w:val="clear" w:color="auto" w:fill="auto"/>
          </w:tcPr>
          <w:p w14:paraId="7C942DAE" w14:textId="77777777" w:rsidR="000729CF" w:rsidRPr="000729CF" w:rsidRDefault="000729CF" w:rsidP="000729CF">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Families, Children and Learning, Family Hubs</w:t>
            </w:r>
          </w:p>
        </w:tc>
      </w:tr>
      <w:tr w:rsidR="000729CF" w:rsidRPr="000729CF" w14:paraId="0B4F0023"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0E63283D"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Budget proposal no.</w:t>
            </w:r>
          </w:p>
        </w:tc>
        <w:tc>
          <w:tcPr>
            <w:tcW w:w="6492" w:type="dxa"/>
            <w:shd w:val="clear" w:color="auto" w:fill="auto"/>
          </w:tcPr>
          <w:p w14:paraId="0D0B7332"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729CF">
              <w:rPr>
                <w:rFonts w:ascii="Arial" w:hAnsi="Arial" w:cs="Arial"/>
                <w:sz w:val="24"/>
                <w:szCs w:val="24"/>
              </w:rPr>
              <w:t>5</w:t>
            </w:r>
          </w:p>
        </w:tc>
      </w:tr>
    </w:tbl>
    <w:p w14:paraId="70C4F051" w14:textId="77777777" w:rsidR="000729CF" w:rsidRPr="000729CF" w:rsidRDefault="000729CF" w:rsidP="000729CF">
      <w:pPr>
        <w:spacing w:after="160" w:line="259" w:lineRule="auto"/>
        <w:rPr>
          <w:rFonts w:ascii="Arial" w:eastAsia="Calibri" w:hAnsi="Arial" w:cs="Arial"/>
          <w:sz w:val="24"/>
          <w:szCs w:val="24"/>
          <w:lang w:val="en-GB"/>
        </w:rPr>
      </w:pPr>
    </w:p>
    <w:p w14:paraId="4E4436B5"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Briefly describe the budget saving proposal: (use the wording in the budget spreadsheet and more detail if needed)</w:t>
      </w:r>
    </w:p>
    <w:tbl>
      <w:tblPr>
        <w:tblStyle w:val="TableGrid"/>
        <w:tblW w:w="0" w:type="auto"/>
        <w:tblLook w:val="04A0" w:firstRow="1" w:lastRow="0" w:firstColumn="1" w:lastColumn="0" w:noHBand="0" w:noVBand="1"/>
      </w:tblPr>
      <w:tblGrid>
        <w:gridCol w:w="10456"/>
      </w:tblGrid>
      <w:tr w:rsidR="000729CF" w:rsidRPr="000729CF" w14:paraId="4C471CCA" w14:textId="77777777" w:rsidTr="00BC26AB">
        <w:trPr>
          <w:trHeight w:val="851"/>
        </w:trPr>
        <w:tc>
          <w:tcPr>
            <w:tcW w:w="10456" w:type="dxa"/>
            <w:tcBorders>
              <w:bottom w:val="single" w:sz="4" w:space="0" w:color="auto"/>
            </w:tcBorders>
          </w:tcPr>
          <w:p w14:paraId="29F38B28" w14:textId="77777777" w:rsidR="000729CF" w:rsidRPr="000729CF" w:rsidRDefault="000729CF" w:rsidP="000729CF">
            <w:pPr>
              <w:spacing w:before="100" w:beforeAutospacing="1" w:after="100" w:afterAutospacing="1"/>
              <w:rPr>
                <w:rFonts w:ascii="Arial" w:hAnsi="Arial" w:cs="Arial"/>
                <w:color w:val="000000"/>
                <w:sz w:val="24"/>
                <w:szCs w:val="24"/>
                <w:lang w:eastAsia="en-GB"/>
              </w:rPr>
            </w:pPr>
            <w:r w:rsidRPr="000729CF">
              <w:rPr>
                <w:rFonts w:ascii="Arial" w:hAnsi="Arial" w:cs="Arial"/>
                <w:color w:val="000000"/>
                <w:sz w:val="24"/>
                <w:szCs w:val="24"/>
                <w:lang w:eastAsia="en-GB"/>
              </w:rPr>
              <w:t xml:space="preserve">The proposal is to cease the Youth Led Grants funding in total; a saving of £80,000. </w:t>
            </w:r>
          </w:p>
          <w:p w14:paraId="7F2E495B" w14:textId="77777777" w:rsidR="000729CF" w:rsidRPr="000729CF" w:rsidRDefault="000729CF" w:rsidP="000729CF">
            <w:pPr>
              <w:spacing w:before="100" w:beforeAutospacing="1" w:after="100" w:afterAutospacing="1"/>
              <w:rPr>
                <w:rFonts w:ascii="Arial" w:hAnsi="Arial" w:cs="Arial"/>
                <w:color w:val="000000"/>
                <w:sz w:val="24"/>
                <w:szCs w:val="24"/>
                <w:lang w:eastAsia="en-GB"/>
              </w:rPr>
            </w:pPr>
            <w:r w:rsidRPr="000729CF">
              <w:rPr>
                <w:rFonts w:ascii="Arial" w:hAnsi="Arial" w:cs="Arial"/>
                <w:color w:val="000000"/>
                <w:sz w:val="24"/>
                <w:szCs w:val="24"/>
                <w:lang w:eastAsia="en-GB"/>
              </w:rPr>
              <w:t xml:space="preserve">Young people are responsible for the distribution of funding allocated to the annual Youth Led Grants programme. Young people take a lead on how this money is spent, making decisions on the priorities, framework for allocating funds, and writing and evaluating the bids. The current agreed priorities for this programme are: </w:t>
            </w:r>
          </w:p>
          <w:p w14:paraId="2DC1215E" w14:textId="77777777" w:rsidR="000729CF" w:rsidRPr="000729CF" w:rsidRDefault="000729CF" w:rsidP="00CE70A3">
            <w:pPr>
              <w:numPr>
                <w:ilvl w:val="0"/>
                <w:numId w:val="104"/>
              </w:numPr>
              <w:spacing w:before="100" w:beforeAutospacing="1" w:after="100" w:afterAutospacing="1"/>
              <w:rPr>
                <w:rFonts w:ascii="Arial" w:hAnsi="Arial" w:cs="Arial"/>
                <w:color w:val="000000"/>
                <w:sz w:val="24"/>
                <w:szCs w:val="24"/>
                <w:lang w:eastAsia="en-GB"/>
              </w:rPr>
            </w:pPr>
            <w:r w:rsidRPr="000729CF">
              <w:rPr>
                <w:rFonts w:ascii="Arial" w:hAnsi="Arial" w:cs="Arial"/>
                <w:color w:val="000000"/>
                <w:sz w:val="24"/>
                <w:szCs w:val="24"/>
                <w:lang w:eastAsia="en-GB"/>
              </w:rPr>
              <w:t>Improving young people’s mental health ·</w:t>
            </w:r>
          </w:p>
          <w:p w14:paraId="6529EFFC" w14:textId="77777777" w:rsidR="000729CF" w:rsidRPr="000729CF" w:rsidRDefault="000729CF" w:rsidP="00CE70A3">
            <w:pPr>
              <w:numPr>
                <w:ilvl w:val="0"/>
                <w:numId w:val="104"/>
              </w:numPr>
              <w:spacing w:before="100" w:beforeAutospacing="1" w:after="100" w:afterAutospacing="1"/>
              <w:rPr>
                <w:rFonts w:ascii="Arial" w:hAnsi="Arial" w:cs="Arial"/>
                <w:color w:val="000000"/>
                <w:sz w:val="24"/>
                <w:szCs w:val="24"/>
                <w:lang w:eastAsia="en-GB"/>
              </w:rPr>
            </w:pPr>
            <w:r w:rsidRPr="000729CF">
              <w:rPr>
                <w:rFonts w:ascii="Arial" w:hAnsi="Arial" w:cs="Arial"/>
                <w:color w:val="000000"/>
                <w:sz w:val="24"/>
                <w:szCs w:val="24"/>
                <w:lang w:eastAsia="en-GB"/>
              </w:rPr>
              <w:t xml:space="preserve">Reducing the harm from young people’s alcohol and substance misuse </w:t>
            </w:r>
          </w:p>
          <w:p w14:paraId="14E87269" w14:textId="77777777" w:rsidR="000729CF" w:rsidRPr="000729CF" w:rsidRDefault="000729CF" w:rsidP="00CE70A3">
            <w:pPr>
              <w:numPr>
                <w:ilvl w:val="0"/>
                <w:numId w:val="104"/>
              </w:numPr>
              <w:spacing w:before="100" w:beforeAutospacing="1" w:after="100" w:afterAutospacing="1"/>
              <w:rPr>
                <w:rFonts w:ascii="Arial" w:hAnsi="Arial" w:cs="Arial"/>
                <w:color w:val="000000"/>
                <w:sz w:val="24"/>
                <w:szCs w:val="24"/>
                <w:lang w:eastAsia="en-GB"/>
              </w:rPr>
            </w:pPr>
            <w:r w:rsidRPr="000729CF">
              <w:rPr>
                <w:rFonts w:ascii="Arial" w:hAnsi="Arial" w:cs="Arial"/>
                <w:color w:val="000000"/>
                <w:sz w:val="24"/>
                <w:szCs w:val="24"/>
                <w:lang w:eastAsia="en-GB"/>
              </w:rPr>
              <w:t xml:space="preserve">Increasing volunteering and work experience opportunities </w:t>
            </w:r>
          </w:p>
          <w:p w14:paraId="3479F425" w14:textId="77777777" w:rsidR="000729CF" w:rsidRPr="000729CF" w:rsidRDefault="000729CF" w:rsidP="00CE70A3">
            <w:pPr>
              <w:numPr>
                <w:ilvl w:val="0"/>
                <w:numId w:val="104"/>
              </w:numPr>
              <w:spacing w:before="100" w:beforeAutospacing="1" w:after="100" w:afterAutospacing="1"/>
              <w:rPr>
                <w:rFonts w:ascii="Arial" w:hAnsi="Arial" w:cs="Arial"/>
                <w:color w:val="000000"/>
                <w:sz w:val="24"/>
                <w:szCs w:val="24"/>
                <w:lang w:eastAsia="en-GB"/>
              </w:rPr>
            </w:pPr>
            <w:r w:rsidRPr="000729CF">
              <w:rPr>
                <w:rFonts w:ascii="Arial" w:hAnsi="Arial" w:cs="Arial"/>
                <w:color w:val="000000"/>
                <w:sz w:val="24"/>
                <w:szCs w:val="24"/>
                <w:lang w:eastAsia="en-GB"/>
              </w:rPr>
              <w:t>Increasing opportunities for young people to participate in new and challenging experiences</w:t>
            </w:r>
          </w:p>
          <w:p w14:paraId="45980CA7" w14:textId="77777777" w:rsidR="000729CF" w:rsidRPr="000729CF" w:rsidRDefault="000729CF" w:rsidP="00CE70A3">
            <w:pPr>
              <w:numPr>
                <w:ilvl w:val="0"/>
                <w:numId w:val="104"/>
              </w:numPr>
              <w:spacing w:before="100" w:beforeAutospacing="1" w:after="100" w:afterAutospacing="1"/>
              <w:rPr>
                <w:rFonts w:ascii="Arial" w:hAnsi="Arial" w:cs="Arial"/>
                <w:color w:val="000000"/>
                <w:sz w:val="24"/>
                <w:szCs w:val="24"/>
                <w:lang w:eastAsia="en-GB"/>
              </w:rPr>
            </w:pPr>
            <w:r w:rsidRPr="000729CF">
              <w:rPr>
                <w:rFonts w:ascii="Arial" w:hAnsi="Arial" w:cs="Arial"/>
                <w:color w:val="000000"/>
                <w:sz w:val="24"/>
                <w:szCs w:val="24"/>
                <w:lang w:eastAsia="en-GB"/>
              </w:rPr>
              <w:t xml:space="preserve">Supporting young people who have faced additional disadvantage due to Covid-19 </w:t>
            </w:r>
          </w:p>
          <w:p w14:paraId="752A3B01" w14:textId="77777777" w:rsidR="000729CF" w:rsidRPr="000729CF" w:rsidRDefault="000729CF" w:rsidP="000729CF">
            <w:pPr>
              <w:spacing w:before="100" w:beforeAutospacing="1" w:after="100" w:afterAutospacing="1"/>
              <w:rPr>
                <w:rFonts w:ascii="Arial" w:hAnsi="Arial" w:cs="Arial"/>
                <w:color w:val="000000"/>
                <w:sz w:val="24"/>
                <w:szCs w:val="24"/>
                <w:lang w:eastAsia="en-GB"/>
              </w:rPr>
            </w:pPr>
            <w:r w:rsidRPr="000729CF">
              <w:rPr>
                <w:rFonts w:ascii="Arial" w:hAnsi="Arial" w:cs="Arial"/>
                <w:color w:val="000000"/>
                <w:sz w:val="24"/>
                <w:szCs w:val="24"/>
                <w:lang w:eastAsia="en-GB"/>
              </w:rPr>
              <w:t xml:space="preserve">The eligibility criteria include:  </w:t>
            </w:r>
          </w:p>
          <w:p w14:paraId="70269B7B" w14:textId="77777777" w:rsidR="000729CF" w:rsidRPr="000729CF" w:rsidRDefault="000729CF" w:rsidP="00CE70A3">
            <w:pPr>
              <w:numPr>
                <w:ilvl w:val="0"/>
                <w:numId w:val="105"/>
              </w:numPr>
              <w:spacing w:before="100" w:beforeAutospacing="1" w:after="100" w:afterAutospacing="1"/>
              <w:rPr>
                <w:rFonts w:ascii="Arial" w:hAnsi="Arial" w:cs="Arial"/>
                <w:color w:val="000000"/>
                <w:sz w:val="24"/>
                <w:szCs w:val="24"/>
                <w:lang w:eastAsia="en-GB"/>
              </w:rPr>
            </w:pPr>
            <w:r w:rsidRPr="000729CF">
              <w:rPr>
                <w:rFonts w:ascii="Arial" w:hAnsi="Arial" w:cs="Arial"/>
                <w:color w:val="000000"/>
                <w:sz w:val="24"/>
                <w:szCs w:val="24"/>
                <w:lang w:eastAsia="en-GB"/>
              </w:rPr>
              <w:t>Benefiting young people aged 11-19 (up to 25 if they have special educational needs)</w:t>
            </w:r>
          </w:p>
          <w:p w14:paraId="1427C349" w14:textId="77777777" w:rsidR="000729CF" w:rsidRPr="000729CF" w:rsidRDefault="000729CF" w:rsidP="00CE70A3">
            <w:pPr>
              <w:numPr>
                <w:ilvl w:val="0"/>
                <w:numId w:val="105"/>
              </w:numPr>
              <w:spacing w:before="100" w:beforeAutospacing="1" w:after="100" w:afterAutospacing="1"/>
              <w:rPr>
                <w:rFonts w:ascii="Arial" w:hAnsi="Arial" w:cs="Arial"/>
                <w:color w:val="000000"/>
                <w:sz w:val="24"/>
                <w:szCs w:val="24"/>
                <w:lang w:eastAsia="en-GB"/>
              </w:rPr>
            </w:pPr>
            <w:r w:rsidRPr="000729CF">
              <w:rPr>
                <w:rFonts w:ascii="Arial" w:hAnsi="Arial" w:cs="Arial"/>
                <w:color w:val="000000"/>
                <w:sz w:val="24"/>
                <w:szCs w:val="24"/>
                <w:lang w:eastAsia="en-GB"/>
              </w:rPr>
              <w:t>Ensuring distribution of funding takes into account the geographical areas of the city and groups of young people facing challenges in their lives, particularly around equality issues</w:t>
            </w:r>
          </w:p>
          <w:p w14:paraId="547B75E6" w14:textId="77777777" w:rsidR="000729CF" w:rsidRPr="000729CF" w:rsidRDefault="000729CF" w:rsidP="00CE70A3">
            <w:pPr>
              <w:numPr>
                <w:ilvl w:val="0"/>
                <w:numId w:val="105"/>
              </w:numPr>
              <w:spacing w:before="100" w:beforeAutospacing="1" w:after="100" w:afterAutospacing="1"/>
              <w:rPr>
                <w:rFonts w:ascii="Arial" w:hAnsi="Arial" w:cs="Arial"/>
                <w:color w:val="000000"/>
                <w:sz w:val="24"/>
                <w:szCs w:val="24"/>
                <w:lang w:eastAsia="en-GB"/>
              </w:rPr>
            </w:pPr>
            <w:r w:rsidRPr="000729CF">
              <w:rPr>
                <w:rFonts w:ascii="Arial" w:hAnsi="Arial" w:cs="Arial"/>
                <w:color w:val="000000"/>
                <w:sz w:val="24"/>
                <w:szCs w:val="24"/>
                <w:lang w:eastAsia="en-GB"/>
              </w:rPr>
              <w:t xml:space="preserve">Working in partnership with one of the lead Youth Service Grant Providers listed above </w:t>
            </w:r>
          </w:p>
          <w:p w14:paraId="1F66E31B" w14:textId="77777777" w:rsidR="000729CF" w:rsidRPr="000729CF" w:rsidRDefault="000729CF" w:rsidP="00CE70A3">
            <w:pPr>
              <w:numPr>
                <w:ilvl w:val="0"/>
                <w:numId w:val="105"/>
              </w:numPr>
              <w:spacing w:before="100" w:beforeAutospacing="1" w:after="100" w:afterAutospacing="1"/>
              <w:rPr>
                <w:rFonts w:ascii="Arial" w:hAnsi="Arial" w:cs="Arial"/>
                <w:color w:val="000000"/>
                <w:sz w:val="24"/>
                <w:szCs w:val="24"/>
                <w:lang w:eastAsia="en-GB"/>
              </w:rPr>
            </w:pPr>
            <w:r w:rsidRPr="000729CF">
              <w:rPr>
                <w:rFonts w:ascii="Arial" w:hAnsi="Arial" w:cs="Arial"/>
                <w:color w:val="000000"/>
                <w:sz w:val="24"/>
                <w:szCs w:val="24"/>
                <w:lang w:eastAsia="en-GB"/>
              </w:rPr>
              <w:t>Succeeding in encouraging participation with the voice of young people being embedded across all work, broadening the area of influence for young people. Your project will have a clear approach as to how young people are involved in and shape the activities and be part of the offer.</w:t>
            </w:r>
          </w:p>
          <w:p w14:paraId="49234186" w14:textId="77777777" w:rsidR="000729CF" w:rsidRPr="000729CF" w:rsidRDefault="000729CF" w:rsidP="00CE70A3">
            <w:pPr>
              <w:numPr>
                <w:ilvl w:val="0"/>
                <w:numId w:val="105"/>
              </w:numPr>
              <w:spacing w:before="100" w:beforeAutospacing="1" w:after="100" w:afterAutospacing="1"/>
              <w:rPr>
                <w:rFonts w:ascii="Arial" w:hAnsi="Arial" w:cs="Arial"/>
                <w:color w:val="000000"/>
                <w:sz w:val="24"/>
                <w:szCs w:val="24"/>
                <w:lang w:eastAsia="en-GB"/>
              </w:rPr>
            </w:pPr>
            <w:r w:rsidRPr="000729CF">
              <w:rPr>
                <w:rFonts w:ascii="Arial" w:hAnsi="Arial" w:cs="Arial"/>
                <w:color w:val="000000"/>
                <w:sz w:val="24"/>
                <w:szCs w:val="24"/>
                <w:lang w:eastAsia="en-GB"/>
              </w:rPr>
              <w:t>Operating in a manner compliant with the Equalities Act 2010 (see below)</w:t>
            </w:r>
          </w:p>
          <w:p w14:paraId="68958CCA" w14:textId="77777777" w:rsidR="000729CF" w:rsidRPr="000729CF" w:rsidRDefault="000729CF" w:rsidP="000729CF">
            <w:pPr>
              <w:spacing w:before="100" w:beforeAutospacing="1" w:after="100" w:afterAutospacing="1"/>
              <w:rPr>
                <w:sz w:val="24"/>
                <w:szCs w:val="24"/>
                <w:lang w:eastAsia="en-GB"/>
              </w:rPr>
            </w:pPr>
          </w:p>
        </w:tc>
      </w:tr>
      <w:tr w:rsidR="000729CF" w:rsidRPr="000729CF" w14:paraId="495C068D" w14:textId="77777777" w:rsidTr="00BC26AB">
        <w:trPr>
          <w:trHeight w:val="851"/>
        </w:trPr>
        <w:tc>
          <w:tcPr>
            <w:tcW w:w="10456" w:type="dxa"/>
            <w:tcBorders>
              <w:left w:val="nil"/>
              <w:right w:val="nil"/>
            </w:tcBorders>
          </w:tcPr>
          <w:p w14:paraId="5F285170" w14:textId="77777777" w:rsidR="000729CF" w:rsidRPr="000729CF" w:rsidRDefault="000729CF" w:rsidP="000729CF">
            <w:pPr>
              <w:spacing w:after="120"/>
              <w:rPr>
                <w:rFonts w:ascii="Arial" w:eastAsia="Calibri" w:hAnsi="Arial" w:cs="Arial"/>
                <w:sz w:val="24"/>
                <w:szCs w:val="24"/>
              </w:rPr>
            </w:pPr>
          </w:p>
          <w:p w14:paraId="28C930A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Summarise the most significant impacts identified by this assessment including which groups will be disproportionally negatively affected drawing out intersectional impacts as applicable:</w:t>
            </w:r>
          </w:p>
        </w:tc>
      </w:tr>
      <w:tr w:rsidR="000729CF" w:rsidRPr="000729CF" w14:paraId="08437ADD" w14:textId="77777777" w:rsidTr="00BC26AB">
        <w:trPr>
          <w:trHeight w:val="851"/>
        </w:trPr>
        <w:tc>
          <w:tcPr>
            <w:tcW w:w="10456" w:type="dxa"/>
          </w:tcPr>
          <w:p w14:paraId="6A743C8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color w:val="000000"/>
                <w:sz w:val="24"/>
                <w:szCs w:val="24"/>
              </w:rPr>
              <w:t>All funded projects target disadvantaged young people. A reduction in funding would result in between 20 -25 different youth projects/activities not being funded, and this would impact on young people aged between 11 – 19 years (up to 25 if they have special educational needs), particularly those with SEND, those financially disadvantaged, Black and Global Majority young people, gender specific groups and those impacted by Covid (particularly worsened mental health).</w:t>
            </w:r>
          </w:p>
        </w:tc>
      </w:tr>
    </w:tbl>
    <w:p w14:paraId="1FCD2603" w14:textId="77777777" w:rsidR="000729CF" w:rsidRPr="000729CF" w:rsidRDefault="000729CF" w:rsidP="000729CF">
      <w:pPr>
        <w:rPr>
          <w:rFonts w:ascii="Arial" w:eastAsia="Calibri" w:hAnsi="Arial" w:cs="Arial"/>
          <w:sz w:val="24"/>
          <w:szCs w:val="24"/>
          <w:lang w:val="en-GB"/>
        </w:rPr>
      </w:pPr>
    </w:p>
    <w:p w14:paraId="1C37FDA2"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Consultation, engagement and supporting EIAs</w:t>
      </w:r>
    </w:p>
    <w:p w14:paraId="2B0A00B3"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consultations or engagement activities are being used to inform this assessment? </w:t>
      </w:r>
    </w:p>
    <w:p w14:paraId="39C9AC7E"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If consultation is planned or in process – state this and state when it will done/completed even if indicative. If no consultation completed or planned, state this, giving an explanation. </w:t>
      </w:r>
    </w:p>
    <w:tbl>
      <w:tblPr>
        <w:tblStyle w:val="TableGrid"/>
        <w:tblW w:w="0" w:type="auto"/>
        <w:tblLook w:val="04A0" w:firstRow="1" w:lastRow="0" w:firstColumn="1" w:lastColumn="0" w:noHBand="0" w:noVBand="1"/>
      </w:tblPr>
      <w:tblGrid>
        <w:gridCol w:w="10456"/>
      </w:tblGrid>
      <w:tr w:rsidR="000729CF" w:rsidRPr="000729CF" w14:paraId="420F1BBA" w14:textId="77777777" w:rsidTr="00BC26AB">
        <w:trPr>
          <w:trHeight w:val="871"/>
        </w:trPr>
        <w:tc>
          <w:tcPr>
            <w:tcW w:w="10456" w:type="dxa"/>
          </w:tcPr>
          <w:p w14:paraId="08EB32F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There has been no consultation regarding this saving.</w:t>
            </w:r>
          </w:p>
        </w:tc>
      </w:tr>
    </w:tbl>
    <w:p w14:paraId="58A77AEC" w14:textId="77777777" w:rsidR="000729CF" w:rsidRPr="000729CF" w:rsidRDefault="000729CF" w:rsidP="000729CF">
      <w:pPr>
        <w:spacing w:after="160" w:line="259" w:lineRule="auto"/>
        <w:rPr>
          <w:rFonts w:ascii="Arial" w:eastAsia="Calibri" w:hAnsi="Arial" w:cs="Arial"/>
          <w:sz w:val="24"/>
          <w:szCs w:val="24"/>
          <w:lang w:val="en-GB"/>
        </w:rPr>
      </w:pPr>
    </w:p>
    <w:p w14:paraId="2C238D19"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other budget or service EIAs can assist/have been used to inform this assessment?</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0729CF" w:rsidRPr="000729CF" w14:paraId="59857D00"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shd w:val="clear" w:color="auto" w:fill="FFFFFF"/>
          </w:tcPr>
          <w:p w14:paraId="6AE8B7FE"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23/24 budgets savings EIA for this same grant programme. </w:t>
            </w:r>
          </w:p>
          <w:p w14:paraId="7CE78926" w14:textId="77777777" w:rsidR="000729CF" w:rsidRPr="000729CF" w:rsidRDefault="000729CF" w:rsidP="000729CF">
            <w:pPr>
              <w:spacing w:after="120"/>
              <w:rPr>
                <w:rFonts w:ascii="Arial" w:hAnsi="Arial" w:cs="Arial"/>
                <w:sz w:val="24"/>
                <w:szCs w:val="24"/>
              </w:rPr>
            </w:pPr>
          </w:p>
        </w:tc>
      </w:tr>
    </w:tbl>
    <w:p w14:paraId="71194F20" w14:textId="77777777" w:rsidR="000729CF" w:rsidRPr="000729CF" w:rsidRDefault="000729CF" w:rsidP="000729CF">
      <w:pPr>
        <w:spacing w:after="160" w:line="259" w:lineRule="auto"/>
        <w:rPr>
          <w:rFonts w:ascii="Arial" w:eastAsia="Calibri" w:hAnsi="Arial" w:cs="Arial"/>
          <w:sz w:val="24"/>
          <w:szCs w:val="24"/>
          <w:lang w:val="en-GB"/>
        </w:rPr>
      </w:pPr>
    </w:p>
    <w:p w14:paraId="72FD6E91"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Current data and impact monitoring</w:t>
      </w:r>
    </w:p>
    <w:p w14:paraId="7F8798E6"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Do you currently collect and analyse the following data to enable monitoring of the impact of this proposal? </w:t>
      </w:r>
    </w:p>
    <w:p w14:paraId="1001A2DF"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Consider all possible intersections (Delete and State Yes, No, Not Applicable)</w:t>
      </w:r>
    </w:p>
    <w:tbl>
      <w:tblPr>
        <w:tblStyle w:val="TableGrid"/>
        <w:tblW w:w="10485" w:type="dxa"/>
        <w:tblLook w:val="04A0" w:firstRow="1" w:lastRow="0" w:firstColumn="1" w:lastColumn="0" w:noHBand="0" w:noVBand="1"/>
      </w:tblPr>
      <w:tblGrid>
        <w:gridCol w:w="6658"/>
        <w:gridCol w:w="3827"/>
      </w:tblGrid>
      <w:tr w:rsidR="000729CF" w:rsidRPr="000729CF" w14:paraId="236BC168" w14:textId="77777777" w:rsidTr="000729CF">
        <w:trPr>
          <w:trHeight w:val="310"/>
        </w:trPr>
        <w:tc>
          <w:tcPr>
            <w:tcW w:w="6658" w:type="dxa"/>
            <w:shd w:val="clear" w:color="auto" w:fill="E7E6E6"/>
          </w:tcPr>
          <w:p w14:paraId="29D20D7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Age</w:t>
            </w:r>
          </w:p>
        </w:tc>
        <w:tc>
          <w:tcPr>
            <w:tcW w:w="3827" w:type="dxa"/>
          </w:tcPr>
          <w:p w14:paraId="7A5B80D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 - 11 to 25 years olds</w:t>
            </w:r>
          </w:p>
        </w:tc>
      </w:tr>
      <w:tr w:rsidR="000729CF" w:rsidRPr="000729CF" w14:paraId="0750646D" w14:textId="77777777" w:rsidTr="000729CF">
        <w:trPr>
          <w:trHeight w:val="20"/>
        </w:trPr>
        <w:tc>
          <w:tcPr>
            <w:tcW w:w="6658" w:type="dxa"/>
            <w:shd w:val="clear" w:color="auto" w:fill="E7E6E6"/>
          </w:tcPr>
          <w:p w14:paraId="77E776E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Disability and inclusive adjustments, coverage under equality act and not</w:t>
            </w:r>
          </w:p>
        </w:tc>
        <w:tc>
          <w:tcPr>
            <w:tcW w:w="3827" w:type="dxa"/>
          </w:tcPr>
          <w:p w14:paraId="05C8E6F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 yes</w:t>
            </w:r>
          </w:p>
        </w:tc>
      </w:tr>
      <w:tr w:rsidR="000729CF" w:rsidRPr="000729CF" w14:paraId="59381D56" w14:textId="77777777" w:rsidTr="000729CF">
        <w:trPr>
          <w:trHeight w:val="20"/>
        </w:trPr>
        <w:tc>
          <w:tcPr>
            <w:tcW w:w="6658" w:type="dxa"/>
            <w:shd w:val="clear" w:color="auto" w:fill="E7E6E6"/>
          </w:tcPr>
          <w:p w14:paraId="322957E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Ethnicity, ‘Race’, ethnic heritage (including Gypsy, Roma, Travellers)</w:t>
            </w:r>
          </w:p>
        </w:tc>
        <w:tc>
          <w:tcPr>
            <w:tcW w:w="3827" w:type="dxa"/>
          </w:tcPr>
          <w:p w14:paraId="771E1C7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 yes</w:t>
            </w:r>
          </w:p>
        </w:tc>
      </w:tr>
      <w:tr w:rsidR="000729CF" w:rsidRPr="000729CF" w14:paraId="405B0B0D" w14:textId="77777777" w:rsidTr="000729CF">
        <w:trPr>
          <w:trHeight w:val="20"/>
        </w:trPr>
        <w:tc>
          <w:tcPr>
            <w:tcW w:w="6658" w:type="dxa"/>
            <w:shd w:val="clear" w:color="auto" w:fill="E7E6E6"/>
          </w:tcPr>
          <w:p w14:paraId="58CA46F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Religion, Belief, Spirituality, Faith, or Atheism</w:t>
            </w:r>
          </w:p>
        </w:tc>
        <w:tc>
          <w:tcPr>
            <w:tcW w:w="3827" w:type="dxa"/>
          </w:tcPr>
          <w:p w14:paraId="6311E3B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 Not applicable</w:t>
            </w:r>
          </w:p>
        </w:tc>
      </w:tr>
      <w:tr w:rsidR="000729CF" w:rsidRPr="000729CF" w14:paraId="78276565" w14:textId="77777777" w:rsidTr="000729CF">
        <w:trPr>
          <w:trHeight w:val="20"/>
        </w:trPr>
        <w:tc>
          <w:tcPr>
            <w:tcW w:w="6658" w:type="dxa"/>
            <w:shd w:val="clear" w:color="auto" w:fill="E7E6E6"/>
          </w:tcPr>
          <w:p w14:paraId="7FC3C47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Identity and Sex (including non-binary and Intersex people)</w:t>
            </w:r>
          </w:p>
        </w:tc>
        <w:tc>
          <w:tcPr>
            <w:tcW w:w="3827" w:type="dxa"/>
          </w:tcPr>
          <w:p w14:paraId="1454114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 yes</w:t>
            </w:r>
          </w:p>
        </w:tc>
      </w:tr>
      <w:tr w:rsidR="000729CF" w:rsidRPr="000729CF" w14:paraId="005C6527" w14:textId="77777777" w:rsidTr="000729CF">
        <w:trPr>
          <w:trHeight w:val="20"/>
        </w:trPr>
        <w:tc>
          <w:tcPr>
            <w:tcW w:w="6658" w:type="dxa"/>
            <w:shd w:val="clear" w:color="auto" w:fill="E7E6E6"/>
          </w:tcPr>
          <w:p w14:paraId="1A69D20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3827" w:type="dxa"/>
          </w:tcPr>
          <w:p w14:paraId="68AAED3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 NO </w:t>
            </w:r>
          </w:p>
        </w:tc>
      </w:tr>
      <w:tr w:rsidR="000729CF" w:rsidRPr="000729CF" w14:paraId="2EDC8079" w14:textId="77777777" w:rsidTr="000729CF">
        <w:trPr>
          <w:trHeight w:val="20"/>
        </w:trPr>
        <w:tc>
          <w:tcPr>
            <w:tcW w:w="6658" w:type="dxa"/>
            <w:shd w:val="clear" w:color="auto" w:fill="E7E6E6"/>
          </w:tcPr>
          <w:p w14:paraId="73A145C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3827" w:type="dxa"/>
          </w:tcPr>
          <w:p w14:paraId="0CFF07D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 NO</w:t>
            </w:r>
          </w:p>
        </w:tc>
      </w:tr>
      <w:tr w:rsidR="000729CF" w:rsidRPr="000729CF" w14:paraId="69484F46" w14:textId="77777777" w:rsidTr="000729CF">
        <w:trPr>
          <w:trHeight w:val="20"/>
        </w:trPr>
        <w:tc>
          <w:tcPr>
            <w:tcW w:w="6658" w:type="dxa"/>
            <w:shd w:val="clear" w:color="auto" w:fill="E7E6E6"/>
          </w:tcPr>
          <w:p w14:paraId="5C3972B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3827" w:type="dxa"/>
          </w:tcPr>
          <w:p w14:paraId="22F3426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2DCFC130" w14:textId="77777777" w:rsidTr="000729CF">
        <w:trPr>
          <w:trHeight w:val="20"/>
        </w:trPr>
        <w:tc>
          <w:tcPr>
            <w:tcW w:w="6658" w:type="dxa"/>
            <w:shd w:val="clear" w:color="auto" w:fill="E7E6E6"/>
          </w:tcPr>
          <w:p w14:paraId="16161E0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Pregnant people, Maternity, Paternity, Adoption, Menopause, (In)fertility (across the gender spectrum)</w:t>
            </w:r>
          </w:p>
        </w:tc>
        <w:tc>
          <w:tcPr>
            <w:tcW w:w="3827" w:type="dxa"/>
          </w:tcPr>
          <w:p w14:paraId="698BA89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28A92230" w14:textId="77777777" w:rsidTr="000729CF">
        <w:trPr>
          <w:trHeight w:val="20"/>
        </w:trPr>
        <w:tc>
          <w:tcPr>
            <w:tcW w:w="6658" w:type="dxa"/>
            <w:shd w:val="clear" w:color="auto" w:fill="E7E6E6"/>
          </w:tcPr>
          <w:p w14:paraId="16330C7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3827" w:type="dxa"/>
          </w:tcPr>
          <w:p w14:paraId="3F728D7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775B6C71" w14:textId="77777777" w:rsidTr="000729CF">
        <w:trPr>
          <w:trHeight w:val="20"/>
        </w:trPr>
        <w:tc>
          <w:tcPr>
            <w:tcW w:w="6658" w:type="dxa"/>
            <w:shd w:val="clear" w:color="auto" w:fill="E7E6E6"/>
          </w:tcPr>
          <w:p w14:paraId="7B9141C2" w14:textId="77777777" w:rsidR="000729CF" w:rsidRPr="000729CF" w:rsidRDefault="000729CF" w:rsidP="000729CF">
            <w:pPr>
              <w:spacing w:after="120"/>
              <w:rPr>
                <w:rFonts w:ascii="Arial" w:hAnsi="Arial" w:cs="Arial"/>
                <w:b/>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p>
        </w:tc>
        <w:tc>
          <w:tcPr>
            <w:tcW w:w="3827" w:type="dxa"/>
          </w:tcPr>
          <w:p w14:paraId="0E94A3C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5946B9D3" w14:textId="77777777" w:rsidTr="000729CF">
        <w:trPr>
          <w:trHeight w:val="20"/>
        </w:trPr>
        <w:tc>
          <w:tcPr>
            <w:tcW w:w="6658" w:type="dxa"/>
            <w:shd w:val="clear" w:color="auto" w:fill="E7E6E6"/>
          </w:tcPr>
          <w:p w14:paraId="095C2DE1" w14:textId="77777777" w:rsidR="000729CF" w:rsidRPr="000729CF" w:rsidRDefault="000729CF" w:rsidP="000729CF">
            <w:pPr>
              <w:spacing w:after="120"/>
              <w:rPr>
                <w:rFonts w:ascii="Arial" w:hAnsi="Arial" w:cs="Arial"/>
                <w:b/>
                <w:sz w:val="24"/>
                <w:szCs w:val="24"/>
              </w:rPr>
            </w:pPr>
            <w:r w:rsidRPr="000729CF">
              <w:rPr>
                <w:rFonts w:ascii="Arial" w:eastAsia="Calibri" w:hAnsi="Arial" w:cs="Arial"/>
                <w:b/>
                <w:bCs/>
                <w:color w:val="000000"/>
                <w:sz w:val="24"/>
                <w:szCs w:val="24"/>
              </w:rPr>
              <w:t>Carers</w:t>
            </w:r>
          </w:p>
        </w:tc>
        <w:tc>
          <w:tcPr>
            <w:tcW w:w="3827" w:type="dxa"/>
          </w:tcPr>
          <w:p w14:paraId="3058C9E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r>
      <w:tr w:rsidR="000729CF" w:rsidRPr="000729CF" w14:paraId="11DE90A6" w14:textId="77777777" w:rsidTr="000729CF">
        <w:trPr>
          <w:trHeight w:val="20"/>
        </w:trPr>
        <w:tc>
          <w:tcPr>
            <w:tcW w:w="6658" w:type="dxa"/>
            <w:shd w:val="clear" w:color="auto" w:fill="E7E6E6"/>
          </w:tcPr>
          <w:p w14:paraId="0953A6C0"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Looked after children, Care Leavers, Care and fostering experienced people</w:t>
            </w:r>
          </w:p>
        </w:tc>
        <w:tc>
          <w:tcPr>
            <w:tcW w:w="3827" w:type="dxa"/>
          </w:tcPr>
          <w:p w14:paraId="6930D81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68EC9512" w14:textId="77777777" w:rsidTr="000729CF">
        <w:trPr>
          <w:trHeight w:val="20"/>
        </w:trPr>
        <w:tc>
          <w:tcPr>
            <w:tcW w:w="6658" w:type="dxa"/>
            <w:shd w:val="clear" w:color="auto" w:fill="E7E6E6"/>
          </w:tcPr>
          <w:p w14:paraId="225FDCD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 and people in vulnerable situations (All aspects and intersections)</w:t>
            </w:r>
          </w:p>
        </w:tc>
        <w:tc>
          <w:tcPr>
            <w:tcW w:w="3827" w:type="dxa"/>
          </w:tcPr>
          <w:p w14:paraId="52A6ED5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683266DC" w14:textId="77777777" w:rsidTr="000729CF">
        <w:trPr>
          <w:trHeight w:val="20"/>
        </w:trPr>
        <w:tc>
          <w:tcPr>
            <w:tcW w:w="6658" w:type="dxa"/>
            <w:shd w:val="clear" w:color="auto" w:fill="E7E6E6"/>
          </w:tcPr>
          <w:p w14:paraId="571FCBA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Socio-economic Disadvantage</w:t>
            </w:r>
          </w:p>
        </w:tc>
        <w:tc>
          <w:tcPr>
            <w:tcW w:w="3827" w:type="dxa"/>
          </w:tcPr>
          <w:p w14:paraId="79D47FA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 yes</w:t>
            </w:r>
          </w:p>
        </w:tc>
      </w:tr>
      <w:tr w:rsidR="000729CF" w:rsidRPr="000729CF" w14:paraId="7198B3E5" w14:textId="77777777" w:rsidTr="000729CF">
        <w:trPr>
          <w:trHeight w:val="20"/>
        </w:trPr>
        <w:tc>
          <w:tcPr>
            <w:tcW w:w="6658" w:type="dxa"/>
            <w:shd w:val="clear" w:color="auto" w:fill="E7E6E6"/>
          </w:tcPr>
          <w:p w14:paraId="70A0F87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Homelessness and associated risk and vulnerability</w:t>
            </w:r>
          </w:p>
        </w:tc>
        <w:tc>
          <w:tcPr>
            <w:tcW w:w="3827" w:type="dxa"/>
          </w:tcPr>
          <w:p w14:paraId="6A69A2D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 NO </w:t>
            </w:r>
          </w:p>
        </w:tc>
      </w:tr>
      <w:tr w:rsidR="000729CF" w:rsidRPr="000729CF" w14:paraId="34004F66" w14:textId="77777777" w:rsidTr="000729CF">
        <w:trPr>
          <w:trHeight w:val="20"/>
        </w:trPr>
        <w:tc>
          <w:tcPr>
            <w:tcW w:w="6658" w:type="dxa"/>
            <w:shd w:val="clear" w:color="auto" w:fill="E7E6E6"/>
          </w:tcPr>
          <w:p w14:paraId="0A3A555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3827" w:type="dxa"/>
          </w:tcPr>
          <w:p w14:paraId="7AE811D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 NO </w:t>
            </w:r>
          </w:p>
        </w:tc>
      </w:tr>
      <w:tr w:rsidR="000729CF" w:rsidRPr="000729CF" w14:paraId="395DC1DD" w14:textId="77777777" w:rsidTr="000729CF">
        <w:trPr>
          <w:trHeight w:val="20"/>
        </w:trPr>
        <w:tc>
          <w:tcPr>
            <w:tcW w:w="6658" w:type="dxa"/>
            <w:shd w:val="clear" w:color="auto" w:fill="E7E6E6"/>
          </w:tcPr>
          <w:p w14:paraId="0AF2D93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 (please specify here and add additional rows as needed)</w:t>
            </w:r>
          </w:p>
        </w:tc>
        <w:tc>
          <w:tcPr>
            <w:tcW w:w="3827" w:type="dxa"/>
          </w:tcPr>
          <w:p w14:paraId="2182FE2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 NO</w:t>
            </w:r>
          </w:p>
        </w:tc>
      </w:tr>
    </w:tbl>
    <w:p w14:paraId="5CE319FE" w14:textId="77777777" w:rsidR="000729CF" w:rsidRPr="000729CF" w:rsidRDefault="000729CF" w:rsidP="000729CF">
      <w:pPr>
        <w:rPr>
          <w:rFonts w:ascii="Arial" w:eastAsia="Calibri" w:hAnsi="Arial" w:cs="Arial"/>
          <w:sz w:val="24"/>
          <w:szCs w:val="24"/>
          <w:lang w:val="en-GB"/>
        </w:rPr>
      </w:pPr>
    </w:p>
    <w:p w14:paraId="0F6915E5"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4D79A5E4"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4EDE0268"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360F1CCF"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7CD1008B"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790EE268"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4B10B12F"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5A6A2639"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354943DB"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56BCF8A8"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2A9C258A" w14:textId="77777777" w:rsidR="000729CF" w:rsidRPr="000729CF" w:rsidRDefault="000729CF" w:rsidP="000729CF">
      <w:pPr>
        <w:rPr>
          <w:rFonts w:ascii="Arial" w:eastAsia="Calibri" w:hAnsi="Arial" w:cs="Arial"/>
          <w:sz w:val="24"/>
          <w:szCs w:val="24"/>
          <w:lang w:val="en-GB"/>
        </w:rPr>
      </w:pPr>
    </w:p>
    <w:p w14:paraId="4358F72C"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If you answered “NO” to any of the above, how will you gather this data to enable improved monitoring of impact for this proposal?</w:t>
      </w:r>
    </w:p>
    <w:tbl>
      <w:tblPr>
        <w:tblStyle w:val="TableGrid"/>
        <w:tblW w:w="0" w:type="auto"/>
        <w:tblLook w:val="04A0" w:firstRow="1" w:lastRow="0" w:firstColumn="1" w:lastColumn="0" w:noHBand="0" w:noVBand="1"/>
      </w:tblPr>
      <w:tblGrid>
        <w:gridCol w:w="10456"/>
      </w:tblGrid>
      <w:tr w:rsidR="000729CF" w:rsidRPr="000729CF" w14:paraId="2EACF001" w14:textId="77777777" w:rsidTr="00BC26AB">
        <w:trPr>
          <w:trHeight w:val="757"/>
        </w:trPr>
        <w:tc>
          <w:tcPr>
            <w:tcW w:w="10456" w:type="dxa"/>
          </w:tcPr>
          <w:p w14:paraId="470F3D3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Equal opportunities is part of the application and assessment process.</w:t>
            </w:r>
          </w:p>
        </w:tc>
      </w:tr>
    </w:tbl>
    <w:p w14:paraId="3B801B99" w14:textId="77777777" w:rsidR="000729CF" w:rsidRPr="000729CF" w:rsidRDefault="000729CF" w:rsidP="000729CF">
      <w:pPr>
        <w:rPr>
          <w:rFonts w:ascii="Arial" w:eastAsia="Calibri" w:hAnsi="Arial" w:cs="Arial"/>
          <w:sz w:val="24"/>
          <w:szCs w:val="24"/>
          <w:lang w:val="en-GB"/>
        </w:rPr>
      </w:pPr>
    </w:p>
    <w:p w14:paraId="3CAF9021"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are the arrangements for monitoring, and reviewing the impact of this proposal?</w:t>
      </w:r>
    </w:p>
    <w:tbl>
      <w:tblPr>
        <w:tblStyle w:val="TableGrid"/>
        <w:tblW w:w="0" w:type="auto"/>
        <w:tblLook w:val="04A0" w:firstRow="1" w:lastRow="0" w:firstColumn="1" w:lastColumn="0" w:noHBand="0" w:noVBand="1"/>
      </w:tblPr>
      <w:tblGrid>
        <w:gridCol w:w="10456"/>
      </w:tblGrid>
      <w:tr w:rsidR="000729CF" w:rsidRPr="000729CF" w14:paraId="4538A4DB" w14:textId="77777777" w:rsidTr="00BC26AB">
        <w:trPr>
          <w:trHeight w:val="757"/>
        </w:trPr>
        <w:tc>
          <w:tcPr>
            <w:tcW w:w="10456" w:type="dxa"/>
          </w:tcPr>
          <w:p w14:paraId="363909C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Feedback from organisations currently receiving a grant via this programme. </w:t>
            </w:r>
          </w:p>
        </w:tc>
      </w:tr>
    </w:tbl>
    <w:p w14:paraId="29193AAE" w14:textId="77777777" w:rsidR="000729CF" w:rsidRPr="000729CF" w:rsidRDefault="000729CF" w:rsidP="000729CF">
      <w:pPr>
        <w:rPr>
          <w:rFonts w:ascii="Arial" w:eastAsia="Calibri" w:hAnsi="Arial" w:cs="Arial"/>
          <w:sz w:val="24"/>
          <w:szCs w:val="24"/>
          <w:lang w:val="en-GB"/>
        </w:rPr>
      </w:pPr>
    </w:p>
    <w:p w14:paraId="47ECE5E0"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Impacts</w:t>
      </w:r>
    </w:p>
    <w:p w14:paraId="663B92D9"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Briefly state source of data or data analysis being used to describe the </w:t>
      </w:r>
      <w:r w:rsidRPr="000729CF">
        <w:rPr>
          <w:rFonts w:ascii="Arial" w:eastAsia="Calibri" w:hAnsi="Arial" w:cs="Arial"/>
          <w:color w:val="000000"/>
          <w:sz w:val="24"/>
          <w:szCs w:val="24"/>
          <w:bdr w:val="none" w:sz="0" w:space="0" w:color="auto" w:frame="1"/>
          <w:lang w:val="en-GB"/>
        </w:rPr>
        <w:t xml:space="preserve">disproportionate negative impacts. </w:t>
      </w:r>
      <w:r w:rsidRPr="000729CF">
        <w:rPr>
          <w:rFonts w:ascii="Arial" w:eastAsia="Calibri" w:hAnsi="Arial" w:cs="Arial"/>
          <w:sz w:val="24"/>
          <w:szCs w:val="24"/>
          <w:lang w:val="en-GB"/>
        </w:rPr>
        <w:t xml:space="preserve">Preferably provide link to data/ analysis if open data source. </w:t>
      </w:r>
    </w:p>
    <w:p w14:paraId="167D6BD2" w14:textId="77777777" w:rsidR="000729CF" w:rsidRPr="000729CF" w:rsidRDefault="000729CF" w:rsidP="000729CF">
      <w:pPr>
        <w:spacing w:after="160" w:line="259" w:lineRule="auto"/>
        <w:rPr>
          <w:rFonts w:ascii="Arial" w:eastAsia="Calibri" w:hAnsi="Arial" w:cs="Arial"/>
          <w:sz w:val="24"/>
          <w:szCs w:val="24"/>
          <w:lang w:val="en-GB"/>
        </w:rPr>
      </w:pPr>
    </w:p>
    <w:tbl>
      <w:tblPr>
        <w:tblStyle w:val="TableGrid"/>
        <w:tblW w:w="10485" w:type="dxa"/>
        <w:tblLook w:val="04A0" w:firstRow="1" w:lastRow="0" w:firstColumn="1" w:lastColumn="0" w:noHBand="0" w:noVBand="1"/>
      </w:tblPr>
      <w:tblGrid>
        <w:gridCol w:w="2985"/>
        <w:gridCol w:w="2123"/>
        <w:gridCol w:w="5377"/>
      </w:tblGrid>
      <w:tr w:rsidR="000729CF" w:rsidRPr="000729CF" w14:paraId="1A474BFA" w14:textId="77777777" w:rsidTr="000729CF">
        <w:trPr>
          <w:trHeight w:val="20"/>
        </w:trPr>
        <w:tc>
          <w:tcPr>
            <w:tcW w:w="2985" w:type="dxa"/>
            <w:shd w:val="clear" w:color="auto" w:fill="E7E6E6"/>
          </w:tcPr>
          <w:p w14:paraId="649E1AB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Assess impact for different population groups</w:t>
            </w:r>
          </w:p>
        </w:tc>
        <w:tc>
          <w:tcPr>
            <w:tcW w:w="2123" w:type="dxa"/>
            <w:shd w:val="clear" w:color="auto" w:fill="E7E6E6"/>
          </w:tcPr>
          <w:p w14:paraId="2074175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Is there a possible disproportionate negative impact? </w:t>
            </w:r>
          </w:p>
          <w:p w14:paraId="20AFCF7A" w14:textId="77777777" w:rsidR="000729CF" w:rsidRPr="000729CF" w:rsidRDefault="000729CF" w:rsidP="000729CF">
            <w:pPr>
              <w:spacing w:after="120"/>
              <w:rPr>
                <w:rFonts w:ascii="Arial" w:eastAsia="Calibri" w:hAnsi="Arial" w:cs="Arial"/>
                <w:b/>
                <w:bCs/>
                <w:sz w:val="24"/>
                <w:szCs w:val="24"/>
              </w:rPr>
            </w:pPr>
          </w:p>
          <w:p w14:paraId="13B74C9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b/>
                <w:bCs/>
                <w:sz w:val="24"/>
                <w:szCs w:val="24"/>
              </w:rPr>
              <w:t>State Yes or No</w:t>
            </w:r>
          </w:p>
        </w:tc>
        <w:tc>
          <w:tcPr>
            <w:tcW w:w="5377" w:type="dxa"/>
            <w:shd w:val="clear" w:color="auto" w:fill="E7E6E6"/>
          </w:tcPr>
          <w:p w14:paraId="7A03264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Describe the potential negative impact, considering for differences within groups For example, different ethnic groups, and peoples intersecting identities e.g. disabled women of faith</w:t>
            </w:r>
          </w:p>
          <w:p w14:paraId="65E1878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OR</w:t>
            </w:r>
          </w:p>
          <w:p w14:paraId="1819365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If no impact is identified, briefly state why.</w:t>
            </w:r>
          </w:p>
        </w:tc>
      </w:tr>
      <w:tr w:rsidR="000729CF" w:rsidRPr="000729CF" w14:paraId="54E9F3A7" w14:textId="77777777" w:rsidTr="000729CF">
        <w:trPr>
          <w:trHeight w:val="20"/>
        </w:trPr>
        <w:tc>
          <w:tcPr>
            <w:tcW w:w="2985" w:type="dxa"/>
            <w:shd w:val="clear" w:color="auto" w:fill="E7E6E6"/>
          </w:tcPr>
          <w:p w14:paraId="3C3A868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Age </w:t>
            </w:r>
          </w:p>
          <w:p w14:paraId="2C4767D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sz w:val="24"/>
                <w:szCs w:val="24"/>
              </w:rPr>
              <w:t>including those under 16, young adults, multiple ethnicities, those with various intersections.</w:t>
            </w:r>
          </w:p>
        </w:tc>
        <w:tc>
          <w:tcPr>
            <w:tcW w:w="2123" w:type="dxa"/>
          </w:tcPr>
          <w:p w14:paraId="4A67A6E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c>
          <w:tcPr>
            <w:tcW w:w="5377" w:type="dxa"/>
          </w:tcPr>
          <w:p w14:paraId="057AD92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bCs/>
                <w:sz w:val="24"/>
                <w:szCs w:val="24"/>
              </w:rPr>
              <w:t xml:space="preserve">This will impact on young people aged between 11 years – 19 years (up to 25 years </w:t>
            </w:r>
            <w:r w:rsidRPr="000729CF">
              <w:rPr>
                <w:rFonts w:ascii="Arial" w:hAnsi="Arial" w:cs="Arial"/>
                <w:bCs/>
                <w:color w:val="000000"/>
                <w:sz w:val="24"/>
                <w:szCs w:val="24"/>
                <w:lang w:eastAsia="ja-JP"/>
              </w:rPr>
              <w:t xml:space="preserve">if they have special educational needs). There will be no funding for project for this group. </w:t>
            </w:r>
          </w:p>
        </w:tc>
      </w:tr>
      <w:tr w:rsidR="000729CF" w:rsidRPr="000729CF" w14:paraId="04913261" w14:textId="77777777" w:rsidTr="000729CF">
        <w:trPr>
          <w:trHeight w:val="1117"/>
        </w:trPr>
        <w:tc>
          <w:tcPr>
            <w:tcW w:w="2985" w:type="dxa"/>
            <w:shd w:val="clear" w:color="auto" w:fill="E7E6E6"/>
          </w:tcPr>
          <w:p w14:paraId="2E352DE1"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 xml:space="preserve">Disability </w:t>
            </w:r>
            <w:r w:rsidRPr="000729CF">
              <w:rPr>
                <w:rFonts w:ascii="Arial" w:eastAsia="Calibri" w:hAnsi="Arial" w:cs="Arial"/>
                <w:sz w:val="24"/>
                <w:szCs w:val="24"/>
              </w:rPr>
              <w:t>includes physical and sensory disabled, D/deaf, deafened, hard of hearing, blind, neurodiverse people, people with non-visible disabilities.</w:t>
            </w:r>
          </w:p>
        </w:tc>
        <w:tc>
          <w:tcPr>
            <w:tcW w:w="2123" w:type="dxa"/>
          </w:tcPr>
          <w:p w14:paraId="492DCCE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7D1AB4A6" w14:textId="77777777" w:rsidR="000729CF" w:rsidRPr="000729CF" w:rsidRDefault="000729CF" w:rsidP="000729CF">
            <w:pPr>
              <w:tabs>
                <w:tab w:val="left" w:pos="2055"/>
              </w:tabs>
              <w:spacing w:after="120"/>
              <w:rPr>
                <w:rFonts w:ascii="Arial" w:eastAsia="Calibri" w:hAnsi="Arial" w:cs="Arial"/>
                <w:sz w:val="24"/>
                <w:szCs w:val="24"/>
              </w:rPr>
            </w:pPr>
            <w:r w:rsidRPr="000729CF">
              <w:rPr>
                <w:rFonts w:ascii="Arial" w:eastAsia="Calibri" w:hAnsi="Arial" w:cs="Arial"/>
                <w:bCs/>
                <w:sz w:val="24"/>
                <w:szCs w:val="24"/>
              </w:rPr>
              <w:t xml:space="preserve">This programme awards funding to specific programmes for young people with SEND. </w:t>
            </w:r>
            <w:r w:rsidRPr="000729CF">
              <w:rPr>
                <w:rFonts w:ascii="Arial" w:hAnsi="Arial" w:cs="Arial"/>
                <w:bCs/>
                <w:color w:val="000000"/>
                <w:sz w:val="24"/>
                <w:szCs w:val="24"/>
                <w:lang w:eastAsia="ja-JP"/>
              </w:rPr>
              <w:t>There will be no funding for project for this group.</w:t>
            </w:r>
          </w:p>
        </w:tc>
      </w:tr>
      <w:tr w:rsidR="000729CF" w:rsidRPr="000729CF" w14:paraId="0DFE43BD" w14:textId="77777777" w:rsidTr="000729CF">
        <w:trPr>
          <w:trHeight w:val="20"/>
        </w:trPr>
        <w:tc>
          <w:tcPr>
            <w:tcW w:w="2985" w:type="dxa"/>
            <w:shd w:val="clear" w:color="auto" w:fill="E7E6E6"/>
          </w:tcPr>
          <w:p w14:paraId="51466045" w14:textId="77777777" w:rsidR="000729CF" w:rsidRPr="000729CF" w:rsidRDefault="000729CF" w:rsidP="000729CF">
            <w:pPr>
              <w:keepNext/>
              <w:keepLines/>
              <w:spacing w:before="40"/>
              <w:outlineLvl w:val="2"/>
              <w:rPr>
                <w:rFonts w:ascii="Arial" w:hAnsi="Arial" w:cs="Arial"/>
                <w:color w:val="1F3763"/>
                <w:sz w:val="24"/>
                <w:szCs w:val="24"/>
              </w:rPr>
            </w:pPr>
            <w:r w:rsidRPr="000729CF">
              <w:rPr>
                <w:rFonts w:ascii="Arial" w:hAnsi="Arial" w:cs="Arial"/>
                <w:b/>
                <w:bCs/>
                <w:color w:val="000000"/>
                <w:sz w:val="24"/>
                <w:szCs w:val="24"/>
              </w:rPr>
              <w:t>Ethnicity, ‘</w:t>
            </w:r>
            <w:r w:rsidRPr="000729CF">
              <w:rPr>
                <w:rFonts w:ascii="Arial" w:hAnsi="Arial" w:cs="Arial"/>
                <w:color w:val="000000"/>
                <w:sz w:val="24"/>
                <w:szCs w:val="24"/>
              </w:rPr>
              <w:t>Race’, ethnic heritage including Gypsy, Roma, Travellers</w:t>
            </w:r>
          </w:p>
        </w:tc>
        <w:tc>
          <w:tcPr>
            <w:tcW w:w="2123" w:type="dxa"/>
          </w:tcPr>
          <w:p w14:paraId="13E8174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c>
          <w:tcPr>
            <w:tcW w:w="5377" w:type="dxa"/>
          </w:tcPr>
          <w:p w14:paraId="49D1BAF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This programme awards funding to activities for Black and Global Majority young people.</w:t>
            </w:r>
            <w:r w:rsidRPr="000729CF">
              <w:rPr>
                <w:rFonts w:ascii="Arial" w:hAnsi="Arial" w:cs="Arial"/>
                <w:bCs/>
                <w:color w:val="000000"/>
                <w:sz w:val="24"/>
                <w:szCs w:val="24"/>
                <w:lang w:eastAsia="ja-JP"/>
              </w:rPr>
              <w:t xml:space="preserve"> There will be no funding for project for this group. </w:t>
            </w:r>
            <w:r w:rsidRPr="000729CF">
              <w:rPr>
                <w:rFonts w:ascii="Arial" w:eastAsia="Calibri" w:hAnsi="Arial" w:cs="Arial"/>
                <w:sz w:val="24"/>
                <w:szCs w:val="24"/>
              </w:rPr>
              <w:t xml:space="preserve"> </w:t>
            </w:r>
          </w:p>
        </w:tc>
      </w:tr>
      <w:tr w:rsidR="000729CF" w:rsidRPr="000729CF" w14:paraId="31A4FC08" w14:textId="77777777" w:rsidTr="000729CF">
        <w:trPr>
          <w:trHeight w:val="20"/>
        </w:trPr>
        <w:tc>
          <w:tcPr>
            <w:tcW w:w="2985" w:type="dxa"/>
            <w:shd w:val="clear" w:color="auto" w:fill="E7E6E6"/>
          </w:tcPr>
          <w:p w14:paraId="6E79715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Religion, Spirituality, Faith, Atheism, and philosophical belief </w:t>
            </w:r>
          </w:p>
        </w:tc>
        <w:tc>
          <w:tcPr>
            <w:tcW w:w="2123" w:type="dxa"/>
          </w:tcPr>
          <w:p w14:paraId="43FEF67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274232D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bCs/>
                <w:sz w:val="24"/>
                <w:szCs w:val="24"/>
              </w:rPr>
              <w:t>No disproportionate impact for this group.</w:t>
            </w:r>
          </w:p>
        </w:tc>
      </w:tr>
      <w:tr w:rsidR="000729CF" w:rsidRPr="000729CF" w14:paraId="34AAFF84" w14:textId="77777777" w:rsidTr="000729CF">
        <w:trPr>
          <w:trHeight w:val="20"/>
        </w:trPr>
        <w:tc>
          <w:tcPr>
            <w:tcW w:w="2985" w:type="dxa"/>
            <w:shd w:val="clear" w:color="auto" w:fill="E7E6E6"/>
          </w:tcPr>
          <w:p w14:paraId="216592E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Gender and Sex </w:t>
            </w:r>
            <w:r w:rsidRPr="000729CF">
              <w:rPr>
                <w:rFonts w:ascii="Arial" w:eastAsia="Calibri" w:hAnsi="Arial" w:cs="Arial"/>
                <w:sz w:val="24"/>
                <w:szCs w:val="24"/>
              </w:rPr>
              <w:t>including non-binary and intersex people</w:t>
            </w:r>
          </w:p>
        </w:tc>
        <w:tc>
          <w:tcPr>
            <w:tcW w:w="2123" w:type="dxa"/>
          </w:tcPr>
          <w:p w14:paraId="50C1732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c>
          <w:tcPr>
            <w:tcW w:w="5377" w:type="dxa"/>
          </w:tcPr>
          <w:p w14:paraId="286B3A5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This programme awards funding to activities for young women and men re: gender-related issues and disadvantages. </w:t>
            </w:r>
            <w:r w:rsidRPr="000729CF">
              <w:rPr>
                <w:rFonts w:ascii="Arial" w:hAnsi="Arial" w:cs="Arial"/>
                <w:bCs/>
                <w:color w:val="000000"/>
                <w:sz w:val="24"/>
                <w:szCs w:val="24"/>
                <w:lang w:eastAsia="ja-JP"/>
              </w:rPr>
              <w:t xml:space="preserve">There will be no funding for project for this group. </w:t>
            </w:r>
            <w:r w:rsidRPr="000729CF">
              <w:rPr>
                <w:rFonts w:ascii="Arial" w:eastAsia="Calibri" w:hAnsi="Arial" w:cs="Arial"/>
                <w:sz w:val="24"/>
                <w:szCs w:val="24"/>
              </w:rPr>
              <w:t xml:space="preserve"> </w:t>
            </w:r>
          </w:p>
        </w:tc>
      </w:tr>
      <w:tr w:rsidR="000729CF" w:rsidRPr="000729CF" w14:paraId="0921F613" w14:textId="77777777" w:rsidTr="000729CF">
        <w:trPr>
          <w:trHeight w:val="20"/>
        </w:trPr>
        <w:tc>
          <w:tcPr>
            <w:tcW w:w="2985" w:type="dxa"/>
            <w:shd w:val="clear" w:color="auto" w:fill="E7E6E6"/>
          </w:tcPr>
          <w:p w14:paraId="1F193CD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2123" w:type="dxa"/>
          </w:tcPr>
          <w:p w14:paraId="26403F2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09C296D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bCs/>
                <w:sz w:val="24"/>
                <w:szCs w:val="24"/>
              </w:rPr>
              <w:t xml:space="preserve">No disproportionate impact for this group. </w:t>
            </w:r>
          </w:p>
        </w:tc>
      </w:tr>
      <w:tr w:rsidR="000729CF" w:rsidRPr="000729CF" w14:paraId="073FDD37" w14:textId="77777777" w:rsidTr="000729CF">
        <w:trPr>
          <w:trHeight w:val="20"/>
        </w:trPr>
        <w:tc>
          <w:tcPr>
            <w:tcW w:w="2985" w:type="dxa"/>
            <w:shd w:val="clear" w:color="auto" w:fill="E7E6E6"/>
          </w:tcPr>
          <w:p w14:paraId="76E9F85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2123" w:type="dxa"/>
          </w:tcPr>
          <w:p w14:paraId="08E804D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480F1FB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bCs/>
                <w:sz w:val="24"/>
                <w:szCs w:val="24"/>
              </w:rPr>
              <w:t xml:space="preserve">No disproportionate impact for this group. </w:t>
            </w:r>
          </w:p>
        </w:tc>
      </w:tr>
      <w:tr w:rsidR="000729CF" w:rsidRPr="000729CF" w14:paraId="0D57FA10" w14:textId="77777777" w:rsidTr="000729CF">
        <w:trPr>
          <w:trHeight w:val="20"/>
        </w:trPr>
        <w:tc>
          <w:tcPr>
            <w:tcW w:w="2985" w:type="dxa"/>
            <w:shd w:val="clear" w:color="auto" w:fill="E7E6E6"/>
          </w:tcPr>
          <w:p w14:paraId="3816298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2123" w:type="dxa"/>
          </w:tcPr>
          <w:p w14:paraId="4543C96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n/a</w:t>
            </w:r>
          </w:p>
        </w:tc>
        <w:tc>
          <w:tcPr>
            <w:tcW w:w="5377" w:type="dxa"/>
          </w:tcPr>
          <w:p w14:paraId="54925872" w14:textId="77777777" w:rsidR="000729CF" w:rsidRPr="000729CF" w:rsidRDefault="000729CF" w:rsidP="000729CF">
            <w:pPr>
              <w:spacing w:after="120"/>
              <w:rPr>
                <w:rFonts w:ascii="Arial" w:eastAsia="Calibri" w:hAnsi="Arial" w:cs="Arial"/>
                <w:sz w:val="24"/>
                <w:szCs w:val="24"/>
              </w:rPr>
            </w:pPr>
          </w:p>
        </w:tc>
      </w:tr>
      <w:tr w:rsidR="000729CF" w:rsidRPr="000729CF" w14:paraId="03768264" w14:textId="77777777" w:rsidTr="000729CF">
        <w:trPr>
          <w:trHeight w:val="20"/>
        </w:trPr>
        <w:tc>
          <w:tcPr>
            <w:tcW w:w="2985" w:type="dxa"/>
            <w:shd w:val="clear" w:color="auto" w:fill="E7E6E6"/>
          </w:tcPr>
          <w:p w14:paraId="0320F9D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Pregnancy, Maternity, Paternity, Adoption, Menopause, (In)fertility </w:t>
            </w:r>
            <w:r w:rsidRPr="000729CF">
              <w:rPr>
                <w:rFonts w:ascii="Arial" w:eastAsia="Calibri" w:hAnsi="Arial" w:cs="Arial"/>
                <w:color w:val="000000"/>
                <w:sz w:val="24"/>
                <w:szCs w:val="24"/>
              </w:rPr>
              <w:t>(across intersections and non-binary gender spectrum)</w:t>
            </w:r>
          </w:p>
        </w:tc>
        <w:tc>
          <w:tcPr>
            <w:tcW w:w="2123" w:type="dxa"/>
          </w:tcPr>
          <w:p w14:paraId="231CEE7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n/a</w:t>
            </w:r>
          </w:p>
        </w:tc>
        <w:tc>
          <w:tcPr>
            <w:tcW w:w="5377" w:type="dxa"/>
          </w:tcPr>
          <w:p w14:paraId="27F52AC5" w14:textId="77777777" w:rsidR="000729CF" w:rsidRPr="000729CF" w:rsidRDefault="000729CF" w:rsidP="000729CF">
            <w:pPr>
              <w:spacing w:after="120"/>
              <w:rPr>
                <w:rFonts w:ascii="Arial" w:eastAsia="Calibri" w:hAnsi="Arial" w:cs="Arial"/>
                <w:sz w:val="24"/>
                <w:szCs w:val="24"/>
              </w:rPr>
            </w:pPr>
          </w:p>
        </w:tc>
      </w:tr>
      <w:tr w:rsidR="000729CF" w:rsidRPr="000729CF" w14:paraId="180581B7" w14:textId="77777777" w:rsidTr="000729CF">
        <w:trPr>
          <w:trHeight w:val="20"/>
        </w:trPr>
        <w:tc>
          <w:tcPr>
            <w:tcW w:w="2985" w:type="dxa"/>
            <w:shd w:val="clear" w:color="auto" w:fill="E7E6E6"/>
          </w:tcPr>
          <w:p w14:paraId="7474D9F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2123" w:type="dxa"/>
          </w:tcPr>
          <w:p w14:paraId="41DBD0C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n/a</w:t>
            </w:r>
          </w:p>
        </w:tc>
        <w:tc>
          <w:tcPr>
            <w:tcW w:w="5377" w:type="dxa"/>
          </w:tcPr>
          <w:p w14:paraId="28E5EEC3" w14:textId="77777777" w:rsidR="000729CF" w:rsidRPr="000729CF" w:rsidRDefault="000729CF" w:rsidP="000729CF">
            <w:pPr>
              <w:spacing w:after="120"/>
              <w:rPr>
                <w:rFonts w:ascii="Arial" w:eastAsia="Calibri" w:hAnsi="Arial" w:cs="Arial"/>
                <w:sz w:val="24"/>
                <w:szCs w:val="24"/>
              </w:rPr>
            </w:pPr>
          </w:p>
        </w:tc>
      </w:tr>
      <w:tr w:rsidR="000729CF" w:rsidRPr="000729CF" w14:paraId="4B28A970" w14:textId="77777777" w:rsidTr="000729CF">
        <w:trPr>
          <w:trHeight w:val="20"/>
        </w:trPr>
        <w:tc>
          <w:tcPr>
            <w:tcW w:w="2985" w:type="dxa"/>
            <w:shd w:val="clear" w:color="auto" w:fill="E7E6E6"/>
          </w:tcPr>
          <w:p w14:paraId="264DF8E9" w14:textId="77777777" w:rsidR="000729CF" w:rsidRPr="000729CF" w:rsidRDefault="000729CF" w:rsidP="000729CF">
            <w:pPr>
              <w:spacing w:after="120"/>
              <w:rPr>
                <w:rFonts w:ascii="Arial" w:eastAsia="Calibri" w:hAnsi="Arial" w:cs="Arial"/>
                <w:b/>
                <w:bCs/>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r w:rsidRPr="000729CF">
              <w:rPr>
                <w:rFonts w:ascii="Arial" w:hAnsi="Arial" w:cs="Arial"/>
                <w:color w:val="000000"/>
                <w:sz w:val="24"/>
                <w:szCs w:val="24"/>
              </w:rPr>
              <w:t>considering for age, language, and various intersections</w:t>
            </w:r>
          </w:p>
        </w:tc>
        <w:tc>
          <w:tcPr>
            <w:tcW w:w="2123" w:type="dxa"/>
          </w:tcPr>
          <w:p w14:paraId="1852DBA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3DC1B42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This programme awards funding to activities for Black and Global Majority young people, within this cohort of young people some will identify as refugee and or migrant. </w:t>
            </w:r>
            <w:r w:rsidRPr="000729CF">
              <w:rPr>
                <w:rFonts w:ascii="Arial" w:hAnsi="Arial" w:cs="Arial"/>
                <w:bCs/>
                <w:color w:val="000000"/>
                <w:sz w:val="24"/>
                <w:szCs w:val="24"/>
                <w:lang w:eastAsia="ja-JP"/>
              </w:rPr>
              <w:t xml:space="preserve"> There will be no funding for project for this group. </w:t>
            </w:r>
            <w:r w:rsidRPr="000729CF">
              <w:rPr>
                <w:rFonts w:ascii="Arial" w:eastAsia="Calibri" w:hAnsi="Arial" w:cs="Arial"/>
                <w:sz w:val="24"/>
                <w:szCs w:val="24"/>
              </w:rPr>
              <w:t xml:space="preserve"> </w:t>
            </w:r>
          </w:p>
        </w:tc>
      </w:tr>
      <w:tr w:rsidR="000729CF" w:rsidRPr="000729CF" w14:paraId="71970EBA" w14:textId="77777777" w:rsidTr="000729CF">
        <w:trPr>
          <w:trHeight w:val="20"/>
        </w:trPr>
        <w:tc>
          <w:tcPr>
            <w:tcW w:w="2985" w:type="dxa"/>
            <w:shd w:val="clear" w:color="auto" w:fill="E7E6E6"/>
          </w:tcPr>
          <w:p w14:paraId="71F8F7C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Carers </w:t>
            </w:r>
            <w:r w:rsidRPr="000729CF">
              <w:rPr>
                <w:rFonts w:ascii="Arial" w:hAnsi="Arial" w:cs="Arial"/>
                <w:color w:val="000000"/>
                <w:sz w:val="24"/>
                <w:szCs w:val="24"/>
              </w:rPr>
              <w:t>considering for age, language, and various intersections</w:t>
            </w:r>
          </w:p>
        </w:tc>
        <w:tc>
          <w:tcPr>
            <w:tcW w:w="2123" w:type="dxa"/>
          </w:tcPr>
          <w:p w14:paraId="7746F2D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77E043D4" w14:textId="77777777" w:rsidR="000729CF" w:rsidRPr="000729CF" w:rsidRDefault="000729CF" w:rsidP="000729CF">
            <w:pPr>
              <w:spacing w:after="120"/>
              <w:rPr>
                <w:rFonts w:ascii="Arial" w:eastAsia="Calibri" w:hAnsi="Arial" w:cs="Arial"/>
                <w:sz w:val="24"/>
                <w:szCs w:val="24"/>
              </w:rPr>
            </w:pPr>
          </w:p>
        </w:tc>
      </w:tr>
      <w:tr w:rsidR="000729CF" w:rsidRPr="000729CF" w14:paraId="54882C17" w14:textId="77777777" w:rsidTr="000729CF">
        <w:trPr>
          <w:trHeight w:val="20"/>
        </w:trPr>
        <w:tc>
          <w:tcPr>
            <w:tcW w:w="2985" w:type="dxa"/>
            <w:shd w:val="clear" w:color="auto" w:fill="E7E6E6"/>
          </w:tcPr>
          <w:p w14:paraId="4B1CF95E"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 xml:space="preserve">Looked after children, Care Leavers, Care and fostering experienced people </w:t>
            </w:r>
            <w:r w:rsidRPr="000729CF">
              <w:rPr>
                <w:rFonts w:ascii="Arial" w:hAnsi="Arial" w:cs="Arial"/>
                <w:color w:val="000000"/>
                <w:sz w:val="24"/>
                <w:szCs w:val="24"/>
              </w:rPr>
              <w:t>considering for age, language, and various intersections</w:t>
            </w:r>
          </w:p>
        </w:tc>
        <w:tc>
          <w:tcPr>
            <w:tcW w:w="2123" w:type="dxa"/>
          </w:tcPr>
          <w:p w14:paraId="3197787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1AF56DF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Groups currently funded by in house council funding, so not impacted by youth led grants.</w:t>
            </w:r>
          </w:p>
        </w:tc>
      </w:tr>
      <w:tr w:rsidR="000729CF" w:rsidRPr="000729CF" w14:paraId="1A2D9D1D" w14:textId="77777777" w:rsidTr="000729CF">
        <w:trPr>
          <w:trHeight w:val="20"/>
        </w:trPr>
        <w:tc>
          <w:tcPr>
            <w:tcW w:w="2985" w:type="dxa"/>
            <w:shd w:val="clear" w:color="auto" w:fill="E7E6E6"/>
          </w:tcPr>
          <w:p w14:paraId="0710514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w:t>
            </w:r>
          </w:p>
        </w:tc>
        <w:tc>
          <w:tcPr>
            <w:tcW w:w="2123" w:type="dxa"/>
          </w:tcPr>
          <w:p w14:paraId="180A483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n/a</w:t>
            </w:r>
          </w:p>
        </w:tc>
        <w:tc>
          <w:tcPr>
            <w:tcW w:w="5377" w:type="dxa"/>
          </w:tcPr>
          <w:p w14:paraId="5D8032E7" w14:textId="77777777" w:rsidR="000729CF" w:rsidRPr="000729CF" w:rsidRDefault="000729CF" w:rsidP="000729CF">
            <w:pPr>
              <w:spacing w:after="120"/>
              <w:rPr>
                <w:rFonts w:ascii="Arial" w:eastAsia="Calibri" w:hAnsi="Arial" w:cs="Arial"/>
                <w:sz w:val="24"/>
                <w:szCs w:val="24"/>
              </w:rPr>
            </w:pPr>
          </w:p>
        </w:tc>
      </w:tr>
      <w:tr w:rsidR="000729CF" w:rsidRPr="000729CF" w14:paraId="09F64335" w14:textId="77777777" w:rsidTr="000729CF">
        <w:trPr>
          <w:trHeight w:val="20"/>
        </w:trPr>
        <w:tc>
          <w:tcPr>
            <w:tcW w:w="2985" w:type="dxa"/>
            <w:shd w:val="clear" w:color="auto" w:fill="E7E6E6"/>
          </w:tcPr>
          <w:p w14:paraId="62F1292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Socio-economic disadvantage </w:t>
            </w:r>
            <w:r w:rsidRPr="000729CF">
              <w:rPr>
                <w:rFonts w:ascii="Arial" w:eastAsia="Calibri" w:hAnsi="Arial" w:cs="Arial"/>
                <w:color w:val="000000"/>
                <w:sz w:val="24"/>
                <w:szCs w:val="24"/>
              </w:rPr>
              <w:t>considering for age, disability, D/deaf/ blind, ethnicity, expatriate background, and various intersections</w:t>
            </w:r>
          </w:p>
        </w:tc>
        <w:tc>
          <w:tcPr>
            <w:tcW w:w="2123" w:type="dxa"/>
            <w:vAlign w:val="center"/>
          </w:tcPr>
          <w:p w14:paraId="58C522F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1DDB87D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bCs/>
                <w:sz w:val="24"/>
                <w:szCs w:val="24"/>
              </w:rPr>
              <w:t xml:space="preserve">Young people financially disadvantaged are particularly targeted for the funded projects. </w:t>
            </w:r>
            <w:r w:rsidRPr="000729CF">
              <w:rPr>
                <w:rFonts w:ascii="Arial" w:hAnsi="Arial" w:cs="Arial"/>
                <w:bCs/>
                <w:color w:val="000000"/>
                <w:sz w:val="24"/>
                <w:szCs w:val="24"/>
                <w:lang w:eastAsia="ja-JP"/>
              </w:rPr>
              <w:t>There will be no funding for project for this group</w:t>
            </w:r>
          </w:p>
        </w:tc>
      </w:tr>
      <w:tr w:rsidR="000729CF" w:rsidRPr="000729CF" w14:paraId="392B87F8" w14:textId="77777777" w:rsidTr="000729CF">
        <w:trPr>
          <w:trHeight w:val="20"/>
        </w:trPr>
        <w:tc>
          <w:tcPr>
            <w:tcW w:w="2985" w:type="dxa"/>
            <w:shd w:val="clear" w:color="auto" w:fill="E7E6E6"/>
          </w:tcPr>
          <w:p w14:paraId="477CF96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Homeless and rough sleepers </w:t>
            </w:r>
            <w:r w:rsidRPr="000729CF">
              <w:rPr>
                <w:rFonts w:ascii="Arial" w:eastAsia="Calibri" w:hAnsi="Arial" w:cs="Arial"/>
                <w:color w:val="000000"/>
                <w:sz w:val="24"/>
                <w:szCs w:val="24"/>
              </w:rPr>
              <w:t>considering for age, veteran, ethnicity, language, and various intersections</w:t>
            </w:r>
          </w:p>
        </w:tc>
        <w:tc>
          <w:tcPr>
            <w:tcW w:w="2123" w:type="dxa"/>
          </w:tcPr>
          <w:p w14:paraId="2078EA9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n/a</w:t>
            </w:r>
          </w:p>
        </w:tc>
        <w:tc>
          <w:tcPr>
            <w:tcW w:w="5377" w:type="dxa"/>
          </w:tcPr>
          <w:p w14:paraId="59CD6F16" w14:textId="77777777" w:rsidR="000729CF" w:rsidRPr="000729CF" w:rsidRDefault="000729CF" w:rsidP="000729CF">
            <w:pPr>
              <w:spacing w:after="120"/>
              <w:rPr>
                <w:rFonts w:ascii="Arial" w:eastAsia="Calibri" w:hAnsi="Arial" w:cs="Arial"/>
                <w:sz w:val="24"/>
                <w:szCs w:val="24"/>
              </w:rPr>
            </w:pPr>
          </w:p>
        </w:tc>
      </w:tr>
      <w:tr w:rsidR="000729CF" w:rsidRPr="000729CF" w14:paraId="02799822" w14:textId="77777777" w:rsidTr="000729CF">
        <w:trPr>
          <w:trHeight w:val="20"/>
        </w:trPr>
        <w:tc>
          <w:tcPr>
            <w:tcW w:w="2985" w:type="dxa"/>
            <w:shd w:val="clear" w:color="auto" w:fill="E7E6E6"/>
          </w:tcPr>
          <w:p w14:paraId="560BFAE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2123" w:type="dxa"/>
          </w:tcPr>
          <w:p w14:paraId="24A63B0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n/a</w:t>
            </w:r>
          </w:p>
        </w:tc>
        <w:tc>
          <w:tcPr>
            <w:tcW w:w="5377" w:type="dxa"/>
          </w:tcPr>
          <w:p w14:paraId="183348B9" w14:textId="77777777" w:rsidR="000729CF" w:rsidRPr="000729CF" w:rsidRDefault="000729CF" w:rsidP="000729CF">
            <w:pPr>
              <w:spacing w:after="120"/>
              <w:rPr>
                <w:rFonts w:ascii="Arial" w:eastAsia="Calibri" w:hAnsi="Arial" w:cs="Arial"/>
                <w:sz w:val="24"/>
                <w:szCs w:val="24"/>
              </w:rPr>
            </w:pPr>
          </w:p>
        </w:tc>
      </w:tr>
      <w:tr w:rsidR="000729CF" w:rsidRPr="000729CF" w14:paraId="1A2245D8" w14:textId="77777777" w:rsidTr="000729CF">
        <w:trPr>
          <w:trHeight w:val="20"/>
        </w:trPr>
        <w:tc>
          <w:tcPr>
            <w:tcW w:w="2985" w:type="dxa"/>
            <w:shd w:val="clear" w:color="auto" w:fill="E7E6E6"/>
          </w:tcPr>
          <w:p w14:paraId="0DCE094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 (please specify here and add additional rows as needed)</w:t>
            </w:r>
          </w:p>
        </w:tc>
        <w:tc>
          <w:tcPr>
            <w:tcW w:w="2123" w:type="dxa"/>
          </w:tcPr>
          <w:p w14:paraId="34478440" w14:textId="77777777" w:rsidR="000729CF" w:rsidRPr="000729CF" w:rsidRDefault="000729CF" w:rsidP="000729CF">
            <w:pPr>
              <w:spacing w:after="120"/>
              <w:rPr>
                <w:rFonts w:ascii="Arial" w:eastAsia="Calibri" w:hAnsi="Arial" w:cs="Arial"/>
                <w:sz w:val="24"/>
                <w:szCs w:val="24"/>
              </w:rPr>
            </w:pPr>
          </w:p>
        </w:tc>
        <w:tc>
          <w:tcPr>
            <w:tcW w:w="5377" w:type="dxa"/>
          </w:tcPr>
          <w:p w14:paraId="36A95B59" w14:textId="77777777" w:rsidR="000729CF" w:rsidRPr="000729CF" w:rsidRDefault="000729CF" w:rsidP="000729CF">
            <w:pPr>
              <w:spacing w:after="120"/>
              <w:rPr>
                <w:rFonts w:ascii="Arial" w:eastAsia="Calibri" w:hAnsi="Arial" w:cs="Arial"/>
                <w:sz w:val="24"/>
                <w:szCs w:val="24"/>
              </w:rPr>
            </w:pPr>
          </w:p>
        </w:tc>
      </w:tr>
    </w:tbl>
    <w:p w14:paraId="2FDE2126" w14:textId="77777777" w:rsidR="000729CF" w:rsidRPr="000729CF" w:rsidRDefault="000729CF" w:rsidP="000729CF">
      <w:pPr>
        <w:spacing w:after="160" w:line="259" w:lineRule="auto"/>
        <w:rPr>
          <w:rFonts w:ascii="Arial" w:eastAsia="Calibri" w:hAnsi="Arial" w:cs="Arial"/>
          <w:b/>
          <w:bCs/>
          <w:sz w:val="24"/>
          <w:szCs w:val="24"/>
          <w:lang w:val="en-GB"/>
        </w:rPr>
      </w:pPr>
    </w:p>
    <w:p w14:paraId="77AA72B0"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60FEB981"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271F7589"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7CECE348"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26D82B2F"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4DFD5E73"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0C1D3A59"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58541045"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2C00F9CA"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3C7B823D"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69403F6A" w14:textId="77777777" w:rsidR="000729CF" w:rsidRPr="000729CF" w:rsidRDefault="000729CF" w:rsidP="000729CF">
      <w:pPr>
        <w:rPr>
          <w:rFonts w:ascii="Arial" w:eastAsia="Calibri" w:hAnsi="Arial" w:cs="Arial"/>
          <w:sz w:val="24"/>
          <w:szCs w:val="24"/>
          <w:lang w:val="en-GB"/>
        </w:rPr>
      </w:pPr>
    </w:p>
    <w:p w14:paraId="60CDBCDE"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Cumulative impacts</w:t>
      </w:r>
    </w:p>
    <w:p w14:paraId="4FD3780D"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Are there other budget proposals from other service areas that might worsen or mitigate the impacts from your proposal? Please give a brief description including name of other service(s).</w:t>
      </w:r>
    </w:p>
    <w:tbl>
      <w:tblPr>
        <w:tblStyle w:val="TableGrid"/>
        <w:tblW w:w="0" w:type="auto"/>
        <w:tblLook w:val="04A0" w:firstRow="1" w:lastRow="0" w:firstColumn="1" w:lastColumn="0" w:noHBand="0" w:noVBand="1"/>
      </w:tblPr>
      <w:tblGrid>
        <w:gridCol w:w="10456"/>
      </w:tblGrid>
      <w:tr w:rsidR="000729CF" w:rsidRPr="000729CF" w14:paraId="3258416B" w14:textId="77777777" w:rsidTr="00BC26AB">
        <w:tc>
          <w:tcPr>
            <w:tcW w:w="10456" w:type="dxa"/>
          </w:tcPr>
          <w:p w14:paraId="7EB157AC" w14:textId="77777777" w:rsidR="000729CF" w:rsidRPr="000729CF" w:rsidRDefault="000729CF" w:rsidP="000729CF">
            <w:pPr>
              <w:autoSpaceDE w:val="0"/>
              <w:autoSpaceDN w:val="0"/>
              <w:adjustRightInd w:val="0"/>
              <w:rPr>
                <w:rFonts w:ascii="Arial" w:hAnsi="Arial" w:cs="Arial"/>
                <w:color w:val="000000"/>
                <w:sz w:val="24"/>
                <w:szCs w:val="24"/>
                <w:lang w:eastAsia="en-GB"/>
              </w:rPr>
            </w:pPr>
            <w:r w:rsidRPr="000729CF">
              <w:rPr>
                <w:rFonts w:ascii="Arial" w:hAnsi="Arial" w:cs="Arial"/>
                <w:noProof/>
                <w:sz w:val="24"/>
                <w:lang w:eastAsia="en-GB"/>
              </w:rPr>
              <mc:AlternateContent>
                <mc:Choice Requires="wps">
                  <w:drawing>
                    <wp:anchor distT="0" distB="0" distL="114300" distR="114300" simplePos="0" relativeHeight="251659264" behindDoc="0" locked="0" layoutInCell="1" allowOverlap="1" wp14:anchorId="63DD1143" wp14:editId="32EC281C">
                      <wp:simplePos x="0" y="0"/>
                      <wp:positionH relativeFrom="column">
                        <wp:posOffset>7000875</wp:posOffset>
                      </wp:positionH>
                      <wp:positionV relativeFrom="paragraph">
                        <wp:posOffset>551815</wp:posOffset>
                      </wp:positionV>
                      <wp:extent cx="308610" cy="1071245"/>
                      <wp:effectExtent l="0" t="0" r="0" b="0"/>
                      <wp:wrapNone/>
                      <wp:docPr id="914" name="Text 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08610" cy="1071245"/>
                              </a:xfrm>
                              <a:prstGeom prst="rect">
                                <a:avLst/>
                              </a:prstGeom>
                              <a:noFill/>
                              <a:ln w="9525">
                                <a:noFill/>
                                <a:miter lim="800000"/>
                                <a:headEnd/>
                                <a:tailEnd/>
                              </a:ln>
                            </wps:spPr>
                            <wps:txbx>
                              <w:txbxContent>
                                <w:p w14:paraId="593F12E0" w14:textId="77777777" w:rsidR="000729CF" w:rsidRPr="00F379AC" w:rsidRDefault="000729CF" w:rsidP="000729CF">
                                  <w:pPr>
                                    <w:rPr>
                                      <w:b/>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63DD1143" id="_x0000_t202" coordsize="21600,21600" o:spt="202" path="m,l,21600r21600,l21600,xe">
                      <v:stroke joinstyle="miter"/>
                      <v:path gradientshapeok="t" o:connecttype="rect"/>
                    </v:shapetype>
                    <v:shape id="Text Box 914" o:spid="_x0000_s1026" type="#_x0000_t202" style="position:absolute;margin-left:551.25pt;margin-top:43.45pt;width:24.3pt;height:84.3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" filled="f" stroked="f">
                      <v:textbox>
                        <w:txbxContent>
                          <w:p w14:paraId="593F12E0" w14:textId="77777777" w:rsidR="000729CF" w:rsidRPr="00F379AC" w:rsidRDefault="000729CF" w:rsidP="000729CF">
                            <w:pPr>
                              <w:rPr>
                                <w:b/>
                              </w:rPr>
                            </w:pPr>
                          </w:p>
                        </w:txbxContent>
                      </v:textbox>
                    </v:shape>
                  </w:pict>
                </mc:Fallback>
              </mc:AlternateContent>
            </w:r>
            <w:r w:rsidRPr="000729CF">
              <w:rPr>
                <w:rFonts w:ascii="Arial" w:hAnsi="Arial" w:cs="Arial"/>
                <w:color w:val="000000"/>
                <w:sz w:val="24"/>
                <w:szCs w:val="24"/>
                <w:lang w:eastAsia="en-GB"/>
              </w:rPr>
              <w:t xml:space="preserve">The Youth Service Grants Programme 2021-2025 aims to assist organisations financially so that they can deliver the desired outcomes, building on the assets of the third sector, promoting enterprise and social value. </w:t>
            </w:r>
          </w:p>
          <w:p w14:paraId="747D503A" w14:textId="77777777" w:rsidR="000729CF" w:rsidRPr="000729CF" w:rsidRDefault="000729CF" w:rsidP="000729CF">
            <w:pPr>
              <w:autoSpaceDE w:val="0"/>
              <w:autoSpaceDN w:val="0"/>
              <w:adjustRightInd w:val="0"/>
              <w:rPr>
                <w:rFonts w:ascii="Arial" w:eastAsia="Calibri" w:hAnsi="Arial" w:cs="Arial"/>
                <w:sz w:val="24"/>
                <w:szCs w:val="24"/>
              </w:rPr>
            </w:pPr>
            <w:r w:rsidRPr="000729CF">
              <w:rPr>
                <w:rFonts w:ascii="Arial" w:eastAsia="Calibri" w:hAnsi="Arial" w:cs="Arial"/>
                <w:sz w:val="24"/>
                <w:szCs w:val="24"/>
              </w:rPr>
              <w:t>This funding is to:</w:t>
            </w:r>
          </w:p>
          <w:p w14:paraId="067BACE5" w14:textId="77777777" w:rsidR="000729CF" w:rsidRPr="000729CF" w:rsidRDefault="000729CF" w:rsidP="000729CF">
            <w:pPr>
              <w:autoSpaceDE w:val="0"/>
              <w:autoSpaceDN w:val="0"/>
              <w:adjustRightInd w:val="0"/>
              <w:rPr>
                <w:rFonts w:ascii="Arial" w:eastAsia="Calibri" w:hAnsi="Arial" w:cs="Arial"/>
                <w:sz w:val="24"/>
                <w:szCs w:val="24"/>
              </w:rPr>
            </w:pPr>
          </w:p>
          <w:p w14:paraId="51A48F5A" w14:textId="77777777" w:rsidR="000729CF" w:rsidRPr="000729CF" w:rsidRDefault="000729CF" w:rsidP="00CE70A3">
            <w:pPr>
              <w:numPr>
                <w:ilvl w:val="0"/>
                <w:numId w:val="106"/>
              </w:numPr>
              <w:autoSpaceDE w:val="0"/>
              <w:autoSpaceDN w:val="0"/>
              <w:adjustRightInd w:val="0"/>
              <w:contextualSpacing/>
              <w:rPr>
                <w:rFonts w:ascii="Arial" w:eastAsia="Calibri" w:hAnsi="Arial" w:cs="Arial"/>
                <w:sz w:val="24"/>
                <w:szCs w:val="24"/>
              </w:rPr>
            </w:pPr>
            <w:r w:rsidRPr="000729CF">
              <w:rPr>
                <w:rFonts w:ascii="Arial" w:eastAsia="Calibri" w:hAnsi="Arial" w:cs="Arial"/>
                <w:sz w:val="24"/>
                <w:szCs w:val="24"/>
              </w:rPr>
              <w:t>Provide safe physical, digital and outreach spaces in the community that delivers open access, non-formal education to young people that will support their personal and social development through activities that young people need, want and value.</w:t>
            </w:r>
          </w:p>
          <w:p w14:paraId="311C5872" w14:textId="77777777" w:rsidR="000729CF" w:rsidRPr="000729CF" w:rsidRDefault="000729CF" w:rsidP="00CE70A3">
            <w:pPr>
              <w:numPr>
                <w:ilvl w:val="0"/>
                <w:numId w:val="106"/>
              </w:numPr>
              <w:autoSpaceDE w:val="0"/>
              <w:autoSpaceDN w:val="0"/>
              <w:adjustRightInd w:val="0"/>
              <w:contextualSpacing/>
              <w:rPr>
                <w:rFonts w:ascii="Arial" w:eastAsia="Calibri" w:hAnsi="Arial" w:cs="Arial"/>
                <w:sz w:val="24"/>
                <w:szCs w:val="24"/>
              </w:rPr>
            </w:pPr>
            <w:r w:rsidRPr="000729CF">
              <w:rPr>
                <w:rFonts w:ascii="Arial" w:eastAsia="Calibri" w:hAnsi="Arial" w:cs="Arial"/>
                <w:sz w:val="24"/>
                <w:szCs w:val="24"/>
              </w:rPr>
              <w:t>Deliver regular activities and opportunities for young people to participate in decision making forums, social action and volunteering.</w:t>
            </w:r>
          </w:p>
          <w:p w14:paraId="2779E4B5" w14:textId="77777777" w:rsidR="000729CF" w:rsidRPr="000729CF" w:rsidRDefault="000729CF" w:rsidP="00CE70A3">
            <w:pPr>
              <w:numPr>
                <w:ilvl w:val="0"/>
                <w:numId w:val="106"/>
              </w:numPr>
              <w:autoSpaceDE w:val="0"/>
              <w:autoSpaceDN w:val="0"/>
              <w:adjustRightInd w:val="0"/>
              <w:contextualSpacing/>
              <w:rPr>
                <w:rFonts w:ascii="Arial" w:eastAsia="Calibri" w:hAnsi="Arial" w:cs="Arial"/>
                <w:sz w:val="24"/>
                <w:szCs w:val="24"/>
              </w:rPr>
            </w:pPr>
            <w:r w:rsidRPr="000729CF">
              <w:rPr>
                <w:rFonts w:ascii="Arial" w:eastAsia="Calibri" w:hAnsi="Arial" w:cs="Arial"/>
                <w:sz w:val="24"/>
                <w:szCs w:val="24"/>
              </w:rPr>
              <w:t>Provide targeted and specialist youth work to engage young people with specialist needs, disadvantaged young people or marginalised population groups.</w:t>
            </w:r>
          </w:p>
          <w:p w14:paraId="0A47BEB0" w14:textId="77777777" w:rsidR="000729CF" w:rsidRPr="000729CF" w:rsidRDefault="000729CF" w:rsidP="00CE70A3">
            <w:pPr>
              <w:numPr>
                <w:ilvl w:val="0"/>
                <w:numId w:val="106"/>
              </w:numPr>
              <w:autoSpaceDE w:val="0"/>
              <w:autoSpaceDN w:val="0"/>
              <w:adjustRightInd w:val="0"/>
              <w:contextualSpacing/>
              <w:rPr>
                <w:rFonts w:ascii="Arial" w:eastAsia="Calibri" w:hAnsi="Arial" w:cs="Arial"/>
                <w:sz w:val="24"/>
                <w:szCs w:val="24"/>
              </w:rPr>
            </w:pPr>
            <w:r w:rsidRPr="000729CF">
              <w:rPr>
                <w:rFonts w:ascii="Arial" w:hAnsi="Arial" w:cs="Arial"/>
                <w:sz w:val="24"/>
                <w:szCs w:val="24"/>
                <w:lang w:eastAsia="en-GB"/>
              </w:rPr>
              <w:t>Work in partnership with the Council, other youth providers and specialist agencies, acting as a bridge and supporting young people to access other services and being part of a multi-agency group where appropriate.</w:t>
            </w:r>
          </w:p>
          <w:p w14:paraId="7D6B0B9F" w14:textId="77777777" w:rsidR="000729CF" w:rsidRPr="000729CF" w:rsidRDefault="000729CF" w:rsidP="00CE70A3">
            <w:pPr>
              <w:numPr>
                <w:ilvl w:val="0"/>
                <w:numId w:val="106"/>
              </w:numPr>
              <w:contextualSpacing/>
              <w:rPr>
                <w:rFonts w:ascii="Arial" w:hAnsi="Arial" w:cs="Arial"/>
                <w:sz w:val="24"/>
                <w:szCs w:val="24"/>
                <w:lang w:eastAsia="en-GB"/>
              </w:rPr>
            </w:pPr>
            <w:r w:rsidRPr="000729CF">
              <w:rPr>
                <w:rFonts w:ascii="Arial" w:hAnsi="Arial" w:cs="Arial"/>
                <w:sz w:val="24"/>
                <w:szCs w:val="24"/>
                <w:lang w:eastAsia="en-GB"/>
              </w:rPr>
              <w:t xml:space="preserve">Empower young people to co-design and co-produce activities, projects and services </w:t>
            </w:r>
          </w:p>
          <w:p w14:paraId="0EA9E0FB" w14:textId="77777777" w:rsidR="000729CF" w:rsidRPr="000729CF" w:rsidRDefault="000729CF" w:rsidP="000729CF">
            <w:pPr>
              <w:rPr>
                <w:rFonts w:ascii="Arial" w:hAnsi="Arial" w:cs="Arial"/>
                <w:sz w:val="24"/>
                <w:szCs w:val="24"/>
                <w:lang w:eastAsia="en-GB"/>
              </w:rPr>
            </w:pPr>
            <w:r w:rsidRPr="000729CF">
              <w:rPr>
                <w:rFonts w:ascii="Arial" w:hAnsi="Arial" w:cs="Arial"/>
                <w:sz w:val="24"/>
                <w:szCs w:val="24"/>
                <w:lang w:eastAsia="en-GB"/>
              </w:rPr>
              <w:t xml:space="preserve">This funding is sustained for 24/25 and will ensure services are still delivered and help mitigate the impact of this budget saving. </w:t>
            </w:r>
          </w:p>
          <w:p w14:paraId="2628A75F" w14:textId="77777777" w:rsidR="000729CF" w:rsidRPr="000729CF" w:rsidRDefault="000729CF" w:rsidP="000729CF">
            <w:pPr>
              <w:rPr>
                <w:rFonts w:ascii="Arial" w:hAnsi="Arial" w:cs="Arial"/>
                <w:sz w:val="24"/>
                <w:szCs w:val="24"/>
                <w:lang w:eastAsia="en-GB"/>
              </w:rPr>
            </w:pPr>
          </w:p>
          <w:p w14:paraId="00A9A51B" w14:textId="77777777" w:rsidR="000729CF" w:rsidRPr="000729CF" w:rsidRDefault="000729CF" w:rsidP="000729CF">
            <w:pPr>
              <w:rPr>
                <w:rFonts w:ascii="Arial" w:hAnsi="Arial" w:cs="Arial"/>
                <w:sz w:val="24"/>
                <w:szCs w:val="24"/>
                <w:lang w:eastAsia="en-GB"/>
              </w:rPr>
            </w:pPr>
            <w:r w:rsidRPr="000729CF">
              <w:rPr>
                <w:rFonts w:ascii="Arial" w:hAnsi="Arial" w:cs="Arial"/>
                <w:sz w:val="24"/>
                <w:szCs w:val="24"/>
                <w:lang w:eastAsia="en-GB"/>
              </w:rPr>
              <w:t xml:space="preserve">The significant reduction of the council’s annual grant fund to the community and voluntary sector – the Communities Fund – will likely have a worsening impact on this proposal as it will not offer a viable alternative for providers to bid to. </w:t>
            </w:r>
          </w:p>
          <w:p w14:paraId="072FBC20" w14:textId="77777777" w:rsidR="000729CF" w:rsidRPr="000729CF" w:rsidRDefault="000729CF" w:rsidP="000729CF">
            <w:pPr>
              <w:rPr>
                <w:rFonts w:ascii="Arial" w:eastAsia="Calibri" w:hAnsi="Arial" w:cs="Arial"/>
                <w:sz w:val="24"/>
                <w:szCs w:val="24"/>
              </w:rPr>
            </w:pPr>
          </w:p>
          <w:p w14:paraId="4D50DDC2" w14:textId="77777777" w:rsidR="000729CF" w:rsidRPr="000729CF" w:rsidRDefault="000729CF" w:rsidP="000729CF">
            <w:pPr>
              <w:rPr>
                <w:rFonts w:ascii="Arial" w:eastAsia="Calibri" w:hAnsi="Arial" w:cs="Arial"/>
                <w:sz w:val="24"/>
                <w:szCs w:val="24"/>
              </w:rPr>
            </w:pPr>
          </w:p>
        </w:tc>
      </w:tr>
    </w:tbl>
    <w:p w14:paraId="7ED2713F" w14:textId="77777777" w:rsidR="000729CF" w:rsidRPr="000729CF" w:rsidRDefault="000729CF" w:rsidP="000729CF">
      <w:pPr>
        <w:spacing w:after="160" w:line="259" w:lineRule="auto"/>
        <w:rPr>
          <w:rFonts w:ascii="Arial" w:eastAsia="Calibri" w:hAnsi="Arial" w:cs="Arial"/>
          <w:sz w:val="24"/>
          <w:szCs w:val="24"/>
          <w:lang w:val="en-GB"/>
        </w:rPr>
      </w:pPr>
    </w:p>
    <w:p w14:paraId="6A4F73BF"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Action planning</w:t>
      </w:r>
    </w:p>
    <w:p w14:paraId="05185BF4"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SMART actions will be taken to mitigate the disproportionate impacts identified in section 3? If no mitigating action is possible, please state and explain why. Add additional rows as required. </w:t>
      </w:r>
    </w:p>
    <w:tbl>
      <w:tblPr>
        <w:tblStyle w:val="TableGrid"/>
        <w:tblW w:w="0" w:type="auto"/>
        <w:tblLook w:val="04A0" w:firstRow="1" w:lastRow="0" w:firstColumn="1" w:lastColumn="0" w:noHBand="0" w:noVBand="1"/>
      </w:tblPr>
      <w:tblGrid>
        <w:gridCol w:w="10456"/>
      </w:tblGrid>
      <w:tr w:rsidR="000729CF" w:rsidRPr="000729CF" w14:paraId="4DEDB7C2" w14:textId="77777777" w:rsidTr="00BC26AB">
        <w:trPr>
          <w:trHeight w:val="847"/>
        </w:trPr>
        <w:tc>
          <w:tcPr>
            <w:tcW w:w="10456" w:type="dxa"/>
          </w:tcPr>
          <w:p w14:paraId="128C52E5" w14:textId="77777777" w:rsidR="000729CF" w:rsidRPr="000729CF" w:rsidRDefault="000729CF" w:rsidP="000729CF">
            <w:pPr>
              <w:spacing w:after="120"/>
              <w:ind w:left="360"/>
              <w:rPr>
                <w:rFonts w:ascii="Arial" w:eastAsia="Calibri" w:hAnsi="Arial" w:cs="Arial"/>
                <w:sz w:val="24"/>
                <w:szCs w:val="24"/>
              </w:rPr>
            </w:pPr>
            <w:r w:rsidRPr="000729CF">
              <w:rPr>
                <w:rFonts w:ascii="Arial" w:eastAsia="Calibri" w:hAnsi="Arial" w:cs="Arial"/>
                <w:sz w:val="24"/>
                <w:szCs w:val="24"/>
              </w:rPr>
              <w:t xml:space="preserve">SMART action 1: Youth providers will be directed to the </w:t>
            </w:r>
            <w:r w:rsidRPr="000729CF">
              <w:rPr>
                <w:rFonts w:ascii="Arial" w:eastAsia="Calibri" w:hAnsi="Arial" w:cs="Arial"/>
                <w:bCs/>
                <w:sz w:val="24"/>
                <w:szCs w:val="24"/>
              </w:rPr>
              <w:t>Holiday Activities Funding which can support projects like those funded through the youth-led grant programme.</w:t>
            </w:r>
          </w:p>
          <w:p w14:paraId="2C54D7F6" w14:textId="77777777" w:rsidR="000729CF" w:rsidRPr="000729CF" w:rsidRDefault="000729CF" w:rsidP="000729CF">
            <w:pPr>
              <w:spacing w:after="120"/>
              <w:ind w:left="360"/>
              <w:rPr>
                <w:rFonts w:ascii="Arial" w:eastAsia="Calibri" w:hAnsi="Arial" w:cs="Arial"/>
                <w:sz w:val="24"/>
                <w:szCs w:val="24"/>
              </w:rPr>
            </w:pPr>
            <w:r w:rsidRPr="000729CF">
              <w:rPr>
                <w:rFonts w:ascii="Arial" w:eastAsia="Calibri" w:hAnsi="Arial" w:cs="Arial"/>
                <w:bCs/>
                <w:sz w:val="24"/>
                <w:szCs w:val="24"/>
              </w:rPr>
              <w:t>(note: HAF only applicable for young people eligible for Free School Meals)</w:t>
            </w:r>
          </w:p>
        </w:tc>
      </w:tr>
      <w:tr w:rsidR="000729CF" w:rsidRPr="000729CF" w14:paraId="6932B615" w14:textId="77777777" w:rsidTr="00BC26AB">
        <w:trPr>
          <w:trHeight w:val="847"/>
        </w:trPr>
        <w:tc>
          <w:tcPr>
            <w:tcW w:w="10456" w:type="dxa"/>
          </w:tcPr>
          <w:p w14:paraId="33AF5A94" w14:textId="77777777" w:rsidR="000729CF" w:rsidRPr="000729CF" w:rsidRDefault="000729CF" w:rsidP="000729CF">
            <w:pPr>
              <w:spacing w:after="120"/>
              <w:ind w:left="360"/>
              <w:rPr>
                <w:rFonts w:ascii="Arial" w:eastAsia="Calibri" w:hAnsi="Arial" w:cs="Arial"/>
                <w:sz w:val="24"/>
                <w:szCs w:val="24"/>
              </w:rPr>
            </w:pPr>
            <w:r w:rsidRPr="000729CF">
              <w:rPr>
                <w:rFonts w:ascii="Arial" w:eastAsia="Calibri" w:hAnsi="Arial" w:cs="Arial"/>
                <w:sz w:val="24"/>
                <w:szCs w:val="24"/>
              </w:rPr>
              <w:t xml:space="preserve">SMART action 2: </w:t>
            </w:r>
            <w:r w:rsidRPr="000729CF">
              <w:rPr>
                <w:rFonts w:ascii="Arial" w:eastAsia="Calibri" w:hAnsi="Arial" w:cs="Arial"/>
                <w:bCs/>
                <w:sz w:val="24"/>
                <w:szCs w:val="24"/>
              </w:rPr>
              <w:t>Youth providers will be supported to seek and apply for other funding opportunities via BHCC youth manager</w:t>
            </w:r>
          </w:p>
        </w:tc>
      </w:tr>
    </w:tbl>
    <w:p w14:paraId="5980270F" w14:textId="77777777" w:rsidR="000729CF" w:rsidRPr="000729CF" w:rsidRDefault="000729CF" w:rsidP="000729CF">
      <w:pPr>
        <w:spacing w:after="160" w:line="259" w:lineRule="auto"/>
        <w:rPr>
          <w:rFonts w:ascii="Arial" w:eastAsia="Calibri" w:hAnsi="Arial" w:cs="Arial"/>
          <w:sz w:val="24"/>
          <w:szCs w:val="24"/>
          <w:lang w:val="en-GB"/>
        </w:rPr>
      </w:pPr>
    </w:p>
    <w:p w14:paraId="246745B7"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Outcome of your assessment</w:t>
      </w:r>
    </w:p>
    <w:p w14:paraId="28EA3A19"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Based on the information above give the proposal an impact score between 1 – 5. </w:t>
      </w:r>
    </w:p>
    <w:p w14:paraId="3CC3A8E6"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1= proposal has minimal impact and/or mitigating actions will significantly minimise the impact</w:t>
      </w:r>
    </w:p>
    <w:p w14:paraId="393354E6"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3= proposal will have a significant negative impact; however, mitigation actions will reduce the impact considerably.</w:t>
      </w:r>
    </w:p>
    <w:p w14:paraId="014CD120"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5= proposal has significant impact and mitigating actions will have limited effect on reducing impact.</w:t>
      </w:r>
    </w:p>
    <w:p w14:paraId="7AFF7CBB" w14:textId="77777777" w:rsidR="000729CF" w:rsidRPr="000729CF" w:rsidRDefault="000729CF" w:rsidP="000729CF">
      <w:pPr>
        <w:rPr>
          <w:rFonts w:ascii="Arial" w:eastAsia="Calibri" w:hAnsi="Arial" w:cs="Arial"/>
          <w:sz w:val="24"/>
          <w:szCs w:val="24"/>
          <w:highlight w:val="yellow"/>
          <w:lang w:val="en-GB"/>
        </w:rPr>
      </w:pPr>
    </w:p>
    <w:tbl>
      <w:tblPr>
        <w:tblStyle w:val="TableGrid"/>
        <w:tblW w:w="0" w:type="auto"/>
        <w:tblLook w:val="04A0" w:firstRow="1" w:lastRow="0" w:firstColumn="1" w:lastColumn="0" w:noHBand="0" w:noVBand="1"/>
      </w:tblPr>
      <w:tblGrid>
        <w:gridCol w:w="3114"/>
        <w:gridCol w:w="7342"/>
      </w:tblGrid>
      <w:tr w:rsidR="000729CF" w:rsidRPr="000729CF" w14:paraId="78F4E134" w14:textId="77777777" w:rsidTr="00BC26AB">
        <w:trPr>
          <w:trHeight w:val="152"/>
        </w:trPr>
        <w:tc>
          <w:tcPr>
            <w:tcW w:w="3114" w:type="dxa"/>
          </w:tcPr>
          <w:p w14:paraId="3661166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Proposal’s impact score:</w:t>
            </w:r>
          </w:p>
        </w:tc>
        <w:tc>
          <w:tcPr>
            <w:tcW w:w="7342" w:type="dxa"/>
          </w:tcPr>
          <w:p w14:paraId="45A57E8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1</w:t>
            </w:r>
          </w:p>
        </w:tc>
      </w:tr>
    </w:tbl>
    <w:p w14:paraId="65707D00" w14:textId="77777777" w:rsidR="000729CF" w:rsidRPr="000729CF" w:rsidRDefault="000729CF" w:rsidP="000729CF">
      <w:pPr>
        <w:spacing w:after="160" w:line="259" w:lineRule="auto"/>
        <w:rPr>
          <w:rFonts w:ascii="Arial" w:eastAsia="Calibri" w:hAnsi="Arial" w:cs="Arial"/>
          <w:sz w:val="24"/>
          <w:szCs w:val="24"/>
          <w:lang w:val="en-GB"/>
        </w:rPr>
      </w:pPr>
    </w:p>
    <w:p w14:paraId="2778659C"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Publication</w:t>
      </w:r>
    </w:p>
    <w:p w14:paraId="50DEC7C5"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All Equality Impact Assessments will be published. If you are recommending, and choosing not to publish your EIA, please provide a reason:</w:t>
      </w:r>
    </w:p>
    <w:tbl>
      <w:tblPr>
        <w:tblStyle w:val="TableGrid"/>
        <w:tblW w:w="0" w:type="auto"/>
        <w:tblLook w:val="04A0" w:firstRow="1" w:lastRow="0" w:firstColumn="1" w:lastColumn="0" w:noHBand="0" w:noVBand="1"/>
      </w:tblPr>
      <w:tblGrid>
        <w:gridCol w:w="10456"/>
      </w:tblGrid>
      <w:tr w:rsidR="000729CF" w:rsidRPr="000729CF" w14:paraId="3544DFE2" w14:textId="77777777" w:rsidTr="00BC26AB">
        <w:trPr>
          <w:trHeight w:val="803"/>
        </w:trPr>
        <w:tc>
          <w:tcPr>
            <w:tcW w:w="10456" w:type="dxa"/>
          </w:tcPr>
          <w:p w14:paraId="0DA2AFF4" w14:textId="77777777" w:rsidR="000729CF" w:rsidRPr="000729CF" w:rsidRDefault="000729CF" w:rsidP="000729CF">
            <w:pPr>
              <w:spacing w:after="120"/>
              <w:rPr>
                <w:rFonts w:ascii="Arial" w:eastAsia="Calibri" w:hAnsi="Arial" w:cs="Arial"/>
                <w:sz w:val="24"/>
                <w:szCs w:val="24"/>
              </w:rPr>
            </w:pPr>
          </w:p>
        </w:tc>
      </w:tr>
    </w:tbl>
    <w:p w14:paraId="2E4DBC71" w14:textId="77777777" w:rsidR="000729CF" w:rsidRPr="000729CF" w:rsidRDefault="000729CF" w:rsidP="000729CF">
      <w:pPr>
        <w:spacing w:after="160" w:line="259" w:lineRule="auto"/>
        <w:rPr>
          <w:rFonts w:ascii="Arial" w:eastAsia="Calibri" w:hAnsi="Arial" w:cs="Arial"/>
          <w:sz w:val="24"/>
          <w:szCs w:val="24"/>
          <w:lang w:val="en-GB"/>
        </w:rPr>
      </w:pPr>
    </w:p>
    <w:p w14:paraId="7742FEA2"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Directorate and Service Approval</w:t>
      </w:r>
    </w:p>
    <w:tbl>
      <w:tblPr>
        <w:tblStyle w:val="TableGrid"/>
        <w:tblW w:w="0" w:type="auto"/>
        <w:tblLook w:val="04A0" w:firstRow="1" w:lastRow="0" w:firstColumn="1" w:lastColumn="0" w:noHBand="0" w:noVBand="1"/>
      </w:tblPr>
      <w:tblGrid>
        <w:gridCol w:w="3681"/>
        <w:gridCol w:w="4394"/>
        <w:gridCol w:w="2381"/>
      </w:tblGrid>
      <w:tr w:rsidR="000729CF" w:rsidRPr="000729CF" w14:paraId="27ACA624" w14:textId="77777777" w:rsidTr="000729CF">
        <w:trPr>
          <w:trHeight w:val="20"/>
        </w:trPr>
        <w:tc>
          <w:tcPr>
            <w:tcW w:w="3681" w:type="dxa"/>
            <w:tcBorders>
              <w:bottom w:val="single" w:sz="4" w:space="0" w:color="auto"/>
            </w:tcBorders>
            <w:shd w:val="clear" w:color="auto" w:fill="D9D9D9"/>
          </w:tcPr>
          <w:p w14:paraId="602F86E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1A576E7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 and Job Title:</w:t>
            </w:r>
          </w:p>
        </w:tc>
        <w:tc>
          <w:tcPr>
            <w:tcW w:w="2381" w:type="dxa"/>
            <w:shd w:val="clear" w:color="auto" w:fill="D9D9D9"/>
          </w:tcPr>
          <w:p w14:paraId="273497B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1F6D6E04" w14:textId="77777777" w:rsidTr="000729CF">
        <w:trPr>
          <w:trHeight w:val="20"/>
        </w:trPr>
        <w:tc>
          <w:tcPr>
            <w:tcW w:w="3681" w:type="dxa"/>
            <w:shd w:val="clear" w:color="auto" w:fill="E7E6E6"/>
          </w:tcPr>
          <w:p w14:paraId="256E6D1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Responsible Lead Officer:</w:t>
            </w:r>
          </w:p>
        </w:tc>
        <w:tc>
          <w:tcPr>
            <w:tcW w:w="4394" w:type="dxa"/>
          </w:tcPr>
          <w:p w14:paraId="185B3C0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Jo Templeman – Head of Service Family hubs</w:t>
            </w:r>
          </w:p>
        </w:tc>
        <w:tc>
          <w:tcPr>
            <w:tcW w:w="2381" w:type="dxa"/>
          </w:tcPr>
          <w:p w14:paraId="7F19E4D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22.1.23</w:t>
            </w:r>
          </w:p>
        </w:tc>
      </w:tr>
      <w:tr w:rsidR="000729CF" w:rsidRPr="000729CF" w14:paraId="08447DA5" w14:textId="77777777" w:rsidTr="000729CF">
        <w:trPr>
          <w:trHeight w:val="20"/>
        </w:trPr>
        <w:tc>
          <w:tcPr>
            <w:tcW w:w="3681" w:type="dxa"/>
            <w:shd w:val="clear" w:color="auto" w:fill="E7E6E6"/>
          </w:tcPr>
          <w:p w14:paraId="44225BC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Accountable Manager:</w:t>
            </w:r>
          </w:p>
        </w:tc>
        <w:tc>
          <w:tcPr>
            <w:tcW w:w="4394" w:type="dxa"/>
          </w:tcPr>
          <w:p w14:paraId="7528CB3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Jo Lyons – Assistant director</w:t>
            </w:r>
          </w:p>
        </w:tc>
        <w:tc>
          <w:tcPr>
            <w:tcW w:w="2381" w:type="dxa"/>
          </w:tcPr>
          <w:p w14:paraId="3908237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22.1.23</w:t>
            </w:r>
          </w:p>
        </w:tc>
      </w:tr>
    </w:tbl>
    <w:p w14:paraId="4694E361" w14:textId="77777777" w:rsidR="000729CF" w:rsidRPr="000729CF" w:rsidRDefault="000729CF" w:rsidP="000729CF">
      <w:pPr>
        <w:spacing w:after="160" w:line="259" w:lineRule="auto"/>
        <w:rPr>
          <w:rFonts w:ascii="Arial" w:eastAsia="Calibri" w:hAnsi="Arial" w:cs="Arial"/>
          <w:sz w:val="24"/>
          <w:szCs w:val="24"/>
          <w:lang w:val="en-GB"/>
        </w:rPr>
      </w:pPr>
    </w:p>
    <w:p w14:paraId="58E3E22B" w14:textId="77777777" w:rsidR="000729CF" w:rsidRPr="000729CF" w:rsidRDefault="000729CF" w:rsidP="000729CF">
      <w:pPr>
        <w:keepNext/>
        <w:keepLines/>
        <w:spacing w:before="40" w:after="160" w:line="259" w:lineRule="auto"/>
        <w:outlineLvl w:val="2"/>
        <w:rPr>
          <w:rFonts w:ascii="Arial" w:hAnsi="Arial" w:cs="Arial"/>
          <w:b/>
          <w:bCs/>
          <w:color w:val="000000"/>
          <w:sz w:val="28"/>
          <w:szCs w:val="28"/>
          <w:lang w:val="en-GB"/>
        </w:rPr>
      </w:pPr>
      <w:r w:rsidRPr="000729CF">
        <w:rPr>
          <w:rFonts w:ascii="Arial" w:hAnsi="Arial" w:cs="Arial"/>
          <w:b/>
          <w:bCs/>
          <w:color w:val="000000"/>
          <w:sz w:val="28"/>
          <w:szCs w:val="28"/>
          <w:lang w:val="en-GB"/>
        </w:rPr>
        <w:t>EDI Review and Approval:</w:t>
      </w:r>
    </w:p>
    <w:p w14:paraId="396874F9" w14:textId="77777777" w:rsidR="000729CF" w:rsidRPr="000729CF" w:rsidRDefault="000729CF" w:rsidP="000729CF">
      <w:pPr>
        <w:spacing w:after="160" w:line="259" w:lineRule="auto"/>
        <w:rPr>
          <w:rFonts w:ascii="Arial" w:eastAsia="Calibri" w:hAnsi="Arial" w:cs="Arial"/>
          <w:sz w:val="24"/>
          <w:szCs w:val="24"/>
          <w:lang w:val="en-GB"/>
        </w:rPr>
      </w:pPr>
    </w:p>
    <w:p w14:paraId="775C36C4" w14:textId="77777777" w:rsidR="000729CF" w:rsidRPr="000729CF" w:rsidRDefault="000729CF" w:rsidP="000729CF">
      <w:pPr>
        <w:keepNext/>
        <w:keepLines/>
        <w:spacing w:after="160" w:line="259" w:lineRule="auto"/>
        <w:ind w:left="283" w:hanging="283"/>
        <w:outlineLvl w:val="1"/>
        <w:rPr>
          <w:rFonts w:ascii="Arial" w:hAnsi="Arial" w:cs="Arial"/>
          <w:color w:val="2F5496"/>
          <w:sz w:val="24"/>
          <w:szCs w:val="24"/>
          <w:lang w:val="en-GB"/>
        </w:rPr>
      </w:pPr>
      <w:r w:rsidRPr="000729CF">
        <w:rPr>
          <w:rFonts w:ascii="Arial" w:hAnsi="Arial" w:cs="Arial"/>
          <w:color w:val="2F5496"/>
          <w:sz w:val="24"/>
          <w:szCs w:val="24"/>
          <w:lang w:val="en-GB"/>
        </w:rPr>
        <w:t>Equality Impact Assessment sign-off</w:t>
      </w:r>
    </w:p>
    <w:tbl>
      <w:tblPr>
        <w:tblStyle w:val="TableGrid"/>
        <w:tblW w:w="0" w:type="auto"/>
        <w:tblLook w:val="04A0" w:firstRow="1" w:lastRow="0" w:firstColumn="1" w:lastColumn="0" w:noHBand="0" w:noVBand="1"/>
      </w:tblPr>
      <w:tblGrid>
        <w:gridCol w:w="3681"/>
        <w:gridCol w:w="4394"/>
        <w:gridCol w:w="2381"/>
      </w:tblGrid>
      <w:tr w:rsidR="000729CF" w:rsidRPr="000729CF" w14:paraId="2468A4E2" w14:textId="77777777" w:rsidTr="000729CF">
        <w:trPr>
          <w:trHeight w:val="20"/>
        </w:trPr>
        <w:tc>
          <w:tcPr>
            <w:tcW w:w="3681" w:type="dxa"/>
            <w:tcBorders>
              <w:bottom w:val="single" w:sz="4" w:space="0" w:color="auto"/>
            </w:tcBorders>
            <w:shd w:val="clear" w:color="auto" w:fill="D9D9D9"/>
          </w:tcPr>
          <w:p w14:paraId="27ADF3E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577240E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w:t>
            </w:r>
          </w:p>
        </w:tc>
        <w:tc>
          <w:tcPr>
            <w:tcW w:w="2381" w:type="dxa"/>
            <w:shd w:val="clear" w:color="auto" w:fill="D9D9D9"/>
          </w:tcPr>
          <w:p w14:paraId="552FC36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6BA245B3" w14:textId="77777777" w:rsidTr="000729CF">
        <w:trPr>
          <w:trHeight w:val="20"/>
        </w:trPr>
        <w:tc>
          <w:tcPr>
            <w:tcW w:w="3681" w:type="dxa"/>
            <w:shd w:val="clear" w:color="auto" w:fill="E7E6E6"/>
          </w:tcPr>
          <w:p w14:paraId="5D8A30B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Head of Communities, Equality, and Third Sector (CETS) Service:</w:t>
            </w:r>
          </w:p>
        </w:tc>
        <w:tc>
          <w:tcPr>
            <w:tcW w:w="4394" w:type="dxa"/>
          </w:tcPr>
          <w:p w14:paraId="197CBD2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Emma McDermott</w:t>
            </w:r>
          </w:p>
        </w:tc>
        <w:tc>
          <w:tcPr>
            <w:tcW w:w="2381" w:type="dxa"/>
          </w:tcPr>
          <w:p w14:paraId="6171F3C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23-01-24</w:t>
            </w:r>
          </w:p>
        </w:tc>
      </w:tr>
    </w:tbl>
    <w:p w14:paraId="4B58E282" w14:textId="77777777" w:rsidR="000729CF" w:rsidRPr="000729CF" w:rsidRDefault="000729CF" w:rsidP="000729CF">
      <w:pPr>
        <w:rPr>
          <w:rFonts w:ascii="Arial" w:eastAsia="Calibri" w:hAnsi="Arial" w:cs="Arial"/>
          <w:sz w:val="22"/>
          <w:szCs w:val="22"/>
          <w:lang w:val="en-GB"/>
        </w:rPr>
      </w:pPr>
    </w:p>
    <w:p w14:paraId="2BF66015" w14:textId="77777777" w:rsidR="000729CF" w:rsidRPr="000729CF" w:rsidRDefault="000729CF" w:rsidP="000729CF">
      <w:pPr>
        <w:spacing w:after="160" w:line="259" w:lineRule="auto"/>
        <w:rPr>
          <w:rFonts w:ascii="Arial" w:eastAsia="Calibri" w:hAnsi="Arial" w:cs="Arial"/>
          <w:b/>
          <w:bCs/>
          <w:sz w:val="24"/>
          <w:szCs w:val="24"/>
          <w:lang w:val="en-GB"/>
        </w:rPr>
      </w:pPr>
    </w:p>
    <w:p w14:paraId="25D0CAB7" w14:textId="77777777" w:rsidR="000729CF" w:rsidRPr="000729CF" w:rsidRDefault="000729CF" w:rsidP="000729CF">
      <w:pPr>
        <w:keepNext/>
        <w:keepLines/>
        <w:spacing w:after="160" w:line="259" w:lineRule="auto"/>
        <w:outlineLvl w:val="1"/>
        <w:rPr>
          <w:rFonts w:ascii="Arial" w:eastAsia="Calibri" w:hAnsi="Arial" w:cs="Arial"/>
          <w:sz w:val="24"/>
          <w:szCs w:val="24"/>
          <w:lang w:val="en-GB"/>
        </w:rPr>
      </w:pPr>
    </w:p>
    <w:p w14:paraId="55FD9416" w14:textId="77777777" w:rsidR="000729CF" w:rsidRPr="000729CF" w:rsidRDefault="000729CF" w:rsidP="000729CF">
      <w:pPr>
        <w:spacing w:after="160" w:line="259" w:lineRule="auto"/>
        <w:rPr>
          <w:rFonts w:ascii="Arial" w:eastAsia="Calibri" w:hAnsi="Arial" w:cs="Arial"/>
          <w:sz w:val="24"/>
          <w:szCs w:val="24"/>
          <w:lang w:val="en-GB"/>
        </w:rPr>
      </w:pPr>
    </w:p>
    <w:p w14:paraId="7C270660"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br w:type="page"/>
      </w:r>
    </w:p>
    <w:p w14:paraId="002C90C8" w14:textId="77777777" w:rsidR="000729CF" w:rsidRPr="000729CF" w:rsidRDefault="000729CF" w:rsidP="000729CF">
      <w:pPr>
        <w:keepNext/>
        <w:keepLines/>
        <w:spacing w:after="160" w:line="259" w:lineRule="auto"/>
        <w:outlineLvl w:val="0"/>
        <w:rPr>
          <w:rFonts w:ascii="Arial" w:hAnsi="Arial" w:cs="Arial"/>
          <w:b/>
          <w:bCs/>
          <w:color w:val="2F5496"/>
          <w:sz w:val="28"/>
          <w:szCs w:val="28"/>
          <w:lang w:val="en-GB"/>
        </w:rPr>
      </w:pPr>
      <w:r w:rsidRPr="000729CF">
        <w:rPr>
          <w:rFonts w:ascii="Arial" w:hAnsi="Arial" w:cs="Arial"/>
          <w:b/>
          <w:bCs/>
          <w:color w:val="2F5496"/>
          <w:sz w:val="28"/>
          <w:szCs w:val="28"/>
          <w:lang w:val="en-GB"/>
        </w:rPr>
        <w:t>Budget Equality Impact Assessment (EIA) 2024/25 – Service Users</w:t>
      </w:r>
    </w:p>
    <w:p w14:paraId="48BAFE88" w14:textId="77777777" w:rsidR="000729CF" w:rsidRPr="000729CF" w:rsidRDefault="000729CF" w:rsidP="000729CF">
      <w:pPr>
        <w:spacing w:after="160" w:line="259" w:lineRule="auto"/>
        <w:rPr>
          <w:rFonts w:ascii="Arial" w:eastAsia="Calibri" w:hAnsi="Arial" w:cs="Arial"/>
          <w:sz w:val="24"/>
          <w:szCs w:val="24"/>
          <w:lang w:val="en-GB"/>
        </w:rPr>
      </w:pPr>
    </w:p>
    <w:p w14:paraId="48C371E3" w14:textId="77777777" w:rsidR="000729CF" w:rsidRPr="000729CF" w:rsidRDefault="000729CF" w:rsidP="000729CF">
      <w:pPr>
        <w:spacing w:after="160" w:line="259" w:lineRule="auto"/>
        <w:rPr>
          <w:rFonts w:ascii="Arial" w:eastAsia="Calibri" w:hAnsi="Arial" w:cs="Arial"/>
          <w:sz w:val="24"/>
          <w:szCs w:val="24"/>
          <w:lang w:val="en-GB"/>
        </w:rPr>
      </w:pPr>
    </w:p>
    <w:p w14:paraId="0CF4E876" w14:textId="77777777" w:rsidR="000729CF" w:rsidRPr="000729CF" w:rsidRDefault="000729CF" w:rsidP="000729CF">
      <w:pPr>
        <w:keepNext/>
        <w:keepLines/>
        <w:spacing w:after="160" w:line="259" w:lineRule="auto"/>
        <w:ind w:left="720" w:hanging="360"/>
        <w:outlineLvl w:val="1"/>
        <w:rPr>
          <w:rFonts w:ascii="Arial" w:hAnsi="Arial" w:cs="Arial"/>
          <w:color w:val="2F5496"/>
          <w:sz w:val="24"/>
          <w:szCs w:val="24"/>
          <w:lang w:val="en-GB"/>
        </w:rPr>
      </w:pPr>
      <w:r w:rsidRPr="000729CF">
        <w:rPr>
          <w:rFonts w:ascii="Arial" w:hAnsi="Arial" w:cs="Arial"/>
          <w:color w:val="2F5496"/>
          <w:sz w:val="24"/>
          <w:szCs w:val="24"/>
          <w:lang w:val="en-GB"/>
        </w:rPr>
        <w:t xml:space="preserve">Budget Proposal </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6492"/>
      </w:tblGrid>
      <w:tr w:rsidR="000729CF" w:rsidRPr="000729CF" w14:paraId="115EDCFF"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2A86A5EC"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Title of budget saving being assessed:</w:t>
            </w:r>
          </w:p>
        </w:tc>
        <w:tc>
          <w:tcPr>
            <w:tcW w:w="6492" w:type="dxa"/>
            <w:shd w:val="clear" w:color="auto" w:fill="auto"/>
          </w:tcPr>
          <w:p w14:paraId="0A982B46" w14:textId="77777777" w:rsidR="000729CF" w:rsidRPr="000729CF" w:rsidRDefault="000729CF" w:rsidP="000729CF">
            <w:pPr>
              <w:spacing w:after="12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Cease funding external service level agreement with:</w:t>
            </w:r>
          </w:p>
          <w:p w14:paraId="0AC0DC6C" w14:textId="77777777" w:rsidR="000729CF" w:rsidRPr="000729CF" w:rsidRDefault="000729CF" w:rsidP="00CE70A3">
            <w:pPr>
              <w:numPr>
                <w:ilvl w:val="0"/>
                <w:numId w:val="107"/>
              </w:numPr>
              <w:spacing w:after="12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color w:val="000000"/>
                <w:sz w:val="24"/>
                <w:szCs w:val="24"/>
              </w:rPr>
              <w:t xml:space="preserve">Brighton unemployed families project centre £11,000 </w:t>
            </w:r>
          </w:p>
          <w:p w14:paraId="23D4D35C" w14:textId="77777777" w:rsidR="000729CF" w:rsidRPr="000729CF" w:rsidRDefault="000729CF" w:rsidP="00CE70A3">
            <w:pPr>
              <w:numPr>
                <w:ilvl w:val="0"/>
                <w:numId w:val="107"/>
              </w:numPr>
              <w:spacing w:after="12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color w:val="000000"/>
                <w:sz w:val="24"/>
                <w:szCs w:val="24"/>
              </w:rPr>
              <w:t xml:space="preserve"> Brighton Oasis creche support £2,000 </w:t>
            </w:r>
          </w:p>
          <w:p w14:paraId="36BD25C6" w14:textId="77777777" w:rsidR="000729CF" w:rsidRPr="000729CF" w:rsidRDefault="000729CF" w:rsidP="00CE70A3">
            <w:pPr>
              <w:numPr>
                <w:ilvl w:val="0"/>
                <w:numId w:val="107"/>
              </w:numPr>
              <w:spacing w:after="12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color w:val="000000"/>
                <w:sz w:val="24"/>
                <w:szCs w:val="24"/>
              </w:rPr>
              <w:t xml:space="preserve"> Amaze £1,000</w:t>
            </w:r>
          </w:p>
        </w:tc>
      </w:tr>
      <w:tr w:rsidR="000729CF" w:rsidRPr="000729CF" w14:paraId="0FA52FC6"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7F50E1B9"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Name and title of officer responsible for this EIA: </w:t>
            </w:r>
          </w:p>
        </w:tc>
        <w:tc>
          <w:tcPr>
            <w:tcW w:w="6492" w:type="dxa"/>
            <w:shd w:val="clear" w:color="auto" w:fill="auto"/>
          </w:tcPr>
          <w:p w14:paraId="5CF07429"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729CF">
              <w:rPr>
                <w:rFonts w:ascii="Arial" w:hAnsi="Arial" w:cs="Arial"/>
                <w:sz w:val="24"/>
                <w:szCs w:val="24"/>
              </w:rPr>
              <w:t>Jo Templeman, Head of Family Hubs</w:t>
            </w:r>
          </w:p>
        </w:tc>
      </w:tr>
      <w:tr w:rsidR="000729CF" w:rsidRPr="000729CF" w14:paraId="565C4C8D" w14:textId="77777777" w:rsidTr="000729CF">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4F268177"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Directorate and Service Name: </w:t>
            </w:r>
          </w:p>
        </w:tc>
        <w:tc>
          <w:tcPr>
            <w:tcW w:w="6492" w:type="dxa"/>
            <w:shd w:val="clear" w:color="auto" w:fill="auto"/>
          </w:tcPr>
          <w:p w14:paraId="13419776" w14:textId="77777777" w:rsidR="000729CF" w:rsidRPr="000729CF" w:rsidRDefault="000729CF" w:rsidP="000729CF">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Families, Children and Learning, Family Hubs</w:t>
            </w:r>
          </w:p>
        </w:tc>
      </w:tr>
      <w:tr w:rsidR="000729CF" w:rsidRPr="000729CF" w14:paraId="62F2C77B"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2DF1B064"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Budget proposal no.</w:t>
            </w:r>
          </w:p>
        </w:tc>
        <w:tc>
          <w:tcPr>
            <w:tcW w:w="6492" w:type="dxa"/>
            <w:shd w:val="clear" w:color="auto" w:fill="auto"/>
          </w:tcPr>
          <w:p w14:paraId="2C08A6C6"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729CF">
              <w:rPr>
                <w:rFonts w:ascii="Arial" w:hAnsi="Arial" w:cs="Arial"/>
                <w:sz w:val="24"/>
                <w:szCs w:val="24"/>
              </w:rPr>
              <w:t>6</w:t>
            </w:r>
          </w:p>
        </w:tc>
      </w:tr>
    </w:tbl>
    <w:p w14:paraId="16DB9373" w14:textId="77777777" w:rsidR="000729CF" w:rsidRPr="000729CF" w:rsidRDefault="000729CF" w:rsidP="000729CF">
      <w:pPr>
        <w:spacing w:after="160" w:line="259" w:lineRule="auto"/>
        <w:rPr>
          <w:rFonts w:ascii="Arial" w:eastAsia="Calibri" w:hAnsi="Arial" w:cs="Arial"/>
          <w:sz w:val="24"/>
          <w:szCs w:val="24"/>
          <w:lang w:val="en-GB"/>
        </w:rPr>
      </w:pPr>
    </w:p>
    <w:p w14:paraId="00B46D7C"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Briefly describe the budget saving proposal: (use the wording in the budget spreadsheet and more detail if needed)</w:t>
      </w:r>
    </w:p>
    <w:tbl>
      <w:tblPr>
        <w:tblStyle w:val="TableGrid"/>
        <w:tblW w:w="0" w:type="auto"/>
        <w:tblLook w:val="04A0" w:firstRow="1" w:lastRow="0" w:firstColumn="1" w:lastColumn="0" w:noHBand="0" w:noVBand="1"/>
      </w:tblPr>
      <w:tblGrid>
        <w:gridCol w:w="10456"/>
      </w:tblGrid>
      <w:tr w:rsidR="000729CF" w:rsidRPr="000729CF" w14:paraId="4B60E94D" w14:textId="77777777" w:rsidTr="00BC26AB">
        <w:trPr>
          <w:trHeight w:val="851"/>
        </w:trPr>
        <w:tc>
          <w:tcPr>
            <w:tcW w:w="10456" w:type="dxa"/>
            <w:tcBorders>
              <w:bottom w:val="single" w:sz="4" w:space="0" w:color="auto"/>
            </w:tcBorders>
          </w:tcPr>
          <w:p w14:paraId="24D8E532" w14:textId="77777777" w:rsidR="000729CF" w:rsidRPr="000729CF" w:rsidRDefault="000729CF" w:rsidP="000729CF">
            <w:pPr>
              <w:spacing w:after="120"/>
              <w:rPr>
                <w:rFonts w:ascii="Arial" w:eastAsia="Calibri" w:hAnsi="Arial" w:cs="Arial"/>
                <w:color w:val="000000"/>
                <w:sz w:val="24"/>
                <w:szCs w:val="24"/>
              </w:rPr>
            </w:pPr>
            <w:r w:rsidRPr="000729CF">
              <w:rPr>
                <w:rFonts w:ascii="Arial" w:eastAsia="Calibri" w:hAnsi="Arial" w:cs="Arial"/>
                <w:color w:val="000000"/>
                <w:sz w:val="24"/>
                <w:szCs w:val="24"/>
              </w:rPr>
              <w:t xml:space="preserve">The funding for the Brighton unemployed centre supports the delivery of childcare for adults accessing the centre, withdrawing funding could impact on under 5’s, women and disadvantaged families. </w:t>
            </w:r>
          </w:p>
          <w:p w14:paraId="2FDD7D04" w14:textId="77777777" w:rsidR="000729CF" w:rsidRPr="000729CF" w:rsidRDefault="000729CF" w:rsidP="000729CF">
            <w:pPr>
              <w:spacing w:after="120"/>
              <w:rPr>
                <w:rFonts w:ascii="Arial" w:eastAsia="Calibri" w:hAnsi="Arial" w:cs="Arial"/>
                <w:color w:val="000000"/>
                <w:sz w:val="24"/>
                <w:szCs w:val="24"/>
              </w:rPr>
            </w:pPr>
            <w:r w:rsidRPr="000729CF">
              <w:rPr>
                <w:rFonts w:ascii="Arial" w:eastAsia="Calibri" w:hAnsi="Arial" w:cs="Arial"/>
                <w:color w:val="000000"/>
                <w:sz w:val="24"/>
                <w:szCs w:val="24"/>
              </w:rPr>
              <w:t>The funding for the Brighton Oasis Creche provides childcare for women accessing the service provided by Oasis for substance misuse support, withdrawing funding could impact on under 5’s and women.</w:t>
            </w:r>
          </w:p>
          <w:p w14:paraId="5F11DD3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funding for Amaze is to provide one off groups for early years children with SEND.</w:t>
            </w:r>
          </w:p>
        </w:tc>
      </w:tr>
      <w:tr w:rsidR="000729CF" w:rsidRPr="000729CF" w14:paraId="2E690DFD" w14:textId="77777777" w:rsidTr="00BC26AB">
        <w:trPr>
          <w:trHeight w:val="851"/>
        </w:trPr>
        <w:tc>
          <w:tcPr>
            <w:tcW w:w="10456" w:type="dxa"/>
            <w:tcBorders>
              <w:left w:val="nil"/>
              <w:right w:val="nil"/>
            </w:tcBorders>
          </w:tcPr>
          <w:p w14:paraId="5FE30E6E" w14:textId="77777777" w:rsidR="000729CF" w:rsidRPr="000729CF" w:rsidRDefault="000729CF" w:rsidP="000729CF">
            <w:pPr>
              <w:spacing w:after="120"/>
              <w:rPr>
                <w:rFonts w:ascii="Arial" w:eastAsia="Calibri" w:hAnsi="Arial" w:cs="Arial"/>
                <w:sz w:val="24"/>
                <w:szCs w:val="24"/>
              </w:rPr>
            </w:pPr>
          </w:p>
          <w:p w14:paraId="24AD7B8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Summarise the most significant impacts identified by this assessment including which groups will be disproportionally negatively affected drawing out intersectional impacts as applicable:</w:t>
            </w:r>
          </w:p>
        </w:tc>
      </w:tr>
      <w:tr w:rsidR="000729CF" w:rsidRPr="000729CF" w14:paraId="2ECA2213" w14:textId="77777777" w:rsidTr="00BC26AB">
        <w:trPr>
          <w:trHeight w:val="851"/>
        </w:trPr>
        <w:tc>
          <w:tcPr>
            <w:tcW w:w="10456" w:type="dxa"/>
          </w:tcPr>
          <w:p w14:paraId="0F4A66E0" w14:textId="77777777" w:rsidR="000729CF" w:rsidRPr="000729CF" w:rsidRDefault="000729CF" w:rsidP="000729CF">
            <w:pPr>
              <w:spacing w:after="120"/>
              <w:rPr>
                <w:rFonts w:ascii="Arial" w:eastAsia="Calibri" w:hAnsi="Arial" w:cs="Arial"/>
                <w:color w:val="000000"/>
                <w:sz w:val="24"/>
                <w:szCs w:val="24"/>
              </w:rPr>
            </w:pPr>
            <w:r w:rsidRPr="000729CF">
              <w:rPr>
                <w:rFonts w:ascii="Arial" w:eastAsia="Calibri" w:hAnsi="Arial" w:cs="Arial"/>
                <w:color w:val="000000"/>
                <w:sz w:val="24"/>
                <w:szCs w:val="24"/>
              </w:rPr>
              <w:t>Impact on children under 5. Removal of funding would reduce the service for under 5s via creche, childcare and stay and play session.</w:t>
            </w:r>
          </w:p>
          <w:p w14:paraId="34594930" w14:textId="77777777" w:rsidR="000729CF" w:rsidRPr="000729CF" w:rsidRDefault="000729CF" w:rsidP="000729CF">
            <w:pPr>
              <w:spacing w:after="120"/>
              <w:rPr>
                <w:rFonts w:ascii="Arial" w:eastAsia="Calibri" w:hAnsi="Arial" w:cs="Arial"/>
                <w:color w:val="000000"/>
                <w:sz w:val="24"/>
                <w:szCs w:val="24"/>
              </w:rPr>
            </w:pPr>
            <w:r w:rsidRPr="000729CF">
              <w:rPr>
                <w:rFonts w:ascii="Arial" w:eastAsia="Calibri" w:hAnsi="Arial" w:cs="Arial"/>
                <w:color w:val="000000"/>
                <w:sz w:val="24"/>
                <w:szCs w:val="24"/>
              </w:rPr>
              <w:t>Removing funding from Amaze may impact on the delivery of service for children with SEND.</w:t>
            </w:r>
          </w:p>
          <w:p w14:paraId="6059778C" w14:textId="77777777" w:rsidR="000729CF" w:rsidRPr="000729CF" w:rsidRDefault="000729CF" w:rsidP="000729CF">
            <w:pPr>
              <w:spacing w:after="120"/>
              <w:rPr>
                <w:rFonts w:ascii="Arial" w:eastAsia="Calibri" w:hAnsi="Arial" w:cs="Arial"/>
                <w:color w:val="000000"/>
                <w:sz w:val="24"/>
                <w:szCs w:val="24"/>
              </w:rPr>
            </w:pPr>
            <w:r w:rsidRPr="000729CF">
              <w:rPr>
                <w:rFonts w:ascii="Arial" w:eastAsia="Calibri" w:hAnsi="Arial" w:cs="Arial"/>
                <w:color w:val="000000"/>
                <w:sz w:val="24"/>
                <w:szCs w:val="24"/>
              </w:rPr>
              <w:t>Any reduction in childcare provision disproportionately affects women who tend to have responsibility for these arrangements. The childcare workforce is overwhelmingly female.</w:t>
            </w:r>
          </w:p>
          <w:p w14:paraId="634C3024" w14:textId="77777777" w:rsidR="000729CF" w:rsidRPr="000729CF" w:rsidRDefault="000729CF" w:rsidP="000729CF">
            <w:pPr>
              <w:spacing w:after="120"/>
              <w:rPr>
                <w:rFonts w:ascii="Arial" w:eastAsia="Calibri" w:hAnsi="Arial" w:cs="Arial"/>
                <w:color w:val="000000"/>
                <w:sz w:val="27"/>
                <w:szCs w:val="27"/>
              </w:rPr>
            </w:pPr>
            <w:r w:rsidRPr="000729CF">
              <w:rPr>
                <w:rFonts w:ascii="Arial" w:eastAsia="Calibri" w:hAnsi="Arial" w:cs="Arial"/>
                <w:color w:val="000000"/>
                <w:sz w:val="24"/>
                <w:szCs w:val="24"/>
              </w:rPr>
              <w:t>Brighton Unemployed Families Project and Oasis all run in Tarner children’s centre area with a focus on supporting disadvantaged children</w:t>
            </w:r>
            <w:r w:rsidRPr="000729CF">
              <w:rPr>
                <w:rFonts w:ascii="Arial" w:eastAsia="Calibri" w:hAnsi="Arial" w:cs="Arial"/>
                <w:color w:val="000000"/>
                <w:sz w:val="27"/>
                <w:szCs w:val="27"/>
              </w:rPr>
              <w:t>.</w:t>
            </w:r>
          </w:p>
          <w:p w14:paraId="7CDFBFB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color w:val="000000"/>
                <w:sz w:val="24"/>
                <w:szCs w:val="24"/>
              </w:rPr>
              <w:t>Oasis provides support to women experiencing substance misuse issues.</w:t>
            </w:r>
          </w:p>
        </w:tc>
      </w:tr>
    </w:tbl>
    <w:p w14:paraId="1B8A0A0C" w14:textId="77777777" w:rsidR="000729CF" w:rsidRPr="000729CF" w:rsidRDefault="000729CF" w:rsidP="000729CF">
      <w:pPr>
        <w:rPr>
          <w:rFonts w:ascii="Arial" w:eastAsia="Calibri" w:hAnsi="Arial" w:cs="Arial"/>
          <w:sz w:val="24"/>
          <w:szCs w:val="24"/>
          <w:lang w:val="en-GB"/>
        </w:rPr>
      </w:pPr>
    </w:p>
    <w:p w14:paraId="19B02B5B" w14:textId="77777777" w:rsidR="000729CF" w:rsidRPr="000729CF" w:rsidRDefault="000729CF" w:rsidP="000729CF">
      <w:pPr>
        <w:spacing w:after="160" w:line="259" w:lineRule="auto"/>
        <w:rPr>
          <w:rFonts w:ascii="Arial" w:eastAsia="Calibri" w:hAnsi="Arial" w:cs="Arial"/>
          <w:sz w:val="24"/>
          <w:szCs w:val="24"/>
          <w:lang w:val="en-GB"/>
        </w:rPr>
      </w:pPr>
    </w:p>
    <w:p w14:paraId="167BEFFE"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Consultation, engagement and supporting EIAs</w:t>
      </w:r>
    </w:p>
    <w:p w14:paraId="2BB2A403"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consultations or engagement activities are being used to inform this assessment? </w:t>
      </w:r>
    </w:p>
    <w:p w14:paraId="7F4ADE87"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If consultation is planned or in process – state this and state when it will done/completed even if indicative. If no consultation completed or planned, state this, giving an explanation. </w:t>
      </w:r>
    </w:p>
    <w:tbl>
      <w:tblPr>
        <w:tblStyle w:val="TableGrid"/>
        <w:tblW w:w="0" w:type="auto"/>
        <w:tblLook w:val="04A0" w:firstRow="1" w:lastRow="0" w:firstColumn="1" w:lastColumn="0" w:noHBand="0" w:noVBand="1"/>
      </w:tblPr>
      <w:tblGrid>
        <w:gridCol w:w="10456"/>
      </w:tblGrid>
      <w:tr w:rsidR="000729CF" w:rsidRPr="000729CF" w14:paraId="3E73A164" w14:textId="77777777" w:rsidTr="00BC26AB">
        <w:trPr>
          <w:trHeight w:val="871"/>
        </w:trPr>
        <w:tc>
          <w:tcPr>
            <w:tcW w:w="10456" w:type="dxa"/>
          </w:tcPr>
          <w:p w14:paraId="7647E04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Feedback and insight from previous dialogue with the providers has been used to inform this assessment.</w:t>
            </w:r>
          </w:p>
        </w:tc>
      </w:tr>
    </w:tbl>
    <w:p w14:paraId="75034993" w14:textId="77777777" w:rsidR="000729CF" w:rsidRPr="000729CF" w:rsidRDefault="000729CF" w:rsidP="000729CF">
      <w:pPr>
        <w:spacing w:after="160" w:line="259" w:lineRule="auto"/>
        <w:rPr>
          <w:rFonts w:ascii="Arial" w:eastAsia="Calibri" w:hAnsi="Arial" w:cs="Arial"/>
          <w:sz w:val="24"/>
          <w:szCs w:val="24"/>
          <w:lang w:val="en-GB"/>
        </w:rPr>
      </w:pPr>
    </w:p>
    <w:p w14:paraId="1A2A7AD9"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other budget or service EIAs can assist/have been used to inform this assessment?</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0729CF" w:rsidRPr="000729CF" w14:paraId="0D82A65B"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shd w:val="clear" w:color="auto" w:fill="FFFFFF"/>
          </w:tcPr>
          <w:p w14:paraId="6AB7A6C7"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23/24 budgets savings EIA for the same proposal. </w:t>
            </w:r>
          </w:p>
          <w:p w14:paraId="2286193B" w14:textId="77777777" w:rsidR="000729CF" w:rsidRPr="000729CF" w:rsidRDefault="000729CF" w:rsidP="000729CF">
            <w:pPr>
              <w:spacing w:after="120"/>
              <w:rPr>
                <w:rFonts w:ascii="Arial" w:hAnsi="Arial" w:cs="Arial"/>
                <w:sz w:val="24"/>
                <w:szCs w:val="24"/>
              </w:rPr>
            </w:pPr>
          </w:p>
        </w:tc>
      </w:tr>
    </w:tbl>
    <w:p w14:paraId="6834B431" w14:textId="77777777" w:rsidR="000729CF" w:rsidRPr="000729CF" w:rsidRDefault="000729CF" w:rsidP="000729CF">
      <w:pPr>
        <w:spacing w:after="160" w:line="259" w:lineRule="auto"/>
        <w:rPr>
          <w:rFonts w:ascii="Arial" w:eastAsia="Calibri" w:hAnsi="Arial" w:cs="Arial"/>
          <w:sz w:val="24"/>
          <w:szCs w:val="24"/>
          <w:lang w:val="en-GB"/>
        </w:rPr>
      </w:pPr>
    </w:p>
    <w:p w14:paraId="48F1B269"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Current data and impact monitoring</w:t>
      </w:r>
    </w:p>
    <w:p w14:paraId="7B565496"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Do you currently collect and analyse the following data to enable monitoring of the impact of this proposal? </w:t>
      </w:r>
    </w:p>
    <w:p w14:paraId="39F7F4A8"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Consider all possible intersections (Delete and State Yes, No, Not Applicable)</w:t>
      </w:r>
    </w:p>
    <w:tbl>
      <w:tblPr>
        <w:tblStyle w:val="TableGrid"/>
        <w:tblW w:w="10485" w:type="dxa"/>
        <w:tblLook w:val="04A0" w:firstRow="1" w:lastRow="0" w:firstColumn="1" w:lastColumn="0" w:noHBand="0" w:noVBand="1"/>
      </w:tblPr>
      <w:tblGrid>
        <w:gridCol w:w="6658"/>
        <w:gridCol w:w="3827"/>
      </w:tblGrid>
      <w:tr w:rsidR="000729CF" w:rsidRPr="000729CF" w14:paraId="300AB3CC" w14:textId="77777777" w:rsidTr="000729CF">
        <w:trPr>
          <w:trHeight w:val="310"/>
        </w:trPr>
        <w:tc>
          <w:tcPr>
            <w:tcW w:w="6658" w:type="dxa"/>
            <w:shd w:val="clear" w:color="auto" w:fill="E7E6E6"/>
          </w:tcPr>
          <w:p w14:paraId="787195B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Age</w:t>
            </w:r>
          </w:p>
        </w:tc>
        <w:tc>
          <w:tcPr>
            <w:tcW w:w="3827" w:type="dxa"/>
          </w:tcPr>
          <w:p w14:paraId="388A632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59FF35D6" w14:textId="77777777" w:rsidTr="000729CF">
        <w:trPr>
          <w:trHeight w:val="20"/>
        </w:trPr>
        <w:tc>
          <w:tcPr>
            <w:tcW w:w="6658" w:type="dxa"/>
            <w:shd w:val="clear" w:color="auto" w:fill="E7E6E6"/>
          </w:tcPr>
          <w:p w14:paraId="25A070C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Disability and inclusive adjustments, coverage under equality act and not</w:t>
            </w:r>
          </w:p>
        </w:tc>
        <w:tc>
          <w:tcPr>
            <w:tcW w:w="3827" w:type="dxa"/>
          </w:tcPr>
          <w:p w14:paraId="171349B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20C8ED80" w14:textId="77777777" w:rsidTr="000729CF">
        <w:trPr>
          <w:trHeight w:val="20"/>
        </w:trPr>
        <w:tc>
          <w:tcPr>
            <w:tcW w:w="6658" w:type="dxa"/>
            <w:shd w:val="clear" w:color="auto" w:fill="E7E6E6"/>
          </w:tcPr>
          <w:p w14:paraId="2EC13C7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Ethnicity, ‘Race’, ethnic heritage (including Gypsy, Roma, Travellers)</w:t>
            </w:r>
          </w:p>
        </w:tc>
        <w:tc>
          <w:tcPr>
            <w:tcW w:w="3827" w:type="dxa"/>
          </w:tcPr>
          <w:p w14:paraId="4639866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p w14:paraId="27E53FAF" w14:textId="77777777" w:rsidR="000729CF" w:rsidRPr="000729CF" w:rsidRDefault="000729CF" w:rsidP="000729CF">
            <w:pPr>
              <w:spacing w:after="120"/>
              <w:rPr>
                <w:rFonts w:ascii="Arial" w:eastAsia="Calibri" w:hAnsi="Arial" w:cs="Arial"/>
                <w:sz w:val="24"/>
                <w:szCs w:val="24"/>
              </w:rPr>
            </w:pPr>
          </w:p>
        </w:tc>
      </w:tr>
      <w:tr w:rsidR="000729CF" w:rsidRPr="000729CF" w14:paraId="0381938C" w14:textId="77777777" w:rsidTr="000729CF">
        <w:trPr>
          <w:trHeight w:val="20"/>
        </w:trPr>
        <w:tc>
          <w:tcPr>
            <w:tcW w:w="6658" w:type="dxa"/>
            <w:shd w:val="clear" w:color="auto" w:fill="E7E6E6"/>
          </w:tcPr>
          <w:p w14:paraId="574C019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Religion, Belief, Spirituality, Faith, or Atheism</w:t>
            </w:r>
          </w:p>
        </w:tc>
        <w:tc>
          <w:tcPr>
            <w:tcW w:w="3827" w:type="dxa"/>
          </w:tcPr>
          <w:p w14:paraId="19E50F1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6E15E637" w14:textId="77777777" w:rsidTr="000729CF">
        <w:trPr>
          <w:trHeight w:val="20"/>
        </w:trPr>
        <w:tc>
          <w:tcPr>
            <w:tcW w:w="6658" w:type="dxa"/>
            <w:shd w:val="clear" w:color="auto" w:fill="E7E6E6"/>
          </w:tcPr>
          <w:p w14:paraId="1D06045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Identity and Sex (including non-binary and Intersex people)</w:t>
            </w:r>
          </w:p>
        </w:tc>
        <w:tc>
          <w:tcPr>
            <w:tcW w:w="3827" w:type="dxa"/>
          </w:tcPr>
          <w:p w14:paraId="0AE0D34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577269BB" w14:textId="77777777" w:rsidTr="000729CF">
        <w:trPr>
          <w:trHeight w:val="20"/>
        </w:trPr>
        <w:tc>
          <w:tcPr>
            <w:tcW w:w="6658" w:type="dxa"/>
            <w:shd w:val="clear" w:color="auto" w:fill="E7E6E6"/>
          </w:tcPr>
          <w:p w14:paraId="592DB84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3827" w:type="dxa"/>
          </w:tcPr>
          <w:p w14:paraId="4A025B3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1205D2C6" w14:textId="77777777" w:rsidTr="000729CF">
        <w:trPr>
          <w:trHeight w:val="20"/>
        </w:trPr>
        <w:tc>
          <w:tcPr>
            <w:tcW w:w="6658" w:type="dxa"/>
            <w:shd w:val="clear" w:color="auto" w:fill="E7E6E6"/>
          </w:tcPr>
          <w:p w14:paraId="5B4F047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3827" w:type="dxa"/>
          </w:tcPr>
          <w:p w14:paraId="016B721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51B8F8D5" w14:textId="77777777" w:rsidTr="000729CF">
        <w:trPr>
          <w:trHeight w:val="20"/>
        </w:trPr>
        <w:tc>
          <w:tcPr>
            <w:tcW w:w="6658" w:type="dxa"/>
            <w:shd w:val="clear" w:color="auto" w:fill="E7E6E6"/>
          </w:tcPr>
          <w:p w14:paraId="0473C2A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3827" w:type="dxa"/>
          </w:tcPr>
          <w:p w14:paraId="67FF8C5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0A742BF5" w14:textId="77777777" w:rsidTr="000729CF">
        <w:trPr>
          <w:trHeight w:val="20"/>
        </w:trPr>
        <w:tc>
          <w:tcPr>
            <w:tcW w:w="6658" w:type="dxa"/>
            <w:shd w:val="clear" w:color="auto" w:fill="E7E6E6"/>
          </w:tcPr>
          <w:p w14:paraId="402EDD2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Pregnant people, Maternity, Paternity, Adoption, Menopause, (In)fertility (across the gender spectrum)</w:t>
            </w:r>
          </w:p>
        </w:tc>
        <w:tc>
          <w:tcPr>
            <w:tcW w:w="3827" w:type="dxa"/>
          </w:tcPr>
          <w:p w14:paraId="60E69F2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7EDD9EF0" w14:textId="77777777" w:rsidTr="000729CF">
        <w:trPr>
          <w:trHeight w:val="20"/>
        </w:trPr>
        <w:tc>
          <w:tcPr>
            <w:tcW w:w="6658" w:type="dxa"/>
            <w:shd w:val="clear" w:color="auto" w:fill="E7E6E6"/>
          </w:tcPr>
          <w:p w14:paraId="25C6FD7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3827" w:type="dxa"/>
          </w:tcPr>
          <w:p w14:paraId="5DF79A0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6E463ED8" w14:textId="77777777" w:rsidTr="000729CF">
        <w:trPr>
          <w:trHeight w:val="20"/>
        </w:trPr>
        <w:tc>
          <w:tcPr>
            <w:tcW w:w="6658" w:type="dxa"/>
            <w:shd w:val="clear" w:color="auto" w:fill="E7E6E6"/>
          </w:tcPr>
          <w:p w14:paraId="17276290" w14:textId="77777777" w:rsidR="000729CF" w:rsidRPr="000729CF" w:rsidRDefault="000729CF" w:rsidP="000729CF">
            <w:pPr>
              <w:spacing w:after="120"/>
              <w:rPr>
                <w:rFonts w:ascii="Arial" w:hAnsi="Arial" w:cs="Arial"/>
                <w:b/>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p>
        </w:tc>
        <w:tc>
          <w:tcPr>
            <w:tcW w:w="3827" w:type="dxa"/>
          </w:tcPr>
          <w:p w14:paraId="5CFCEE1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r>
      <w:tr w:rsidR="000729CF" w:rsidRPr="000729CF" w14:paraId="16EDC300" w14:textId="77777777" w:rsidTr="000729CF">
        <w:trPr>
          <w:trHeight w:val="20"/>
        </w:trPr>
        <w:tc>
          <w:tcPr>
            <w:tcW w:w="6658" w:type="dxa"/>
            <w:shd w:val="clear" w:color="auto" w:fill="E7E6E6"/>
          </w:tcPr>
          <w:p w14:paraId="17E5CC8C" w14:textId="77777777" w:rsidR="000729CF" w:rsidRPr="000729CF" w:rsidRDefault="000729CF" w:rsidP="000729CF">
            <w:pPr>
              <w:spacing w:after="120"/>
              <w:rPr>
                <w:rFonts w:ascii="Arial" w:hAnsi="Arial" w:cs="Arial"/>
                <w:b/>
                <w:sz w:val="24"/>
                <w:szCs w:val="24"/>
              </w:rPr>
            </w:pPr>
            <w:r w:rsidRPr="000729CF">
              <w:rPr>
                <w:rFonts w:ascii="Arial" w:eastAsia="Calibri" w:hAnsi="Arial" w:cs="Arial"/>
                <w:b/>
                <w:bCs/>
                <w:color w:val="000000"/>
                <w:sz w:val="24"/>
                <w:szCs w:val="24"/>
              </w:rPr>
              <w:t>Carers</w:t>
            </w:r>
          </w:p>
        </w:tc>
        <w:tc>
          <w:tcPr>
            <w:tcW w:w="3827" w:type="dxa"/>
          </w:tcPr>
          <w:p w14:paraId="65E4D5D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6007A7BC" w14:textId="77777777" w:rsidTr="000729CF">
        <w:trPr>
          <w:trHeight w:val="20"/>
        </w:trPr>
        <w:tc>
          <w:tcPr>
            <w:tcW w:w="6658" w:type="dxa"/>
            <w:shd w:val="clear" w:color="auto" w:fill="E7E6E6"/>
          </w:tcPr>
          <w:p w14:paraId="3A5E9B8F"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Looked after children, Care Leavers, Care and fostering experienced people</w:t>
            </w:r>
          </w:p>
        </w:tc>
        <w:tc>
          <w:tcPr>
            <w:tcW w:w="3827" w:type="dxa"/>
          </w:tcPr>
          <w:p w14:paraId="5A829E8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6893569E" w14:textId="77777777" w:rsidTr="000729CF">
        <w:trPr>
          <w:trHeight w:val="20"/>
        </w:trPr>
        <w:tc>
          <w:tcPr>
            <w:tcW w:w="6658" w:type="dxa"/>
            <w:shd w:val="clear" w:color="auto" w:fill="E7E6E6"/>
          </w:tcPr>
          <w:p w14:paraId="20BAAE3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 and people in vulnerable situations (All aspects and intersections)</w:t>
            </w:r>
          </w:p>
        </w:tc>
        <w:tc>
          <w:tcPr>
            <w:tcW w:w="3827" w:type="dxa"/>
          </w:tcPr>
          <w:p w14:paraId="34BA426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057D750F" w14:textId="77777777" w:rsidTr="000729CF">
        <w:trPr>
          <w:trHeight w:val="20"/>
        </w:trPr>
        <w:tc>
          <w:tcPr>
            <w:tcW w:w="6658" w:type="dxa"/>
            <w:shd w:val="clear" w:color="auto" w:fill="E7E6E6"/>
          </w:tcPr>
          <w:p w14:paraId="776ED15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Socio-economic Disadvantage</w:t>
            </w:r>
          </w:p>
        </w:tc>
        <w:tc>
          <w:tcPr>
            <w:tcW w:w="3827" w:type="dxa"/>
          </w:tcPr>
          <w:p w14:paraId="716331E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13341B37" w14:textId="77777777" w:rsidTr="000729CF">
        <w:trPr>
          <w:trHeight w:val="20"/>
        </w:trPr>
        <w:tc>
          <w:tcPr>
            <w:tcW w:w="6658" w:type="dxa"/>
            <w:shd w:val="clear" w:color="auto" w:fill="E7E6E6"/>
          </w:tcPr>
          <w:p w14:paraId="39007EB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Homelessness and associated risk and vulnerability</w:t>
            </w:r>
          </w:p>
        </w:tc>
        <w:tc>
          <w:tcPr>
            <w:tcW w:w="3827" w:type="dxa"/>
          </w:tcPr>
          <w:p w14:paraId="630A0A2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2984F5F2" w14:textId="77777777" w:rsidTr="000729CF">
        <w:trPr>
          <w:trHeight w:val="20"/>
        </w:trPr>
        <w:tc>
          <w:tcPr>
            <w:tcW w:w="6658" w:type="dxa"/>
            <w:shd w:val="clear" w:color="auto" w:fill="E7E6E6"/>
          </w:tcPr>
          <w:p w14:paraId="5104C46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3827" w:type="dxa"/>
          </w:tcPr>
          <w:p w14:paraId="3EF0735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5DC9E75C" w14:textId="77777777" w:rsidTr="000729CF">
        <w:trPr>
          <w:trHeight w:val="20"/>
        </w:trPr>
        <w:tc>
          <w:tcPr>
            <w:tcW w:w="6658" w:type="dxa"/>
            <w:shd w:val="clear" w:color="auto" w:fill="E7E6E6"/>
          </w:tcPr>
          <w:p w14:paraId="6CDC00A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 (please specify here and add additional rows as needed)</w:t>
            </w:r>
          </w:p>
        </w:tc>
        <w:tc>
          <w:tcPr>
            <w:tcW w:w="3827" w:type="dxa"/>
          </w:tcPr>
          <w:p w14:paraId="4F1117C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bl>
    <w:p w14:paraId="25BDABDC" w14:textId="77777777" w:rsidR="000729CF" w:rsidRPr="000729CF" w:rsidRDefault="000729CF" w:rsidP="000729CF">
      <w:pPr>
        <w:rPr>
          <w:rFonts w:ascii="Arial" w:eastAsia="Calibri" w:hAnsi="Arial" w:cs="Arial"/>
          <w:sz w:val="24"/>
          <w:szCs w:val="24"/>
          <w:lang w:val="en-GB"/>
        </w:rPr>
      </w:pPr>
    </w:p>
    <w:p w14:paraId="7876DEED"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0353194C"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25FE1B01"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205EB728"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6CA53014"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18325219"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5D845309"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387264D3"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1792C35A"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745D1F38"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3383AB25" w14:textId="77777777" w:rsidR="000729CF" w:rsidRPr="000729CF" w:rsidRDefault="000729CF" w:rsidP="000729CF">
      <w:pPr>
        <w:rPr>
          <w:rFonts w:ascii="Arial" w:eastAsia="Calibri" w:hAnsi="Arial" w:cs="Arial"/>
          <w:sz w:val="24"/>
          <w:szCs w:val="24"/>
          <w:lang w:val="en-GB"/>
        </w:rPr>
      </w:pPr>
    </w:p>
    <w:p w14:paraId="5D497166"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If you answered “NO” to any of the above, how will you gather this data to enable improved monitoring of impact for this proposal?</w:t>
      </w:r>
    </w:p>
    <w:tbl>
      <w:tblPr>
        <w:tblStyle w:val="TableGrid"/>
        <w:tblW w:w="0" w:type="auto"/>
        <w:tblLook w:val="04A0" w:firstRow="1" w:lastRow="0" w:firstColumn="1" w:lastColumn="0" w:noHBand="0" w:noVBand="1"/>
      </w:tblPr>
      <w:tblGrid>
        <w:gridCol w:w="10456"/>
      </w:tblGrid>
      <w:tr w:rsidR="000729CF" w:rsidRPr="000729CF" w14:paraId="679E54F5" w14:textId="77777777" w:rsidTr="00BC26AB">
        <w:trPr>
          <w:trHeight w:val="757"/>
        </w:trPr>
        <w:tc>
          <w:tcPr>
            <w:tcW w:w="10456" w:type="dxa"/>
          </w:tcPr>
          <w:p w14:paraId="6590306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This data will be requested from the providers. </w:t>
            </w:r>
          </w:p>
        </w:tc>
      </w:tr>
    </w:tbl>
    <w:p w14:paraId="402E1DE9" w14:textId="77777777" w:rsidR="000729CF" w:rsidRPr="000729CF" w:rsidRDefault="000729CF" w:rsidP="000729CF">
      <w:pPr>
        <w:rPr>
          <w:rFonts w:ascii="Arial" w:eastAsia="Calibri" w:hAnsi="Arial" w:cs="Arial"/>
          <w:sz w:val="24"/>
          <w:szCs w:val="24"/>
          <w:lang w:val="en-GB"/>
        </w:rPr>
      </w:pPr>
    </w:p>
    <w:p w14:paraId="443E447E"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are the arrangements for monitoring, and reviewing the impact of this proposal?</w:t>
      </w:r>
    </w:p>
    <w:tbl>
      <w:tblPr>
        <w:tblStyle w:val="TableGrid"/>
        <w:tblW w:w="0" w:type="auto"/>
        <w:tblLook w:val="04A0" w:firstRow="1" w:lastRow="0" w:firstColumn="1" w:lastColumn="0" w:noHBand="0" w:noVBand="1"/>
      </w:tblPr>
      <w:tblGrid>
        <w:gridCol w:w="10456"/>
      </w:tblGrid>
      <w:tr w:rsidR="000729CF" w:rsidRPr="000729CF" w14:paraId="74764C5A" w14:textId="77777777" w:rsidTr="00BC26AB">
        <w:trPr>
          <w:trHeight w:val="757"/>
        </w:trPr>
        <w:tc>
          <w:tcPr>
            <w:tcW w:w="10456" w:type="dxa"/>
          </w:tcPr>
          <w:p w14:paraId="23D66F3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Discussion with providers via monitoring meetings.</w:t>
            </w:r>
          </w:p>
        </w:tc>
      </w:tr>
    </w:tbl>
    <w:p w14:paraId="795C06B0" w14:textId="77777777" w:rsidR="000729CF" w:rsidRPr="000729CF" w:rsidRDefault="000729CF" w:rsidP="000729CF">
      <w:pPr>
        <w:rPr>
          <w:rFonts w:ascii="Arial" w:eastAsia="Calibri" w:hAnsi="Arial" w:cs="Arial"/>
          <w:sz w:val="24"/>
          <w:szCs w:val="24"/>
          <w:lang w:val="en-GB"/>
        </w:rPr>
      </w:pPr>
    </w:p>
    <w:p w14:paraId="5A7980A7" w14:textId="77777777" w:rsidR="000729CF" w:rsidRPr="000729CF" w:rsidRDefault="000729CF" w:rsidP="000729CF">
      <w:pPr>
        <w:rPr>
          <w:rFonts w:ascii="Arial" w:eastAsia="Calibri" w:hAnsi="Arial" w:cs="Arial"/>
          <w:sz w:val="24"/>
          <w:szCs w:val="24"/>
          <w:lang w:val="en-GB"/>
        </w:rPr>
      </w:pPr>
    </w:p>
    <w:p w14:paraId="0249641C"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Impacts</w:t>
      </w:r>
    </w:p>
    <w:p w14:paraId="549226B1"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Briefly state source of data or data analysis being used to describe the </w:t>
      </w:r>
      <w:r w:rsidRPr="000729CF">
        <w:rPr>
          <w:rFonts w:ascii="Arial" w:eastAsia="Calibri" w:hAnsi="Arial" w:cs="Arial"/>
          <w:color w:val="000000"/>
          <w:sz w:val="24"/>
          <w:szCs w:val="24"/>
          <w:bdr w:val="none" w:sz="0" w:space="0" w:color="auto" w:frame="1"/>
          <w:lang w:val="en-GB"/>
        </w:rPr>
        <w:t xml:space="preserve">disproportionate negative impacts. </w:t>
      </w:r>
      <w:r w:rsidRPr="000729CF">
        <w:rPr>
          <w:rFonts w:ascii="Arial" w:eastAsia="Calibri" w:hAnsi="Arial" w:cs="Arial"/>
          <w:sz w:val="24"/>
          <w:szCs w:val="24"/>
          <w:lang w:val="en-GB"/>
        </w:rPr>
        <w:t xml:space="preserve">Preferably provide link to data/ analysis if open data source. </w:t>
      </w:r>
    </w:p>
    <w:tbl>
      <w:tblPr>
        <w:tblStyle w:val="TableGrid"/>
        <w:tblW w:w="10485" w:type="dxa"/>
        <w:tblLook w:val="04A0" w:firstRow="1" w:lastRow="0" w:firstColumn="1" w:lastColumn="0" w:noHBand="0" w:noVBand="1"/>
      </w:tblPr>
      <w:tblGrid>
        <w:gridCol w:w="2985"/>
        <w:gridCol w:w="2123"/>
        <w:gridCol w:w="5377"/>
      </w:tblGrid>
      <w:tr w:rsidR="000729CF" w:rsidRPr="000729CF" w14:paraId="36B01921" w14:textId="77777777" w:rsidTr="000729CF">
        <w:trPr>
          <w:trHeight w:val="20"/>
        </w:trPr>
        <w:tc>
          <w:tcPr>
            <w:tcW w:w="2985" w:type="dxa"/>
            <w:shd w:val="clear" w:color="auto" w:fill="E7E6E6"/>
          </w:tcPr>
          <w:p w14:paraId="05E327B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Assess impact for different population groups</w:t>
            </w:r>
          </w:p>
        </w:tc>
        <w:tc>
          <w:tcPr>
            <w:tcW w:w="2123" w:type="dxa"/>
            <w:shd w:val="clear" w:color="auto" w:fill="E7E6E6"/>
          </w:tcPr>
          <w:p w14:paraId="7676CED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Is there a possible disproportionate negative impact? </w:t>
            </w:r>
          </w:p>
          <w:p w14:paraId="46EB40D7" w14:textId="77777777" w:rsidR="000729CF" w:rsidRPr="000729CF" w:rsidRDefault="000729CF" w:rsidP="000729CF">
            <w:pPr>
              <w:spacing w:after="120"/>
              <w:rPr>
                <w:rFonts w:ascii="Arial" w:eastAsia="Calibri" w:hAnsi="Arial" w:cs="Arial"/>
                <w:b/>
                <w:bCs/>
                <w:sz w:val="24"/>
                <w:szCs w:val="24"/>
              </w:rPr>
            </w:pPr>
          </w:p>
          <w:p w14:paraId="4A234D7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b/>
                <w:bCs/>
                <w:sz w:val="24"/>
                <w:szCs w:val="24"/>
              </w:rPr>
              <w:t>State Yes or No</w:t>
            </w:r>
          </w:p>
        </w:tc>
        <w:tc>
          <w:tcPr>
            <w:tcW w:w="5377" w:type="dxa"/>
            <w:shd w:val="clear" w:color="auto" w:fill="E7E6E6"/>
          </w:tcPr>
          <w:p w14:paraId="475F0A5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Describe the potential negative impact, considering for differences within groups For example, different ethnic groups, and peoples intersecting identities e.g. disabled women of faith</w:t>
            </w:r>
          </w:p>
          <w:p w14:paraId="241CBC7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OR</w:t>
            </w:r>
          </w:p>
          <w:p w14:paraId="7D76192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If no impact is identified, briefly state why.</w:t>
            </w:r>
          </w:p>
        </w:tc>
      </w:tr>
      <w:tr w:rsidR="000729CF" w:rsidRPr="000729CF" w14:paraId="09F603B6" w14:textId="77777777" w:rsidTr="000729CF">
        <w:trPr>
          <w:trHeight w:val="20"/>
        </w:trPr>
        <w:tc>
          <w:tcPr>
            <w:tcW w:w="2985" w:type="dxa"/>
            <w:shd w:val="clear" w:color="auto" w:fill="E7E6E6"/>
          </w:tcPr>
          <w:p w14:paraId="1CC0DBB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Age </w:t>
            </w:r>
          </w:p>
          <w:p w14:paraId="2DBA7F7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sz w:val="24"/>
                <w:szCs w:val="24"/>
              </w:rPr>
              <w:t>including those under 16, young adults, multiple ethnicities, those with various intersections.</w:t>
            </w:r>
          </w:p>
        </w:tc>
        <w:tc>
          <w:tcPr>
            <w:tcW w:w="2123" w:type="dxa"/>
          </w:tcPr>
          <w:p w14:paraId="66B976C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740DF1F3" w14:textId="77777777" w:rsidR="000729CF" w:rsidRPr="000729CF" w:rsidRDefault="000729CF" w:rsidP="000729CF">
            <w:pPr>
              <w:rPr>
                <w:rFonts w:ascii="Arial" w:eastAsia="Calibri" w:hAnsi="Arial" w:cs="Arial"/>
                <w:bCs/>
                <w:sz w:val="28"/>
                <w:szCs w:val="28"/>
              </w:rPr>
            </w:pPr>
            <w:r w:rsidRPr="000729CF">
              <w:rPr>
                <w:rFonts w:ascii="Arial" w:eastAsia="Calibri" w:hAnsi="Arial" w:cs="Arial"/>
                <w:color w:val="000000"/>
                <w:sz w:val="24"/>
                <w:szCs w:val="24"/>
                <w:shd w:val="clear" w:color="auto" w:fill="FFFFFF"/>
              </w:rPr>
              <w:t>Impact on children under 5. Removal of funding could reduce the service for under 5’s via creche and childcare</w:t>
            </w:r>
            <w:r w:rsidRPr="000729CF">
              <w:rPr>
                <w:rFonts w:ascii="Arial" w:eastAsia="Calibri" w:hAnsi="Arial" w:cs="Arial"/>
                <w:bCs/>
                <w:sz w:val="28"/>
                <w:szCs w:val="28"/>
              </w:rPr>
              <w:t>.</w:t>
            </w:r>
          </w:p>
          <w:p w14:paraId="5607F2AF" w14:textId="77777777" w:rsidR="000729CF" w:rsidRPr="000729CF" w:rsidRDefault="000729CF" w:rsidP="000729CF">
            <w:pPr>
              <w:spacing w:after="120"/>
              <w:rPr>
                <w:rFonts w:ascii="Arial" w:eastAsia="Calibri" w:hAnsi="Arial" w:cs="Arial"/>
                <w:sz w:val="24"/>
                <w:szCs w:val="24"/>
              </w:rPr>
            </w:pPr>
          </w:p>
        </w:tc>
      </w:tr>
      <w:tr w:rsidR="000729CF" w:rsidRPr="000729CF" w14:paraId="3A24833C" w14:textId="77777777" w:rsidTr="000729CF">
        <w:trPr>
          <w:trHeight w:val="20"/>
        </w:trPr>
        <w:tc>
          <w:tcPr>
            <w:tcW w:w="2985" w:type="dxa"/>
            <w:shd w:val="clear" w:color="auto" w:fill="E7E6E6"/>
          </w:tcPr>
          <w:p w14:paraId="3DF91251"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 xml:space="preserve">Disability </w:t>
            </w:r>
            <w:r w:rsidRPr="000729CF">
              <w:rPr>
                <w:rFonts w:ascii="Arial" w:eastAsia="Calibri" w:hAnsi="Arial" w:cs="Arial"/>
                <w:sz w:val="24"/>
                <w:szCs w:val="24"/>
              </w:rPr>
              <w:t>includes physical and sensory disabled, D/deaf, deafened, hard of hearing, blind, neurodiverse people, people with non-visible disabilities.</w:t>
            </w:r>
          </w:p>
        </w:tc>
        <w:tc>
          <w:tcPr>
            <w:tcW w:w="2123" w:type="dxa"/>
          </w:tcPr>
          <w:p w14:paraId="174085EB" w14:textId="77777777" w:rsidR="000729CF" w:rsidRPr="000729CF" w:rsidRDefault="000729CF" w:rsidP="000729CF">
            <w:pPr>
              <w:spacing w:after="120"/>
              <w:rPr>
                <w:rFonts w:ascii="Arial" w:eastAsia="Calibri" w:hAnsi="Arial" w:cs="Arial"/>
                <w:color w:val="000000"/>
                <w:sz w:val="24"/>
                <w:szCs w:val="24"/>
                <w:shd w:val="clear" w:color="auto" w:fill="FFFFFF"/>
              </w:rPr>
            </w:pPr>
            <w:r w:rsidRPr="000729CF">
              <w:rPr>
                <w:rFonts w:ascii="Arial" w:eastAsia="Calibri" w:hAnsi="Arial" w:cs="Arial"/>
                <w:color w:val="000000"/>
                <w:sz w:val="24"/>
                <w:szCs w:val="24"/>
                <w:shd w:val="clear" w:color="auto" w:fill="FFFFFF"/>
              </w:rPr>
              <w:t>Yes</w:t>
            </w:r>
          </w:p>
        </w:tc>
        <w:tc>
          <w:tcPr>
            <w:tcW w:w="5377" w:type="dxa"/>
          </w:tcPr>
          <w:p w14:paraId="215E4FB4" w14:textId="77777777" w:rsidR="000729CF" w:rsidRPr="000729CF" w:rsidRDefault="000729CF" w:rsidP="000729CF">
            <w:pPr>
              <w:spacing w:after="120"/>
              <w:rPr>
                <w:rFonts w:ascii="Arial" w:eastAsia="Calibri" w:hAnsi="Arial" w:cs="Arial"/>
                <w:color w:val="000000"/>
                <w:sz w:val="24"/>
                <w:szCs w:val="24"/>
                <w:shd w:val="clear" w:color="auto" w:fill="FFFFFF"/>
              </w:rPr>
            </w:pPr>
            <w:r w:rsidRPr="000729CF">
              <w:rPr>
                <w:rFonts w:ascii="Arial" w:eastAsia="Calibri" w:hAnsi="Arial" w:cs="Arial"/>
                <w:color w:val="000000"/>
                <w:sz w:val="24"/>
                <w:szCs w:val="24"/>
                <w:shd w:val="clear" w:color="auto" w:fill="FFFFFF"/>
              </w:rPr>
              <w:t xml:space="preserve">Removing funding from Amaze may impact on the access to service for parents/carers of disabled children. </w:t>
            </w:r>
          </w:p>
        </w:tc>
      </w:tr>
      <w:tr w:rsidR="000729CF" w:rsidRPr="000729CF" w14:paraId="2DE5FB1B" w14:textId="77777777" w:rsidTr="000729CF">
        <w:trPr>
          <w:trHeight w:val="20"/>
        </w:trPr>
        <w:tc>
          <w:tcPr>
            <w:tcW w:w="2985" w:type="dxa"/>
            <w:shd w:val="clear" w:color="auto" w:fill="E7E6E6"/>
          </w:tcPr>
          <w:p w14:paraId="25CB5C48" w14:textId="77777777" w:rsidR="000729CF" w:rsidRPr="000729CF" w:rsidRDefault="000729CF" w:rsidP="000729CF">
            <w:pPr>
              <w:keepNext/>
              <w:keepLines/>
              <w:spacing w:before="40"/>
              <w:outlineLvl w:val="2"/>
              <w:rPr>
                <w:rFonts w:ascii="Arial" w:hAnsi="Arial" w:cs="Arial"/>
                <w:color w:val="1F3763"/>
                <w:sz w:val="24"/>
                <w:szCs w:val="24"/>
              </w:rPr>
            </w:pPr>
            <w:r w:rsidRPr="000729CF">
              <w:rPr>
                <w:rFonts w:ascii="Arial" w:hAnsi="Arial" w:cs="Arial"/>
                <w:b/>
                <w:bCs/>
                <w:color w:val="000000"/>
                <w:sz w:val="24"/>
                <w:szCs w:val="24"/>
              </w:rPr>
              <w:t>Ethnicity, ‘</w:t>
            </w:r>
            <w:r w:rsidRPr="000729CF">
              <w:rPr>
                <w:rFonts w:ascii="Arial" w:hAnsi="Arial" w:cs="Arial"/>
                <w:color w:val="000000"/>
                <w:sz w:val="24"/>
                <w:szCs w:val="24"/>
              </w:rPr>
              <w:t>Race’, ethnic heritage including Gypsy, Roma, Travellers</w:t>
            </w:r>
          </w:p>
        </w:tc>
        <w:tc>
          <w:tcPr>
            <w:tcW w:w="2123" w:type="dxa"/>
          </w:tcPr>
          <w:p w14:paraId="059FF49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Unknown</w:t>
            </w:r>
          </w:p>
        </w:tc>
        <w:tc>
          <w:tcPr>
            <w:tcW w:w="5377" w:type="dxa"/>
            <w:vAlign w:val="center"/>
          </w:tcPr>
          <w:p w14:paraId="64766AA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bCs/>
                <w:sz w:val="24"/>
                <w:szCs w:val="24"/>
              </w:rPr>
              <w:t xml:space="preserve">Service user data by ethnicity is unavailable and therefore impact cannot be determined. </w:t>
            </w:r>
          </w:p>
        </w:tc>
      </w:tr>
      <w:tr w:rsidR="000729CF" w:rsidRPr="000729CF" w14:paraId="5146EF7D" w14:textId="77777777" w:rsidTr="000729CF">
        <w:trPr>
          <w:trHeight w:val="20"/>
        </w:trPr>
        <w:tc>
          <w:tcPr>
            <w:tcW w:w="2985" w:type="dxa"/>
            <w:shd w:val="clear" w:color="auto" w:fill="E7E6E6"/>
          </w:tcPr>
          <w:p w14:paraId="6ADF195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Religion, Spirituality, Faith, Atheism, and philosophical belief </w:t>
            </w:r>
          </w:p>
        </w:tc>
        <w:tc>
          <w:tcPr>
            <w:tcW w:w="2123" w:type="dxa"/>
          </w:tcPr>
          <w:p w14:paraId="0BDD0DD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Unknown</w:t>
            </w:r>
          </w:p>
        </w:tc>
        <w:tc>
          <w:tcPr>
            <w:tcW w:w="5377" w:type="dxa"/>
            <w:vAlign w:val="center"/>
          </w:tcPr>
          <w:p w14:paraId="3A68606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bCs/>
                <w:sz w:val="24"/>
                <w:szCs w:val="24"/>
              </w:rPr>
              <w:t xml:space="preserve">Service user data by faith/belief is unavailable and therefore impact cannot be determined. </w:t>
            </w:r>
          </w:p>
        </w:tc>
      </w:tr>
      <w:tr w:rsidR="000729CF" w:rsidRPr="000729CF" w14:paraId="4516F89B" w14:textId="77777777" w:rsidTr="000729CF">
        <w:trPr>
          <w:trHeight w:val="20"/>
        </w:trPr>
        <w:tc>
          <w:tcPr>
            <w:tcW w:w="2985" w:type="dxa"/>
            <w:shd w:val="clear" w:color="auto" w:fill="E7E6E6"/>
          </w:tcPr>
          <w:p w14:paraId="295E5E5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Gender and Sex </w:t>
            </w:r>
            <w:r w:rsidRPr="000729CF">
              <w:rPr>
                <w:rFonts w:ascii="Arial" w:eastAsia="Calibri" w:hAnsi="Arial" w:cs="Arial"/>
                <w:sz w:val="24"/>
                <w:szCs w:val="24"/>
              </w:rPr>
              <w:t>including non-binary and intersex people</w:t>
            </w:r>
          </w:p>
        </w:tc>
        <w:tc>
          <w:tcPr>
            <w:tcW w:w="2123" w:type="dxa"/>
          </w:tcPr>
          <w:p w14:paraId="2456C1FF" w14:textId="77777777" w:rsidR="000729CF" w:rsidRPr="000729CF" w:rsidRDefault="000729CF" w:rsidP="000729CF">
            <w:pPr>
              <w:rPr>
                <w:rFonts w:ascii="Arial" w:eastAsia="Calibri" w:hAnsi="Arial" w:cs="Arial"/>
                <w:bCs/>
                <w:sz w:val="24"/>
                <w:szCs w:val="24"/>
              </w:rPr>
            </w:pPr>
            <w:r w:rsidRPr="000729CF">
              <w:rPr>
                <w:rFonts w:ascii="Arial" w:eastAsia="Calibri" w:hAnsi="Arial" w:cs="Arial"/>
                <w:bCs/>
                <w:sz w:val="24"/>
                <w:szCs w:val="24"/>
              </w:rPr>
              <w:t xml:space="preserve">Yes </w:t>
            </w:r>
          </w:p>
          <w:p w14:paraId="2F5D0D8F" w14:textId="77777777" w:rsidR="000729CF" w:rsidRPr="000729CF" w:rsidRDefault="000729CF" w:rsidP="000729CF">
            <w:pPr>
              <w:rPr>
                <w:rFonts w:ascii="Arial" w:eastAsia="Calibri" w:hAnsi="Arial" w:cs="Arial"/>
                <w:bCs/>
                <w:sz w:val="24"/>
                <w:szCs w:val="24"/>
              </w:rPr>
            </w:pPr>
          </w:p>
          <w:p w14:paraId="1FDDEA16" w14:textId="77777777" w:rsidR="000729CF" w:rsidRPr="000729CF" w:rsidRDefault="000729CF" w:rsidP="000729CF">
            <w:pPr>
              <w:spacing w:after="120"/>
              <w:rPr>
                <w:rFonts w:ascii="Arial" w:eastAsia="Calibri" w:hAnsi="Arial" w:cs="Arial"/>
                <w:sz w:val="24"/>
                <w:szCs w:val="24"/>
              </w:rPr>
            </w:pPr>
          </w:p>
        </w:tc>
        <w:tc>
          <w:tcPr>
            <w:tcW w:w="5377" w:type="dxa"/>
          </w:tcPr>
          <w:p w14:paraId="1F6A1E3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bCs/>
                <w:sz w:val="24"/>
                <w:szCs w:val="24"/>
              </w:rPr>
              <w:t>Any reduction in childcare provision disproportionately affects women who tend to take responsibility for these arrangements. The childcare workforce is overwhelmingly female.</w:t>
            </w:r>
          </w:p>
        </w:tc>
      </w:tr>
      <w:tr w:rsidR="000729CF" w:rsidRPr="000729CF" w14:paraId="5C87CD2C" w14:textId="77777777" w:rsidTr="000729CF">
        <w:trPr>
          <w:trHeight w:val="20"/>
        </w:trPr>
        <w:tc>
          <w:tcPr>
            <w:tcW w:w="2985" w:type="dxa"/>
            <w:shd w:val="clear" w:color="auto" w:fill="E7E6E6"/>
          </w:tcPr>
          <w:p w14:paraId="1D4C221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2123" w:type="dxa"/>
          </w:tcPr>
          <w:p w14:paraId="0CC550C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N/a</w:t>
            </w:r>
          </w:p>
        </w:tc>
        <w:tc>
          <w:tcPr>
            <w:tcW w:w="5377" w:type="dxa"/>
            <w:vAlign w:val="center"/>
          </w:tcPr>
          <w:p w14:paraId="08B9D75D" w14:textId="77777777" w:rsidR="000729CF" w:rsidRPr="000729CF" w:rsidRDefault="000729CF" w:rsidP="000729CF">
            <w:pPr>
              <w:spacing w:after="120"/>
              <w:rPr>
                <w:rFonts w:ascii="Arial" w:eastAsia="Calibri" w:hAnsi="Arial" w:cs="Arial"/>
                <w:sz w:val="24"/>
                <w:szCs w:val="24"/>
              </w:rPr>
            </w:pPr>
          </w:p>
        </w:tc>
      </w:tr>
      <w:tr w:rsidR="000729CF" w:rsidRPr="000729CF" w14:paraId="219B02D4" w14:textId="77777777" w:rsidTr="000729CF">
        <w:trPr>
          <w:trHeight w:val="20"/>
        </w:trPr>
        <w:tc>
          <w:tcPr>
            <w:tcW w:w="2985" w:type="dxa"/>
            <w:shd w:val="clear" w:color="auto" w:fill="E7E6E6"/>
          </w:tcPr>
          <w:p w14:paraId="60D6E84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2123" w:type="dxa"/>
          </w:tcPr>
          <w:p w14:paraId="2F99B6B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N/a</w:t>
            </w:r>
          </w:p>
        </w:tc>
        <w:tc>
          <w:tcPr>
            <w:tcW w:w="5377" w:type="dxa"/>
            <w:vAlign w:val="center"/>
          </w:tcPr>
          <w:p w14:paraId="3703A343" w14:textId="77777777" w:rsidR="000729CF" w:rsidRPr="000729CF" w:rsidRDefault="000729CF" w:rsidP="000729CF">
            <w:pPr>
              <w:spacing w:after="120"/>
              <w:rPr>
                <w:rFonts w:ascii="Arial" w:eastAsia="Calibri" w:hAnsi="Arial" w:cs="Arial"/>
                <w:sz w:val="24"/>
                <w:szCs w:val="24"/>
              </w:rPr>
            </w:pPr>
          </w:p>
        </w:tc>
      </w:tr>
      <w:tr w:rsidR="000729CF" w:rsidRPr="000729CF" w14:paraId="5A739654" w14:textId="77777777" w:rsidTr="000729CF">
        <w:trPr>
          <w:trHeight w:val="20"/>
        </w:trPr>
        <w:tc>
          <w:tcPr>
            <w:tcW w:w="2985" w:type="dxa"/>
            <w:shd w:val="clear" w:color="auto" w:fill="E7E6E6"/>
          </w:tcPr>
          <w:p w14:paraId="52C84F6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2123" w:type="dxa"/>
          </w:tcPr>
          <w:p w14:paraId="699B6B8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N/a</w:t>
            </w:r>
          </w:p>
        </w:tc>
        <w:tc>
          <w:tcPr>
            <w:tcW w:w="5377" w:type="dxa"/>
          </w:tcPr>
          <w:p w14:paraId="0A78E19A" w14:textId="77777777" w:rsidR="000729CF" w:rsidRPr="000729CF" w:rsidRDefault="000729CF" w:rsidP="000729CF">
            <w:pPr>
              <w:spacing w:after="120"/>
              <w:rPr>
                <w:rFonts w:ascii="Arial" w:eastAsia="Calibri" w:hAnsi="Arial" w:cs="Arial"/>
                <w:sz w:val="24"/>
                <w:szCs w:val="24"/>
              </w:rPr>
            </w:pPr>
          </w:p>
        </w:tc>
      </w:tr>
      <w:tr w:rsidR="000729CF" w:rsidRPr="000729CF" w14:paraId="0693F023" w14:textId="77777777" w:rsidTr="000729CF">
        <w:trPr>
          <w:trHeight w:val="20"/>
        </w:trPr>
        <w:tc>
          <w:tcPr>
            <w:tcW w:w="2985" w:type="dxa"/>
            <w:shd w:val="clear" w:color="auto" w:fill="E7E6E6"/>
          </w:tcPr>
          <w:p w14:paraId="1F5AF60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Pregnancy, Maternity, Paternity, Adoption, Menopause, (In)fertility </w:t>
            </w:r>
            <w:r w:rsidRPr="000729CF">
              <w:rPr>
                <w:rFonts w:ascii="Arial" w:eastAsia="Calibri" w:hAnsi="Arial" w:cs="Arial"/>
                <w:color w:val="000000"/>
                <w:sz w:val="24"/>
                <w:szCs w:val="24"/>
              </w:rPr>
              <w:t>(across intersections and non-binary gender spectrum)</w:t>
            </w:r>
          </w:p>
        </w:tc>
        <w:tc>
          <w:tcPr>
            <w:tcW w:w="2123" w:type="dxa"/>
          </w:tcPr>
          <w:p w14:paraId="7F9C1D8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N/a</w:t>
            </w:r>
          </w:p>
        </w:tc>
        <w:tc>
          <w:tcPr>
            <w:tcW w:w="5377" w:type="dxa"/>
          </w:tcPr>
          <w:p w14:paraId="2326122C" w14:textId="77777777" w:rsidR="000729CF" w:rsidRPr="000729CF" w:rsidRDefault="000729CF" w:rsidP="000729CF">
            <w:pPr>
              <w:spacing w:after="120"/>
              <w:rPr>
                <w:rFonts w:ascii="Arial" w:eastAsia="Calibri" w:hAnsi="Arial" w:cs="Arial"/>
                <w:sz w:val="24"/>
                <w:szCs w:val="24"/>
              </w:rPr>
            </w:pPr>
          </w:p>
        </w:tc>
      </w:tr>
      <w:tr w:rsidR="000729CF" w:rsidRPr="000729CF" w14:paraId="2B566D45" w14:textId="77777777" w:rsidTr="000729CF">
        <w:trPr>
          <w:trHeight w:val="20"/>
        </w:trPr>
        <w:tc>
          <w:tcPr>
            <w:tcW w:w="2985" w:type="dxa"/>
            <w:shd w:val="clear" w:color="auto" w:fill="E7E6E6"/>
          </w:tcPr>
          <w:p w14:paraId="7470337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2123" w:type="dxa"/>
          </w:tcPr>
          <w:p w14:paraId="0F74859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N/a</w:t>
            </w:r>
          </w:p>
        </w:tc>
        <w:tc>
          <w:tcPr>
            <w:tcW w:w="5377" w:type="dxa"/>
          </w:tcPr>
          <w:p w14:paraId="04361F2B" w14:textId="77777777" w:rsidR="000729CF" w:rsidRPr="000729CF" w:rsidRDefault="000729CF" w:rsidP="000729CF">
            <w:pPr>
              <w:spacing w:after="120"/>
              <w:rPr>
                <w:rFonts w:ascii="Arial" w:eastAsia="Calibri" w:hAnsi="Arial" w:cs="Arial"/>
                <w:sz w:val="24"/>
                <w:szCs w:val="24"/>
              </w:rPr>
            </w:pPr>
          </w:p>
        </w:tc>
      </w:tr>
      <w:tr w:rsidR="000729CF" w:rsidRPr="000729CF" w14:paraId="76BB6691" w14:textId="77777777" w:rsidTr="000729CF">
        <w:trPr>
          <w:trHeight w:val="20"/>
        </w:trPr>
        <w:tc>
          <w:tcPr>
            <w:tcW w:w="2985" w:type="dxa"/>
            <w:shd w:val="clear" w:color="auto" w:fill="E7E6E6"/>
          </w:tcPr>
          <w:p w14:paraId="2DAAAFD5" w14:textId="77777777" w:rsidR="000729CF" w:rsidRPr="000729CF" w:rsidRDefault="000729CF" w:rsidP="000729CF">
            <w:pPr>
              <w:spacing w:after="120"/>
              <w:rPr>
                <w:rFonts w:ascii="Arial" w:eastAsia="Calibri" w:hAnsi="Arial" w:cs="Arial"/>
                <w:b/>
                <w:bCs/>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r w:rsidRPr="000729CF">
              <w:rPr>
                <w:rFonts w:ascii="Arial" w:hAnsi="Arial" w:cs="Arial"/>
                <w:color w:val="000000"/>
                <w:sz w:val="24"/>
                <w:szCs w:val="24"/>
              </w:rPr>
              <w:t>considering for age, language, and various intersections</w:t>
            </w:r>
          </w:p>
        </w:tc>
        <w:tc>
          <w:tcPr>
            <w:tcW w:w="2123" w:type="dxa"/>
          </w:tcPr>
          <w:p w14:paraId="082847F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Unknown</w:t>
            </w:r>
          </w:p>
        </w:tc>
        <w:tc>
          <w:tcPr>
            <w:tcW w:w="5377" w:type="dxa"/>
            <w:vAlign w:val="center"/>
          </w:tcPr>
          <w:p w14:paraId="0C5D6A1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bCs/>
                <w:sz w:val="24"/>
                <w:szCs w:val="24"/>
              </w:rPr>
              <w:t xml:space="preserve">Service user data by immigration status is unavailable and therefore impact cannot be determined. </w:t>
            </w:r>
          </w:p>
        </w:tc>
      </w:tr>
      <w:tr w:rsidR="000729CF" w:rsidRPr="000729CF" w14:paraId="4E38AE16" w14:textId="77777777" w:rsidTr="000729CF">
        <w:trPr>
          <w:trHeight w:val="20"/>
        </w:trPr>
        <w:tc>
          <w:tcPr>
            <w:tcW w:w="2985" w:type="dxa"/>
            <w:shd w:val="clear" w:color="auto" w:fill="E7E6E6"/>
          </w:tcPr>
          <w:p w14:paraId="0E5AB8B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Carers </w:t>
            </w:r>
            <w:r w:rsidRPr="000729CF">
              <w:rPr>
                <w:rFonts w:ascii="Arial" w:hAnsi="Arial" w:cs="Arial"/>
                <w:color w:val="000000"/>
                <w:sz w:val="24"/>
                <w:szCs w:val="24"/>
              </w:rPr>
              <w:t>considering for age, language, and various intersections</w:t>
            </w:r>
          </w:p>
        </w:tc>
        <w:tc>
          <w:tcPr>
            <w:tcW w:w="2123" w:type="dxa"/>
          </w:tcPr>
          <w:p w14:paraId="496C4D6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N/a</w:t>
            </w:r>
          </w:p>
        </w:tc>
        <w:tc>
          <w:tcPr>
            <w:tcW w:w="5377" w:type="dxa"/>
          </w:tcPr>
          <w:p w14:paraId="5AE2EA05" w14:textId="77777777" w:rsidR="000729CF" w:rsidRPr="000729CF" w:rsidRDefault="000729CF" w:rsidP="000729CF">
            <w:pPr>
              <w:spacing w:after="120"/>
              <w:rPr>
                <w:rFonts w:ascii="Arial" w:eastAsia="Calibri" w:hAnsi="Arial" w:cs="Arial"/>
                <w:sz w:val="24"/>
                <w:szCs w:val="24"/>
              </w:rPr>
            </w:pPr>
          </w:p>
        </w:tc>
      </w:tr>
      <w:tr w:rsidR="000729CF" w:rsidRPr="000729CF" w14:paraId="2ABDCF93" w14:textId="77777777" w:rsidTr="000729CF">
        <w:trPr>
          <w:trHeight w:val="20"/>
        </w:trPr>
        <w:tc>
          <w:tcPr>
            <w:tcW w:w="2985" w:type="dxa"/>
            <w:shd w:val="clear" w:color="auto" w:fill="E7E6E6"/>
          </w:tcPr>
          <w:p w14:paraId="6F7B6DE3"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 xml:space="preserve">Looked after children, Care Leavers, Care and fostering experienced people </w:t>
            </w:r>
            <w:r w:rsidRPr="000729CF">
              <w:rPr>
                <w:rFonts w:ascii="Arial" w:hAnsi="Arial" w:cs="Arial"/>
                <w:color w:val="000000"/>
                <w:sz w:val="24"/>
                <w:szCs w:val="24"/>
              </w:rPr>
              <w:t>considering for age, language, and various intersections</w:t>
            </w:r>
          </w:p>
        </w:tc>
        <w:tc>
          <w:tcPr>
            <w:tcW w:w="2123" w:type="dxa"/>
          </w:tcPr>
          <w:p w14:paraId="6D338CE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N/a</w:t>
            </w:r>
          </w:p>
        </w:tc>
        <w:tc>
          <w:tcPr>
            <w:tcW w:w="5377" w:type="dxa"/>
          </w:tcPr>
          <w:p w14:paraId="6DB097D6" w14:textId="77777777" w:rsidR="000729CF" w:rsidRPr="000729CF" w:rsidRDefault="000729CF" w:rsidP="000729CF">
            <w:pPr>
              <w:spacing w:after="120"/>
              <w:rPr>
                <w:rFonts w:ascii="Arial" w:eastAsia="Calibri" w:hAnsi="Arial" w:cs="Arial"/>
                <w:sz w:val="24"/>
                <w:szCs w:val="24"/>
              </w:rPr>
            </w:pPr>
          </w:p>
        </w:tc>
      </w:tr>
      <w:tr w:rsidR="000729CF" w:rsidRPr="000729CF" w14:paraId="13FAA5D4" w14:textId="77777777" w:rsidTr="000729CF">
        <w:trPr>
          <w:trHeight w:val="20"/>
        </w:trPr>
        <w:tc>
          <w:tcPr>
            <w:tcW w:w="2985" w:type="dxa"/>
            <w:shd w:val="clear" w:color="auto" w:fill="E7E6E6"/>
          </w:tcPr>
          <w:p w14:paraId="4ED1045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w:t>
            </w:r>
          </w:p>
        </w:tc>
        <w:tc>
          <w:tcPr>
            <w:tcW w:w="2123" w:type="dxa"/>
          </w:tcPr>
          <w:p w14:paraId="43A0FB9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11E186B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Oasis provides services to women experiencing substance misuse. Their clients often have complex backgrounds and experiences including domestic/sexual violence. </w:t>
            </w:r>
          </w:p>
        </w:tc>
      </w:tr>
      <w:tr w:rsidR="000729CF" w:rsidRPr="000729CF" w14:paraId="3A5AC4DF" w14:textId="77777777" w:rsidTr="000729CF">
        <w:trPr>
          <w:trHeight w:val="20"/>
        </w:trPr>
        <w:tc>
          <w:tcPr>
            <w:tcW w:w="2985" w:type="dxa"/>
            <w:shd w:val="clear" w:color="auto" w:fill="E7E6E6"/>
          </w:tcPr>
          <w:p w14:paraId="11B86D1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Socio-economic disadvantage </w:t>
            </w:r>
            <w:r w:rsidRPr="000729CF">
              <w:rPr>
                <w:rFonts w:ascii="Arial" w:eastAsia="Calibri" w:hAnsi="Arial" w:cs="Arial"/>
                <w:color w:val="000000"/>
                <w:sz w:val="24"/>
                <w:szCs w:val="24"/>
              </w:rPr>
              <w:t>considering for age, disability, D/deaf/ blind, ethnicity, expatriate background, and various intersections</w:t>
            </w:r>
          </w:p>
        </w:tc>
        <w:tc>
          <w:tcPr>
            <w:tcW w:w="2123" w:type="dxa"/>
          </w:tcPr>
          <w:p w14:paraId="6B3DD23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3DB7418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8"/>
              </w:rPr>
              <w:t>Brighton Unemployed Families Project and Oasis all run in Tarner children’s centre area with a focus on supporting disadvantaged children.</w:t>
            </w:r>
          </w:p>
        </w:tc>
      </w:tr>
      <w:tr w:rsidR="000729CF" w:rsidRPr="000729CF" w14:paraId="3D2FFA6C" w14:textId="77777777" w:rsidTr="000729CF">
        <w:trPr>
          <w:trHeight w:val="20"/>
        </w:trPr>
        <w:tc>
          <w:tcPr>
            <w:tcW w:w="2985" w:type="dxa"/>
            <w:shd w:val="clear" w:color="auto" w:fill="E7E6E6"/>
          </w:tcPr>
          <w:p w14:paraId="473F622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Homeless and rough sleepers </w:t>
            </w:r>
            <w:r w:rsidRPr="000729CF">
              <w:rPr>
                <w:rFonts w:ascii="Arial" w:eastAsia="Calibri" w:hAnsi="Arial" w:cs="Arial"/>
                <w:color w:val="000000"/>
                <w:sz w:val="24"/>
                <w:szCs w:val="24"/>
              </w:rPr>
              <w:t>considering for age, veteran, ethnicity, language, and various intersections</w:t>
            </w:r>
          </w:p>
        </w:tc>
        <w:tc>
          <w:tcPr>
            <w:tcW w:w="2123" w:type="dxa"/>
          </w:tcPr>
          <w:p w14:paraId="65A51C0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Unknown</w:t>
            </w:r>
          </w:p>
        </w:tc>
        <w:tc>
          <w:tcPr>
            <w:tcW w:w="5377" w:type="dxa"/>
            <w:vAlign w:val="center"/>
          </w:tcPr>
          <w:p w14:paraId="0A320D2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bCs/>
                <w:sz w:val="24"/>
                <w:szCs w:val="24"/>
              </w:rPr>
              <w:t xml:space="preserve">Service user data by tenure is unavailable and therefore impact cannot be determined. </w:t>
            </w:r>
          </w:p>
        </w:tc>
      </w:tr>
      <w:tr w:rsidR="000729CF" w:rsidRPr="000729CF" w14:paraId="47E59175" w14:textId="77777777" w:rsidTr="000729CF">
        <w:trPr>
          <w:trHeight w:val="20"/>
        </w:trPr>
        <w:tc>
          <w:tcPr>
            <w:tcW w:w="2985" w:type="dxa"/>
            <w:shd w:val="clear" w:color="auto" w:fill="E7E6E6"/>
          </w:tcPr>
          <w:p w14:paraId="74A6C5D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2123" w:type="dxa"/>
          </w:tcPr>
          <w:p w14:paraId="3D01BE2D" w14:textId="77777777" w:rsidR="000729CF" w:rsidRPr="000729CF" w:rsidRDefault="000729CF" w:rsidP="000729CF">
            <w:pPr>
              <w:spacing w:after="120"/>
              <w:rPr>
                <w:rFonts w:ascii="Arial" w:eastAsia="Calibri" w:hAnsi="Arial" w:cs="Arial"/>
                <w:sz w:val="24"/>
                <w:szCs w:val="24"/>
              </w:rPr>
            </w:pPr>
          </w:p>
        </w:tc>
        <w:tc>
          <w:tcPr>
            <w:tcW w:w="5377" w:type="dxa"/>
          </w:tcPr>
          <w:p w14:paraId="06E986D0" w14:textId="77777777" w:rsidR="000729CF" w:rsidRPr="000729CF" w:rsidRDefault="000729CF" w:rsidP="000729CF">
            <w:pPr>
              <w:spacing w:after="120"/>
              <w:rPr>
                <w:rFonts w:ascii="Arial" w:eastAsia="Calibri" w:hAnsi="Arial" w:cs="Arial"/>
                <w:sz w:val="24"/>
                <w:szCs w:val="24"/>
              </w:rPr>
            </w:pPr>
          </w:p>
        </w:tc>
      </w:tr>
      <w:tr w:rsidR="000729CF" w:rsidRPr="000729CF" w14:paraId="4BCD1CA2" w14:textId="77777777" w:rsidTr="000729CF">
        <w:trPr>
          <w:trHeight w:val="20"/>
        </w:trPr>
        <w:tc>
          <w:tcPr>
            <w:tcW w:w="2985" w:type="dxa"/>
            <w:shd w:val="clear" w:color="auto" w:fill="E7E6E6"/>
          </w:tcPr>
          <w:p w14:paraId="4D0A22A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 (please specify here and add additional rows as needed)</w:t>
            </w:r>
          </w:p>
        </w:tc>
        <w:tc>
          <w:tcPr>
            <w:tcW w:w="2123" w:type="dxa"/>
          </w:tcPr>
          <w:p w14:paraId="18E11347" w14:textId="77777777" w:rsidR="000729CF" w:rsidRPr="000729CF" w:rsidRDefault="000729CF" w:rsidP="000729CF">
            <w:pPr>
              <w:spacing w:after="120"/>
              <w:rPr>
                <w:rFonts w:ascii="Arial" w:eastAsia="Calibri" w:hAnsi="Arial" w:cs="Arial"/>
                <w:sz w:val="24"/>
                <w:szCs w:val="24"/>
              </w:rPr>
            </w:pPr>
          </w:p>
        </w:tc>
        <w:tc>
          <w:tcPr>
            <w:tcW w:w="5377" w:type="dxa"/>
          </w:tcPr>
          <w:p w14:paraId="0DAD48C3" w14:textId="77777777" w:rsidR="000729CF" w:rsidRPr="000729CF" w:rsidRDefault="000729CF" w:rsidP="000729CF">
            <w:pPr>
              <w:spacing w:after="120"/>
              <w:rPr>
                <w:rFonts w:ascii="Arial" w:eastAsia="Calibri" w:hAnsi="Arial" w:cs="Arial"/>
                <w:sz w:val="24"/>
                <w:szCs w:val="24"/>
              </w:rPr>
            </w:pPr>
          </w:p>
        </w:tc>
      </w:tr>
    </w:tbl>
    <w:p w14:paraId="16D04ABF" w14:textId="77777777" w:rsidR="000729CF" w:rsidRPr="000729CF" w:rsidRDefault="000729CF" w:rsidP="000729CF">
      <w:pPr>
        <w:spacing w:after="160" w:line="259" w:lineRule="auto"/>
        <w:rPr>
          <w:rFonts w:ascii="Arial" w:eastAsia="Calibri" w:hAnsi="Arial" w:cs="Arial"/>
          <w:b/>
          <w:bCs/>
          <w:sz w:val="24"/>
          <w:szCs w:val="24"/>
          <w:lang w:val="en-GB"/>
        </w:rPr>
      </w:pPr>
    </w:p>
    <w:p w14:paraId="4FD03756"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01E7AFB1"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304BDDC9"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6988429C"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2B703C4E"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0BC649D1"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510A835C"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1B5E2F40"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07476107"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5861F48D"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40EFA91A" w14:textId="77777777" w:rsidR="000729CF" w:rsidRPr="000729CF" w:rsidRDefault="000729CF" w:rsidP="000729CF">
      <w:pPr>
        <w:rPr>
          <w:rFonts w:ascii="Arial" w:eastAsia="Calibri" w:hAnsi="Arial" w:cs="Arial"/>
          <w:sz w:val="24"/>
          <w:szCs w:val="24"/>
          <w:lang w:val="en-GB"/>
        </w:rPr>
      </w:pPr>
    </w:p>
    <w:p w14:paraId="45372928"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Cumulative impacts</w:t>
      </w:r>
    </w:p>
    <w:p w14:paraId="7032ADC8"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Are there other budget proposals from other service areas that might worsen or mitigate the impacts from your proposal? Please give a brief description including name of other service(s).</w:t>
      </w:r>
    </w:p>
    <w:tbl>
      <w:tblPr>
        <w:tblStyle w:val="TableGrid"/>
        <w:tblW w:w="0" w:type="auto"/>
        <w:tblLook w:val="04A0" w:firstRow="1" w:lastRow="0" w:firstColumn="1" w:lastColumn="0" w:noHBand="0" w:noVBand="1"/>
      </w:tblPr>
      <w:tblGrid>
        <w:gridCol w:w="10456"/>
      </w:tblGrid>
      <w:tr w:rsidR="000729CF" w:rsidRPr="000729CF" w14:paraId="066EBC07" w14:textId="77777777" w:rsidTr="00BC26AB">
        <w:tc>
          <w:tcPr>
            <w:tcW w:w="10456" w:type="dxa"/>
          </w:tcPr>
          <w:p w14:paraId="6341D215"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 xml:space="preserve">None know. </w:t>
            </w:r>
          </w:p>
          <w:p w14:paraId="6F25565A" w14:textId="77777777" w:rsidR="000729CF" w:rsidRPr="000729CF" w:rsidRDefault="000729CF" w:rsidP="000729CF">
            <w:pPr>
              <w:rPr>
                <w:rFonts w:ascii="Arial" w:eastAsia="Calibri" w:hAnsi="Arial" w:cs="Arial"/>
                <w:sz w:val="24"/>
                <w:szCs w:val="24"/>
              </w:rPr>
            </w:pPr>
          </w:p>
        </w:tc>
      </w:tr>
    </w:tbl>
    <w:p w14:paraId="612FF96F" w14:textId="77777777" w:rsidR="000729CF" w:rsidRPr="000729CF" w:rsidRDefault="000729CF" w:rsidP="000729CF">
      <w:pPr>
        <w:spacing w:after="160" w:line="259" w:lineRule="auto"/>
        <w:rPr>
          <w:rFonts w:ascii="Arial" w:eastAsia="Calibri" w:hAnsi="Arial" w:cs="Arial"/>
          <w:sz w:val="24"/>
          <w:szCs w:val="24"/>
          <w:lang w:val="en-GB"/>
        </w:rPr>
      </w:pPr>
    </w:p>
    <w:p w14:paraId="08810D91"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Action planning</w:t>
      </w:r>
    </w:p>
    <w:p w14:paraId="59F218EA"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SMART actions will be taken to mitigate the disproportionate impacts identified in section 3? If no mitigating action is possible, please state and explain why. Add additional rows as required. </w:t>
      </w:r>
    </w:p>
    <w:tbl>
      <w:tblPr>
        <w:tblStyle w:val="TableGrid"/>
        <w:tblW w:w="0" w:type="auto"/>
        <w:tblLook w:val="04A0" w:firstRow="1" w:lastRow="0" w:firstColumn="1" w:lastColumn="0" w:noHBand="0" w:noVBand="1"/>
      </w:tblPr>
      <w:tblGrid>
        <w:gridCol w:w="10456"/>
      </w:tblGrid>
      <w:tr w:rsidR="000729CF" w:rsidRPr="000729CF" w14:paraId="6CFFF0D5" w14:textId="77777777" w:rsidTr="00BC26AB">
        <w:trPr>
          <w:trHeight w:val="847"/>
        </w:trPr>
        <w:tc>
          <w:tcPr>
            <w:tcW w:w="10456" w:type="dxa"/>
          </w:tcPr>
          <w:p w14:paraId="37B2AD6A" w14:textId="77777777" w:rsidR="000729CF" w:rsidRPr="000729CF" w:rsidRDefault="000729CF" w:rsidP="000729CF">
            <w:pPr>
              <w:spacing w:after="120"/>
              <w:ind w:left="360"/>
              <w:rPr>
                <w:rFonts w:ascii="Arial" w:eastAsia="Calibri" w:hAnsi="Arial" w:cs="Arial"/>
                <w:sz w:val="24"/>
                <w:szCs w:val="24"/>
              </w:rPr>
            </w:pPr>
            <w:r w:rsidRPr="000729CF">
              <w:rPr>
                <w:rFonts w:ascii="Arial" w:eastAsia="Calibri" w:hAnsi="Arial" w:cs="Arial"/>
                <w:sz w:val="24"/>
                <w:szCs w:val="24"/>
              </w:rPr>
              <w:t>SMART action 1: Family navigators in the Family Hubs will provide support to families to access alternative support and childcare provision.</w:t>
            </w:r>
          </w:p>
          <w:p w14:paraId="5CB37E44" w14:textId="77777777" w:rsidR="000729CF" w:rsidRPr="000729CF" w:rsidRDefault="000729CF" w:rsidP="000729CF">
            <w:pPr>
              <w:spacing w:after="120"/>
              <w:ind w:left="360"/>
              <w:rPr>
                <w:rFonts w:ascii="Arial" w:eastAsia="Calibri" w:hAnsi="Arial" w:cs="Arial"/>
                <w:sz w:val="24"/>
                <w:szCs w:val="24"/>
              </w:rPr>
            </w:pPr>
          </w:p>
        </w:tc>
      </w:tr>
      <w:tr w:rsidR="000729CF" w:rsidRPr="000729CF" w14:paraId="3EE72FF6" w14:textId="77777777" w:rsidTr="00BC26AB">
        <w:trPr>
          <w:trHeight w:val="847"/>
        </w:trPr>
        <w:tc>
          <w:tcPr>
            <w:tcW w:w="10456" w:type="dxa"/>
          </w:tcPr>
          <w:p w14:paraId="31C71E6E" w14:textId="77777777" w:rsidR="000729CF" w:rsidRPr="000729CF" w:rsidRDefault="000729CF" w:rsidP="000729CF">
            <w:pPr>
              <w:spacing w:after="120"/>
              <w:ind w:left="360"/>
              <w:rPr>
                <w:rFonts w:ascii="Arial" w:eastAsia="Calibri" w:hAnsi="Arial" w:cs="Arial"/>
                <w:sz w:val="24"/>
                <w:szCs w:val="24"/>
              </w:rPr>
            </w:pPr>
            <w:r w:rsidRPr="000729CF">
              <w:rPr>
                <w:rFonts w:ascii="Arial" w:eastAsia="Calibri" w:hAnsi="Arial" w:cs="Arial"/>
                <w:sz w:val="24"/>
                <w:szCs w:val="24"/>
              </w:rPr>
              <w:t>SMART action 2: Family Hub Community Managers to support providers to seek additional funding</w:t>
            </w:r>
          </w:p>
        </w:tc>
      </w:tr>
    </w:tbl>
    <w:p w14:paraId="4627CD94" w14:textId="77777777" w:rsidR="000729CF" w:rsidRPr="000729CF" w:rsidRDefault="000729CF" w:rsidP="000729CF">
      <w:pPr>
        <w:spacing w:after="160" w:line="259" w:lineRule="auto"/>
        <w:rPr>
          <w:rFonts w:ascii="Arial" w:eastAsia="Calibri" w:hAnsi="Arial" w:cs="Arial"/>
          <w:sz w:val="24"/>
          <w:szCs w:val="24"/>
          <w:lang w:val="en-GB"/>
        </w:rPr>
      </w:pPr>
    </w:p>
    <w:p w14:paraId="00067F1C"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Outcome of your assessment</w:t>
      </w:r>
    </w:p>
    <w:p w14:paraId="14470E92"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Based on the information above give the proposal an impact score between 1 – 5. </w:t>
      </w:r>
    </w:p>
    <w:p w14:paraId="0506AFC4"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1= proposal has minimal impact and/or mitigating actions will significantly minimise the impact</w:t>
      </w:r>
    </w:p>
    <w:p w14:paraId="6C91A03A"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3= proposal will have a significant negative impact; however, mitigation actions will reduce the impact considerably.</w:t>
      </w:r>
    </w:p>
    <w:p w14:paraId="29BCB74B"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5= proposal has significant impact and mitigating actions will have limited effect on reducing impact.</w:t>
      </w:r>
    </w:p>
    <w:p w14:paraId="47D08100" w14:textId="77777777" w:rsidR="000729CF" w:rsidRPr="000729CF" w:rsidRDefault="000729CF" w:rsidP="000729CF">
      <w:pPr>
        <w:rPr>
          <w:rFonts w:ascii="Arial" w:eastAsia="Calibri" w:hAnsi="Arial" w:cs="Arial"/>
          <w:sz w:val="24"/>
          <w:szCs w:val="24"/>
          <w:highlight w:val="yellow"/>
          <w:lang w:val="en-GB"/>
        </w:rPr>
      </w:pPr>
    </w:p>
    <w:tbl>
      <w:tblPr>
        <w:tblStyle w:val="TableGrid"/>
        <w:tblW w:w="0" w:type="auto"/>
        <w:tblLook w:val="04A0" w:firstRow="1" w:lastRow="0" w:firstColumn="1" w:lastColumn="0" w:noHBand="0" w:noVBand="1"/>
      </w:tblPr>
      <w:tblGrid>
        <w:gridCol w:w="3114"/>
        <w:gridCol w:w="7342"/>
      </w:tblGrid>
      <w:tr w:rsidR="000729CF" w:rsidRPr="000729CF" w14:paraId="2F8BD7CD" w14:textId="77777777" w:rsidTr="00BC26AB">
        <w:trPr>
          <w:trHeight w:val="152"/>
        </w:trPr>
        <w:tc>
          <w:tcPr>
            <w:tcW w:w="3114" w:type="dxa"/>
          </w:tcPr>
          <w:p w14:paraId="24F1C52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Proposal’s impact score:</w:t>
            </w:r>
          </w:p>
        </w:tc>
        <w:tc>
          <w:tcPr>
            <w:tcW w:w="7342" w:type="dxa"/>
          </w:tcPr>
          <w:p w14:paraId="6A252F1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1</w:t>
            </w:r>
          </w:p>
        </w:tc>
      </w:tr>
    </w:tbl>
    <w:p w14:paraId="22E29C88" w14:textId="77777777" w:rsidR="000729CF" w:rsidRPr="000729CF" w:rsidRDefault="000729CF" w:rsidP="000729CF">
      <w:pPr>
        <w:spacing w:after="160" w:line="259" w:lineRule="auto"/>
        <w:rPr>
          <w:rFonts w:ascii="Arial" w:eastAsia="Calibri" w:hAnsi="Arial" w:cs="Arial"/>
          <w:sz w:val="24"/>
          <w:szCs w:val="24"/>
          <w:lang w:val="en-GB"/>
        </w:rPr>
      </w:pPr>
    </w:p>
    <w:p w14:paraId="6A9BC4B3"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Publication</w:t>
      </w:r>
    </w:p>
    <w:p w14:paraId="74D6092D"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All Equality Impact Assessments will be published. If you are recommending, and choosing not to publish your EIA, please provide a reason:</w:t>
      </w:r>
    </w:p>
    <w:tbl>
      <w:tblPr>
        <w:tblStyle w:val="TableGrid"/>
        <w:tblW w:w="0" w:type="auto"/>
        <w:tblLook w:val="04A0" w:firstRow="1" w:lastRow="0" w:firstColumn="1" w:lastColumn="0" w:noHBand="0" w:noVBand="1"/>
      </w:tblPr>
      <w:tblGrid>
        <w:gridCol w:w="10456"/>
      </w:tblGrid>
      <w:tr w:rsidR="000729CF" w:rsidRPr="000729CF" w14:paraId="54628A5B" w14:textId="77777777" w:rsidTr="00BC26AB">
        <w:trPr>
          <w:trHeight w:val="803"/>
        </w:trPr>
        <w:tc>
          <w:tcPr>
            <w:tcW w:w="10456" w:type="dxa"/>
          </w:tcPr>
          <w:p w14:paraId="522AF0BE" w14:textId="77777777" w:rsidR="000729CF" w:rsidRPr="000729CF" w:rsidRDefault="000729CF" w:rsidP="000729CF">
            <w:pPr>
              <w:spacing w:after="120"/>
              <w:rPr>
                <w:rFonts w:ascii="Arial" w:eastAsia="Calibri" w:hAnsi="Arial" w:cs="Arial"/>
                <w:sz w:val="24"/>
                <w:szCs w:val="24"/>
              </w:rPr>
            </w:pPr>
          </w:p>
        </w:tc>
      </w:tr>
    </w:tbl>
    <w:p w14:paraId="63629D06" w14:textId="77777777" w:rsidR="000729CF" w:rsidRPr="000729CF" w:rsidRDefault="000729CF" w:rsidP="000729CF">
      <w:pPr>
        <w:spacing w:after="160" w:line="259" w:lineRule="auto"/>
        <w:rPr>
          <w:rFonts w:ascii="Arial" w:eastAsia="Calibri" w:hAnsi="Arial" w:cs="Arial"/>
          <w:sz w:val="24"/>
          <w:szCs w:val="24"/>
          <w:lang w:val="en-GB"/>
        </w:rPr>
      </w:pPr>
    </w:p>
    <w:p w14:paraId="592ED275"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Directorate and Service Approval</w:t>
      </w:r>
    </w:p>
    <w:tbl>
      <w:tblPr>
        <w:tblStyle w:val="TableGrid"/>
        <w:tblW w:w="0" w:type="auto"/>
        <w:tblLook w:val="04A0" w:firstRow="1" w:lastRow="0" w:firstColumn="1" w:lastColumn="0" w:noHBand="0" w:noVBand="1"/>
      </w:tblPr>
      <w:tblGrid>
        <w:gridCol w:w="3681"/>
        <w:gridCol w:w="4394"/>
        <w:gridCol w:w="2381"/>
      </w:tblGrid>
      <w:tr w:rsidR="000729CF" w:rsidRPr="000729CF" w14:paraId="20B44F25" w14:textId="77777777" w:rsidTr="000729CF">
        <w:trPr>
          <w:trHeight w:val="20"/>
        </w:trPr>
        <w:tc>
          <w:tcPr>
            <w:tcW w:w="3681" w:type="dxa"/>
            <w:tcBorders>
              <w:bottom w:val="single" w:sz="4" w:space="0" w:color="auto"/>
            </w:tcBorders>
            <w:shd w:val="clear" w:color="auto" w:fill="D9D9D9"/>
          </w:tcPr>
          <w:p w14:paraId="744CC63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405C310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 and Job Title:</w:t>
            </w:r>
          </w:p>
        </w:tc>
        <w:tc>
          <w:tcPr>
            <w:tcW w:w="2381" w:type="dxa"/>
            <w:shd w:val="clear" w:color="auto" w:fill="D9D9D9"/>
          </w:tcPr>
          <w:p w14:paraId="2BD18A5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268BD82D" w14:textId="77777777" w:rsidTr="000729CF">
        <w:trPr>
          <w:trHeight w:val="20"/>
        </w:trPr>
        <w:tc>
          <w:tcPr>
            <w:tcW w:w="3681" w:type="dxa"/>
            <w:shd w:val="clear" w:color="auto" w:fill="E7E6E6"/>
          </w:tcPr>
          <w:p w14:paraId="404D12B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Responsible Lead Officer:</w:t>
            </w:r>
          </w:p>
        </w:tc>
        <w:tc>
          <w:tcPr>
            <w:tcW w:w="4394" w:type="dxa"/>
          </w:tcPr>
          <w:p w14:paraId="67D49D6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Jo Templeman </w:t>
            </w:r>
          </w:p>
          <w:p w14:paraId="62A7297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Head of Service – Family Hubs</w:t>
            </w:r>
          </w:p>
        </w:tc>
        <w:tc>
          <w:tcPr>
            <w:tcW w:w="2381" w:type="dxa"/>
          </w:tcPr>
          <w:p w14:paraId="41EFC60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19/01/24</w:t>
            </w:r>
          </w:p>
        </w:tc>
      </w:tr>
      <w:tr w:rsidR="000729CF" w:rsidRPr="000729CF" w14:paraId="79EEAA20" w14:textId="77777777" w:rsidTr="000729CF">
        <w:trPr>
          <w:trHeight w:val="20"/>
        </w:trPr>
        <w:tc>
          <w:tcPr>
            <w:tcW w:w="3681" w:type="dxa"/>
            <w:shd w:val="clear" w:color="auto" w:fill="E7E6E6"/>
          </w:tcPr>
          <w:p w14:paraId="5DF0F89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Accountable Manager:</w:t>
            </w:r>
          </w:p>
        </w:tc>
        <w:tc>
          <w:tcPr>
            <w:tcW w:w="4394" w:type="dxa"/>
          </w:tcPr>
          <w:p w14:paraId="007D5BD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noProof/>
                <w:sz w:val="24"/>
                <w:szCs w:val="24"/>
              </w:rPr>
              <w:drawing>
                <wp:inline distT="0" distB="0" distL="0" distR="0" wp14:anchorId="28CB7BD0" wp14:editId="21599289">
                  <wp:extent cx="740410" cy="650240"/>
                  <wp:effectExtent l="0" t="0" r="2540" b="0"/>
                  <wp:docPr id="675356181" name="Picture 1" descr="A close-up of a signa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512292" name="Picture 1" descr="A close-up of a signature&#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740410" cy="650240"/>
                          </a:xfrm>
                          <a:prstGeom prst="rect">
                            <a:avLst/>
                          </a:prstGeom>
                          <a:noFill/>
                          <a:ln>
                            <a:noFill/>
                          </a:ln>
                        </pic:spPr>
                      </pic:pic>
                    </a:graphicData>
                  </a:graphic>
                </wp:inline>
              </w:drawing>
            </w:r>
          </w:p>
          <w:p w14:paraId="6439670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Jo Lyons </w:t>
            </w:r>
          </w:p>
          <w:p w14:paraId="09315CA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Assistant Director, Families, Children and Learning (Education &amp; Skills)</w:t>
            </w:r>
          </w:p>
        </w:tc>
        <w:tc>
          <w:tcPr>
            <w:tcW w:w="2381" w:type="dxa"/>
          </w:tcPr>
          <w:p w14:paraId="45BCE01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19/01/24</w:t>
            </w:r>
          </w:p>
        </w:tc>
      </w:tr>
    </w:tbl>
    <w:p w14:paraId="5401758D" w14:textId="77777777" w:rsidR="000729CF" w:rsidRPr="000729CF" w:rsidRDefault="000729CF" w:rsidP="000729CF">
      <w:pPr>
        <w:spacing w:after="160" w:line="259" w:lineRule="auto"/>
        <w:rPr>
          <w:rFonts w:ascii="Arial" w:eastAsia="Calibri" w:hAnsi="Arial" w:cs="Arial"/>
          <w:sz w:val="24"/>
          <w:szCs w:val="24"/>
          <w:lang w:val="en-GB"/>
        </w:rPr>
      </w:pPr>
    </w:p>
    <w:p w14:paraId="570779AA" w14:textId="77777777" w:rsidR="000729CF" w:rsidRPr="000729CF" w:rsidRDefault="000729CF" w:rsidP="000729CF">
      <w:pPr>
        <w:keepNext/>
        <w:keepLines/>
        <w:spacing w:before="40" w:after="160" w:line="259" w:lineRule="auto"/>
        <w:outlineLvl w:val="2"/>
        <w:rPr>
          <w:rFonts w:ascii="Arial" w:hAnsi="Arial" w:cs="Arial"/>
          <w:b/>
          <w:bCs/>
          <w:color w:val="000000"/>
          <w:sz w:val="28"/>
          <w:szCs w:val="28"/>
          <w:lang w:val="en-GB"/>
        </w:rPr>
      </w:pPr>
      <w:r w:rsidRPr="000729CF">
        <w:rPr>
          <w:rFonts w:ascii="Arial" w:hAnsi="Arial" w:cs="Arial"/>
          <w:b/>
          <w:bCs/>
          <w:color w:val="000000"/>
          <w:sz w:val="28"/>
          <w:szCs w:val="28"/>
          <w:lang w:val="en-GB"/>
        </w:rPr>
        <w:t>EDI Review and Approval:</w:t>
      </w:r>
    </w:p>
    <w:p w14:paraId="54D3479F" w14:textId="77777777" w:rsidR="000729CF" w:rsidRPr="000729CF" w:rsidRDefault="000729CF" w:rsidP="000729CF">
      <w:pPr>
        <w:spacing w:after="160" w:line="259" w:lineRule="auto"/>
        <w:rPr>
          <w:rFonts w:ascii="Arial" w:eastAsia="Calibri" w:hAnsi="Arial" w:cs="Arial"/>
          <w:sz w:val="24"/>
          <w:szCs w:val="24"/>
          <w:lang w:val="en-GB"/>
        </w:rPr>
      </w:pPr>
    </w:p>
    <w:p w14:paraId="486F88EF" w14:textId="77777777" w:rsidR="000729CF" w:rsidRPr="000729CF" w:rsidRDefault="000729CF" w:rsidP="000729CF">
      <w:pPr>
        <w:keepNext/>
        <w:keepLines/>
        <w:spacing w:after="160" w:line="259" w:lineRule="auto"/>
        <w:ind w:left="283" w:hanging="283"/>
        <w:outlineLvl w:val="1"/>
        <w:rPr>
          <w:rFonts w:ascii="Arial" w:hAnsi="Arial" w:cs="Arial"/>
          <w:color w:val="2F5496"/>
          <w:sz w:val="24"/>
          <w:szCs w:val="24"/>
          <w:lang w:val="en-GB"/>
        </w:rPr>
      </w:pPr>
      <w:r w:rsidRPr="000729CF">
        <w:rPr>
          <w:rFonts w:ascii="Arial" w:hAnsi="Arial" w:cs="Arial"/>
          <w:color w:val="2F5496"/>
          <w:sz w:val="24"/>
          <w:szCs w:val="24"/>
          <w:lang w:val="en-GB"/>
        </w:rPr>
        <w:t>Equality Impact Assessment sign-off</w:t>
      </w:r>
    </w:p>
    <w:tbl>
      <w:tblPr>
        <w:tblStyle w:val="TableGrid"/>
        <w:tblW w:w="0" w:type="auto"/>
        <w:tblLook w:val="04A0" w:firstRow="1" w:lastRow="0" w:firstColumn="1" w:lastColumn="0" w:noHBand="0" w:noVBand="1"/>
      </w:tblPr>
      <w:tblGrid>
        <w:gridCol w:w="3681"/>
        <w:gridCol w:w="4394"/>
        <w:gridCol w:w="2381"/>
      </w:tblGrid>
      <w:tr w:rsidR="000729CF" w:rsidRPr="000729CF" w14:paraId="121600BD" w14:textId="77777777" w:rsidTr="000729CF">
        <w:trPr>
          <w:trHeight w:val="20"/>
        </w:trPr>
        <w:tc>
          <w:tcPr>
            <w:tcW w:w="3681" w:type="dxa"/>
            <w:tcBorders>
              <w:bottom w:val="single" w:sz="4" w:space="0" w:color="auto"/>
            </w:tcBorders>
            <w:shd w:val="clear" w:color="auto" w:fill="D9D9D9"/>
          </w:tcPr>
          <w:p w14:paraId="79E5216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66401BF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w:t>
            </w:r>
          </w:p>
        </w:tc>
        <w:tc>
          <w:tcPr>
            <w:tcW w:w="2381" w:type="dxa"/>
            <w:shd w:val="clear" w:color="auto" w:fill="D9D9D9"/>
          </w:tcPr>
          <w:p w14:paraId="447D32E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24F3801C" w14:textId="77777777" w:rsidTr="000729CF">
        <w:trPr>
          <w:trHeight w:val="20"/>
        </w:trPr>
        <w:tc>
          <w:tcPr>
            <w:tcW w:w="3681" w:type="dxa"/>
            <w:shd w:val="clear" w:color="auto" w:fill="E7E6E6"/>
          </w:tcPr>
          <w:p w14:paraId="7127171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Head of Communities, Equality, and Third Sector (CETS) Service:</w:t>
            </w:r>
          </w:p>
        </w:tc>
        <w:tc>
          <w:tcPr>
            <w:tcW w:w="4394" w:type="dxa"/>
          </w:tcPr>
          <w:p w14:paraId="03ACE12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Emma McDermott</w:t>
            </w:r>
          </w:p>
        </w:tc>
        <w:tc>
          <w:tcPr>
            <w:tcW w:w="2381" w:type="dxa"/>
          </w:tcPr>
          <w:p w14:paraId="1A46B0A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23-01-24</w:t>
            </w:r>
          </w:p>
        </w:tc>
      </w:tr>
    </w:tbl>
    <w:p w14:paraId="2C8687AB" w14:textId="77777777" w:rsidR="000729CF" w:rsidRPr="000729CF" w:rsidRDefault="000729CF" w:rsidP="000729CF">
      <w:pPr>
        <w:rPr>
          <w:rFonts w:ascii="Arial" w:eastAsia="Calibri" w:hAnsi="Arial" w:cs="Arial"/>
          <w:sz w:val="22"/>
          <w:szCs w:val="22"/>
          <w:lang w:val="en-GB"/>
        </w:rPr>
      </w:pPr>
    </w:p>
    <w:p w14:paraId="400F6843"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Notes and recommendations (if any) from Head of CETS Service reviewing this assessment:</w:t>
      </w:r>
    </w:p>
    <w:tbl>
      <w:tblPr>
        <w:tblStyle w:val="TableGrid"/>
        <w:tblW w:w="0" w:type="auto"/>
        <w:tblLook w:val="04A0" w:firstRow="1" w:lastRow="0" w:firstColumn="1" w:lastColumn="0" w:noHBand="0" w:noVBand="1"/>
      </w:tblPr>
      <w:tblGrid>
        <w:gridCol w:w="10456"/>
      </w:tblGrid>
      <w:tr w:rsidR="000729CF" w:rsidRPr="000729CF" w14:paraId="1D5F23E7" w14:textId="77777777" w:rsidTr="00BC26AB">
        <w:trPr>
          <w:trHeight w:val="803"/>
        </w:trPr>
        <w:tc>
          <w:tcPr>
            <w:tcW w:w="10456" w:type="dxa"/>
          </w:tcPr>
          <w:p w14:paraId="2A1FB49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Given the lack of data and consultation available to inform this EIA it is advisable to undertake a consultation exercise before implementation of the saving. This will ensure that the impact is fully understood, and all mitigating actions considered. </w:t>
            </w:r>
          </w:p>
        </w:tc>
      </w:tr>
    </w:tbl>
    <w:p w14:paraId="65F106BE" w14:textId="77777777" w:rsidR="000729CF" w:rsidRPr="000729CF" w:rsidRDefault="000729CF" w:rsidP="000729CF">
      <w:pPr>
        <w:spacing w:after="160" w:line="259" w:lineRule="auto"/>
        <w:rPr>
          <w:rFonts w:ascii="Arial" w:eastAsia="Calibri" w:hAnsi="Arial" w:cs="Arial"/>
          <w:sz w:val="24"/>
          <w:szCs w:val="24"/>
          <w:lang w:val="en-GB"/>
        </w:rPr>
      </w:pPr>
    </w:p>
    <w:p w14:paraId="6A9C9F35"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br w:type="page"/>
      </w:r>
    </w:p>
    <w:p w14:paraId="15949B95" w14:textId="77777777" w:rsidR="000729CF" w:rsidRPr="000729CF" w:rsidRDefault="000729CF" w:rsidP="000729CF">
      <w:pPr>
        <w:keepNext/>
        <w:keepLines/>
        <w:spacing w:after="160" w:line="259" w:lineRule="auto"/>
        <w:outlineLvl w:val="0"/>
        <w:rPr>
          <w:rFonts w:ascii="Arial" w:hAnsi="Arial" w:cs="Arial"/>
          <w:b/>
          <w:bCs/>
          <w:color w:val="2F5496"/>
          <w:sz w:val="28"/>
          <w:szCs w:val="28"/>
          <w:lang w:val="en-GB"/>
        </w:rPr>
      </w:pPr>
      <w:r w:rsidRPr="000729CF">
        <w:rPr>
          <w:rFonts w:ascii="Arial" w:hAnsi="Arial" w:cs="Arial"/>
          <w:b/>
          <w:bCs/>
          <w:color w:val="2F5496"/>
          <w:sz w:val="28"/>
          <w:szCs w:val="28"/>
          <w:lang w:val="en-GB"/>
        </w:rPr>
        <w:t>Budget Equality Impact Assessment (EIA) 2024/25 – Service Users</w:t>
      </w:r>
    </w:p>
    <w:p w14:paraId="0121691E" w14:textId="77777777" w:rsidR="000729CF" w:rsidRPr="000729CF" w:rsidRDefault="000729CF" w:rsidP="000729CF">
      <w:pPr>
        <w:spacing w:after="160" w:line="259" w:lineRule="auto"/>
        <w:rPr>
          <w:rFonts w:ascii="Arial" w:eastAsia="Calibri" w:hAnsi="Arial" w:cs="Arial"/>
          <w:sz w:val="24"/>
          <w:szCs w:val="24"/>
          <w:lang w:val="en-GB"/>
        </w:rPr>
      </w:pPr>
    </w:p>
    <w:p w14:paraId="79CA4A09" w14:textId="77777777" w:rsidR="000729CF" w:rsidRPr="000729CF" w:rsidRDefault="000729CF" w:rsidP="000729CF">
      <w:pPr>
        <w:keepNext/>
        <w:keepLines/>
        <w:spacing w:after="160" w:line="259" w:lineRule="auto"/>
        <w:ind w:left="720" w:hanging="360"/>
        <w:outlineLvl w:val="1"/>
        <w:rPr>
          <w:rFonts w:ascii="Arial" w:hAnsi="Arial" w:cs="Arial"/>
          <w:color w:val="2F5496"/>
          <w:sz w:val="24"/>
          <w:szCs w:val="24"/>
          <w:lang w:val="en-GB"/>
        </w:rPr>
      </w:pPr>
      <w:r w:rsidRPr="000729CF">
        <w:rPr>
          <w:rFonts w:ascii="Arial" w:hAnsi="Arial" w:cs="Arial"/>
          <w:color w:val="2F5496"/>
          <w:sz w:val="24"/>
          <w:szCs w:val="24"/>
          <w:lang w:val="en-GB"/>
        </w:rPr>
        <w:t xml:space="preserve">Budget Proposal </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6492"/>
      </w:tblGrid>
      <w:tr w:rsidR="000729CF" w:rsidRPr="000729CF" w14:paraId="062ED878"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60872691"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Title of budget saving being assessed:</w:t>
            </w:r>
          </w:p>
        </w:tc>
        <w:tc>
          <w:tcPr>
            <w:tcW w:w="6492" w:type="dxa"/>
            <w:shd w:val="clear" w:color="auto" w:fill="auto"/>
          </w:tcPr>
          <w:p w14:paraId="3BDF7240" w14:textId="77777777" w:rsidR="000729CF" w:rsidRPr="000729CF" w:rsidRDefault="000729CF" w:rsidP="000729CF">
            <w:pPr>
              <w:spacing w:after="12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Contact service</w:t>
            </w:r>
          </w:p>
        </w:tc>
      </w:tr>
      <w:tr w:rsidR="000729CF" w:rsidRPr="000729CF" w14:paraId="44C783F4"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4E33378E"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Name and title of officer responsible for this EIA: </w:t>
            </w:r>
          </w:p>
        </w:tc>
        <w:tc>
          <w:tcPr>
            <w:tcW w:w="6492" w:type="dxa"/>
            <w:shd w:val="clear" w:color="auto" w:fill="auto"/>
          </w:tcPr>
          <w:p w14:paraId="1DE712C3"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729CF">
              <w:rPr>
                <w:rFonts w:ascii="Arial" w:hAnsi="Arial" w:cs="Arial"/>
                <w:sz w:val="24"/>
                <w:szCs w:val="24"/>
              </w:rPr>
              <w:t>Julie Dreher, Head of Children’s Safeguarding and Care</w:t>
            </w:r>
          </w:p>
        </w:tc>
      </w:tr>
      <w:tr w:rsidR="000729CF" w:rsidRPr="000729CF" w14:paraId="2B85D816" w14:textId="77777777" w:rsidTr="000729CF">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351DFB90"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Directorate and Service Name: </w:t>
            </w:r>
          </w:p>
        </w:tc>
        <w:tc>
          <w:tcPr>
            <w:tcW w:w="6492" w:type="dxa"/>
            <w:shd w:val="clear" w:color="auto" w:fill="auto"/>
          </w:tcPr>
          <w:p w14:paraId="5A488792" w14:textId="77777777" w:rsidR="000729CF" w:rsidRPr="000729CF" w:rsidRDefault="000729CF" w:rsidP="000729CF">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 xml:space="preserve">Families Children and Learning, Safeguarding and Care </w:t>
            </w:r>
          </w:p>
        </w:tc>
      </w:tr>
      <w:tr w:rsidR="000729CF" w:rsidRPr="000729CF" w14:paraId="78450244"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48BF9AFC"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Budget proposal no.</w:t>
            </w:r>
          </w:p>
        </w:tc>
        <w:tc>
          <w:tcPr>
            <w:tcW w:w="6492" w:type="dxa"/>
            <w:shd w:val="clear" w:color="auto" w:fill="auto"/>
          </w:tcPr>
          <w:p w14:paraId="79A98AF6"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729CF">
              <w:rPr>
                <w:rFonts w:ascii="Arial" w:hAnsi="Arial" w:cs="Arial"/>
                <w:sz w:val="24"/>
                <w:szCs w:val="24"/>
              </w:rPr>
              <w:t>7</w:t>
            </w:r>
          </w:p>
        </w:tc>
      </w:tr>
    </w:tbl>
    <w:p w14:paraId="0A74D122" w14:textId="77777777" w:rsidR="000729CF" w:rsidRPr="000729CF" w:rsidRDefault="000729CF" w:rsidP="000729CF">
      <w:pPr>
        <w:spacing w:after="160" w:line="259" w:lineRule="auto"/>
        <w:rPr>
          <w:rFonts w:ascii="Arial" w:eastAsia="Calibri" w:hAnsi="Arial" w:cs="Arial"/>
          <w:sz w:val="24"/>
          <w:szCs w:val="24"/>
          <w:lang w:val="en-GB"/>
        </w:rPr>
      </w:pPr>
    </w:p>
    <w:p w14:paraId="3E87C484"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Briefly describe the budget saving proposal: (use the wording in the budget spreadsheet and more detail if needed)</w:t>
      </w:r>
    </w:p>
    <w:tbl>
      <w:tblPr>
        <w:tblStyle w:val="TableGrid"/>
        <w:tblW w:w="0" w:type="auto"/>
        <w:tblLook w:val="04A0" w:firstRow="1" w:lastRow="0" w:firstColumn="1" w:lastColumn="0" w:noHBand="0" w:noVBand="1"/>
      </w:tblPr>
      <w:tblGrid>
        <w:gridCol w:w="10456"/>
      </w:tblGrid>
      <w:tr w:rsidR="000729CF" w:rsidRPr="000729CF" w14:paraId="5EEDB645" w14:textId="77777777" w:rsidTr="00BC26AB">
        <w:trPr>
          <w:trHeight w:val="851"/>
        </w:trPr>
        <w:tc>
          <w:tcPr>
            <w:tcW w:w="10456" w:type="dxa"/>
            <w:tcBorders>
              <w:bottom w:val="single" w:sz="4" w:space="0" w:color="auto"/>
            </w:tcBorders>
          </w:tcPr>
          <w:p w14:paraId="798ADA8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£72k saving from contact service – combination of £22k efficiencies and possible £50k staffing (1.2 FTE posts). Work is currently underway to look at non-staffing costs, such as transport, to see if savings can be made elsewhere in the budget.</w:t>
            </w:r>
          </w:p>
        </w:tc>
      </w:tr>
      <w:tr w:rsidR="000729CF" w:rsidRPr="000729CF" w14:paraId="6D6CF090" w14:textId="77777777" w:rsidTr="00BC26AB">
        <w:trPr>
          <w:trHeight w:val="851"/>
        </w:trPr>
        <w:tc>
          <w:tcPr>
            <w:tcW w:w="10456" w:type="dxa"/>
            <w:tcBorders>
              <w:left w:val="nil"/>
              <w:right w:val="nil"/>
            </w:tcBorders>
          </w:tcPr>
          <w:p w14:paraId="60765772" w14:textId="77777777" w:rsidR="000729CF" w:rsidRPr="000729CF" w:rsidRDefault="000729CF" w:rsidP="000729CF">
            <w:pPr>
              <w:spacing w:after="120"/>
              <w:rPr>
                <w:rFonts w:ascii="Arial" w:eastAsia="Calibri" w:hAnsi="Arial" w:cs="Arial"/>
                <w:sz w:val="24"/>
                <w:szCs w:val="24"/>
              </w:rPr>
            </w:pPr>
          </w:p>
          <w:p w14:paraId="37059D3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Summarise the most significant impacts identified by this assessment including which groups will be disproportionally negatively affected drawing out intersectional impacts as applicable:</w:t>
            </w:r>
          </w:p>
        </w:tc>
      </w:tr>
      <w:tr w:rsidR="000729CF" w:rsidRPr="000729CF" w14:paraId="34DAFBCE" w14:textId="77777777" w:rsidTr="00BC26AB">
        <w:trPr>
          <w:trHeight w:val="851"/>
        </w:trPr>
        <w:tc>
          <w:tcPr>
            <w:tcW w:w="10456" w:type="dxa"/>
          </w:tcPr>
          <w:p w14:paraId="0755BD4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This service provides contact to children in care whose contact with their families has to be supervised for safeguarding reasons. These children are generally below the age of 13 and often below 10.  Contact is often within court proceedings, where assessment of parenting capacity is being made and is court directed.  </w:t>
            </w:r>
          </w:p>
          <w:p w14:paraId="7F49FA5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The contact service also supervises contact where final orders have been issued, where their parents pose such a risk to the child it is not deemed safe or appropriate for their carer to oversee contact. </w:t>
            </w:r>
          </w:p>
          <w:p w14:paraId="5414ECD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A reduction in posts in the contact service could result in a budget pressure (due to need to use sessional workers) in that children will continue to need to have contact at a level directed by the courts.  </w:t>
            </w:r>
          </w:p>
          <w:p w14:paraId="41CFA27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BHCC has corporate parenting responsibilities for children in care and has a duty to ensure regular contact with family members as appropriate.  A reduction in staffing could result in a budget pressure (due to need to use sessional workers) as children must have contact in line with their needs.</w:t>
            </w:r>
          </w:p>
          <w:p w14:paraId="55979FD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A reduction in posts in the contact service may also mean that to comply with statutory responsibilities this work will fall to social workers.  This is a more costly expenditure and could result in an increased workload and impact upon timeliness of statutory duties.</w:t>
            </w:r>
          </w:p>
        </w:tc>
      </w:tr>
    </w:tbl>
    <w:p w14:paraId="4FFAD05F" w14:textId="77777777" w:rsidR="000729CF" w:rsidRPr="000729CF" w:rsidRDefault="000729CF" w:rsidP="000729CF">
      <w:pPr>
        <w:rPr>
          <w:rFonts w:ascii="Arial" w:eastAsia="Calibri" w:hAnsi="Arial" w:cs="Arial"/>
          <w:sz w:val="24"/>
          <w:szCs w:val="24"/>
          <w:lang w:val="en-GB"/>
        </w:rPr>
      </w:pPr>
    </w:p>
    <w:p w14:paraId="6418B1BD" w14:textId="77777777" w:rsidR="000729CF" w:rsidRPr="000729CF" w:rsidRDefault="000729CF" w:rsidP="000729CF">
      <w:pPr>
        <w:spacing w:after="160" w:line="259" w:lineRule="auto"/>
        <w:rPr>
          <w:rFonts w:ascii="Arial" w:eastAsia="Calibri" w:hAnsi="Arial" w:cs="Arial"/>
          <w:sz w:val="24"/>
          <w:szCs w:val="24"/>
          <w:lang w:val="en-GB"/>
        </w:rPr>
      </w:pPr>
    </w:p>
    <w:p w14:paraId="226788B6"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Consultation, engagement and supporting EIAs</w:t>
      </w:r>
    </w:p>
    <w:p w14:paraId="78F47AEA"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consultations or engagement activities are being used to inform this assessment? </w:t>
      </w:r>
    </w:p>
    <w:p w14:paraId="561C6A2D"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If consultation is planned or in process – state this and state when it will done/completed even if indicative. If no consultation completed or planned, state this, giving an explanation. </w:t>
      </w:r>
    </w:p>
    <w:tbl>
      <w:tblPr>
        <w:tblStyle w:val="TableGrid"/>
        <w:tblW w:w="0" w:type="auto"/>
        <w:tblLook w:val="04A0" w:firstRow="1" w:lastRow="0" w:firstColumn="1" w:lastColumn="0" w:noHBand="0" w:noVBand="1"/>
      </w:tblPr>
      <w:tblGrid>
        <w:gridCol w:w="10456"/>
      </w:tblGrid>
      <w:tr w:rsidR="000729CF" w:rsidRPr="000729CF" w14:paraId="32787E83" w14:textId="77777777" w:rsidTr="00BC26AB">
        <w:trPr>
          <w:trHeight w:val="871"/>
        </w:trPr>
        <w:tc>
          <w:tcPr>
            <w:tcW w:w="10456" w:type="dxa"/>
          </w:tcPr>
          <w:p w14:paraId="1B22344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The contact service was reviewed in the summer of 2023, with staff consulted and work undertaken to establish the staffing level to meet the demands of the court for contact time. As a result of this the service was redesigned and a budget saving made, reduced the staffing level by 0.5fte. This budget proposal is in addition the 0.5fte identified through the review and restructure. </w:t>
            </w:r>
          </w:p>
          <w:p w14:paraId="0A3BC81C" w14:textId="77777777" w:rsidR="000729CF" w:rsidRPr="000729CF" w:rsidRDefault="000729CF" w:rsidP="000729CF">
            <w:pPr>
              <w:spacing w:after="120"/>
              <w:rPr>
                <w:rFonts w:ascii="Arial" w:eastAsia="Calibri" w:hAnsi="Arial" w:cs="Arial"/>
                <w:sz w:val="24"/>
                <w:szCs w:val="24"/>
              </w:rPr>
            </w:pPr>
          </w:p>
        </w:tc>
      </w:tr>
    </w:tbl>
    <w:p w14:paraId="539A4519" w14:textId="77777777" w:rsidR="000729CF" w:rsidRPr="000729CF" w:rsidRDefault="000729CF" w:rsidP="000729CF">
      <w:pPr>
        <w:spacing w:after="160" w:line="259" w:lineRule="auto"/>
        <w:rPr>
          <w:rFonts w:ascii="Arial" w:eastAsia="Calibri" w:hAnsi="Arial" w:cs="Arial"/>
          <w:sz w:val="24"/>
          <w:szCs w:val="24"/>
          <w:lang w:val="en-GB"/>
        </w:rPr>
      </w:pPr>
    </w:p>
    <w:p w14:paraId="6059C44B"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other budget or service EIAs can assist/have been used to inform this assessment?</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0729CF" w:rsidRPr="000729CF" w14:paraId="3293CCAF"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shd w:val="clear" w:color="auto" w:fill="FFFFFF"/>
          </w:tcPr>
          <w:p w14:paraId="6ECC66E2"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Partners in Change EIA and Placements EIA</w:t>
            </w:r>
          </w:p>
        </w:tc>
      </w:tr>
    </w:tbl>
    <w:p w14:paraId="6B2034A8" w14:textId="77777777" w:rsidR="000729CF" w:rsidRPr="000729CF" w:rsidRDefault="000729CF" w:rsidP="000729CF">
      <w:pPr>
        <w:spacing w:after="160" w:line="259" w:lineRule="auto"/>
        <w:rPr>
          <w:rFonts w:ascii="Arial" w:eastAsia="Calibri" w:hAnsi="Arial" w:cs="Arial"/>
          <w:sz w:val="24"/>
          <w:szCs w:val="24"/>
          <w:lang w:val="en-GB"/>
        </w:rPr>
      </w:pPr>
    </w:p>
    <w:p w14:paraId="4D90FE20"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Current data and impact monitoring</w:t>
      </w:r>
    </w:p>
    <w:p w14:paraId="4E71FD72"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Do you currently collect and analyse the following data to enable monitoring of the impact of this proposal? </w:t>
      </w:r>
    </w:p>
    <w:p w14:paraId="0614E6DE"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Consider all possible intersections (Delete and State Yes, No, Not Applicable)</w:t>
      </w:r>
    </w:p>
    <w:tbl>
      <w:tblPr>
        <w:tblStyle w:val="TableGrid"/>
        <w:tblW w:w="10485" w:type="dxa"/>
        <w:tblLook w:val="04A0" w:firstRow="1" w:lastRow="0" w:firstColumn="1" w:lastColumn="0" w:noHBand="0" w:noVBand="1"/>
      </w:tblPr>
      <w:tblGrid>
        <w:gridCol w:w="6658"/>
        <w:gridCol w:w="3827"/>
      </w:tblGrid>
      <w:tr w:rsidR="000729CF" w:rsidRPr="000729CF" w14:paraId="0A3C546A" w14:textId="77777777" w:rsidTr="000729CF">
        <w:trPr>
          <w:trHeight w:val="310"/>
        </w:trPr>
        <w:tc>
          <w:tcPr>
            <w:tcW w:w="6658" w:type="dxa"/>
            <w:shd w:val="clear" w:color="auto" w:fill="E7E6E6"/>
          </w:tcPr>
          <w:p w14:paraId="6AE98E1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Age</w:t>
            </w:r>
          </w:p>
        </w:tc>
        <w:tc>
          <w:tcPr>
            <w:tcW w:w="3827" w:type="dxa"/>
          </w:tcPr>
          <w:p w14:paraId="1CFBFD9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1A2454B7" w14:textId="77777777" w:rsidTr="000729CF">
        <w:trPr>
          <w:trHeight w:val="20"/>
        </w:trPr>
        <w:tc>
          <w:tcPr>
            <w:tcW w:w="6658" w:type="dxa"/>
            <w:shd w:val="clear" w:color="auto" w:fill="E7E6E6"/>
          </w:tcPr>
          <w:p w14:paraId="477F0FB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Disability and inclusive adjustments, coverage under equality act and not</w:t>
            </w:r>
          </w:p>
        </w:tc>
        <w:tc>
          <w:tcPr>
            <w:tcW w:w="3827" w:type="dxa"/>
          </w:tcPr>
          <w:p w14:paraId="708ADBE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4BAA4545" w14:textId="77777777" w:rsidTr="000729CF">
        <w:trPr>
          <w:trHeight w:val="20"/>
        </w:trPr>
        <w:tc>
          <w:tcPr>
            <w:tcW w:w="6658" w:type="dxa"/>
            <w:shd w:val="clear" w:color="auto" w:fill="E7E6E6"/>
          </w:tcPr>
          <w:p w14:paraId="7ED2B1B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Ethnicity, ‘Race’, ethnic heritage (including Gypsy, Roma, Travellers)</w:t>
            </w:r>
          </w:p>
        </w:tc>
        <w:tc>
          <w:tcPr>
            <w:tcW w:w="3827" w:type="dxa"/>
          </w:tcPr>
          <w:p w14:paraId="73F9A7E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1AAACBE8" w14:textId="77777777" w:rsidTr="000729CF">
        <w:trPr>
          <w:trHeight w:val="20"/>
        </w:trPr>
        <w:tc>
          <w:tcPr>
            <w:tcW w:w="6658" w:type="dxa"/>
            <w:shd w:val="clear" w:color="auto" w:fill="E7E6E6"/>
          </w:tcPr>
          <w:p w14:paraId="5E303C8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Religion, Belief, Spirituality, Faith, or Atheism</w:t>
            </w:r>
          </w:p>
        </w:tc>
        <w:tc>
          <w:tcPr>
            <w:tcW w:w="3827" w:type="dxa"/>
          </w:tcPr>
          <w:p w14:paraId="7B8E3C4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45A2F16A" w14:textId="77777777" w:rsidTr="000729CF">
        <w:trPr>
          <w:trHeight w:val="20"/>
        </w:trPr>
        <w:tc>
          <w:tcPr>
            <w:tcW w:w="6658" w:type="dxa"/>
            <w:shd w:val="clear" w:color="auto" w:fill="E7E6E6"/>
          </w:tcPr>
          <w:p w14:paraId="255D369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Identity and Sex (including non-binary and Intersex people)</w:t>
            </w:r>
          </w:p>
        </w:tc>
        <w:tc>
          <w:tcPr>
            <w:tcW w:w="3827" w:type="dxa"/>
          </w:tcPr>
          <w:p w14:paraId="0404C26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51ED98CB" w14:textId="77777777" w:rsidTr="000729CF">
        <w:trPr>
          <w:trHeight w:val="20"/>
        </w:trPr>
        <w:tc>
          <w:tcPr>
            <w:tcW w:w="6658" w:type="dxa"/>
            <w:shd w:val="clear" w:color="auto" w:fill="E7E6E6"/>
          </w:tcPr>
          <w:p w14:paraId="17143CF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3827" w:type="dxa"/>
          </w:tcPr>
          <w:p w14:paraId="7E74625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6A9618D6" w14:textId="77777777" w:rsidTr="000729CF">
        <w:trPr>
          <w:trHeight w:val="20"/>
        </w:trPr>
        <w:tc>
          <w:tcPr>
            <w:tcW w:w="6658" w:type="dxa"/>
            <w:shd w:val="clear" w:color="auto" w:fill="E7E6E6"/>
          </w:tcPr>
          <w:p w14:paraId="230B80E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3827" w:type="dxa"/>
          </w:tcPr>
          <w:p w14:paraId="0B5C2F7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22C0E0C2" w14:textId="77777777" w:rsidTr="000729CF">
        <w:trPr>
          <w:trHeight w:val="20"/>
        </w:trPr>
        <w:tc>
          <w:tcPr>
            <w:tcW w:w="6658" w:type="dxa"/>
            <w:shd w:val="clear" w:color="auto" w:fill="E7E6E6"/>
          </w:tcPr>
          <w:p w14:paraId="1B43A87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3827" w:type="dxa"/>
          </w:tcPr>
          <w:p w14:paraId="0DA2346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2D58CEDE" w14:textId="77777777" w:rsidTr="000729CF">
        <w:trPr>
          <w:trHeight w:val="20"/>
        </w:trPr>
        <w:tc>
          <w:tcPr>
            <w:tcW w:w="6658" w:type="dxa"/>
            <w:shd w:val="clear" w:color="auto" w:fill="E7E6E6"/>
          </w:tcPr>
          <w:p w14:paraId="5C7B32B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Pregnant people, Maternity, Paternity, Adoption, Menopause, (In)fertility (across the gender spectrum)</w:t>
            </w:r>
          </w:p>
        </w:tc>
        <w:tc>
          <w:tcPr>
            <w:tcW w:w="3827" w:type="dxa"/>
          </w:tcPr>
          <w:p w14:paraId="7D547D5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2D441FE2" w14:textId="77777777" w:rsidTr="000729CF">
        <w:trPr>
          <w:trHeight w:val="20"/>
        </w:trPr>
        <w:tc>
          <w:tcPr>
            <w:tcW w:w="6658" w:type="dxa"/>
            <w:shd w:val="clear" w:color="auto" w:fill="E7E6E6"/>
          </w:tcPr>
          <w:p w14:paraId="4304DBE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3827" w:type="dxa"/>
          </w:tcPr>
          <w:p w14:paraId="2C755B8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336E5F6A" w14:textId="77777777" w:rsidTr="000729CF">
        <w:trPr>
          <w:trHeight w:val="20"/>
        </w:trPr>
        <w:tc>
          <w:tcPr>
            <w:tcW w:w="6658" w:type="dxa"/>
            <w:shd w:val="clear" w:color="auto" w:fill="E7E6E6"/>
          </w:tcPr>
          <w:p w14:paraId="2987E789" w14:textId="77777777" w:rsidR="000729CF" w:rsidRPr="000729CF" w:rsidRDefault="000729CF" w:rsidP="000729CF">
            <w:pPr>
              <w:spacing w:after="120"/>
              <w:rPr>
                <w:rFonts w:ascii="Arial" w:hAnsi="Arial" w:cs="Arial"/>
                <w:b/>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p>
        </w:tc>
        <w:tc>
          <w:tcPr>
            <w:tcW w:w="3827" w:type="dxa"/>
          </w:tcPr>
          <w:p w14:paraId="5DCA42B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2DE0915A" w14:textId="77777777" w:rsidTr="000729CF">
        <w:trPr>
          <w:trHeight w:val="20"/>
        </w:trPr>
        <w:tc>
          <w:tcPr>
            <w:tcW w:w="6658" w:type="dxa"/>
            <w:shd w:val="clear" w:color="auto" w:fill="E7E6E6"/>
          </w:tcPr>
          <w:p w14:paraId="2C4F45CB" w14:textId="77777777" w:rsidR="000729CF" w:rsidRPr="000729CF" w:rsidRDefault="000729CF" w:rsidP="000729CF">
            <w:pPr>
              <w:spacing w:after="120"/>
              <w:rPr>
                <w:rFonts w:ascii="Arial" w:hAnsi="Arial" w:cs="Arial"/>
                <w:b/>
                <w:sz w:val="24"/>
                <w:szCs w:val="24"/>
              </w:rPr>
            </w:pPr>
            <w:r w:rsidRPr="000729CF">
              <w:rPr>
                <w:rFonts w:ascii="Arial" w:eastAsia="Calibri" w:hAnsi="Arial" w:cs="Arial"/>
                <w:b/>
                <w:bCs/>
                <w:color w:val="000000"/>
                <w:sz w:val="24"/>
                <w:szCs w:val="24"/>
              </w:rPr>
              <w:t>Carers</w:t>
            </w:r>
          </w:p>
        </w:tc>
        <w:tc>
          <w:tcPr>
            <w:tcW w:w="3827" w:type="dxa"/>
          </w:tcPr>
          <w:p w14:paraId="78353FE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7D5DDA3E" w14:textId="77777777" w:rsidTr="000729CF">
        <w:trPr>
          <w:trHeight w:val="20"/>
        </w:trPr>
        <w:tc>
          <w:tcPr>
            <w:tcW w:w="6658" w:type="dxa"/>
            <w:shd w:val="clear" w:color="auto" w:fill="E7E6E6"/>
          </w:tcPr>
          <w:p w14:paraId="1B34F1DB"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Looked after children, Care Leavers, Care and fostering experienced people</w:t>
            </w:r>
          </w:p>
        </w:tc>
        <w:tc>
          <w:tcPr>
            <w:tcW w:w="3827" w:type="dxa"/>
          </w:tcPr>
          <w:p w14:paraId="592F0EF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6DE128EA" w14:textId="77777777" w:rsidTr="000729CF">
        <w:trPr>
          <w:trHeight w:val="20"/>
        </w:trPr>
        <w:tc>
          <w:tcPr>
            <w:tcW w:w="6658" w:type="dxa"/>
            <w:shd w:val="clear" w:color="auto" w:fill="E7E6E6"/>
          </w:tcPr>
          <w:p w14:paraId="148A656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 and   people in vulnerable situations (All aspects and intersections)</w:t>
            </w:r>
          </w:p>
        </w:tc>
        <w:tc>
          <w:tcPr>
            <w:tcW w:w="3827" w:type="dxa"/>
          </w:tcPr>
          <w:p w14:paraId="1C61C57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215D9D3F" w14:textId="77777777" w:rsidTr="000729CF">
        <w:trPr>
          <w:trHeight w:val="20"/>
        </w:trPr>
        <w:tc>
          <w:tcPr>
            <w:tcW w:w="6658" w:type="dxa"/>
            <w:shd w:val="clear" w:color="auto" w:fill="E7E6E6"/>
          </w:tcPr>
          <w:p w14:paraId="71EB8C2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Socio-economic Disadvantage</w:t>
            </w:r>
          </w:p>
        </w:tc>
        <w:tc>
          <w:tcPr>
            <w:tcW w:w="3827" w:type="dxa"/>
          </w:tcPr>
          <w:p w14:paraId="746D54D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74628BBC" w14:textId="77777777" w:rsidTr="000729CF">
        <w:trPr>
          <w:trHeight w:val="20"/>
        </w:trPr>
        <w:tc>
          <w:tcPr>
            <w:tcW w:w="6658" w:type="dxa"/>
            <w:shd w:val="clear" w:color="auto" w:fill="E7E6E6"/>
          </w:tcPr>
          <w:p w14:paraId="1F66303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Homelessness and associated risk and vulnerability</w:t>
            </w:r>
          </w:p>
        </w:tc>
        <w:tc>
          <w:tcPr>
            <w:tcW w:w="3827" w:type="dxa"/>
          </w:tcPr>
          <w:p w14:paraId="2E54558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29ADEE4A" w14:textId="77777777" w:rsidTr="000729CF">
        <w:trPr>
          <w:trHeight w:val="20"/>
        </w:trPr>
        <w:tc>
          <w:tcPr>
            <w:tcW w:w="6658" w:type="dxa"/>
            <w:shd w:val="clear" w:color="auto" w:fill="E7E6E6"/>
          </w:tcPr>
          <w:p w14:paraId="0397AE2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3827" w:type="dxa"/>
          </w:tcPr>
          <w:p w14:paraId="6CFFBAC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 Not applicable</w:t>
            </w:r>
          </w:p>
        </w:tc>
      </w:tr>
      <w:tr w:rsidR="000729CF" w:rsidRPr="000729CF" w14:paraId="738162BF" w14:textId="77777777" w:rsidTr="000729CF">
        <w:trPr>
          <w:trHeight w:val="20"/>
        </w:trPr>
        <w:tc>
          <w:tcPr>
            <w:tcW w:w="6658" w:type="dxa"/>
            <w:shd w:val="clear" w:color="auto" w:fill="E7E6E6"/>
          </w:tcPr>
          <w:p w14:paraId="109B602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 : those experiencing substance misuse and living with substance misuse parents</w:t>
            </w:r>
          </w:p>
        </w:tc>
        <w:tc>
          <w:tcPr>
            <w:tcW w:w="3827" w:type="dxa"/>
          </w:tcPr>
          <w:p w14:paraId="33C3A44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4440EA82" w14:textId="77777777" w:rsidTr="000729CF">
        <w:trPr>
          <w:trHeight w:val="20"/>
        </w:trPr>
        <w:tc>
          <w:tcPr>
            <w:tcW w:w="6658" w:type="dxa"/>
            <w:shd w:val="clear" w:color="auto" w:fill="E7E6E6"/>
          </w:tcPr>
          <w:p w14:paraId="45B6335F" w14:textId="77777777" w:rsidR="000729CF" w:rsidRPr="000729CF" w:rsidRDefault="000729CF" w:rsidP="000729CF">
            <w:pPr>
              <w:spacing w:after="120"/>
              <w:rPr>
                <w:rFonts w:ascii="Arial" w:eastAsia="Calibri" w:hAnsi="Arial" w:cs="Arial"/>
                <w:b/>
                <w:bCs/>
                <w:sz w:val="24"/>
                <w:szCs w:val="24"/>
              </w:rPr>
            </w:pPr>
          </w:p>
        </w:tc>
        <w:tc>
          <w:tcPr>
            <w:tcW w:w="3827" w:type="dxa"/>
          </w:tcPr>
          <w:p w14:paraId="79DD9242" w14:textId="77777777" w:rsidR="000729CF" w:rsidRPr="000729CF" w:rsidRDefault="000729CF" w:rsidP="000729CF">
            <w:pPr>
              <w:spacing w:after="120"/>
              <w:rPr>
                <w:rFonts w:ascii="Arial" w:eastAsia="Calibri" w:hAnsi="Arial" w:cs="Arial"/>
                <w:sz w:val="24"/>
                <w:szCs w:val="24"/>
              </w:rPr>
            </w:pPr>
          </w:p>
        </w:tc>
      </w:tr>
    </w:tbl>
    <w:p w14:paraId="097152E0" w14:textId="77777777" w:rsidR="000729CF" w:rsidRPr="000729CF" w:rsidRDefault="000729CF" w:rsidP="000729CF">
      <w:pPr>
        <w:rPr>
          <w:rFonts w:ascii="Arial" w:eastAsia="Calibri" w:hAnsi="Arial" w:cs="Arial"/>
          <w:sz w:val="24"/>
          <w:szCs w:val="24"/>
          <w:lang w:val="en-GB"/>
        </w:rPr>
      </w:pPr>
    </w:p>
    <w:p w14:paraId="5B850017"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18614C59"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67BAAB93"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7F551DE9"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7F6968FB"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09ED5069"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70327CEC"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5BEF4D17"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066D3FCE"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28356A26"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24360302" w14:textId="77777777" w:rsidR="000729CF" w:rsidRPr="000729CF" w:rsidRDefault="000729CF" w:rsidP="000729CF">
      <w:pPr>
        <w:rPr>
          <w:rFonts w:ascii="Arial" w:eastAsia="Calibri" w:hAnsi="Arial" w:cs="Arial"/>
          <w:sz w:val="24"/>
          <w:szCs w:val="24"/>
          <w:lang w:val="en-GB"/>
        </w:rPr>
      </w:pPr>
    </w:p>
    <w:p w14:paraId="471E16FA"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If you answered “NO” to any of the above, how will you gather this data to enable improved monitoring of impact for this proposal?</w:t>
      </w:r>
    </w:p>
    <w:tbl>
      <w:tblPr>
        <w:tblStyle w:val="TableGrid"/>
        <w:tblW w:w="0" w:type="auto"/>
        <w:tblLook w:val="04A0" w:firstRow="1" w:lastRow="0" w:firstColumn="1" w:lastColumn="0" w:noHBand="0" w:noVBand="1"/>
      </w:tblPr>
      <w:tblGrid>
        <w:gridCol w:w="10456"/>
      </w:tblGrid>
      <w:tr w:rsidR="000729CF" w:rsidRPr="000729CF" w14:paraId="6C8EEB07" w14:textId="77777777" w:rsidTr="00BC26AB">
        <w:trPr>
          <w:trHeight w:val="757"/>
        </w:trPr>
        <w:tc>
          <w:tcPr>
            <w:tcW w:w="10456" w:type="dxa"/>
          </w:tcPr>
          <w:p w14:paraId="686457F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n/a</w:t>
            </w:r>
          </w:p>
        </w:tc>
      </w:tr>
    </w:tbl>
    <w:p w14:paraId="41DB5F02" w14:textId="77777777" w:rsidR="000729CF" w:rsidRPr="000729CF" w:rsidRDefault="000729CF" w:rsidP="000729CF">
      <w:pPr>
        <w:rPr>
          <w:rFonts w:ascii="Arial" w:eastAsia="Calibri" w:hAnsi="Arial" w:cs="Arial"/>
          <w:sz w:val="24"/>
          <w:szCs w:val="24"/>
          <w:lang w:val="en-GB"/>
        </w:rPr>
      </w:pPr>
    </w:p>
    <w:p w14:paraId="17D8A61F" w14:textId="77777777" w:rsidR="000729CF" w:rsidRPr="000729CF" w:rsidRDefault="000729CF" w:rsidP="000729CF">
      <w:pPr>
        <w:rPr>
          <w:rFonts w:ascii="Arial" w:eastAsia="Calibri" w:hAnsi="Arial" w:cs="Arial"/>
          <w:sz w:val="24"/>
          <w:szCs w:val="24"/>
          <w:lang w:val="en-GB"/>
        </w:rPr>
      </w:pPr>
    </w:p>
    <w:p w14:paraId="6D69B74B"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are the arrangements for monitoring, and reviewing the impact of this proposal?</w:t>
      </w:r>
    </w:p>
    <w:tbl>
      <w:tblPr>
        <w:tblStyle w:val="TableGrid"/>
        <w:tblW w:w="0" w:type="auto"/>
        <w:tblLook w:val="04A0" w:firstRow="1" w:lastRow="0" w:firstColumn="1" w:lastColumn="0" w:noHBand="0" w:noVBand="1"/>
      </w:tblPr>
      <w:tblGrid>
        <w:gridCol w:w="10456"/>
      </w:tblGrid>
      <w:tr w:rsidR="000729CF" w:rsidRPr="000729CF" w14:paraId="08AE6A2F" w14:textId="77777777" w:rsidTr="00BC26AB">
        <w:trPr>
          <w:trHeight w:val="757"/>
        </w:trPr>
        <w:tc>
          <w:tcPr>
            <w:tcW w:w="10456" w:type="dxa"/>
          </w:tcPr>
          <w:p w14:paraId="0BA9B5C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This will be reviewed through the contact service monitoring already in place.  </w:t>
            </w:r>
          </w:p>
        </w:tc>
      </w:tr>
    </w:tbl>
    <w:p w14:paraId="262C41FA" w14:textId="77777777" w:rsidR="000729CF" w:rsidRPr="000729CF" w:rsidRDefault="000729CF" w:rsidP="000729CF">
      <w:pPr>
        <w:rPr>
          <w:rFonts w:ascii="Arial" w:eastAsia="Calibri" w:hAnsi="Arial" w:cs="Arial"/>
          <w:sz w:val="24"/>
          <w:szCs w:val="24"/>
          <w:lang w:val="en-GB"/>
        </w:rPr>
      </w:pPr>
    </w:p>
    <w:p w14:paraId="0AEBD071" w14:textId="77777777" w:rsidR="000729CF" w:rsidRPr="000729CF" w:rsidRDefault="000729CF" w:rsidP="000729CF">
      <w:pPr>
        <w:rPr>
          <w:rFonts w:ascii="Arial" w:eastAsia="Calibri" w:hAnsi="Arial" w:cs="Arial"/>
          <w:sz w:val="24"/>
          <w:szCs w:val="24"/>
          <w:lang w:val="en-GB"/>
        </w:rPr>
      </w:pPr>
    </w:p>
    <w:p w14:paraId="13A83082"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Impacts</w:t>
      </w:r>
    </w:p>
    <w:p w14:paraId="36599A35"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Briefly state source of data or data analysis being used to describe the </w:t>
      </w:r>
      <w:r w:rsidRPr="000729CF">
        <w:rPr>
          <w:rFonts w:ascii="Arial" w:eastAsia="Calibri" w:hAnsi="Arial" w:cs="Arial"/>
          <w:color w:val="000000"/>
          <w:sz w:val="24"/>
          <w:szCs w:val="24"/>
          <w:bdr w:val="none" w:sz="0" w:space="0" w:color="auto" w:frame="1"/>
          <w:lang w:val="en-GB"/>
        </w:rPr>
        <w:t xml:space="preserve">disproportionate negative impacts. </w:t>
      </w:r>
      <w:r w:rsidRPr="000729CF">
        <w:rPr>
          <w:rFonts w:ascii="Arial" w:eastAsia="Calibri" w:hAnsi="Arial" w:cs="Arial"/>
          <w:sz w:val="24"/>
          <w:szCs w:val="24"/>
          <w:lang w:val="en-GB"/>
        </w:rPr>
        <w:t xml:space="preserve">Preferably provide link to data/ analysis if open data source. </w:t>
      </w:r>
    </w:p>
    <w:tbl>
      <w:tblPr>
        <w:tblStyle w:val="TableGrid"/>
        <w:tblW w:w="10485" w:type="dxa"/>
        <w:tblLook w:val="04A0" w:firstRow="1" w:lastRow="0" w:firstColumn="1" w:lastColumn="0" w:noHBand="0" w:noVBand="1"/>
      </w:tblPr>
      <w:tblGrid>
        <w:gridCol w:w="2985"/>
        <w:gridCol w:w="2123"/>
        <w:gridCol w:w="5377"/>
      </w:tblGrid>
      <w:tr w:rsidR="000729CF" w:rsidRPr="000729CF" w14:paraId="7D1D97C1" w14:textId="77777777" w:rsidTr="000729CF">
        <w:trPr>
          <w:trHeight w:val="20"/>
        </w:trPr>
        <w:tc>
          <w:tcPr>
            <w:tcW w:w="2985" w:type="dxa"/>
            <w:shd w:val="clear" w:color="auto" w:fill="E7E6E6"/>
          </w:tcPr>
          <w:p w14:paraId="267DB8D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Assess impact for different population groups</w:t>
            </w:r>
          </w:p>
        </w:tc>
        <w:tc>
          <w:tcPr>
            <w:tcW w:w="2123" w:type="dxa"/>
            <w:shd w:val="clear" w:color="auto" w:fill="E7E6E6"/>
          </w:tcPr>
          <w:p w14:paraId="40283AC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Is there a possible disproportionate negative impact? </w:t>
            </w:r>
          </w:p>
          <w:p w14:paraId="626328F3" w14:textId="77777777" w:rsidR="000729CF" w:rsidRPr="000729CF" w:rsidRDefault="000729CF" w:rsidP="000729CF">
            <w:pPr>
              <w:spacing w:after="120"/>
              <w:rPr>
                <w:rFonts w:ascii="Arial" w:eastAsia="Calibri" w:hAnsi="Arial" w:cs="Arial"/>
                <w:b/>
                <w:bCs/>
                <w:sz w:val="24"/>
                <w:szCs w:val="24"/>
              </w:rPr>
            </w:pPr>
          </w:p>
          <w:p w14:paraId="1126D18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b/>
                <w:bCs/>
                <w:sz w:val="24"/>
                <w:szCs w:val="24"/>
              </w:rPr>
              <w:t>State Yes or No</w:t>
            </w:r>
          </w:p>
        </w:tc>
        <w:tc>
          <w:tcPr>
            <w:tcW w:w="5377" w:type="dxa"/>
            <w:shd w:val="clear" w:color="auto" w:fill="E7E6E6"/>
          </w:tcPr>
          <w:p w14:paraId="1940634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Describe the potential negative impact, considering for differences within groups For example, different ethnic groups, and peoples intersecting identities e.g. disabled women of faith</w:t>
            </w:r>
          </w:p>
          <w:p w14:paraId="562CBE8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OR</w:t>
            </w:r>
          </w:p>
          <w:p w14:paraId="0D9736C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If no impact is identified, briefly state why.</w:t>
            </w:r>
          </w:p>
        </w:tc>
      </w:tr>
      <w:tr w:rsidR="000729CF" w:rsidRPr="000729CF" w14:paraId="2BBF3BB9" w14:textId="77777777" w:rsidTr="000729CF">
        <w:trPr>
          <w:trHeight w:val="20"/>
        </w:trPr>
        <w:tc>
          <w:tcPr>
            <w:tcW w:w="2985" w:type="dxa"/>
            <w:shd w:val="clear" w:color="auto" w:fill="E7E6E6"/>
          </w:tcPr>
          <w:p w14:paraId="7353C60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Age </w:t>
            </w:r>
          </w:p>
          <w:p w14:paraId="6FE1627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sz w:val="24"/>
                <w:szCs w:val="24"/>
              </w:rPr>
              <w:t>including those under 16, young adults, multiple ethnicities, those with various intersections.</w:t>
            </w:r>
          </w:p>
        </w:tc>
        <w:tc>
          <w:tcPr>
            <w:tcW w:w="2123" w:type="dxa"/>
          </w:tcPr>
          <w:p w14:paraId="348A902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42C8C87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Children may be impacted by this saving, particularly those under 13, where it is more likely that they will require supervised contact with their parents and those in large sibling groups. </w:t>
            </w:r>
          </w:p>
        </w:tc>
      </w:tr>
      <w:tr w:rsidR="000729CF" w:rsidRPr="000729CF" w14:paraId="7B7F90B5" w14:textId="77777777" w:rsidTr="000729CF">
        <w:trPr>
          <w:trHeight w:val="20"/>
        </w:trPr>
        <w:tc>
          <w:tcPr>
            <w:tcW w:w="2985" w:type="dxa"/>
            <w:shd w:val="clear" w:color="auto" w:fill="E7E6E6"/>
          </w:tcPr>
          <w:p w14:paraId="6262EE6A"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 xml:space="preserve">Disability </w:t>
            </w:r>
            <w:r w:rsidRPr="000729CF">
              <w:rPr>
                <w:rFonts w:ascii="Arial" w:eastAsia="Calibri" w:hAnsi="Arial" w:cs="Arial"/>
                <w:sz w:val="24"/>
                <w:szCs w:val="24"/>
              </w:rPr>
              <w:t>includes physical and sensory disabled, D/deaf, deafened, hard of hearing, blind, neurodiverse people, people with non-visible disabilities.</w:t>
            </w:r>
          </w:p>
        </w:tc>
        <w:tc>
          <w:tcPr>
            <w:tcW w:w="2123" w:type="dxa"/>
          </w:tcPr>
          <w:p w14:paraId="086139E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14F7A4F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A disproportionate number of children in care will have SEN needs, this could therefore impact on them.</w:t>
            </w:r>
          </w:p>
        </w:tc>
      </w:tr>
      <w:tr w:rsidR="000729CF" w:rsidRPr="000729CF" w14:paraId="07EC7C6F" w14:textId="77777777" w:rsidTr="000729CF">
        <w:trPr>
          <w:trHeight w:val="20"/>
        </w:trPr>
        <w:tc>
          <w:tcPr>
            <w:tcW w:w="2985" w:type="dxa"/>
            <w:shd w:val="clear" w:color="auto" w:fill="E7E6E6"/>
          </w:tcPr>
          <w:p w14:paraId="67DF63D1" w14:textId="77777777" w:rsidR="000729CF" w:rsidRPr="000729CF" w:rsidRDefault="000729CF" w:rsidP="000729CF">
            <w:pPr>
              <w:keepNext/>
              <w:keepLines/>
              <w:spacing w:before="40"/>
              <w:outlineLvl w:val="2"/>
              <w:rPr>
                <w:rFonts w:ascii="Arial" w:hAnsi="Arial" w:cs="Arial"/>
                <w:color w:val="1F3763"/>
                <w:sz w:val="24"/>
                <w:szCs w:val="24"/>
              </w:rPr>
            </w:pPr>
            <w:r w:rsidRPr="000729CF">
              <w:rPr>
                <w:rFonts w:ascii="Arial" w:hAnsi="Arial" w:cs="Arial"/>
                <w:b/>
                <w:bCs/>
                <w:color w:val="000000"/>
                <w:sz w:val="24"/>
                <w:szCs w:val="24"/>
              </w:rPr>
              <w:t>Ethnicity, ‘</w:t>
            </w:r>
            <w:r w:rsidRPr="000729CF">
              <w:rPr>
                <w:rFonts w:ascii="Arial" w:hAnsi="Arial" w:cs="Arial"/>
                <w:color w:val="000000"/>
                <w:sz w:val="24"/>
                <w:szCs w:val="24"/>
              </w:rPr>
              <w:t>Race’, ethnic heritage including Gypsy, Roma, Travellers</w:t>
            </w:r>
          </w:p>
        </w:tc>
        <w:tc>
          <w:tcPr>
            <w:tcW w:w="2123" w:type="dxa"/>
          </w:tcPr>
          <w:p w14:paraId="000530B5" w14:textId="77777777" w:rsidR="000729CF" w:rsidRPr="000729CF" w:rsidRDefault="000729CF" w:rsidP="000729CF">
            <w:pPr>
              <w:spacing w:after="120"/>
              <w:rPr>
                <w:rFonts w:ascii="Arial" w:eastAsia="Calibri" w:hAnsi="Arial" w:cs="Arial"/>
                <w:sz w:val="24"/>
                <w:szCs w:val="24"/>
              </w:rPr>
            </w:pPr>
          </w:p>
        </w:tc>
        <w:tc>
          <w:tcPr>
            <w:tcW w:w="5377" w:type="dxa"/>
          </w:tcPr>
          <w:p w14:paraId="622A32D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There are a disproportionately number of black and global majority children in care, this could therefore impact on them</w:t>
            </w:r>
          </w:p>
        </w:tc>
      </w:tr>
      <w:tr w:rsidR="000729CF" w:rsidRPr="000729CF" w14:paraId="67A03FA0" w14:textId="77777777" w:rsidTr="000729CF">
        <w:trPr>
          <w:trHeight w:val="20"/>
        </w:trPr>
        <w:tc>
          <w:tcPr>
            <w:tcW w:w="2985" w:type="dxa"/>
            <w:shd w:val="clear" w:color="auto" w:fill="E7E6E6"/>
          </w:tcPr>
          <w:p w14:paraId="166E5D0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Religion, Spirituality, Faith, Atheism, and philosophical belief </w:t>
            </w:r>
          </w:p>
        </w:tc>
        <w:tc>
          <w:tcPr>
            <w:tcW w:w="2123" w:type="dxa"/>
          </w:tcPr>
          <w:p w14:paraId="22F2CF6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Unknown </w:t>
            </w:r>
          </w:p>
        </w:tc>
        <w:tc>
          <w:tcPr>
            <w:tcW w:w="5377" w:type="dxa"/>
          </w:tcPr>
          <w:p w14:paraId="580C36D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data and insight available at this time</w:t>
            </w:r>
          </w:p>
        </w:tc>
      </w:tr>
      <w:tr w:rsidR="000729CF" w:rsidRPr="000729CF" w14:paraId="38C13B25" w14:textId="77777777" w:rsidTr="000729CF">
        <w:trPr>
          <w:trHeight w:val="20"/>
        </w:trPr>
        <w:tc>
          <w:tcPr>
            <w:tcW w:w="2985" w:type="dxa"/>
            <w:shd w:val="clear" w:color="auto" w:fill="E7E6E6"/>
          </w:tcPr>
          <w:p w14:paraId="09B5CA7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Gender and Sex </w:t>
            </w:r>
            <w:r w:rsidRPr="000729CF">
              <w:rPr>
                <w:rFonts w:ascii="Arial" w:eastAsia="Calibri" w:hAnsi="Arial" w:cs="Arial"/>
                <w:sz w:val="24"/>
                <w:szCs w:val="24"/>
              </w:rPr>
              <w:t>including non-binary and intersex people</w:t>
            </w:r>
          </w:p>
        </w:tc>
        <w:tc>
          <w:tcPr>
            <w:tcW w:w="2123" w:type="dxa"/>
          </w:tcPr>
          <w:p w14:paraId="1E2451C8" w14:textId="77777777" w:rsidR="000729CF" w:rsidRPr="000729CF" w:rsidRDefault="000729CF" w:rsidP="000729CF">
            <w:pPr>
              <w:spacing w:after="120"/>
              <w:rPr>
                <w:rFonts w:ascii="Arial" w:eastAsia="Calibri" w:hAnsi="Arial" w:cs="Arial"/>
                <w:sz w:val="24"/>
                <w:szCs w:val="24"/>
              </w:rPr>
            </w:pPr>
          </w:p>
        </w:tc>
        <w:tc>
          <w:tcPr>
            <w:tcW w:w="5377" w:type="dxa"/>
          </w:tcPr>
          <w:p w14:paraId="72621B6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This could impact on woman and mothers most as most children in care will have present mothers but not all will have present fathers and therefore could disproportionately impact on children’s contact with their mothers </w:t>
            </w:r>
          </w:p>
        </w:tc>
      </w:tr>
      <w:tr w:rsidR="000729CF" w:rsidRPr="000729CF" w14:paraId="7FBA08AC" w14:textId="77777777" w:rsidTr="000729CF">
        <w:trPr>
          <w:trHeight w:val="20"/>
        </w:trPr>
        <w:tc>
          <w:tcPr>
            <w:tcW w:w="2985" w:type="dxa"/>
            <w:shd w:val="clear" w:color="auto" w:fill="E7E6E6"/>
          </w:tcPr>
          <w:p w14:paraId="6806CB4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2123" w:type="dxa"/>
          </w:tcPr>
          <w:p w14:paraId="67B1AF5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c>
          <w:tcPr>
            <w:tcW w:w="5377" w:type="dxa"/>
          </w:tcPr>
          <w:p w14:paraId="26A0BE8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disproportionate impact expected. </w:t>
            </w:r>
          </w:p>
        </w:tc>
      </w:tr>
      <w:tr w:rsidR="000729CF" w:rsidRPr="000729CF" w14:paraId="68EF2A6E" w14:textId="77777777" w:rsidTr="000729CF">
        <w:trPr>
          <w:trHeight w:val="20"/>
        </w:trPr>
        <w:tc>
          <w:tcPr>
            <w:tcW w:w="2985" w:type="dxa"/>
            <w:shd w:val="clear" w:color="auto" w:fill="E7E6E6"/>
          </w:tcPr>
          <w:p w14:paraId="1EEBA13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2123" w:type="dxa"/>
          </w:tcPr>
          <w:p w14:paraId="5093FEF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58A9109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disproportionate impact expected.</w:t>
            </w:r>
          </w:p>
        </w:tc>
      </w:tr>
      <w:tr w:rsidR="000729CF" w:rsidRPr="000729CF" w14:paraId="5A3CFBD7" w14:textId="77777777" w:rsidTr="000729CF">
        <w:trPr>
          <w:trHeight w:val="20"/>
        </w:trPr>
        <w:tc>
          <w:tcPr>
            <w:tcW w:w="2985" w:type="dxa"/>
            <w:shd w:val="clear" w:color="auto" w:fill="E7E6E6"/>
          </w:tcPr>
          <w:p w14:paraId="3A3B9E2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2123" w:type="dxa"/>
          </w:tcPr>
          <w:p w14:paraId="1C2FBA2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6E053E8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disproportionate impact expected.</w:t>
            </w:r>
          </w:p>
        </w:tc>
      </w:tr>
      <w:tr w:rsidR="000729CF" w:rsidRPr="000729CF" w14:paraId="2FAC9EE4" w14:textId="77777777" w:rsidTr="000729CF">
        <w:trPr>
          <w:trHeight w:val="20"/>
        </w:trPr>
        <w:tc>
          <w:tcPr>
            <w:tcW w:w="2985" w:type="dxa"/>
            <w:shd w:val="clear" w:color="auto" w:fill="E7E6E6"/>
          </w:tcPr>
          <w:p w14:paraId="70963A7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Pregnancy, Maternity, Paternity, Adoption, Menopause, (In)fertility </w:t>
            </w:r>
            <w:r w:rsidRPr="000729CF">
              <w:rPr>
                <w:rFonts w:ascii="Arial" w:eastAsia="Calibri" w:hAnsi="Arial" w:cs="Arial"/>
                <w:color w:val="000000"/>
                <w:sz w:val="24"/>
                <w:szCs w:val="24"/>
              </w:rPr>
              <w:t>(across intersections and non-binary gender spectrum)</w:t>
            </w:r>
          </w:p>
        </w:tc>
        <w:tc>
          <w:tcPr>
            <w:tcW w:w="2123" w:type="dxa"/>
          </w:tcPr>
          <w:p w14:paraId="4E4F20B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4CA6A24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disproportionate impact expected.</w:t>
            </w:r>
          </w:p>
        </w:tc>
      </w:tr>
      <w:tr w:rsidR="000729CF" w:rsidRPr="000729CF" w14:paraId="780A17DE" w14:textId="77777777" w:rsidTr="000729CF">
        <w:trPr>
          <w:trHeight w:val="20"/>
        </w:trPr>
        <w:tc>
          <w:tcPr>
            <w:tcW w:w="2985" w:type="dxa"/>
            <w:shd w:val="clear" w:color="auto" w:fill="E7E6E6"/>
          </w:tcPr>
          <w:p w14:paraId="0C58588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2123" w:type="dxa"/>
          </w:tcPr>
          <w:p w14:paraId="3449531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7C05729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disproportionate impact expected.</w:t>
            </w:r>
          </w:p>
        </w:tc>
      </w:tr>
      <w:tr w:rsidR="000729CF" w:rsidRPr="000729CF" w14:paraId="5EA94556" w14:textId="77777777" w:rsidTr="000729CF">
        <w:trPr>
          <w:trHeight w:val="20"/>
        </w:trPr>
        <w:tc>
          <w:tcPr>
            <w:tcW w:w="2985" w:type="dxa"/>
            <w:shd w:val="clear" w:color="auto" w:fill="E7E6E6"/>
          </w:tcPr>
          <w:p w14:paraId="36429A28" w14:textId="77777777" w:rsidR="000729CF" w:rsidRPr="000729CF" w:rsidRDefault="000729CF" w:rsidP="000729CF">
            <w:pPr>
              <w:spacing w:after="120"/>
              <w:rPr>
                <w:rFonts w:ascii="Arial" w:eastAsia="Calibri" w:hAnsi="Arial" w:cs="Arial"/>
                <w:b/>
                <w:bCs/>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r w:rsidRPr="000729CF">
              <w:rPr>
                <w:rFonts w:ascii="Arial" w:hAnsi="Arial" w:cs="Arial"/>
                <w:color w:val="000000"/>
                <w:sz w:val="24"/>
                <w:szCs w:val="24"/>
              </w:rPr>
              <w:t>considering for age, language, and various intersections</w:t>
            </w:r>
          </w:p>
        </w:tc>
        <w:tc>
          <w:tcPr>
            <w:tcW w:w="2123" w:type="dxa"/>
          </w:tcPr>
          <w:p w14:paraId="3420C9C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68E9713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disproportionate impact expected.</w:t>
            </w:r>
          </w:p>
        </w:tc>
      </w:tr>
      <w:tr w:rsidR="000729CF" w:rsidRPr="000729CF" w14:paraId="6628FA49" w14:textId="77777777" w:rsidTr="000729CF">
        <w:trPr>
          <w:trHeight w:val="20"/>
        </w:trPr>
        <w:tc>
          <w:tcPr>
            <w:tcW w:w="2985" w:type="dxa"/>
            <w:shd w:val="clear" w:color="auto" w:fill="E7E6E6"/>
          </w:tcPr>
          <w:p w14:paraId="1ED5E5D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Carers </w:t>
            </w:r>
            <w:r w:rsidRPr="000729CF">
              <w:rPr>
                <w:rFonts w:ascii="Arial" w:hAnsi="Arial" w:cs="Arial"/>
                <w:color w:val="000000"/>
                <w:sz w:val="24"/>
                <w:szCs w:val="24"/>
              </w:rPr>
              <w:t>considering for age, language, and various intersections</w:t>
            </w:r>
          </w:p>
        </w:tc>
        <w:tc>
          <w:tcPr>
            <w:tcW w:w="2123" w:type="dxa"/>
          </w:tcPr>
          <w:p w14:paraId="0EDF044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1CB4FBB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disproportionate impact expected.</w:t>
            </w:r>
          </w:p>
        </w:tc>
      </w:tr>
      <w:tr w:rsidR="000729CF" w:rsidRPr="000729CF" w14:paraId="35FBB0E7" w14:textId="77777777" w:rsidTr="000729CF">
        <w:trPr>
          <w:trHeight w:val="20"/>
        </w:trPr>
        <w:tc>
          <w:tcPr>
            <w:tcW w:w="2985" w:type="dxa"/>
            <w:shd w:val="clear" w:color="auto" w:fill="E7E6E6"/>
          </w:tcPr>
          <w:p w14:paraId="4D16B0D0"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 xml:space="preserve">Looked after children, Care Leavers, Care and fostering experienced people </w:t>
            </w:r>
            <w:r w:rsidRPr="000729CF">
              <w:rPr>
                <w:rFonts w:ascii="Arial" w:hAnsi="Arial" w:cs="Arial"/>
                <w:color w:val="000000"/>
                <w:sz w:val="24"/>
                <w:szCs w:val="24"/>
              </w:rPr>
              <w:t>considering for age, language, and various intersections</w:t>
            </w:r>
          </w:p>
        </w:tc>
        <w:tc>
          <w:tcPr>
            <w:tcW w:w="2123" w:type="dxa"/>
          </w:tcPr>
          <w:p w14:paraId="7A8A03C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1BC0294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This saving will only impact on children in care, as the service only support children in care to have family time with their parents and siblings. </w:t>
            </w:r>
          </w:p>
        </w:tc>
      </w:tr>
      <w:tr w:rsidR="000729CF" w:rsidRPr="000729CF" w14:paraId="2A047BB3" w14:textId="77777777" w:rsidTr="000729CF">
        <w:trPr>
          <w:trHeight w:val="20"/>
        </w:trPr>
        <w:tc>
          <w:tcPr>
            <w:tcW w:w="2985" w:type="dxa"/>
            <w:shd w:val="clear" w:color="auto" w:fill="E7E6E6"/>
          </w:tcPr>
          <w:p w14:paraId="13BE654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w:t>
            </w:r>
          </w:p>
        </w:tc>
        <w:tc>
          <w:tcPr>
            <w:tcW w:w="2123" w:type="dxa"/>
          </w:tcPr>
          <w:p w14:paraId="0A40736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659897C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Many children in care may have experienced and witnessed DV and are receiving support to see their parents through supervised contact. This could therefore have a significant impact on them.   </w:t>
            </w:r>
          </w:p>
        </w:tc>
      </w:tr>
      <w:tr w:rsidR="000729CF" w:rsidRPr="000729CF" w14:paraId="008E43DD" w14:textId="77777777" w:rsidTr="000729CF">
        <w:trPr>
          <w:trHeight w:val="20"/>
        </w:trPr>
        <w:tc>
          <w:tcPr>
            <w:tcW w:w="2985" w:type="dxa"/>
            <w:shd w:val="clear" w:color="auto" w:fill="E7E6E6"/>
          </w:tcPr>
          <w:p w14:paraId="090A4EE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Socio-economic disadvantage </w:t>
            </w:r>
            <w:r w:rsidRPr="000729CF">
              <w:rPr>
                <w:rFonts w:ascii="Arial" w:eastAsia="Calibri" w:hAnsi="Arial" w:cs="Arial"/>
                <w:color w:val="000000"/>
                <w:sz w:val="24"/>
                <w:szCs w:val="24"/>
              </w:rPr>
              <w:t>considering for age, disability, D/deaf/ blind, ethnicity, expatriate background, and various intersections</w:t>
            </w:r>
          </w:p>
        </w:tc>
        <w:tc>
          <w:tcPr>
            <w:tcW w:w="2123" w:type="dxa"/>
          </w:tcPr>
          <w:p w14:paraId="6B81DBB1" w14:textId="77777777" w:rsidR="000729CF" w:rsidRPr="000729CF" w:rsidRDefault="000729CF" w:rsidP="000729CF">
            <w:pPr>
              <w:spacing w:after="120"/>
              <w:rPr>
                <w:rFonts w:ascii="Arial" w:eastAsia="Calibri" w:hAnsi="Arial" w:cs="Arial"/>
                <w:sz w:val="24"/>
                <w:szCs w:val="24"/>
              </w:rPr>
            </w:pPr>
          </w:p>
        </w:tc>
        <w:tc>
          <w:tcPr>
            <w:tcW w:w="5377" w:type="dxa"/>
          </w:tcPr>
          <w:p w14:paraId="6FD6051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Many/most families in care proceedings will be social-economic disadvantage. </w:t>
            </w:r>
          </w:p>
        </w:tc>
      </w:tr>
      <w:tr w:rsidR="000729CF" w:rsidRPr="000729CF" w14:paraId="12925936" w14:textId="77777777" w:rsidTr="000729CF">
        <w:trPr>
          <w:trHeight w:val="20"/>
        </w:trPr>
        <w:tc>
          <w:tcPr>
            <w:tcW w:w="2985" w:type="dxa"/>
            <w:shd w:val="clear" w:color="auto" w:fill="E7E6E6"/>
          </w:tcPr>
          <w:p w14:paraId="6CCE162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Homeless and rough sleepers </w:t>
            </w:r>
            <w:r w:rsidRPr="000729CF">
              <w:rPr>
                <w:rFonts w:ascii="Arial" w:eastAsia="Calibri" w:hAnsi="Arial" w:cs="Arial"/>
                <w:color w:val="000000"/>
                <w:sz w:val="24"/>
                <w:szCs w:val="24"/>
              </w:rPr>
              <w:t>considering for age, veteran, ethnicity, language, and various intersections</w:t>
            </w:r>
          </w:p>
        </w:tc>
        <w:tc>
          <w:tcPr>
            <w:tcW w:w="2123" w:type="dxa"/>
          </w:tcPr>
          <w:p w14:paraId="3935B29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5C10FBA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Some of the fathers where contact is supervised are homeless or rough sleepers. It could reduce their ability to spend time with their children. </w:t>
            </w:r>
          </w:p>
        </w:tc>
      </w:tr>
      <w:tr w:rsidR="000729CF" w:rsidRPr="000729CF" w14:paraId="58426D10" w14:textId="77777777" w:rsidTr="000729CF">
        <w:trPr>
          <w:trHeight w:val="20"/>
        </w:trPr>
        <w:tc>
          <w:tcPr>
            <w:tcW w:w="2985" w:type="dxa"/>
            <w:shd w:val="clear" w:color="auto" w:fill="E7E6E6"/>
          </w:tcPr>
          <w:p w14:paraId="13751A8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2123" w:type="dxa"/>
          </w:tcPr>
          <w:p w14:paraId="0E8853F7" w14:textId="77777777" w:rsidR="000729CF" w:rsidRPr="000729CF" w:rsidRDefault="000729CF" w:rsidP="000729CF">
            <w:pPr>
              <w:spacing w:after="120"/>
              <w:rPr>
                <w:rFonts w:ascii="Arial" w:eastAsia="Calibri" w:hAnsi="Arial" w:cs="Arial"/>
                <w:sz w:val="24"/>
                <w:szCs w:val="24"/>
              </w:rPr>
            </w:pPr>
          </w:p>
        </w:tc>
        <w:tc>
          <w:tcPr>
            <w:tcW w:w="5377" w:type="dxa"/>
          </w:tcPr>
          <w:p w14:paraId="1F09DBD0" w14:textId="77777777" w:rsidR="000729CF" w:rsidRPr="000729CF" w:rsidRDefault="000729CF" w:rsidP="000729CF">
            <w:pPr>
              <w:spacing w:after="120"/>
              <w:rPr>
                <w:rFonts w:ascii="Arial" w:eastAsia="Calibri" w:hAnsi="Arial" w:cs="Arial"/>
                <w:sz w:val="24"/>
                <w:szCs w:val="24"/>
              </w:rPr>
            </w:pPr>
          </w:p>
        </w:tc>
      </w:tr>
      <w:tr w:rsidR="000729CF" w:rsidRPr="000729CF" w14:paraId="0345C6A2" w14:textId="77777777" w:rsidTr="000729CF">
        <w:trPr>
          <w:trHeight w:val="20"/>
        </w:trPr>
        <w:tc>
          <w:tcPr>
            <w:tcW w:w="2985" w:type="dxa"/>
            <w:shd w:val="clear" w:color="auto" w:fill="E7E6E6"/>
          </w:tcPr>
          <w:p w14:paraId="075EE8F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 :</w:t>
            </w:r>
          </w:p>
          <w:p w14:paraId="5F1CF42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Those experiencing substance misuse and living with substance misuse parents</w:t>
            </w:r>
          </w:p>
        </w:tc>
        <w:tc>
          <w:tcPr>
            <w:tcW w:w="2123" w:type="dxa"/>
          </w:tcPr>
          <w:p w14:paraId="74CF1F2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48EB3B1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Many children in care may have experienced parenting from a parent affected by substance misuse and are receiving support to see their parents through supervised contact.  This could have a significant impact on them.  </w:t>
            </w:r>
          </w:p>
        </w:tc>
      </w:tr>
      <w:tr w:rsidR="000729CF" w:rsidRPr="000729CF" w14:paraId="725CC469" w14:textId="77777777" w:rsidTr="000729CF">
        <w:trPr>
          <w:trHeight w:val="20"/>
        </w:trPr>
        <w:tc>
          <w:tcPr>
            <w:tcW w:w="2985" w:type="dxa"/>
            <w:shd w:val="clear" w:color="auto" w:fill="E7E6E6"/>
          </w:tcPr>
          <w:p w14:paraId="26E1E4F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Lone parents</w:t>
            </w:r>
          </w:p>
        </w:tc>
        <w:tc>
          <w:tcPr>
            <w:tcW w:w="2123" w:type="dxa"/>
          </w:tcPr>
          <w:p w14:paraId="4319560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3E0574C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Many children in care have only one present parent, </w:t>
            </w:r>
            <w:proofErr w:type="gramStart"/>
            <w:r w:rsidRPr="000729CF">
              <w:rPr>
                <w:rFonts w:ascii="Arial" w:eastAsia="Calibri" w:hAnsi="Arial" w:cs="Arial"/>
                <w:sz w:val="24"/>
                <w:szCs w:val="24"/>
              </w:rPr>
              <w:t>therefore</w:t>
            </w:r>
            <w:proofErr w:type="gramEnd"/>
            <w:r w:rsidRPr="000729CF">
              <w:rPr>
                <w:rFonts w:ascii="Arial" w:eastAsia="Calibri" w:hAnsi="Arial" w:cs="Arial"/>
                <w:sz w:val="24"/>
                <w:szCs w:val="24"/>
              </w:rPr>
              <w:t xml:space="preserve"> will disproportionately impact on children’s contact with their lone parent.</w:t>
            </w:r>
          </w:p>
        </w:tc>
      </w:tr>
    </w:tbl>
    <w:p w14:paraId="6BE7E81A" w14:textId="77777777" w:rsidR="000729CF" w:rsidRPr="000729CF" w:rsidRDefault="000729CF" w:rsidP="000729CF">
      <w:pPr>
        <w:spacing w:after="160" w:line="259" w:lineRule="auto"/>
        <w:rPr>
          <w:rFonts w:ascii="Arial" w:eastAsia="Calibri" w:hAnsi="Arial" w:cs="Arial"/>
          <w:b/>
          <w:bCs/>
          <w:sz w:val="24"/>
          <w:szCs w:val="24"/>
          <w:lang w:val="en-GB"/>
        </w:rPr>
      </w:pPr>
    </w:p>
    <w:p w14:paraId="3AC0264E"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788A57B9"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6E5448CB"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327985DD"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7B113B56"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5F1E3A17"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25A77B45"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2530C3A9"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5ACEE9B5"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4EE8B140"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4FE4BEB0" w14:textId="77777777" w:rsidR="000729CF" w:rsidRPr="000729CF" w:rsidRDefault="000729CF" w:rsidP="000729CF">
      <w:pPr>
        <w:rPr>
          <w:rFonts w:ascii="Arial" w:eastAsia="Calibri" w:hAnsi="Arial" w:cs="Arial"/>
          <w:sz w:val="24"/>
          <w:szCs w:val="24"/>
          <w:lang w:val="en-GB"/>
        </w:rPr>
      </w:pPr>
    </w:p>
    <w:p w14:paraId="157448FF"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Cumulative impacts</w:t>
      </w:r>
    </w:p>
    <w:p w14:paraId="2921170F"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Are there other budget proposals from other service areas that might worsen or mitigate the impacts from your proposal? Please give a brief description including name of other service(s).</w:t>
      </w:r>
    </w:p>
    <w:tbl>
      <w:tblPr>
        <w:tblStyle w:val="TableGrid"/>
        <w:tblW w:w="0" w:type="auto"/>
        <w:tblLook w:val="04A0" w:firstRow="1" w:lastRow="0" w:firstColumn="1" w:lastColumn="0" w:noHBand="0" w:noVBand="1"/>
      </w:tblPr>
      <w:tblGrid>
        <w:gridCol w:w="10456"/>
      </w:tblGrid>
      <w:tr w:rsidR="000729CF" w:rsidRPr="000729CF" w14:paraId="42382999" w14:textId="77777777" w:rsidTr="00BC26AB">
        <w:tc>
          <w:tcPr>
            <w:tcW w:w="10456" w:type="dxa"/>
          </w:tcPr>
          <w:p w14:paraId="757E6BAB"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 xml:space="preserve">The placement saving target could impact on the placements and may result in some placements not agreeing to supervise contact, this will put more pressure on the contact service.  </w:t>
            </w:r>
          </w:p>
          <w:p w14:paraId="0DF57B6E" w14:textId="77777777" w:rsidR="000729CF" w:rsidRPr="000729CF" w:rsidRDefault="000729CF" w:rsidP="000729CF">
            <w:pPr>
              <w:rPr>
                <w:rFonts w:ascii="Arial" w:eastAsia="Calibri" w:hAnsi="Arial" w:cs="Arial"/>
                <w:sz w:val="24"/>
                <w:szCs w:val="24"/>
              </w:rPr>
            </w:pPr>
          </w:p>
          <w:p w14:paraId="1D8CEBA0" w14:textId="77777777" w:rsidR="000729CF" w:rsidRPr="000729CF" w:rsidRDefault="000729CF" w:rsidP="000729CF">
            <w:pPr>
              <w:rPr>
                <w:rFonts w:ascii="Arial" w:eastAsia="Calibri" w:hAnsi="Arial" w:cs="Arial"/>
                <w:sz w:val="24"/>
                <w:szCs w:val="24"/>
              </w:rPr>
            </w:pPr>
          </w:p>
        </w:tc>
      </w:tr>
    </w:tbl>
    <w:p w14:paraId="7FA0AF91" w14:textId="77777777" w:rsidR="000729CF" w:rsidRPr="000729CF" w:rsidRDefault="000729CF" w:rsidP="000729CF">
      <w:pPr>
        <w:spacing w:after="160" w:line="259" w:lineRule="auto"/>
        <w:rPr>
          <w:rFonts w:ascii="Arial" w:eastAsia="Calibri" w:hAnsi="Arial" w:cs="Arial"/>
          <w:sz w:val="24"/>
          <w:szCs w:val="24"/>
          <w:lang w:val="en-GB"/>
        </w:rPr>
      </w:pPr>
    </w:p>
    <w:p w14:paraId="527C3779"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Action planning</w:t>
      </w:r>
    </w:p>
    <w:p w14:paraId="02690915"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SMART actions will be taken to mitigate the disproportionate impacts identified in section 3? If no mitigating action is possible, please state and explain why. Add additional rows as required. </w:t>
      </w:r>
    </w:p>
    <w:tbl>
      <w:tblPr>
        <w:tblStyle w:val="TableGrid"/>
        <w:tblW w:w="0" w:type="auto"/>
        <w:tblLook w:val="04A0" w:firstRow="1" w:lastRow="0" w:firstColumn="1" w:lastColumn="0" w:noHBand="0" w:noVBand="1"/>
      </w:tblPr>
      <w:tblGrid>
        <w:gridCol w:w="10456"/>
      </w:tblGrid>
      <w:tr w:rsidR="000729CF" w:rsidRPr="000729CF" w14:paraId="01E9F611" w14:textId="77777777" w:rsidTr="00BC26AB">
        <w:trPr>
          <w:trHeight w:val="847"/>
        </w:trPr>
        <w:tc>
          <w:tcPr>
            <w:tcW w:w="10456" w:type="dxa"/>
          </w:tcPr>
          <w:p w14:paraId="128E223B" w14:textId="77777777" w:rsidR="000729CF" w:rsidRPr="000729CF" w:rsidRDefault="000729CF" w:rsidP="000729CF">
            <w:pPr>
              <w:spacing w:after="120"/>
              <w:ind w:left="360"/>
              <w:rPr>
                <w:rFonts w:ascii="Arial" w:eastAsia="Calibri" w:hAnsi="Arial" w:cs="Arial"/>
                <w:sz w:val="24"/>
                <w:szCs w:val="24"/>
              </w:rPr>
            </w:pPr>
            <w:r w:rsidRPr="000729CF">
              <w:rPr>
                <w:rFonts w:ascii="Arial" w:eastAsia="Calibri" w:hAnsi="Arial" w:cs="Arial"/>
                <w:sz w:val="24"/>
                <w:szCs w:val="24"/>
              </w:rPr>
              <w:t xml:space="preserve">SMART action 1: Currently looking across the budget to find saving from non-staffing costs. A redesign was undertaken in summer 2023, to ensure it was working at its most effective. In doing that we took the service to the minimum staffing needed to deliver a statutory service. </w:t>
            </w:r>
          </w:p>
          <w:p w14:paraId="71C3DC5E" w14:textId="77777777" w:rsidR="000729CF" w:rsidRPr="000729CF" w:rsidRDefault="000729CF" w:rsidP="000729CF">
            <w:pPr>
              <w:spacing w:after="120"/>
              <w:ind w:left="360"/>
              <w:rPr>
                <w:rFonts w:ascii="Arial" w:eastAsia="Calibri" w:hAnsi="Arial" w:cs="Arial"/>
                <w:sz w:val="24"/>
                <w:szCs w:val="24"/>
              </w:rPr>
            </w:pPr>
          </w:p>
        </w:tc>
      </w:tr>
      <w:tr w:rsidR="000729CF" w:rsidRPr="000729CF" w14:paraId="7859E157" w14:textId="77777777" w:rsidTr="00BC26AB">
        <w:trPr>
          <w:trHeight w:val="847"/>
        </w:trPr>
        <w:tc>
          <w:tcPr>
            <w:tcW w:w="10456" w:type="dxa"/>
          </w:tcPr>
          <w:p w14:paraId="07919DA8" w14:textId="77777777" w:rsidR="000729CF" w:rsidRPr="000729CF" w:rsidRDefault="000729CF" w:rsidP="000729CF">
            <w:pPr>
              <w:spacing w:after="120"/>
              <w:ind w:left="360"/>
              <w:rPr>
                <w:rFonts w:ascii="Arial" w:eastAsia="Calibri" w:hAnsi="Arial" w:cs="Arial"/>
                <w:sz w:val="24"/>
                <w:szCs w:val="24"/>
              </w:rPr>
            </w:pPr>
            <w:r w:rsidRPr="000729CF">
              <w:rPr>
                <w:rFonts w:ascii="Arial" w:eastAsia="Calibri" w:hAnsi="Arial" w:cs="Arial"/>
                <w:sz w:val="24"/>
                <w:szCs w:val="24"/>
              </w:rPr>
              <w:t xml:space="preserve">SMART action 2: As the level of contact fluctuates dependent on the court demand, age and risks to children, size of sibling groups etc, there are periods of time where the service is busier than others.  We could hold vacant posts and use sessional staff to relive the pressure in busy periods. </w:t>
            </w:r>
          </w:p>
        </w:tc>
      </w:tr>
    </w:tbl>
    <w:p w14:paraId="2B26B6FD" w14:textId="77777777" w:rsidR="000729CF" w:rsidRPr="000729CF" w:rsidRDefault="000729CF" w:rsidP="000729CF">
      <w:pPr>
        <w:spacing w:after="160" w:line="259" w:lineRule="auto"/>
        <w:rPr>
          <w:rFonts w:ascii="Arial" w:eastAsia="Calibri" w:hAnsi="Arial" w:cs="Arial"/>
          <w:sz w:val="24"/>
          <w:szCs w:val="24"/>
          <w:lang w:val="en-GB"/>
        </w:rPr>
      </w:pPr>
    </w:p>
    <w:p w14:paraId="0746E44D"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Outcome of your assessment</w:t>
      </w:r>
    </w:p>
    <w:p w14:paraId="45B11006"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Based on the information above give the proposal an impact score between 1 – 5. </w:t>
      </w:r>
    </w:p>
    <w:p w14:paraId="34C09CE8"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1= proposal has minimal impact and/or mitigating actions will significantly minimise the impact</w:t>
      </w:r>
    </w:p>
    <w:p w14:paraId="5C504B3E"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3= proposal will have a significant negative impact; however, mitigation actions will reduce the impact considerably.</w:t>
      </w:r>
    </w:p>
    <w:p w14:paraId="0F6376FF"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5= proposal has significant impact and mitigating actions will have limited effect on reducing impact.</w:t>
      </w:r>
    </w:p>
    <w:p w14:paraId="75D8D692" w14:textId="77777777" w:rsidR="000729CF" w:rsidRPr="000729CF" w:rsidRDefault="000729CF" w:rsidP="000729CF">
      <w:pPr>
        <w:rPr>
          <w:rFonts w:ascii="Arial" w:eastAsia="Calibri" w:hAnsi="Arial" w:cs="Arial"/>
          <w:sz w:val="24"/>
          <w:szCs w:val="24"/>
          <w:highlight w:val="yellow"/>
          <w:lang w:val="en-GB"/>
        </w:rPr>
      </w:pPr>
    </w:p>
    <w:tbl>
      <w:tblPr>
        <w:tblStyle w:val="TableGrid"/>
        <w:tblW w:w="0" w:type="auto"/>
        <w:tblLook w:val="04A0" w:firstRow="1" w:lastRow="0" w:firstColumn="1" w:lastColumn="0" w:noHBand="0" w:noVBand="1"/>
      </w:tblPr>
      <w:tblGrid>
        <w:gridCol w:w="3114"/>
        <w:gridCol w:w="7342"/>
      </w:tblGrid>
      <w:tr w:rsidR="000729CF" w:rsidRPr="000729CF" w14:paraId="4832232C" w14:textId="77777777" w:rsidTr="00BC26AB">
        <w:trPr>
          <w:trHeight w:val="152"/>
        </w:trPr>
        <w:tc>
          <w:tcPr>
            <w:tcW w:w="3114" w:type="dxa"/>
          </w:tcPr>
          <w:p w14:paraId="1AAC994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Proposal’s impact score:</w:t>
            </w:r>
          </w:p>
        </w:tc>
        <w:tc>
          <w:tcPr>
            <w:tcW w:w="7342" w:type="dxa"/>
          </w:tcPr>
          <w:p w14:paraId="6A7FE99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3</w:t>
            </w:r>
          </w:p>
        </w:tc>
      </w:tr>
    </w:tbl>
    <w:p w14:paraId="467C217B" w14:textId="77777777" w:rsidR="000729CF" w:rsidRPr="000729CF" w:rsidRDefault="000729CF" w:rsidP="000729CF">
      <w:pPr>
        <w:spacing w:after="160" w:line="259" w:lineRule="auto"/>
        <w:rPr>
          <w:rFonts w:ascii="Arial" w:eastAsia="Calibri" w:hAnsi="Arial" w:cs="Arial"/>
          <w:sz w:val="24"/>
          <w:szCs w:val="24"/>
          <w:lang w:val="en-GB"/>
        </w:rPr>
      </w:pPr>
    </w:p>
    <w:p w14:paraId="231D4500"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Publication</w:t>
      </w:r>
    </w:p>
    <w:p w14:paraId="34ECD842"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All Equality Impact Assessments will be published. If you are recommending, and choosing not to publish your EIA, please provide a reason:</w:t>
      </w:r>
    </w:p>
    <w:tbl>
      <w:tblPr>
        <w:tblStyle w:val="TableGrid"/>
        <w:tblW w:w="0" w:type="auto"/>
        <w:tblLook w:val="04A0" w:firstRow="1" w:lastRow="0" w:firstColumn="1" w:lastColumn="0" w:noHBand="0" w:noVBand="1"/>
      </w:tblPr>
      <w:tblGrid>
        <w:gridCol w:w="10456"/>
      </w:tblGrid>
      <w:tr w:rsidR="000729CF" w:rsidRPr="000729CF" w14:paraId="626C15CC" w14:textId="77777777" w:rsidTr="00BC26AB">
        <w:trPr>
          <w:trHeight w:val="803"/>
        </w:trPr>
        <w:tc>
          <w:tcPr>
            <w:tcW w:w="10456" w:type="dxa"/>
          </w:tcPr>
          <w:p w14:paraId="7D312BD9" w14:textId="77777777" w:rsidR="000729CF" w:rsidRPr="000729CF" w:rsidRDefault="000729CF" w:rsidP="000729CF">
            <w:pPr>
              <w:spacing w:after="120"/>
              <w:rPr>
                <w:rFonts w:ascii="Arial" w:eastAsia="Calibri" w:hAnsi="Arial" w:cs="Arial"/>
                <w:sz w:val="24"/>
                <w:szCs w:val="24"/>
              </w:rPr>
            </w:pPr>
          </w:p>
        </w:tc>
      </w:tr>
    </w:tbl>
    <w:p w14:paraId="678D1796" w14:textId="77777777" w:rsidR="000729CF" w:rsidRPr="000729CF" w:rsidRDefault="000729CF" w:rsidP="000729CF">
      <w:pPr>
        <w:spacing w:after="160" w:line="259" w:lineRule="auto"/>
        <w:rPr>
          <w:rFonts w:ascii="Arial" w:eastAsia="Calibri" w:hAnsi="Arial" w:cs="Arial"/>
          <w:sz w:val="24"/>
          <w:szCs w:val="24"/>
          <w:lang w:val="en-GB"/>
        </w:rPr>
      </w:pPr>
    </w:p>
    <w:p w14:paraId="2ACEC596"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Directorate and Service Approval</w:t>
      </w:r>
    </w:p>
    <w:tbl>
      <w:tblPr>
        <w:tblStyle w:val="TableGrid"/>
        <w:tblW w:w="0" w:type="auto"/>
        <w:tblLook w:val="04A0" w:firstRow="1" w:lastRow="0" w:firstColumn="1" w:lastColumn="0" w:noHBand="0" w:noVBand="1"/>
      </w:tblPr>
      <w:tblGrid>
        <w:gridCol w:w="3681"/>
        <w:gridCol w:w="4394"/>
        <w:gridCol w:w="2381"/>
      </w:tblGrid>
      <w:tr w:rsidR="000729CF" w:rsidRPr="000729CF" w14:paraId="795682C1" w14:textId="77777777" w:rsidTr="000729CF">
        <w:trPr>
          <w:trHeight w:val="20"/>
        </w:trPr>
        <w:tc>
          <w:tcPr>
            <w:tcW w:w="3681" w:type="dxa"/>
            <w:tcBorders>
              <w:bottom w:val="single" w:sz="4" w:space="0" w:color="auto"/>
            </w:tcBorders>
            <w:shd w:val="clear" w:color="auto" w:fill="D9D9D9"/>
          </w:tcPr>
          <w:p w14:paraId="597EDB2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72A9D12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 and Job Title:</w:t>
            </w:r>
          </w:p>
        </w:tc>
        <w:tc>
          <w:tcPr>
            <w:tcW w:w="2381" w:type="dxa"/>
            <w:shd w:val="clear" w:color="auto" w:fill="D9D9D9"/>
          </w:tcPr>
          <w:p w14:paraId="77C91C7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397DEC4D" w14:textId="77777777" w:rsidTr="000729CF">
        <w:trPr>
          <w:trHeight w:val="20"/>
        </w:trPr>
        <w:tc>
          <w:tcPr>
            <w:tcW w:w="3681" w:type="dxa"/>
            <w:shd w:val="clear" w:color="auto" w:fill="E7E6E6"/>
          </w:tcPr>
          <w:p w14:paraId="06E331D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Responsible Lead Officer:</w:t>
            </w:r>
          </w:p>
        </w:tc>
        <w:tc>
          <w:tcPr>
            <w:tcW w:w="4394" w:type="dxa"/>
          </w:tcPr>
          <w:p w14:paraId="54FC6F4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Julie Dreher </w:t>
            </w:r>
          </w:p>
        </w:tc>
        <w:tc>
          <w:tcPr>
            <w:tcW w:w="2381" w:type="dxa"/>
          </w:tcPr>
          <w:p w14:paraId="7345028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18.01.23</w:t>
            </w:r>
          </w:p>
        </w:tc>
      </w:tr>
      <w:tr w:rsidR="000729CF" w:rsidRPr="000729CF" w14:paraId="4AB46791" w14:textId="77777777" w:rsidTr="000729CF">
        <w:trPr>
          <w:trHeight w:val="20"/>
        </w:trPr>
        <w:tc>
          <w:tcPr>
            <w:tcW w:w="3681" w:type="dxa"/>
            <w:shd w:val="clear" w:color="auto" w:fill="E7E6E6"/>
          </w:tcPr>
          <w:p w14:paraId="2EDF0CE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Accountable Manager:</w:t>
            </w:r>
          </w:p>
        </w:tc>
        <w:tc>
          <w:tcPr>
            <w:tcW w:w="4394" w:type="dxa"/>
          </w:tcPr>
          <w:p w14:paraId="3DFFE0D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Anna Gianfrancesco</w:t>
            </w:r>
          </w:p>
        </w:tc>
        <w:tc>
          <w:tcPr>
            <w:tcW w:w="2381" w:type="dxa"/>
          </w:tcPr>
          <w:p w14:paraId="1C60DAB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18.01.23</w:t>
            </w:r>
          </w:p>
        </w:tc>
      </w:tr>
    </w:tbl>
    <w:p w14:paraId="05F5F687" w14:textId="77777777" w:rsidR="000729CF" w:rsidRPr="000729CF" w:rsidRDefault="000729CF" w:rsidP="000729CF">
      <w:pPr>
        <w:spacing w:after="160" w:line="259" w:lineRule="auto"/>
        <w:rPr>
          <w:rFonts w:ascii="Arial" w:eastAsia="Calibri" w:hAnsi="Arial" w:cs="Arial"/>
          <w:sz w:val="24"/>
          <w:szCs w:val="24"/>
          <w:lang w:val="en-GB"/>
        </w:rPr>
      </w:pPr>
    </w:p>
    <w:p w14:paraId="47FF4C25" w14:textId="77777777" w:rsidR="000729CF" w:rsidRPr="000729CF" w:rsidRDefault="000729CF" w:rsidP="000729CF">
      <w:pPr>
        <w:keepNext/>
        <w:keepLines/>
        <w:spacing w:before="40" w:after="160" w:line="259" w:lineRule="auto"/>
        <w:outlineLvl w:val="2"/>
        <w:rPr>
          <w:rFonts w:ascii="Arial" w:hAnsi="Arial" w:cs="Arial"/>
          <w:b/>
          <w:bCs/>
          <w:color w:val="000000"/>
          <w:sz w:val="28"/>
          <w:szCs w:val="28"/>
          <w:lang w:val="en-GB"/>
        </w:rPr>
      </w:pPr>
      <w:r w:rsidRPr="000729CF">
        <w:rPr>
          <w:rFonts w:ascii="Arial" w:hAnsi="Arial" w:cs="Arial"/>
          <w:b/>
          <w:bCs/>
          <w:color w:val="000000"/>
          <w:sz w:val="28"/>
          <w:szCs w:val="28"/>
          <w:lang w:val="en-GB"/>
        </w:rPr>
        <w:t>EDI Review and Approval:</w:t>
      </w:r>
    </w:p>
    <w:p w14:paraId="2818FCA3" w14:textId="77777777" w:rsidR="000729CF" w:rsidRPr="000729CF" w:rsidRDefault="000729CF" w:rsidP="000729CF">
      <w:pPr>
        <w:spacing w:after="160" w:line="259" w:lineRule="auto"/>
        <w:rPr>
          <w:rFonts w:ascii="Arial" w:eastAsia="Calibri" w:hAnsi="Arial" w:cs="Arial"/>
          <w:sz w:val="24"/>
          <w:szCs w:val="24"/>
          <w:lang w:val="en-GB"/>
        </w:rPr>
      </w:pPr>
    </w:p>
    <w:p w14:paraId="61A0C0D8" w14:textId="77777777" w:rsidR="000729CF" w:rsidRPr="000729CF" w:rsidRDefault="000729CF" w:rsidP="000729CF">
      <w:pPr>
        <w:keepNext/>
        <w:keepLines/>
        <w:spacing w:after="160" w:line="259" w:lineRule="auto"/>
        <w:ind w:left="283" w:hanging="283"/>
        <w:outlineLvl w:val="1"/>
        <w:rPr>
          <w:rFonts w:ascii="Arial" w:hAnsi="Arial" w:cs="Arial"/>
          <w:color w:val="2F5496"/>
          <w:sz w:val="24"/>
          <w:szCs w:val="24"/>
          <w:lang w:val="en-GB"/>
        </w:rPr>
      </w:pPr>
      <w:r w:rsidRPr="000729CF">
        <w:rPr>
          <w:rFonts w:ascii="Arial" w:hAnsi="Arial" w:cs="Arial"/>
          <w:color w:val="2F5496"/>
          <w:sz w:val="24"/>
          <w:szCs w:val="24"/>
          <w:lang w:val="en-GB"/>
        </w:rPr>
        <w:t>Equality Impact Assessment sign-off</w:t>
      </w:r>
    </w:p>
    <w:tbl>
      <w:tblPr>
        <w:tblStyle w:val="TableGrid"/>
        <w:tblW w:w="0" w:type="auto"/>
        <w:tblLook w:val="04A0" w:firstRow="1" w:lastRow="0" w:firstColumn="1" w:lastColumn="0" w:noHBand="0" w:noVBand="1"/>
      </w:tblPr>
      <w:tblGrid>
        <w:gridCol w:w="3681"/>
        <w:gridCol w:w="4394"/>
        <w:gridCol w:w="2381"/>
      </w:tblGrid>
      <w:tr w:rsidR="000729CF" w:rsidRPr="000729CF" w14:paraId="77A49033" w14:textId="77777777" w:rsidTr="000729CF">
        <w:trPr>
          <w:trHeight w:val="20"/>
        </w:trPr>
        <w:tc>
          <w:tcPr>
            <w:tcW w:w="3681" w:type="dxa"/>
            <w:tcBorders>
              <w:bottom w:val="single" w:sz="4" w:space="0" w:color="auto"/>
            </w:tcBorders>
            <w:shd w:val="clear" w:color="auto" w:fill="D9D9D9"/>
          </w:tcPr>
          <w:p w14:paraId="6F13112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4987156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w:t>
            </w:r>
          </w:p>
        </w:tc>
        <w:tc>
          <w:tcPr>
            <w:tcW w:w="2381" w:type="dxa"/>
            <w:shd w:val="clear" w:color="auto" w:fill="D9D9D9"/>
          </w:tcPr>
          <w:p w14:paraId="5E4E29C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7708FEEE" w14:textId="77777777" w:rsidTr="000729CF">
        <w:trPr>
          <w:trHeight w:val="20"/>
        </w:trPr>
        <w:tc>
          <w:tcPr>
            <w:tcW w:w="3681" w:type="dxa"/>
            <w:shd w:val="clear" w:color="auto" w:fill="E7E6E6"/>
          </w:tcPr>
          <w:p w14:paraId="7F3CF27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Head of Communities, Equality, and Third Sector (CETS) Service:</w:t>
            </w:r>
          </w:p>
        </w:tc>
        <w:tc>
          <w:tcPr>
            <w:tcW w:w="4394" w:type="dxa"/>
          </w:tcPr>
          <w:p w14:paraId="602F3F8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Emma McDermott</w:t>
            </w:r>
          </w:p>
        </w:tc>
        <w:tc>
          <w:tcPr>
            <w:tcW w:w="2381" w:type="dxa"/>
          </w:tcPr>
          <w:p w14:paraId="0FA639E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26-01-24</w:t>
            </w:r>
          </w:p>
        </w:tc>
      </w:tr>
    </w:tbl>
    <w:p w14:paraId="2F28D564" w14:textId="77777777" w:rsidR="000729CF" w:rsidRPr="000729CF" w:rsidRDefault="000729CF" w:rsidP="000729CF">
      <w:pPr>
        <w:rPr>
          <w:rFonts w:ascii="Arial" w:eastAsia="Calibri" w:hAnsi="Arial" w:cs="Arial"/>
          <w:sz w:val="22"/>
          <w:szCs w:val="22"/>
          <w:lang w:val="en-GB"/>
        </w:rPr>
      </w:pPr>
    </w:p>
    <w:p w14:paraId="4C8F2A94" w14:textId="77777777" w:rsidR="000729CF" w:rsidRPr="000729CF" w:rsidRDefault="000729CF" w:rsidP="000729CF">
      <w:pPr>
        <w:spacing w:after="160" w:line="259" w:lineRule="auto"/>
        <w:rPr>
          <w:rFonts w:ascii="Arial" w:eastAsia="Calibri" w:hAnsi="Arial" w:cs="Arial"/>
          <w:b/>
          <w:bCs/>
          <w:sz w:val="24"/>
          <w:szCs w:val="24"/>
          <w:lang w:val="en-GB"/>
        </w:rPr>
      </w:pPr>
    </w:p>
    <w:p w14:paraId="2B615405" w14:textId="77777777" w:rsidR="000729CF" w:rsidRPr="000729CF" w:rsidRDefault="000729CF" w:rsidP="000729CF">
      <w:pPr>
        <w:keepNext/>
        <w:keepLines/>
        <w:spacing w:after="160" w:line="259" w:lineRule="auto"/>
        <w:outlineLvl w:val="1"/>
        <w:rPr>
          <w:rFonts w:ascii="Arial" w:eastAsia="Calibri" w:hAnsi="Arial" w:cs="Arial"/>
          <w:sz w:val="24"/>
          <w:szCs w:val="24"/>
          <w:lang w:val="en-GB"/>
        </w:rPr>
      </w:pPr>
    </w:p>
    <w:p w14:paraId="4FE11F01" w14:textId="77777777" w:rsidR="000729CF" w:rsidRPr="000729CF" w:rsidRDefault="000729CF" w:rsidP="000729CF">
      <w:pPr>
        <w:spacing w:after="160" w:line="259" w:lineRule="auto"/>
        <w:rPr>
          <w:rFonts w:ascii="Arial" w:eastAsia="Calibri" w:hAnsi="Arial" w:cs="Arial"/>
          <w:sz w:val="24"/>
          <w:szCs w:val="24"/>
          <w:lang w:val="en-GB"/>
        </w:rPr>
      </w:pPr>
    </w:p>
    <w:p w14:paraId="0A6F4561"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br w:type="page"/>
      </w:r>
    </w:p>
    <w:p w14:paraId="69C54FCF" w14:textId="77777777" w:rsidR="000729CF" w:rsidRPr="000729CF" w:rsidRDefault="000729CF" w:rsidP="000729CF">
      <w:pPr>
        <w:keepNext/>
        <w:keepLines/>
        <w:spacing w:after="160" w:line="259" w:lineRule="auto"/>
        <w:outlineLvl w:val="0"/>
        <w:rPr>
          <w:rFonts w:ascii="Arial" w:hAnsi="Arial" w:cs="Arial"/>
          <w:b/>
          <w:bCs/>
          <w:color w:val="2F5496"/>
          <w:sz w:val="28"/>
          <w:szCs w:val="28"/>
          <w:lang w:val="en-GB"/>
        </w:rPr>
      </w:pPr>
      <w:r w:rsidRPr="000729CF">
        <w:rPr>
          <w:rFonts w:ascii="Arial" w:hAnsi="Arial" w:cs="Arial"/>
          <w:b/>
          <w:bCs/>
          <w:color w:val="2F5496"/>
          <w:sz w:val="28"/>
          <w:szCs w:val="28"/>
          <w:lang w:val="en-GB"/>
        </w:rPr>
        <w:t>Budget Equality Impact Assessment (EIA) 2024/25 – Service Users</w:t>
      </w:r>
    </w:p>
    <w:p w14:paraId="5193B388" w14:textId="77777777" w:rsidR="000729CF" w:rsidRPr="000729CF" w:rsidRDefault="000729CF" w:rsidP="000729CF">
      <w:pPr>
        <w:spacing w:after="160" w:line="259" w:lineRule="auto"/>
        <w:rPr>
          <w:rFonts w:ascii="Arial" w:eastAsia="Calibri" w:hAnsi="Arial" w:cs="Arial"/>
          <w:sz w:val="24"/>
          <w:szCs w:val="24"/>
          <w:lang w:val="en-GB"/>
        </w:rPr>
      </w:pPr>
    </w:p>
    <w:p w14:paraId="2A5B417F" w14:textId="77777777" w:rsidR="000729CF" w:rsidRPr="000729CF" w:rsidRDefault="000729CF" w:rsidP="000729CF">
      <w:pPr>
        <w:keepNext/>
        <w:keepLines/>
        <w:spacing w:after="160" w:line="259" w:lineRule="auto"/>
        <w:ind w:left="720" w:hanging="360"/>
        <w:outlineLvl w:val="1"/>
        <w:rPr>
          <w:rFonts w:ascii="Arial" w:hAnsi="Arial" w:cs="Arial"/>
          <w:color w:val="2F5496"/>
          <w:sz w:val="24"/>
          <w:szCs w:val="24"/>
          <w:lang w:val="en-GB"/>
        </w:rPr>
      </w:pPr>
      <w:r w:rsidRPr="000729CF">
        <w:rPr>
          <w:rFonts w:ascii="Arial" w:hAnsi="Arial" w:cs="Arial"/>
          <w:color w:val="2F5496"/>
          <w:sz w:val="24"/>
          <w:szCs w:val="24"/>
          <w:lang w:val="en-GB"/>
        </w:rPr>
        <w:t xml:space="preserve">Budget Proposal </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6492"/>
      </w:tblGrid>
      <w:tr w:rsidR="000729CF" w:rsidRPr="000729CF" w14:paraId="62A89CCD"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09EC7DDB"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Title of budget saving being assessed:</w:t>
            </w:r>
          </w:p>
        </w:tc>
        <w:tc>
          <w:tcPr>
            <w:tcW w:w="6492" w:type="dxa"/>
            <w:shd w:val="clear" w:color="auto" w:fill="auto"/>
          </w:tcPr>
          <w:p w14:paraId="50A4F06E" w14:textId="77777777" w:rsidR="000729CF" w:rsidRPr="000729CF" w:rsidRDefault="000729CF" w:rsidP="000729CF">
            <w:pPr>
              <w:spacing w:after="12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Placements</w:t>
            </w:r>
          </w:p>
        </w:tc>
      </w:tr>
      <w:tr w:rsidR="000729CF" w:rsidRPr="000729CF" w14:paraId="447B2EDA"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79945370"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Name and title of officer responsible for this EIA: </w:t>
            </w:r>
          </w:p>
        </w:tc>
        <w:tc>
          <w:tcPr>
            <w:tcW w:w="6492" w:type="dxa"/>
            <w:shd w:val="clear" w:color="auto" w:fill="auto"/>
          </w:tcPr>
          <w:p w14:paraId="4A51F044"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729CF">
              <w:rPr>
                <w:rFonts w:ascii="Arial" w:hAnsi="Arial" w:cs="Arial"/>
                <w:sz w:val="24"/>
                <w:szCs w:val="24"/>
              </w:rPr>
              <w:t xml:space="preserve">Anna Gianfrancesco, Assistant Director Children’s Safeguarding &amp; Care </w:t>
            </w:r>
          </w:p>
        </w:tc>
      </w:tr>
      <w:tr w:rsidR="000729CF" w:rsidRPr="000729CF" w14:paraId="346218AF" w14:textId="77777777" w:rsidTr="000729CF">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44C14C58"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Directorate and Service Name: </w:t>
            </w:r>
          </w:p>
        </w:tc>
        <w:tc>
          <w:tcPr>
            <w:tcW w:w="6492" w:type="dxa"/>
            <w:shd w:val="clear" w:color="auto" w:fill="auto"/>
          </w:tcPr>
          <w:p w14:paraId="469A9C11" w14:textId="77777777" w:rsidR="000729CF" w:rsidRPr="000729CF" w:rsidRDefault="000729CF" w:rsidP="000729CF">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 xml:space="preserve">Families, Children &amp; Learning, Safeguarding and Care </w:t>
            </w:r>
          </w:p>
        </w:tc>
      </w:tr>
      <w:tr w:rsidR="000729CF" w:rsidRPr="000729CF" w14:paraId="28FE97BA"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3259C99E"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Budget proposal no.</w:t>
            </w:r>
          </w:p>
        </w:tc>
        <w:tc>
          <w:tcPr>
            <w:tcW w:w="6492" w:type="dxa"/>
            <w:shd w:val="clear" w:color="auto" w:fill="auto"/>
          </w:tcPr>
          <w:p w14:paraId="39987649"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i/>
                <w:iCs/>
                <w:sz w:val="24"/>
                <w:szCs w:val="24"/>
              </w:rPr>
            </w:pPr>
            <w:r w:rsidRPr="000729CF">
              <w:rPr>
                <w:rFonts w:ascii="Arial" w:hAnsi="Arial" w:cs="Arial"/>
                <w:i/>
                <w:iCs/>
                <w:sz w:val="24"/>
                <w:szCs w:val="24"/>
              </w:rPr>
              <w:t>8</w:t>
            </w:r>
          </w:p>
        </w:tc>
      </w:tr>
    </w:tbl>
    <w:p w14:paraId="4A0F7FCE" w14:textId="77777777" w:rsidR="000729CF" w:rsidRPr="000729CF" w:rsidRDefault="000729CF" w:rsidP="000729CF">
      <w:pPr>
        <w:spacing w:after="160" w:line="259" w:lineRule="auto"/>
        <w:rPr>
          <w:rFonts w:ascii="Arial" w:eastAsia="Calibri" w:hAnsi="Arial" w:cs="Arial"/>
          <w:sz w:val="24"/>
          <w:szCs w:val="24"/>
          <w:lang w:val="en-GB"/>
        </w:rPr>
      </w:pPr>
    </w:p>
    <w:p w14:paraId="4FA6D561"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Briefly describe the budget saving proposal: (use the wording in the budget spreadsheet and more detail if needed)</w:t>
      </w:r>
    </w:p>
    <w:tbl>
      <w:tblPr>
        <w:tblStyle w:val="TableGrid"/>
        <w:tblW w:w="0" w:type="auto"/>
        <w:tblLook w:val="04A0" w:firstRow="1" w:lastRow="0" w:firstColumn="1" w:lastColumn="0" w:noHBand="0" w:noVBand="1"/>
      </w:tblPr>
      <w:tblGrid>
        <w:gridCol w:w="10456"/>
      </w:tblGrid>
      <w:tr w:rsidR="000729CF" w:rsidRPr="000729CF" w14:paraId="74F8C395" w14:textId="77777777" w:rsidTr="00BC26AB">
        <w:trPr>
          <w:trHeight w:val="851"/>
        </w:trPr>
        <w:tc>
          <w:tcPr>
            <w:tcW w:w="10456" w:type="dxa"/>
            <w:tcBorders>
              <w:bottom w:val="single" w:sz="4" w:space="0" w:color="auto"/>
            </w:tcBorders>
          </w:tcPr>
          <w:p w14:paraId="4E54D862" w14:textId="77777777" w:rsidR="000729CF" w:rsidRPr="000729CF" w:rsidRDefault="000729CF" w:rsidP="000729CF">
            <w:pPr>
              <w:rPr>
                <w:rFonts w:ascii="Arial" w:hAnsi="Arial" w:cs="Arial"/>
                <w:sz w:val="24"/>
                <w:szCs w:val="24"/>
                <w:lang w:eastAsia="en-GB"/>
              </w:rPr>
            </w:pPr>
            <w:r w:rsidRPr="000729CF">
              <w:rPr>
                <w:rFonts w:ascii="Arial" w:hAnsi="Arial" w:cs="Arial"/>
                <w:sz w:val="24"/>
                <w:szCs w:val="24"/>
                <w:lang w:eastAsia="en-GB"/>
              </w:rPr>
              <w:t>A £ 2.004 m saving on the cost of agency placements for children in the care of Brighton &amp; Hove City Council.  This will be achieved by:</w:t>
            </w:r>
          </w:p>
          <w:p w14:paraId="27FE01E4" w14:textId="77777777" w:rsidR="000729CF" w:rsidRPr="000729CF" w:rsidRDefault="000729CF" w:rsidP="000729CF">
            <w:pPr>
              <w:rPr>
                <w:rFonts w:ascii="Arial" w:hAnsi="Arial" w:cs="Arial"/>
                <w:sz w:val="24"/>
                <w:szCs w:val="24"/>
                <w:lang w:eastAsia="en-GB"/>
              </w:rPr>
            </w:pPr>
          </w:p>
          <w:p w14:paraId="569B5CF2" w14:textId="77777777" w:rsidR="000729CF" w:rsidRPr="000729CF" w:rsidRDefault="000729CF" w:rsidP="00CE70A3">
            <w:pPr>
              <w:numPr>
                <w:ilvl w:val="0"/>
                <w:numId w:val="108"/>
              </w:numPr>
              <w:rPr>
                <w:rFonts w:ascii="Arial" w:hAnsi="Arial" w:cs="Arial"/>
                <w:sz w:val="24"/>
                <w:szCs w:val="24"/>
                <w:lang w:eastAsia="en-GB"/>
              </w:rPr>
            </w:pPr>
            <w:r w:rsidRPr="000729CF">
              <w:rPr>
                <w:rFonts w:ascii="Arial" w:hAnsi="Arial" w:cs="Arial"/>
                <w:sz w:val="24"/>
                <w:szCs w:val="24"/>
                <w:lang w:eastAsia="en-GB"/>
              </w:rPr>
              <w:t xml:space="preserve">continuing to work through the social work model of practice to hold the numbers of children in care. </w:t>
            </w:r>
          </w:p>
          <w:p w14:paraId="214996F1" w14:textId="77777777" w:rsidR="000729CF" w:rsidRPr="000729CF" w:rsidRDefault="000729CF" w:rsidP="00CE70A3">
            <w:pPr>
              <w:numPr>
                <w:ilvl w:val="0"/>
                <w:numId w:val="108"/>
              </w:numPr>
              <w:rPr>
                <w:rFonts w:ascii="Arial" w:hAnsi="Arial" w:cs="Arial"/>
                <w:sz w:val="24"/>
                <w:szCs w:val="24"/>
                <w:lang w:eastAsia="en-GB"/>
              </w:rPr>
            </w:pPr>
            <w:r w:rsidRPr="000729CF">
              <w:rPr>
                <w:rFonts w:ascii="Arial" w:hAnsi="Arial" w:cs="Arial"/>
                <w:sz w:val="24"/>
                <w:szCs w:val="24"/>
                <w:lang w:eastAsia="en-GB"/>
              </w:rPr>
              <w:t xml:space="preserve">work to further increase the number of in-house foster placements and reduce reliance on more expensive independent provider provision.  </w:t>
            </w:r>
          </w:p>
          <w:p w14:paraId="1F306C07" w14:textId="77777777" w:rsidR="000729CF" w:rsidRPr="000729CF" w:rsidRDefault="000729CF" w:rsidP="00CE70A3">
            <w:pPr>
              <w:numPr>
                <w:ilvl w:val="0"/>
                <w:numId w:val="108"/>
              </w:numPr>
              <w:rPr>
                <w:rFonts w:ascii="Arial" w:hAnsi="Arial" w:cs="Arial"/>
                <w:sz w:val="24"/>
                <w:szCs w:val="24"/>
                <w:lang w:eastAsia="en-GB"/>
              </w:rPr>
            </w:pPr>
            <w:r w:rsidRPr="000729CF">
              <w:rPr>
                <w:rFonts w:ascii="Arial" w:hAnsi="Arial" w:cs="Arial"/>
                <w:sz w:val="24"/>
                <w:szCs w:val="24"/>
                <w:lang w:eastAsia="en-GB"/>
              </w:rPr>
              <w:t>provision of high quality, value for money provision though contracted services with external providers supported by the children's services framework contract arrangements and preferred provider guidelines.</w:t>
            </w:r>
          </w:p>
          <w:p w14:paraId="1FACFF2B" w14:textId="77777777" w:rsidR="000729CF" w:rsidRPr="000729CF" w:rsidRDefault="000729CF" w:rsidP="00CE70A3">
            <w:pPr>
              <w:numPr>
                <w:ilvl w:val="0"/>
                <w:numId w:val="108"/>
              </w:numPr>
              <w:rPr>
                <w:rFonts w:ascii="Arial" w:hAnsi="Arial" w:cs="Arial"/>
                <w:sz w:val="24"/>
                <w:szCs w:val="24"/>
                <w:lang w:eastAsia="en-GB"/>
              </w:rPr>
            </w:pPr>
            <w:r w:rsidRPr="000729CF">
              <w:rPr>
                <w:rFonts w:ascii="Arial" w:hAnsi="Arial" w:cs="Arial"/>
                <w:sz w:val="24"/>
                <w:szCs w:val="24"/>
                <w:lang w:eastAsia="en-GB"/>
              </w:rPr>
              <w:t xml:space="preserve">agreed commissioning framework with health for children who need specialist accommodation when discharged from hospital. </w:t>
            </w:r>
          </w:p>
          <w:p w14:paraId="4AC5D80E" w14:textId="77777777" w:rsidR="000729CF" w:rsidRPr="000729CF" w:rsidRDefault="000729CF" w:rsidP="00CE70A3">
            <w:pPr>
              <w:numPr>
                <w:ilvl w:val="0"/>
                <w:numId w:val="108"/>
              </w:numPr>
              <w:rPr>
                <w:rFonts w:ascii="Arial" w:hAnsi="Arial" w:cs="Arial"/>
                <w:sz w:val="24"/>
                <w:szCs w:val="24"/>
                <w:lang w:eastAsia="en-GB"/>
              </w:rPr>
            </w:pPr>
            <w:r w:rsidRPr="000729CF">
              <w:rPr>
                <w:rFonts w:ascii="Arial" w:hAnsi="Arial" w:cs="Arial"/>
                <w:sz w:val="24"/>
                <w:szCs w:val="24"/>
                <w:lang w:eastAsia="en-GB"/>
              </w:rPr>
              <w:t>block contract commissioned placements for some Unaccompanied Asylum Seeking Children (UASC)</w:t>
            </w:r>
          </w:p>
          <w:p w14:paraId="22FE7D36" w14:textId="77777777" w:rsidR="000729CF" w:rsidRPr="000729CF" w:rsidRDefault="000729CF" w:rsidP="00CE70A3">
            <w:pPr>
              <w:numPr>
                <w:ilvl w:val="0"/>
                <w:numId w:val="108"/>
              </w:numPr>
              <w:rPr>
                <w:rFonts w:ascii="Arial" w:hAnsi="Arial" w:cs="Arial"/>
                <w:sz w:val="24"/>
                <w:szCs w:val="24"/>
                <w:lang w:eastAsia="en-GB"/>
              </w:rPr>
            </w:pPr>
            <w:r w:rsidRPr="000729CF">
              <w:rPr>
                <w:rFonts w:ascii="Arial" w:hAnsi="Arial" w:cs="Arial"/>
                <w:sz w:val="24"/>
                <w:szCs w:val="24"/>
                <w:lang w:eastAsia="en-GB"/>
              </w:rPr>
              <w:t xml:space="preserve">development of framework and commissioning for care leavers. </w:t>
            </w:r>
          </w:p>
          <w:p w14:paraId="18163837" w14:textId="77777777" w:rsidR="000729CF" w:rsidRPr="000729CF" w:rsidRDefault="000729CF" w:rsidP="00CE70A3">
            <w:pPr>
              <w:numPr>
                <w:ilvl w:val="0"/>
                <w:numId w:val="108"/>
              </w:numPr>
              <w:rPr>
                <w:rFonts w:ascii="Arial" w:hAnsi="Arial" w:cs="Arial"/>
                <w:sz w:val="24"/>
                <w:szCs w:val="24"/>
                <w:lang w:eastAsia="en-GB"/>
              </w:rPr>
            </w:pPr>
            <w:r w:rsidRPr="000729CF">
              <w:rPr>
                <w:rFonts w:ascii="Arial" w:hAnsi="Arial" w:cs="Arial"/>
                <w:sz w:val="24"/>
                <w:szCs w:val="24"/>
                <w:lang w:eastAsia="en-GB"/>
              </w:rPr>
              <w:t xml:space="preserve">relationship based social work practice and the specialist adolescence service to continue to divert children from the care system.  </w:t>
            </w:r>
          </w:p>
          <w:p w14:paraId="27776748" w14:textId="77777777" w:rsidR="000729CF" w:rsidRPr="000729CF" w:rsidRDefault="000729CF" w:rsidP="00CE70A3">
            <w:pPr>
              <w:numPr>
                <w:ilvl w:val="0"/>
                <w:numId w:val="108"/>
              </w:numPr>
              <w:rPr>
                <w:rFonts w:ascii="Arial" w:hAnsi="Arial" w:cs="Arial"/>
                <w:sz w:val="24"/>
                <w:szCs w:val="24"/>
                <w:lang w:eastAsia="en-GB"/>
              </w:rPr>
            </w:pPr>
            <w:r w:rsidRPr="000729CF">
              <w:rPr>
                <w:rFonts w:ascii="Arial" w:hAnsi="Arial" w:cs="Arial"/>
                <w:sz w:val="24"/>
                <w:szCs w:val="24"/>
                <w:lang w:eastAsia="en-GB"/>
              </w:rPr>
              <w:t xml:space="preserve">for those already in care, a stepping down to in house and/or less expensive placements. </w:t>
            </w:r>
          </w:p>
          <w:p w14:paraId="2AC1EBB5" w14:textId="77777777" w:rsidR="000729CF" w:rsidRPr="000729CF" w:rsidRDefault="000729CF" w:rsidP="00CE70A3">
            <w:pPr>
              <w:numPr>
                <w:ilvl w:val="0"/>
                <w:numId w:val="108"/>
              </w:numPr>
              <w:rPr>
                <w:rFonts w:ascii="Arial" w:hAnsi="Arial" w:cs="Arial"/>
                <w:sz w:val="24"/>
                <w:szCs w:val="24"/>
                <w:lang w:eastAsia="en-GB"/>
              </w:rPr>
            </w:pPr>
            <w:r w:rsidRPr="000729CF">
              <w:rPr>
                <w:rFonts w:ascii="Arial" w:hAnsi="Arial" w:cs="Arial"/>
                <w:sz w:val="24"/>
                <w:szCs w:val="24"/>
                <w:lang w:eastAsia="en-GB"/>
              </w:rPr>
              <w:t xml:space="preserve">continued scrutiny of placement costs contributing to a reduction in unit costs.    </w:t>
            </w:r>
          </w:p>
          <w:p w14:paraId="6C7C3B38" w14:textId="77777777" w:rsidR="000729CF" w:rsidRPr="000729CF" w:rsidRDefault="000729CF" w:rsidP="000729CF">
            <w:pPr>
              <w:spacing w:after="120"/>
              <w:rPr>
                <w:rFonts w:ascii="Arial" w:eastAsia="Calibri" w:hAnsi="Arial" w:cs="Arial"/>
                <w:sz w:val="24"/>
                <w:szCs w:val="24"/>
              </w:rPr>
            </w:pPr>
          </w:p>
        </w:tc>
      </w:tr>
      <w:tr w:rsidR="000729CF" w:rsidRPr="000729CF" w14:paraId="0EC3B5CD" w14:textId="77777777" w:rsidTr="00BC26AB">
        <w:trPr>
          <w:trHeight w:val="851"/>
        </w:trPr>
        <w:tc>
          <w:tcPr>
            <w:tcW w:w="10456" w:type="dxa"/>
            <w:tcBorders>
              <w:left w:val="nil"/>
              <w:right w:val="nil"/>
            </w:tcBorders>
          </w:tcPr>
          <w:p w14:paraId="06742F3B" w14:textId="77777777" w:rsidR="000729CF" w:rsidRPr="000729CF" w:rsidRDefault="000729CF" w:rsidP="000729CF">
            <w:pPr>
              <w:spacing w:after="120"/>
              <w:rPr>
                <w:rFonts w:ascii="Arial" w:eastAsia="Calibri" w:hAnsi="Arial" w:cs="Arial"/>
                <w:sz w:val="24"/>
                <w:szCs w:val="24"/>
              </w:rPr>
            </w:pPr>
          </w:p>
          <w:p w14:paraId="3244A6E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Summarise the most significant impacts identified by this assessment including which groups will be disproportionally negatively affected drawing out intersectional impacts as applicable:</w:t>
            </w:r>
          </w:p>
        </w:tc>
      </w:tr>
      <w:tr w:rsidR="000729CF" w:rsidRPr="000729CF" w14:paraId="704DE72E" w14:textId="77777777" w:rsidTr="00BC26AB">
        <w:trPr>
          <w:trHeight w:val="851"/>
        </w:trPr>
        <w:tc>
          <w:tcPr>
            <w:tcW w:w="10456" w:type="dxa"/>
          </w:tcPr>
          <w:p w14:paraId="052230B3" w14:textId="77777777" w:rsidR="000729CF" w:rsidRPr="000729CF" w:rsidRDefault="000729CF" w:rsidP="000729CF">
            <w:pPr>
              <w:rPr>
                <w:rFonts w:ascii="Arial" w:eastAsia="Calibri" w:hAnsi="Arial" w:cs="Arial"/>
                <w:bCs/>
                <w:sz w:val="24"/>
                <w:szCs w:val="24"/>
              </w:rPr>
            </w:pPr>
            <w:r w:rsidRPr="000729CF">
              <w:rPr>
                <w:rFonts w:ascii="Arial" w:eastAsia="Calibri" w:hAnsi="Arial" w:cs="Arial"/>
                <w:bCs/>
                <w:sz w:val="24"/>
                <w:szCs w:val="24"/>
              </w:rPr>
              <w:t xml:space="preserve">This reduction in budget will impact on children in care of the local authority. A quarter of the children receiving the service are Black and Global majority children, and a significant number of all the children in the service are disabled children with mental health illness, and some of these children are also neurodiverse. </w:t>
            </w:r>
          </w:p>
          <w:p w14:paraId="0BB2F17D" w14:textId="77777777" w:rsidR="000729CF" w:rsidRPr="000729CF" w:rsidRDefault="000729CF" w:rsidP="000729CF">
            <w:pPr>
              <w:rPr>
                <w:rFonts w:ascii="Arial" w:eastAsia="Calibri" w:hAnsi="Arial" w:cs="Arial"/>
                <w:bCs/>
                <w:sz w:val="24"/>
                <w:szCs w:val="24"/>
              </w:rPr>
            </w:pPr>
          </w:p>
          <w:p w14:paraId="6AE6ED33" w14:textId="77777777" w:rsidR="000729CF" w:rsidRPr="000729CF" w:rsidRDefault="000729CF" w:rsidP="000729CF">
            <w:pPr>
              <w:rPr>
                <w:rFonts w:ascii="Arial" w:eastAsia="Calibri" w:hAnsi="Arial" w:cs="Arial"/>
                <w:bCs/>
                <w:sz w:val="24"/>
                <w:szCs w:val="24"/>
              </w:rPr>
            </w:pPr>
            <w:r w:rsidRPr="000729CF">
              <w:rPr>
                <w:rFonts w:ascii="Arial" w:eastAsia="Calibri" w:hAnsi="Arial" w:cs="Arial"/>
                <w:bCs/>
                <w:sz w:val="24"/>
                <w:szCs w:val="24"/>
              </w:rPr>
              <w:t xml:space="preserve">Over the last two years we have seen national sufficiency issues regarding placements, for every 1 placement provided by external commissioned providers there are roughly 100 children seeking to be placed. This means that children with more complex problems, trauma, mental health needs are becoming more difficult to place, with providers choosing to take those children with less complex needs. It also means that providers will charge more for more vulnerable children. This is placing great pressure on the system and leaving the most vulnerable children at risk of no placement or being placed in unregistered provision, which nationally are often the only ones who will take highly vulnerable children. </w:t>
            </w:r>
          </w:p>
          <w:p w14:paraId="38269E7C" w14:textId="77777777" w:rsidR="000729CF" w:rsidRPr="000729CF" w:rsidRDefault="000729CF" w:rsidP="000729CF">
            <w:pPr>
              <w:rPr>
                <w:rFonts w:ascii="Arial" w:eastAsia="Calibri" w:hAnsi="Arial" w:cs="Arial"/>
                <w:bCs/>
                <w:sz w:val="24"/>
                <w:szCs w:val="24"/>
              </w:rPr>
            </w:pPr>
          </w:p>
          <w:p w14:paraId="3C9AD6AF" w14:textId="77777777" w:rsidR="000729CF" w:rsidRPr="000729CF" w:rsidRDefault="000729CF" w:rsidP="000729CF">
            <w:pPr>
              <w:rPr>
                <w:rFonts w:ascii="Arial" w:eastAsia="Calibri" w:hAnsi="Arial" w:cs="Arial"/>
                <w:bCs/>
                <w:sz w:val="24"/>
                <w:szCs w:val="24"/>
              </w:rPr>
            </w:pPr>
            <w:r w:rsidRPr="000729CF">
              <w:rPr>
                <w:rFonts w:ascii="Arial" w:eastAsia="Calibri" w:hAnsi="Arial" w:cs="Arial"/>
                <w:bCs/>
                <w:sz w:val="24"/>
                <w:szCs w:val="24"/>
              </w:rPr>
              <w:t>A reduction in the funding and planned reduction in the use of agency placements places more pressure on foster carers to manage young people whose needs are better met in residential provision.</w:t>
            </w:r>
          </w:p>
          <w:p w14:paraId="1B2AD709" w14:textId="77777777" w:rsidR="000729CF" w:rsidRPr="000729CF" w:rsidRDefault="000729CF" w:rsidP="000729CF">
            <w:pPr>
              <w:rPr>
                <w:rFonts w:ascii="Arial" w:eastAsia="Calibri" w:hAnsi="Arial" w:cs="Arial"/>
                <w:bCs/>
                <w:sz w:val="24"/>
                <w:szCs w:val="24"/>
              </w:rPr>
            </w:pPr>
          </w:p>
          <w:p w14:paraId="5588377B" w14:textId="77777777" w:rsidR="000729CF" w:rsidRPr="000729CF" w:rsidRDefault="000729CF" w:rsidP="000729CF">
            <w:pPr>
              <w:rPr>
                <w:rFonts w:ascii="Arial" w:eastAsia="Calibri" w:hAnsi="Arial" w:cs="Arial"/>
                <w:bCs/>
                <w:sz w:val="24"/>
                <w:szCs w:val="24"/>
              </w:rPr>
            </w:pPr>
            <w:r w:rsidRPr="000729CF">
              <w:rPr>
                <w:rFonts w:ascii="Arial" w:eastAsia="Calibri" w:hAnsi="Arial" w:cs="Arial"/>
                <w:bCs/>
                <w:sz w:val="24"/>
                <w:szCs w:val="24"/>
              </w:rPr>
              <w:t xml:space="preserve">There has been a downturn nationally in the number of people coming forward to become foster carers. This creates pressure on the care system and results in young people who need a foster placement being difficult to place. </w:t>
            </w:r>
          </w:p>
          <w:p w14:paraId="65C540E6" w14:textId="77777777" w:rsidR="000729CF" w:rsidRPr="000729CF" w:rsidRDefault="000729CF" w:rsidP="000729CF">
            <w:pPr>
              <w:rPr>
                <w:rFonts w:ascii="Arial" w:eastAsia="Calibri" w:hAnsi="Arial" w:cs="Arial"/>
                <w:bCs/>
                <w:sz w:val="24"/>
                <w:szCs w:val="24"/>
              </w:rPr>
            </w:pPr>
          </w:p>
          <w:p w14:paraId="5B57A1E0" w14:textId="77777777" w:rsidR="000729CF" w:rsidRPr="000729CF" w:rsidRDefault="000729CF" w:rsidP="000729CF">
            <w:pPr>
              <w:spacing w:after="120"/>
              <w:rPr>
                <w:rFonts w:ascii="Arial" w:eastAsia="Calibri" w:hAnsi="Arial" w:cs="Arial"/>
                <w:bCs/>
                <w:sz w:val="24"/>
                <w:szCs w:val="24"/>
              </w:rPr>
            </w:pPr>
            <w:r w:rsidRPr="000729CF">
              <w:rPr>
                <w:rFonts w:ascii="Arial" w:eastAsia="Calibri" w:hAnsi="Arial" w:cs="Arial"/>
                <w:bCs/>
                <w:sz w:val="24"/>
                <w:szCs w:val="24"/>
              </w:rPr>
              <w:t>The budget reductions mean there is less capacity to absorb the increasing costs of independent providers. The council is part of the Department for Education initiative to develop regional fostering recruitment hubs and a Mockingbird fostering support scheme, that supports complex placements. It is hoped this will bring in more carers regionally, reduce the risk of placement breakdowns and mitigate some of the risk of this budget saving.</w:t>
            </w:r>
          </w:p>
          <w:p w14:paraId="4BEA04E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This saving will impact on children requiring care.  It will necessitate managing high risk cases in the community especially with adolescents. While these decisions will be based on safeguarding risk, holding more risk in the community for longer puts pressure on the system, and risks burn out of staff.</w:t>
            </w:r>
          </w:p>
          <w:p w14:paraId="6BCB461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In terms of a national context, from 2019 to 2023 the number of children in care has risen by 7.9%, with a decrease in fostering placements available. 93% of children homes are now run by private and voluntary sector organisations while 43% of foster carers are within the Independent Fostering sector.  Spending by local authorities on residential care has increased by 105% and on foster care by 26%.  </w:t>
            </w:r>
          </w:p>
        </w:tc>
      </w:tr>
    </w:tbl>
    <w:p w14:paraId="77AABA55" w14:textId="77777777" w:rsidR="000729CF" w:rsidRPr="000729CF" w:rsidRDefault="000729CF" w:rsidP="000729CF">
      <w:pPr>
        <w:rPr>
          <w:rFonts w:ascii="Arial" w:eastAsia="Calibri" w:hAnsi="Arial" w:cs="Arial"/>
          <w:sz w:val="24"/>
          <w:szCs w:val="24"/>
          <w:lang w:val="en-GB"/>
        </w:rPr>
      </w:pPr>
    </w:p>
    <w:p w14:paraId="6BBB3B00" w14:textId="77777777" w:rsidR="000729CF" w:rsidRPr="000729CF" w:rsidRDefault="000729CF" w:rsidP="000729CF">
      <w:pPr>
        <w:spacing w:after="160" w:line="259" w:lineRule="auto"/>
        <w:rPr>
          <w:rFonts w:ascii="Arial" w:eastAsia="Calibri" w:hAnsi="Arial" w:cs="Arial"/>
          <w:sz w:val="24"/>
          <w:szCs w:val="24"/>
          <w:lang w:val="en-GB"/>
        </w:rPr>
      </w:pPr>
    </w:p>
    <w:p w14:paraId="08D34D0A"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Consultation, engagement and supporting EIAs</w:t>
      </w:r>
    </w:p>
    <w:p w14:paraId="2D3F2A9D"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consultations or engagement activities are being used to inform this assessment? </w:t>
      </w:r>
    </w:p>
    <w:p w14:paraId="6B52826E"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If consultation is planned or in process – state this and state when it will done/completed even if indicative. If no consultation completed or planned, state this, giving an explanation. </w:t>
      </w:r>
    </w:p>
    <w:tbl>
      <w:tblPr>
        <w:tblStyle w:val="TableGrid"/>
        <w:tblW w:w="0" w:type="auto"/>
        <w:tblLook w:val="04A0" w:firstRow="1" w:lastRow="0" w:firstColumn="1" w:lastColumn="0" w:noHBand="0" w:noVBand="1"/>
      </w:tblPr>
      <w:tblGrid>
        <w:gridCol w:w="10456"/>
      </w:tblGrid>
      <w:tr w:rsidR="000729CF" w:rsidRPr="000729CF" w14:paraId="7BFCB42A" w14:textId="77777777" w:rsidTr="00BC26AB">
        <w:trPr>
          <w:trHeight w:val="871"/>
        </w:trPr>
        <w:tc>
          <w:tcPr>
            <w:tcW w:w="10456" w:type="dxa"/>
          </w:tcPr>
          <w:p w14:paraId="5762950B"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 xml:space="preserve">No consultation is planned, however work has been undertaken and continues with social work teams and managers to look at how we reduce the number of children in care and the need for high-cost placements, as well as work with external partners including health to reduce the demands. </w:t>
            </w:r>
          </w:p>
        </w:tc>
      </w:tr>
    </w:tbl>
    <w:p w14:paraId="2898A20D" w14:textId="77777777" w:rsidR="000729CF" w:rsidRPr="000729CF" w:rsidRDefault="000729CF" w:rsidP="000729CF">
      <w:pPr>
        <w:spacing w:after="160" w:line="259" w:lineRule="auto"/>
        <w:rPr>
          <w:rFonts w:ascii="Arial" w:eastAsia="Calibri" w:hAnsi="Arial" w:cs="Arial"/>
          <w:sz w:val="24"/>
          <w:szCs w:val="24"/>
          <w:lang w:val="en-GB"/>
        </w:rPr>
      </w:pPr>
    </w:p>
    <w:p w14:paraId="028D8AB1"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other budget or service EIAs can assist/have been used to inform this assessment?</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0729CF" w:rsidRPr="000729CF" w14:paraId="4222C49D"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shd w:val="clear" w:color="auto" w:fill="FFFFFF"/>
          </w:tcPr>
          <w:p w14:paraId="0B0E6419"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None</w:t>
            </w:r>
          </w:p>
        </w:tc>
      </w:tr>
    </w:tbl>
    <w:p w14:paraId="4ADD87FA" w14:textId="77777777" w:rsidR="000729CF" w:rsidRPr="000729CF" w:rsidRDefault="000729CF" w:rsidP="000729CF">
      <w:pPr>
        <w:spacing w:after="160" w:line="259" w:lineRule="auto"/>
        <w:rPr>
          <w:rFonts w:ascii="Arial" w:eastAsia="Calibri" w:hAnsi="Arial" w:cs="Arial"/>
          <w:sz w:val="24"/>
          <w:szCs w:val="24"/>
          <w:lang w:val="en-GB"/>
        </w:rPr>
      </w:pPr>
    </w:p>
    <w:p w14:paraId="2FB66148"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Current data and impact monitoring</w:t>
      </w:r>
    </w:p>
    <w:p w14:paraId="02BECA5F"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Do you currently collect and analyse the following data to enable monitoring of the impact of this proposal? </w:t>
      </w:r>
    </w:p>
    <w:p w14:paraId="6C664F5D"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Consider all possible intersections (Delete and State Yes, No, Not Applicable)</w:t>
      </w:r>
    </w:p>
    <w:tbl>
      <w:tblPr>
        <w:tblStyle w:val="TableGrid"/>
        <w:tblW w:w="10485" w:type="dxa"/>
        <w:tblLook w:val="04A0" w:firstRow="1" w:lastRow="0" w:firstColumn="1" w:lastColumn="0" w:noHBand="0" w:noVBand="1"/>
      </w:tblPr>
      <w:tblGrid>
        <w:gridCol w:w="6658"/>
        <w:gridCol w:w="3827"/>
      </w:tblGrid>
      <w:tr w:rsidR="000729CF" w:rsidRPr="000729CF" w14:paraId="63C4FEBD" w14:textId="77777777" w:rsidTr="000729CF">
        <w:trPr>
          <w:trHeight w:val="310"/>
        </w:trPr>
        <w:tc>
          <w:tcPr>
            <w:tcW w:w="6658" w:type="dxa"/>
            <w:shd w:val="clear" w:color="auto" w:fill="E7E6E6"/>
          </w:tcPr>
          <w:p w14:paraId="2BFF8D1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Age</w:t>
            </w:r>
          </w:p>
        </w:tc>
        <w:tc>
          <w:tcPr>
            <w:tcW w:w="3827" w:type="dxa"/>
          </w:tcPr>
          <w:p w14:paraId="05D5525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37EB9AD4" w14:textId="77777777" w:rsidTr="000729CF">
        <w:trPr>
          <w:trHeight w:val="20"/>
        </w:trPr>
        <w:tc>
          <w:tcPr>
            <w:tcW w:w="6658" w:type="dxa"/>
            <w:shd w:val="clear" w:color="auto" w:fill="E7E6E6"/>
          </w:tcPr>
          <w:p w14:paraId="176D93C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Disability and inclusive adjustments, coverage under equality act and not</w:t>
            </w:r>
          </w:p>
        </w:tc>
        <w:tc>
          <w:tcPr>
            <w:tcW w:w="3827" w:type="dxa"/>
          </w:tcPr>
          <w:p w14:paraId="61CAB0C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5220FFF7" w14:textId="77777777" w:rsidTr="000729CF">
        <w:trPr>
          <w:trHeight w:val="20"/>
        </w:trPr>
        <w:tc>
          <w:tcPr>
            <w:tcW w:w="6658" w:type="dxa"/>
            <w:shd w:val="clear" w:color="auto" w:fill="E7E6E6"/>
          </w:tcPr>
          <w:p w14:paraId="649F922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Ethnicity, ‘Race’, ethnic heritage (including Gypsy, Roma, Travellers)</w:t>
            </w:r>
          </w:p>
        </w:tc>
        <w:tc>
          <w:tcPr>
            <w:tcW w:w="3827" w:type="dxa"/>
          </w:tcPr>
          <w:p w14:paraId="58B5D10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121A552A" w14:textId="77777777" w:rsidTr="000729CF">
        <w:trPr>
          <w:trHeight w:val="20"/>
        </w:trPr>
        <w:tc>
          <w:tcPr>
            <w:tcW w:w="6658" w:type="dxa"/>
            <w:shd w:val="clear" w:color="auto" w:fill="E7E6E6"/>
          </w:tcPr>
          <w:p w14:paraId="57087B5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Religion, Belief, Spirituality, Faith, or Atheism</w:t>
            </w:r>
          </w:p>
        </w:tc>
        <w:tc>
          <w:tcPr>
            <w:tcW w:w="3827" w:type="dxa"/>
          </w:tcPr>
          <w:p w14:paraId="7B6FFBC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4632529C" w14:textId="77777777" w:rsidTr="000729CF">
        <w:trPr>
          <w:trHeight w:val="20"/>
        </w:trPr>
        <w:tc>
          <w:tcPr>
            <w:tcW w:w="6658" w:type="dxa"/>
            <w:shd w:val="clear" w:color="auto" w:fill="E7E6E6"/>
          </w:tcPr>
          <w:p w14:paraId="1741E05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Identity and Sex (including non-binary and Intersex people)</w:t>
            </w:r>
          </w:p>
        </w:tc>
        <w:tc>
          <w:tcPr>
            <w:tcW w:w="3827" w:type="dxa"/>
          </w:tcPr>
          <w:p w14:paraId="5547FFE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56A03D4D" w14:textId="77777777" w:rsidTr="000729CF">
        <w:trPr>
          <w:trHeight w:val="20"/>
        </w:trPr>
        <w:tc>
          <w:tcPr>
            <w:tcW w:w="6658" w:type="dxa"/>
            <w:shd w:val="clear" w:color="auto" w:fill="E7E6E6"/>
          </w:tcPr>
          <w:p w14:paraId="1397FBE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3827" w:type="dxa"/>
          </w:tcPr>
          <w:p w14:paraId="48A7562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7282480A" w14:textId="77777777" w:rsidTr="000729CF">
        <w:trPr>
          <w:trHeight w:val="20"/>
        </w:trPr>
        <w:tc>
          <w:tcPr>
            <w:tcW w:w="6658" w:type="dxa"/>
            <w:shd w:val="clear" w:color="auto" w:fill="E7E6E6"/>
          </w:tcPr>
          <w:p w14:paraId="5C5CA2D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3827" w:type="dxa"/>
          </w:tcPr>
          <w:p w14:paraId="68DFF33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0149A7CE" w14:textId="77777777" w:rsidTr="000729CF">
        <w:trPr>
          <w:trHeight w:val="20"/>
        </w:trPr>
        <w:tc>
          <w:tcPr>
            <w:tcW w:w="6658" w:type="dxa"/>
            <w:shd w:val="clear" w:color="auto" w:fill="E7E6E6"/>
          </w:tcPr>
          <w:p w14:paraId="0B12974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3827" w:type="dxa"/>
          </w:tcPr>
          <w:p w14:paraId="63424B2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47507609" w14:textId="77777777" w:rsidTr="000729CF">
        <w:trPr>
          <w:trHeight w:val="20"/>
        </w:trPr>
        <w:tc>
          <w:tcPr>
            <w:tcW w:w="6658" w:type="dxa"/>
            <w:shd w:val="clear" w:color="auto" w:fill="E7E6E6"/>
          </w:tcPr>
          <w:p w14:paraId="01B749C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Pregnant people, Maternity, Paternity, Adoption, Menopause, (In)fertility (across the gender spectrum)</w:t>
            </w:r>
          </w:p>
        </w:tc>
        <w:tc>
          <w:tcPr>
            <w:tcW w:w="3827" w:type="dxa"/>
          </w:tcPr>
          <w:p w14:paraId="6F95224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26AA2A53" w14:textId="77777777" w:rsidTr="000729CF">
        <w:trPr>
          <w:trHeight w:val="20"/>
        </w:trPr>
        <w:tc>
          <w:tcPr>
            <w:tcW w:w="6658" w:type="dxa"/>
            <w:shd w:val="clear" w:color="auto" w:fill="E7E6E6"/>
          </w:tcPr>
          <w:p w14:paraId="74CD150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3827" w:type="dxa"/>
          </w:tcPr>
          <w:p w14:paraId="7AABAA1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7E71FD5B" w14:textId="77777777" w:rsidTr="000729CF">
        <w:trPr>
          <w:trHeight w:val="20"/>
        </w:trPr>
        <w:tc>
          <w:tcPr>
            <w:tcW w:w="6658" w:type="dxa"/>
            <w:shd w:val="clear" w:color="auto" w:fill="E7E6E6"/>
          </w:tcPr>
          <w:p w14:paraId="69267B81" w14:textId="77777777" w:rsidR="000729CF" w:rsidRPr="000729CF" w:rsidRDefault="000729CF" w:rsidP="000729CF">
            <w:pPr>
              <w:spacing w:after="120"/>
              <w:rPr>
                <w:rFonts w:ascii="Arial" w:hAnsi="Arial" w:cs="Arial"/>
                <w:b/>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p>
        </w:tc>
        <w:tc>
          <w:tcPr>
            <w:tcW w:w="3827" w:type="dxa"/>
          </w:tcPr>
          <w:p w14:paraId="045CFD6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719C97CF" w14:textId="77777777" w:rsidTr="000729CF">
        <w:trPr>
          <w:trHeight w:val="20"/>
        </w:trPr>
        <w:tc>
          <w:tcPr>
            <w:tcW w:w="6658" w:type="dxa"/>
            <w:shd w:val="clear" w:color="auto" w:fill="E7E6E6"/>
          </w:tcPr>
          <w:p w14:paraId="76117AF3" w14:textId="77777777" w:rsidR="000729CF" w:rsidRPr="000729CF" w:rsidRDefault="000729CF" w:rsidP="000729CF">
            <w:pPr>
              <w:spacing w:after="120"/>
              <w:rPr>
                <w:rFonts w:ascii="Arial" w:hAnsi="Arial" w:cs="Arial"/>
                <w:b/>
                <w:sz w:val="24"/>
                <w:szCs w:val="24"/>
              </w:rPr>
            </w:pPr>
            <w:r w:rsidRPr="000729CF">
              <w:rPr>
                <w:rFonts w:ascii="Arial" w:eastAsia="Calibri" w:hAnsi="Arial" w:cs="Arial"/>
                <w:b/>
                <w:bCs/>
                <w:color w:val="000000"/>
                <w:sz w:val="24"/>
                <w:szCs w:val="24"/>
              </w:rPr>
              <w:t>Carers</w:t>
            </w:r>
          </w:p>
        </w:tc>
        <w:tc>
          <w:tcPr>
            <w:tcW w:w="3827" w:type="dxa"/>
          </w:tcPr>
          <w:p w14:paraId="17A6B5E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1631B397" w14:textId="77777777" w:rsidTr="000729CF">
        <w:trPr>
          <w:trHeight w:val="20"/>
        </w:trPr>
        <w:tc>
          <w:tcPr>
            <w:tcW w:w="6658" w:type="dxa"/>
            <w:shd w:val="clear" w:color="auto" w:fill="E7E6E6"/>
          </w:tcPr>
          <w:p w14:paraId="1F78D1F1"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Looked after children, Care Leavers, Care and fostering experienced people</w:t>
            </w:r>
          </w:p>
        </w:tc>
        <w:tc>
          <w:tcPr>
            <w:tcW w:w="3827" w:type="dxa"/>
          </w:tcPr>
          <w:p w14:paraId="791ADA3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46C769F0" w14:textId="77777777" w:rsidTr="000729CF">
        <w:trPr>
          <w:trHeight w:val="20"/>
        </w:trPr>
        <w:tc>
          <w:tcPr>
            <w:tcW w:w="6658" w:type="dxa"/>
            <w:shd w:val="clear" w:color="auto" w:fill="E7E6E6"/>
          </w:tcPr>
          <w:p w14:paraId="0BC3726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 and   people in vulnerable situations (All aspects and intersections)</w:t>
            </w:r>
          </w:p>
        </w:tc>
        <w:tc>
          <w:tcPr>
            <w:tcW w:w="3827" w:type="dxa"/>
          </w:tcPr>
          <w:p w14:paraId="6408F5B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7C186DF4" w14:textId="77777777" w:rsidTr="000729CF">
        <w:trPr>
          <w:trHeight w:val="20"/>
        </w:trPr>
        <w:tc>
          <w:tcPr>
            <w:tcW w:w="6658" w:type="dxa"/>
            <w:shd w:val="clear" w:color="auto" w:fill="E7E6E6"/>
          </w:tcPr>
          <w:p w14:paraId="6B37EAB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Socio-economic Disadvantage</w:t>
            </w:r>
          </w:p>
        </w:tc>
        <w:tc>
          <w:tcPr>
            <w:tcW w:w="3827" w:type="dxa"/>
          </w:tcPr>
          <w:p w14:paraId="5B342FB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079A768F" w14:textId="77777777" w:rsidTr="000729CF">
        <w:trPr>
          <w:trHeight w:val="20"/>
        </w:trPr>
        <w:tc>
          <w:tcPr>
            <w:tcW w:w="6658" w:type="dxa"/>
            <w:shd w:val="clear" w:color="auto" w:fill="E7E6E6"/>
          </w:tcPr>
          <w:p w14:paraId="503F12F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Homelessness and associated risk and vulnerability</w:t>
            </w:r>
          </w:p>
        </w:tc>
        <w:tc>
          <w:tcPr>
            <w:tcW w:w="3827" w:type="dxa"/>
          </w:tcPr>
          <w:p w14:paraId="1EC85CB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1E49350C" w14:textId="77777777" w:rsidTr="000729CF">
        <w:trPr>
          <w:trHeight w:val="20"/>
        </w:trPr>
        <w:tc>
          <w:tcPr>
            <w:tcW w:w="6658" w:type="dxa"/>
            <w:shd w:val="clear" w:color="auto" w:fill="E7E6E6"/>
          </w:tcPr>
          <w:p w14:paraId="4BC312C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3827" w:type="dxa"/>
          </w:tcPr>
          <w:p w14:paraId="15B368E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p w14:paraId="1ECC4A40" w14:textId="77777777" w:rsidR="000729CF" w:rsidRPr="000729CF" w:rsidRDefault="000729CF" w:rsidP="000729CF">
            <w:pPr>
              <w:spacing w:after="120"/>
              <w:rPr>
                <w:rFonts w:ascii="Arial" w:eastAsia="Calibri" w:hAnsi="Arial" w:cs="Arial"/>
                <w:sz w:val="24"/>
                <w:szCs w:val="24"/>
              </w:rPr>
            </w:pPr>
          </w:p>
        </w:tc>
      </w:tr>
      <w:tr w:rsidR="000729CF" w:rsidRPr="000729CF" w14:paraId="0F0E0A96" w14:textId="77777777" w:rsidTr="000729CF">
        <w:trPr>
          <w:trHeight w:val="20"/>
        </w:trPr>
        <w:tc>
          <w:tcPr>
            <w:tcW w:w="6658" w:type="dxa"/>
            <w:shd w:val="clear" w:color="auto" w:fill="E7E6E6"/>
          </w:tcPr>
          <w:p w14:paraId="7984BEE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w:t>
            </w:r>
          </w:p>
          <w:p w14:paraId="749BE6C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Those experiencing substance misuse </w:t>
            </w:r>
          </w:p>
        </w:tc>
        <w:tc>
          <w:tcPr>
            <w:tcW w:w="3827" w:type="dxa"/>
          </w:tcPr>
          <w:p w14:paraId="1BF131B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 YES</w:t>
            </w:r>
          </w:p>
        </w:tc>
      </w:tr>
    </w:tbl>
    <w:p w14:paraId="28B8D7B0" w14:textId="77777777" w:rsidR="000729CF" w:rsidRPr="000729CF" w:rsidRDefault="000729CF" w:rsidP="000729CF">
      <w:pPr>
        <w:rPr>
          <w:rFonts w:ascii="Arial" w:eastAsia="Calibri" w:hAnsi="Arial" w:cs="Arial"/>
          <w:sz w:val="24"/>
          <w:szCs w:val="24"/>
          <w:lang w:val="en-GB"/>
        </w:rPr>
      </w:pPr>
    </w:p>
    <w:p w14:paraId="56374172"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20D68955"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615F5054"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2099872D"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3CE388F6"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000A2761"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209557D5"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1C574493"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5AEE735F"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08CCF7A7"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3A4589F9" w14:textId="77777777" w:rsidR="000729CF" w:rsidRPr="000729CF" w:rsidRDefault="000729CF" w:rsidP="000729CF">
      <w:pPr>
        <w:rPr>
          <w:rFonts w:ascii="Arial" w:eastAsia="Calibri" w:hAnsi="Arial" w:cs="Arial"/>
          <w:sz w:val="24"/>
          <w:szCs w:val="24"/>
          <w:lang w:val="en-GB"/>
        </w:rPr>
      </w:pPr>
    </w:p>
    <w:p w14:paraId="18CAFA2A"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If you answered “NO” to any of the above, how will you gather this data to enable improved monitoring of impact for this proposal?</w:t>
      </w:r>
    </w:p>
    <w:tbl>
      <w:tblPr>
        <w:tblStyle w:val="TableGrid"/>
        <w:tblW w:w="0" w:type="auto"/>
        <w:tblLook w:val="04A0" w:firstRow="1" w:lastRow="0" w:firstColumn="1" w:lastColumn="0" w:noHBand="0" w:noVBand="1"/>
      </w:tblPr>
      <w:tblGrid>
        <w:gridCol w:w="10456"/>
      </w:tblGrid>
      <w:tr w:rsidR="000729CF" w:rsidRPr="000729CF" w14:paraId="1B6B85B2" w14:textId="77777777" w:rsidTr="00BC26AB">
        <w:trPr>
          <w:trHeight w:val="757"/>
        </w:trPr>
        <w:tc>
          <w:tcPr>
            <w:tcW w:w="10456" w:type="dxa"/>
          </w:tcPr>
          <w:p w14:paraId="3DEBD58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bl>
    <w:p w14:paraId="06F4B57D" w14:textId="77777777" w:rsidR="000729CF" w:rsidRPr="000729CF" w:rsidRDefault="000729CF" w:rsidP="000729CF">
      <w:pPr>
        <w:rPr>
          <w:rFonts w:ascii="Arial" w:eastAsia="Calibri" w:hAnsi="Arial" w:cs="Arial"/>
          <w:sz w:val="24"/>
          <w:szCs w:val="24"/>
          <w:lang w:val="en-GB"/>
        </w:rPr>
      </w:pPr>
    </w:p>
    <w:p w14:paraId="74E33C3F" w14:textId="77777777" w:rsidR="000729CF" w:rsidRPr="000729CF" w:rsidRDefault="000729CF" w:rsidP="000729CF">
      <w:pPr>
        <w:rPr>
          <w:rFonts w:ascii="Arial" w:eastAsia="Calibri" w:hAnsi="Arial" w:cs="Arial"/>
          <w:sz w:val="24"/>
          <w:szCs w:val="24"/>
          <w:lang w:val="en-GB"/>
        </w:rPr>
      </w:pPr>
    </w:p>
    <w:p w14:paraId="4C8B33CC"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are the arrangements for monitoring, and reviewing the impact of this proposal?</w:t>
      </w:r>
    </w:p>
    <w:tbl>
      <w:tblPr>
        <w:tblStyle w:val="TableGrid"/>
        <w:tblW w:w="0" w:type="auto"/>
        <w:tblLook w:val="04A0" w:firstRow="1" w:lastRow="0" w:firstColumn="1" w:lastColumn="0" w:noHBand="0" w:noVBand="1"/>
      </w:tblPr>
      <w:tblGrid>
        <w:gridCol w:w="10456"/>
      </w:tblGrid>
      <w:tr w:rsidR="000729CF" w:rsidRPr="000729CF" w14:paraId="5852145C" w14:textId="77777777" w:rsidTr="00BC26AB">
        <w:trPr>
          <w:trHeight w:val="757"/>
        </w:trPr>
        <w:tc>
          <w:tcPr>
            <w:tcW w:w="10456" w:type="dxa"/>
          </w:tcPr>
          <w:p w14:paraId="134EFD2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This will be monitored through Entry to Care and Placement Review board as well as quarterly fostering placement and permanency board which included placement budget management review.</w:t>
            </w:r>
          </w:p>
        </w:tc>
      </w:tr>
    </w:tbl>
    <w:p w14:paraId="5FE3F5CC" w14:textId="77777777" w:rsidR="000729CF" w:rsidRPr="000729CF" w:rsidRDefault="000729CF" w:rsidP="000729CF">
      <w:pPr>
        <w:rPr>
          <w:rFonts w:ascii="Arial" w:eastAsia="Calibri" w:hAnsi="Arial" w:cs="Arial"/>
          <w:sz w:val="24"/>
          <w:szCs w:val="24"/>
          <w:lang w:val="en-GB"/>
        </w:rPr>
      </w:pPr>
    </w:p>
    <w:p w14:paraId="47596DEC" w14:textId="77777777" w:rsidR="000729CF" w:rsidRPr="000729CF" w:rsidRDefault="000729CF" w:rsidP="000729CF">
      <w:pPr>
        <w:rPr>
          <w:rFonts w:ascii="Arial" w:eastAsia="Calibri" w:hAnsi="Arial" w:cs="Arial"/>
          <w:sz w:val="24"/>
          <w:szCs w:val="24"/>
          <w:lang w:val="en-GB"/>
        </w:rPr>
      </w:pPr>
    </w:p>
    <w:p w14:paraId="4CDAD644"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Impacts</w:t>
      </w:r>
    </w:p>
    <w:p w14:paraId="025ADF40"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Briefly state source of data or data analysis being used to describe the </w:t>
      </w:r>
      <w:r w:rsidRPr="000729CF">
        <w:rPr>
          <w:rFonts w:ascii="Arial" w:eastAsia="Calibri" w:hAnsi="Arial" w:cs="Arial"/>
          <w:color w:val="000000"/>
          <w:sz w:val="24"/>
          <w:szCs w:val="24"/>
          <w:bdr w:val="none" w:sz="0" w:space="0" w:color="auto" w:frame="1"/>
          <w:lang w:val="en-GB"/>
        </w:rPr>
        <w:t xml:space="preserve">disproportionate negative impacts. </w:t>
      </w:r>
      <w:r w:rsidRPr="000729CF">
        <w:rPr>
          <w:rFonts w:ascii="Arial" w:eastAsia="Calibri" w:hAnsi="Arial" w:cs="Arial"/>
          <w:sz w:val="24"/>
          <w:szCs w:val="24"/>
          <w:lang w:val="en-GB"/>
        </w:rPr>
        <w:t xml:space="preserve">Preferably provide link to data/ analysis if open data source. </w:t>
      </w:r>
    </w:p>
    <w:tbl>
      <w:tblPr>
        <w:tblStyle w:val="TableGrid"/>
        <w:tblW w:w="10485" w:type="dxa"/>
        <w:tblLook w:val="04A0" w:firstRow="1" w:lastRow="0" w:firstColumn="1" w:lastColumn="0" w:noHBand="0" w:noVBand="1"/>
      </w:tblPr>
      <w:tblGrid>
        <w:gridCol w:w="2985"/>
        <w:gridCol w:w="2123"/>
        <w:gridCol w:w="5377"/>
      </w:tblGrid>
      <w:tr w:rsidR="000729CF" w:rsidRPr="000729CF" w14:paraId="00A7A7C6" w14:textId="77777777" w:rsidTr="000729CF">
        <w:trPr>
          <w:trHeight w:val="20"/>
        </w:trPr>
        <w:tc>
          <w:tcPr>
            <w:tcW w:w="2985" w:type="dxa"/>
            <w:shd w:val="clear" w:color="auto" w:fill="E7E6E6"/>
          </w:tcPr>
          <w:p w14:paraId="733346F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Assess impact for different population groups</w:t>
            </w:r>
          </w:p>
        </w:tc>
        <w:tc>
          <w:tcPr>
            <w:tcW w:w="2123" w:type="dxa"/>
            <w:shd w:val="clear" w:color="auto" w:fill="E7E6E6"/>
          </w:tcPr>
          <w:p w14:paraId="1136F5E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Is there a possible disproportionate negative impact? </w:t>
            </w:r>
          </w:p>
          <w:p w14:paraId="0483C2D6" w14:textId="77777777" w:rsidR="000729CF" w:rsidRPr="000729CF" w:rsidRDefault="000729CF" w:rsidP="000729CF">
            <w:pPr>
              <w:spacing w:after="120"/>
              <w:rPr>
                <w:rFonts w:ascii="Arial" w:eastAsia="Calibri" w:hAnsi="Arial" w:cs="Arial"/>
                <w:b/>
                <w:bCs/>
                <w:sz w:val="24"/>
                <w:szCs w:val="24"/>
              </w:rPr>
            </w:pPr>
          </w:p>
          <w:p w14:paraId="4DD6362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b/>
                <w:bCs/>
                <w:sz w:val="24"/>
                <w:szCs w:val="24"/>
              </w:rPr>
              <w:t>State Yes or No</w:t>
            </w:r>
          </w:p>
        </w:tc>
        <w:tc>
          <w:tcPr>
            <w:tcW w:w="5377" w:type="dxa"/>
            <w:shd w:val="clear" w:color="auto" w:fill="E7E6E6"/>
          </w:tcPr>
          <w:p w14:paraId="2DE848A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Describe the potential negative impact, considering for differences within groups For example, different ethnic groups, and peoples intersecting identities e.g. disabled women of faith</w:t>
            </w:r>
          </w:p>
          <w:p w14:paraId="43387B1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OR</w:t>
            </w:r>
          </w:p>
          <w:p w14:paraId="68D64F2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If no impact is identified, briefly state why.</w:t>
            </w:r>
          </w:p>
        </w:tc>
      </w:tr>
      <w:tr w:rsidR="000729CF" w:rsidRPr="000729CF" w14:paraId="73DE16D7" w14:textId="77777777" w:rsidTr="000729CF">
        <w:trPr>
          <w:trHeight w:val="20"/>
        </w:trPr>
        <w:tc>
          <w:tcPr>
            <w:tcW w:w="2985" w:type="dxa"/>
            <w:shd w:val="clear" w:color="auto" w:fill="E7E6E6"/>
          </w:tcPr>
          <w:p w14:paraId="3ADBFC2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Age </w:t>
            </w:r>
          </w:p>
          <w:p w14:paraId="2465E20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sz w:val="24"/>
                <w:szCs w:val="24"/>
              </w:rPr>
              <w:t>including those under 16, young adults, multiple ethnicities, those with various intersections.</w:t>
            </w:r>
          </w:p>
        </w:tc>
        <w:tc>
          <w:tcPr>
            <w:tcW w:w="2123" w:type="dxa"/>
          </w:tcPr>
          <w:p w14:paraId="739CF4C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shd w:val="clear" w:color="auto" w:fill="auto"/>
            <w:vAlign w:val="center"/>
          </w:tcPr>
          <w:p w14:paraId="6766F55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All the people this will impact will be under 18 and will be among the most vulnerable children in society, needing not only to be in care but those at risk of high-cost placement due to their needs</w:t>
            </w:r>
          </w:p>
        </w:tc>
      </w:tr>
      <w:tr w:rsidR="000729CF" w:rsidRPr="000729CF" w14:paraId="2EFF0507" w14:textId="77777777" w:rsidTr="000729CF">
        <w:trPr>
          <w:trHeight w:val="20"/>
        </w:trPr>
        <w:tc>
          <w:tcPr>
            <w:tcW w:w="2985" w:type="dxa"/>
            <w:shd w:val="clear" w:color="auto" w:fill="E7E6E6"/>
          </w:tcPr>
          <w:p w14:paraId="2A1F1DF5"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 xml:space="preserve">Disability </w:t>
            </w:r>
            <w:r w:rsidRPr="000729CF">
              <w:rPr>
                <w:rFonts w:ascii="Arial" w:eastAsia="Calibri" w:hAnsi="Arial" w:cs="Arial"/>
                <w:sz w:val="24"/>
                <w:szCs w:val="24"/>
              </w:rPr>
              <w:t>includes physical and sensory disabled, D/deaf, deafened, hard of hearing, blind, neurodiverse people, people with non-visible disabilities.</w:t>
            </w:r>
          </w:p>
        </w:tc>
        <w:tc>
          <w:tcPr>
            <w:tcW w:w="2123" w:type="dxa"/>
          </w:tcPr>
          <w:p w14:paraId="06CD108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shd w:val="clear" w:color="auto" w:fill="auto"/>
            <w:vAlign w:val="center"/>
          </w:tcPr>
          <w:p w14:paraId="0400D52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Many of the complex, hard to place young people will be either neurodiverse and or have a mental health illness. This creates complexities for their care and will put placements under pressure.  Often resulting in these young people needing externally provided specialist placements</w:t>
            </w:r>
          </w:p>
        </w:tc>
      </w:tr>
      <w:tr w:rsidR="000729CF" w:rsidRPr="000729CF" w14:paraId="6A04FB2F" w14:textId="77777777" w:rsidTr="000729CF">
        <w:trPr>
          <w:trHeight w:val="20"/>
        </w:trPr>
        <w:tc>
          <w:tcPr>
            <w:tcW w:w="2985" w:type="dxa"/>
            <w:shd w:val="clear" w:color="auto" w:fill="E7E6E6"/>
          </w:tcPr>
          <w:p w14:paraId="0870A3AE" w14:textId="77777777" w:rsidR="000729CF" w:rsidRPr="000729CF" w:rsidRDefault="000729CF" w:rsidP="000729CF">
            <w:pPr>
              <w:keepNext/>
              <w:keepLines/>
              <w:spacing w:before="40"/>
              <w:outlineLvl w:val="2"/>
              <w:rPr>
                <w:rFonts w:ascii="Arial" w:hAnsi="Arial" w:cs="Arial"/>
                <w:color w:val="1F3763"/>
                <w:sz w:val="24"/>
                <w:szCs w:val="24"/>
              </w:rPr>
            </w:pPr>
            <w:r w:rsidRPr="000729CF">
              <w:rPr>
                <w:rFonts w:ascii="Arial" w:hAnsi="Arial" w:cs="Arial"/>
                <w:b/>
                <w:bCs/>
                <w:color w:val="000000"/>
                <w:sz w:val="24"/>
                <w:szCs w:val="24"/>
              </w:rPr>
              <w:t>Ethnicity, ‘</w:t>
            </w:r>
            <w:r w:rsidRPr="000729CF">
              <w:rPr>
                <w:rFonts w:ascii="Arial" w:hAnsi="Arial" w:cs="Arial"/>
                <w:color w:val="000000"/>
                <w:sz w:val="24"/>
                <w:szCs w:val="24"/>
              </w:rPr>
              <w:t>Race’, ethnic heritage including Gypsy, Roma, Travellers</w:t>
            </w:r>
          </w:p>
        </w:tc>
        <w:tc>
          <w:tcPr>
            <w:tcW w:w="2123" w:type="dxa"/>
          </w:tcPr>
          <w:p w14:paraId="6443FE4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1F7F199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35% of children in care in Brighton &amp; Hove are Black or from the Global Majority. Of which there are currently 50 UASC. </w:t>
            </w:r>
          </w:p>
        </w:tc>
      </w:tr>
      <w:tr w:rsidR="000729CF" w:rsidRPr="000729CF" w14:paraId="19ABCFAC" w14:textId="77777777" w:rsidTr="000729CF">
        <w:trPr>
          <w:trHeight w:val="20"/>
        </w:trPr>
        <w:tc>
          <w:tcPr>
            <w:tcW w:w="2985" w:type="dxa"/>
            <w:shd w:val="clear" w:color="auto" w:fill="E7E6E6"/>
          </w:tcPr>
          <w:p w14:paraId="5C2531A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Religion, Spirituality, Faith, Atheism, and philosophical belief </w:t>
            </w:r>
          </w:p>
        </w:tc>
        <w:tc>
          <w:tcPr>
            <w:tcW w:w="2123" w:type="dxa"/>
          </w:tcPr>
          <w:p w14:paraId="19EEF65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7F6D283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disproportionate impact for this group</w:t>
            </w:r>
          </w:p>
        </w:tc>
      </w:tr>
      <w:tr w:rsidR="000729CF" w:rsidRPr="000729CF" w14:paraId="33BB8047" w14:textId="77777777" w:rsidTr="000729CF">
        <w:trPr>
          <w:trHeight w:val="20"/>
        </w:trPr>
        <w:tc>
          <w:tcPr>
            <w:tcW w:w="2985" w:type="dxa"/>
            <w:shd w:val="clear" w:color="auto" w:fill="E7E6E6"/>
          </w:tcPr>
          <w:p w14:paraId="6F4AB44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Gender and Sex </w:t>
            </w:r>
            <w:r w:rsidRPr="000729CF">
              <w:rPr>
                <w:rFonts w:ascii="Arial" w:eastAsia="Calibri" w:hAnsi="Arial" w:cs="Arial"/>
                <w:sz w:val="24"/>
                <w:szCs w:val="24"/>
              </w:rPr>
              <w:t>including non-binary and intersex people</w:t>
            </w:r>
          </w:p>
        </w:tc>
        <w:tc>
          <w:tcPr>
            <w:tcW w:w="2123" w:type="dxa"/>
          </w:tcPr>
          <w:p w14:paraId="1FF3DE5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69A6814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bCs/>
                <w:sz w:val="24"/>
                <w:szCs w:val="24"/>
              </w:rPr>
              <w:t>A number of children in care identify as non-binary or trans. These young people will often also have additional complex needs and vulnerability and may require placement in more specialist residential provision. Cuts in residential placements will impact these young people.</w:t>
            </w:r>
          </w:p>
        </w:tc>
      </w:tr>
      <w:tr w:rsidR="000729CF" w:rsidRPr="000729CF" w14:paraId="23707A20" w14:textId="77777777" w:rsidTr="000729CF">
        <w:trPr>
          <w:trHeight w:val="20"/>
        </w:trPr>
        <w:tc>
          <w:tcPr>
            <w:tcW w:w="2985" w:type="dxa"/>
            <w:shd w:val="clear" w:color="auto" w:fill="E7E6E6"/>
          </w:tcPr>
          <w:p w14:paraId="3B34EFB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2123" w:type="dxa"/>
          </w:tcPr>
          <w:p w14:paraId="78DC599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N/a</w:t>
            </w:r>
          </w:p>
        </w:tc>
        <w:tc>
          <w:tcPr>
            <w:tcW w:w="5377" w:type="dxa"/>
          </w:tcPr>
          <w:p w14:paraId="38655B6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N/a</w:t>
            </w:r>
          </w:p>
        </w:tc>
      </w:tr>
      <w:tr w:rsidR="000729CF" w:rsidRPr="000729CF" w14:paraId="4FCB2D5E" w14:textId="77777777" w:rsidTr="000729CF">
        <w:trPr>
          <w:trHeight w:val="20"/>
        </w:trPr>
        <w:tc>
          <w:tcPr>
            <w:tcW w:w="2985" w:type="dxa"/>
            <w:shd w:val="clear" w:color="auto" w:fill="E7E6E6"/>
          </w:tcPr>
          <w:p w14:paraId="2D09F33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2123" w:type="dxa"/>
          </w:tcPr>
          <w:p w14:paraId="71C3894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N/a</w:t>
            </w:r>
          </w:p>
        </w:tc>
        <w:tc>
          <w:tcPr>
            <w:tcW w:w="5377" w:type="dxa"/>
          </w:tcPr>
          <w:p w14:paraId="7576208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N/a</w:t>
            </w:r>
          </w:p>
        </w:tc>
      </w:tr>
      <w:tr w:rsidR="000729CF" w:rsidRPr="000729CF" w14:paraId="366E02C1" w14:textId="77777777" w:rsidTr="000729CF">
        <w:trPr>
          <w:trHeight w:val="20"/>
        </w:trPr>
        <w:tc>
          <w:tcPr>
            <w:tcW w:w="2985" w:type="dxa"/>
            <w:shd w:val="clear" w:color="auto" w:fill="E7E6E6"/>
          </w:tcPr>
          <w:p w14:paraId="409843E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2123" w:type="dxa"/>
          </w:tcPr>
          <w:p w14:paraId="2C716C6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N/a</w:t>
            </w:r>
          </w:p>
        </w:tc>
        <w:tc>
          <w:tcPr>
            <w:tcW w:w="5377" w:type="dxa"/>
          </w:tcPr>
          <w:p w14:paraId="165783F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N/a</w:t>
            </w:r>
          </w:p>
        </w:tc>
      </w:tr>
      <w:tr w:rsidR="000729CF" w:rsidRPr="000729CF" w14:paraId="384A4E64" w14:textId="77777777" w:rsidTr="000729CF">
        <w:trPr>
          <w:trHeight w:val="20"/>
        </w:trPr>
        <w:tc>
          <w:tcPr>
            <w:tcW w:w="2985" w:type="dxa"/>
            <w:shd w:val="clear" w:color="auto" w:fill="E7E6E6"/>
          </w:tcPr>
          <w:p w14:paraId="356C7B2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Pregnancy, Maternity, Paternity, Adoption, Menopause, (In)fertility </w:t>
            </w:r>
            <w:r w:rsidRPr="000729CF">
              <w:rPr>
                <w:rFonts w:ascii="Arial" w:eastAsia="Calibri" w:hAnsi="Arial" w:cs="Arial"/>
                <w:color w:val="000000"/>
                <w:sz w:val="24"/>
                <w:szCs w:val="24"/>
              </w:rPr>
              <w:t>(across intersections and non-binary gender spectrum)</w:t>
            </w:r>
          </w:p>
        </w:tc>
        <w:tc>
          <w:tcPr>
            <w:tcW w:w="2123" w:type="dxa"/>
          </w:tcPr>
          <w:p w14:paraId="1DBD8D9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N/a</w:t>
            </w:r>
          </w:p>
        </w:tc>
        <w:tc>
          <w:tcPr>
            <w:tcW w:w="5377" w:type="dxa"/>
          </w:tcPr>
          <w:p w14:paraId="0BEDAE7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N/a</w:t>
            </w:r>
          </w:p>
        </w:tc>
      </w:tr>
      <w:tr w:rsidR="000729CF" w:rsidRPr="000729CF" w14:paraId="0167BD59" w14:textId="77777777" w:rsidTr="000729CF">
        <w:trPr>
          <w:trHeight w:val="20"/>
        </w:trPr>
        <w:tc>
          <w:tcPr>
            <w:tcW w:w="2985" w:type="dxa"/>
            <w:shd w:val="clear" w:color="auto" w:fill="E7E6E6"/>
          </w:tcPr>
          <w:p w14:paraId="15AE194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2123" w:type="dxa"/>
          </w:tcPr>
          <w:p w14:paraId="530CDFE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N/a</w:t>
            </w:r>
          </w:p>
        </w:tc>
        <w:tc>
          <w:tcPr>
            <w:tcW w:w="5377" w:type="dxa"/>
          </w:tcPr>
          <w:p w14:paraId="2FF5BD3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N/a</w:t>
            </w:r>
          </w:p>
        </w:tc>
      </w:tr>
      <w:tr w:rsidR="000729CF" w:rsidRPr="000729CF" w14:paraId="32ADB605" w14:textId="77777777" w:rsidTr="000729CF">
        <w:trPr>
          <w:trHeight w:val="20"/>
        </w:trPr>
        <w:tc>
          <w:tcPr>
            <w:tcW w:w="2985" w:type="dxa"/>
            <w:shd w:val="clear" w:color="auto" w:fill="E7E6E6"/>
          </w:tcPr>
          <w:p w14:paraId="03D7A9D2" w14:textId="77777777" w:rsidR="000729CF" w:rsidRPr="000729CF" w:rsidRDefault="000729CF" w:rsidP="000729CF">
            <w:pPr>
              <w:spacing w:after="120"/>
              <w:rPr>
                <w:rFonts w:ascii="Arial" w:eastAsia="Calibri" w:hAnsi="Arial" w:cs="Arial"/>
                <w:b/>
                <w:bCs/>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r w:rsidRPr="000729CF">
              <w:rPr>
                <w:rFonts w:ascii="Arial" w:hAnsi="Arial" w:cs="Arial"/>
                <w:color w:val="000000"/>
                <w:sz w:val="24"/>
                <w:szCs w:val="24"/>
              </w:rPr>
              <w:t>considering for age, language, and various intersections</w:t>
            </w:r>
          </w:p>
        </w:tc>
        <w:tc>
          <w:tcPr>
            <w:tcW w:w="2123" w:type="dxa"/>
          </w:tcPr>
          <w:p w14:paraId="039A906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5BA22D0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It will impact on all our UASC young people and UASC are leavers. </w:t>
            </w:r>
          </w:p>
          <w:p w14:paraId="77A5E77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UASC are often placed in external providers, due to their age and needs, any reduction in budget and reduction in the use of agency placements will not only affect the Black and global majority children in care but also on the commissioning of placements for the UASC young people as they arrive.</w:t>
            </w:r>
          </w:p>
        </w:tc>
      </w:tr>
      <w:tr w:rsidR="000729CF" w:rsidRPr="000729CF" w14:paraId="7CA62206" w14:textId="77777777" w:rsidTr="000729CF">
        <w:trPr>
          <w:trHeight w:val="20"/>
        </w:trPr>
        <w:tc>
          <w:tcPr>
            <w:tcW w:w="2985" w:type="dxa"/>
            <w:shd w:val="clear" w:color="auto" w:fill="E7E6E6"/>
          </w:tcPr>
          <w:p w14:paraId="4D2CA5F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Carers </w:t>
            </w:r>
            <w:r w:rsidRPr="000729CF">
              <w:rPr>
                <w:rFonts w:ascii="Arial" w:hAnsi="Arial" w:cs="Arial"/>
                <w:color w:val="000000"/>
                <w:sz w:val="24"/>
                <w:szCs w:val="24"/>
              </w:rPr>
              <w:t>considering for age, language, and various intersections</w:t>
            </w:r>
          </w:p>
        </w:tc>
        <w:tc>
          <w:tcPr>
            <w:tcW w:w="2123" w:type="dxa"/>
          </w:tcPr>
          <w:p w14:paraId="44E81839" w14:textId="77777777" w:rsidR="000729CF" w:rsidRPr="000729CF" w:rsidRDefault="000729CF" w:rsidP="000729CF">
            <w:pPr>
              <w:spacing w:after="120"/>
              <w:rPr>
                <w:rFonts w:ascii="Arial" w:eastAsia="Calibri" w:hAnsi="Arial" w:cs="Arial"/>
                <w:sz w:val="24"/>
                <w:szCs w:val="24"/>
              </w:rPr>
            </w:pPr>
          </w:p>
        </w:tc>
        <w:tc>
          <w:tcPr>
            <w:tcW w:w="5377" w:type="dxa"/>
          </w:tcPr>
          <w:p w14:paraId="16F62996" w14:textId="77777777" w:rsidR="000729CF" w:rsidRPr="000729CF" w:rsidRDefault="000729CF" w:rsidP="000729CF">
            <w:pPr>
              <w:spacing w:after="120"/>
              <w:rPr>
                <w:rFonts w:ascii="Arial" w:eastAsia="Calibri" w:hAnsi="Arial" w:cs="Arial"/>
                <w:sz w:val="24"/>
                <w:szCs w:val="24"/>
              </w:rPr>
            </w:pPr>
          </w:p>
        </w:tc>
      </w:tr>
      <w:tr w:rsidR="000729CF" w:rsidRPr="000729CF" w14:paraId="731B1639" w14:textId="77777777" w:rsidTr="000729CF">
        <w:trPr>
          <w:trHeight w:val="20"/>
        </w:trPr>
        <w:tc>
          <w:tcPr>
            <w:tcW w:w="2985" w:type="dxa"/>
            <w:shd w:val="clear" w:color="auto" w:fill="E7E6E6"/>
          </w:tcPr>
          <w:p w14:paraId="0C744BC6"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 xml:space="preserve">Looked after children, Care Leavers, Care and fostering experienced people </w:t>
            </w:r>
            <w:r w:rsidRPr="000729CF">
              <w:rPr>
                <w:rFonts w:ascii="Arial" w:hAnsi="Arial" w:cs="Arial"/>
                <w:color w:val="000000"/>
                <w:sz w:val="24"/>
                <w:szCs w:val="24"/>
              </w:rPr>
              <w:t>considering for age, language, and various intersections</w:t>
            </w:r>
          </w:p>
        </w:tc>
        <w:tc>
          <w:tcPr>
            <w:tcW w:w="2123" w:type="dxa"/>
          </w:tcPr>
          <w:p w14:paraId="648BADB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5D93331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All the children will be looked after or care leavers and it will impact in their placements and decisions made at times will be budget led.</w:t>
            </w:r>
          </w:p>
        </w:tc>
      </w:tr>
      <w:tr w:rsidR="000729CF" w:rsidRPr="000729CF" w14:paraId="2EBDFFDC" w14:textId="77777777" w:rsidTr="000729CF">
        <w:trPr>
          <w:trHeight w:val="20"/>
        </w:trPr>
        <w:tc>
          <w:tcPr>
            <w:tcW w:w="2985" w:type="dxa"/>
            <w:shd w:val="clear" w:color="auto" w:fill="E7E6E6"/>
          </w:tcPr>
          <w:p w14:paraId="71307CF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w:t>
            </w:r>
          </w:p>
        </w:tc>
        <w:tc>
          <w:tcPr>
            <w:tcW w:w="2123" w:type="dxa"/>
          </w:tcPr>
          <w:p w14:paraId="6C3818E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3F1F4C4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Children in care are more likely to have come from families that have experienced DV, therefore any cuts in services that impact on children in care will impact on those children affected by DV</w:t>
            </w:r>
          </w:p>
        </w:tc>
      </w:tr>
      <w:tr w:rsidR="000729CF" w:rsidRPr="000729CF" w14:paraId="12F60306" w14:textId="77777777" w:rsidTr="000729CF">
        <w:trPr>
          <w:trHeight w:val="20"/>
        </w:trPr>
        <w:tc>
          <w:tcPr>
            <w:tcW w:w="2985" w:type="dxa"/>
            <w:shd w:val="clear" w:color="auto" w:fill="E7E6E6"/>
          </w:tcPr>
          <w:p w14:paraId="4A0D5A0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Socio-economic disadvantage </w:t>
            </w:r>
            <w:r w:rsidRPr="000729CF">
              <w:rPr>
                <w:rFonts w:ascii="Arial" w:eastAsia="Calibri" w:hAnsi="Arial" w:cs="Arial"/>
                <w:color w:val="000000"/>
                <w:sz w:val="24"/>
                <w:szCs w:val="24"/>
              </w:rPr>
              <w:t>considering for age, disability, D/deaf/ blind, ethnicity, expatriate background, and various intersections</w:t>
            </w:r>
          </w:p>
        </w:tc>
        <w:tc>
          <w:tcPr>
            <w:tcW w:w="2123" w:type="dxa"/>
          </w:tcPr>
          <w:p w14:paraId="7D42FCA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0DE4860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Children in care are more likely to have come from families in poverty, therefore any cuts in services that impact on children in care will impact on those children affected by childhood poverty</w:t>
            </w:r>
          </w:p>
        </w:tc>
      </w:tr>
      <w:tr w:rsidR="000729CF" w:rsidRPr="000729CF" w14:paraId="03B6DFDC" w14:textId="77777777" w:rsidTr="000729CF">
        <w:trPr>
          <w:trHeight w:val="20"/>
        </w:trPr>
        <w:tc>
          <w:tcPr>
            <w:tcW w:w="2985" w:type="dxa"/>
            <w:shd w:val="clear" w:color="auto" w:fill="E7E6E6"/>
          </w:tcPr>
          <w:p w14:paraId="02DEC02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Homeless and rough sleepers </w:t>
            </w:r>
            <w:r w:rsidRPr="000729CF">
              <w:rPr>
                <w:rFonts w:ascii="Arial" w:eastAsia="Calibri" w:hAnsi="Arial" w:cs="Arial"/>
                <w:color w:val="000000"/>
                <w:sz w:val="24"/>
                <w:szCs w:val="24"/>
              </w:rPr>
              <w:t>considering for age, veteran, ethnicity, language, and various intersections</w:t>
            </w:r>
          </w:p>
        </w:tc>
        <w:tc>
          <w:tcPr>
            <w:tcW w:w="2123" w:type="dxa"/>
          </w:tcPr>
          <w:p w14:paraId="367EF3E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n/a</w:t>
            </w:r>
          </w:p>
        </w:tc>
        <w:tc>
          <w:tcPr>
            <w:tcW w:w="5377" w:type="dxa"/>
          </w:tcPr>
          <w:p w14:paraId="3F60E82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n/a</w:t>
            </w:r>
          </w:p>
        </w:tc>
      </w:tr>
      <w:tr w:rsidR="000729CF" w:rsidRPr="000729CF" w14:paraId="2F479C8D" w14:textId="77777777" w:rsidTr="000729CF">
        <w:trPr>
          <w:trHeight w:val="20"/>
        </w:trPr>
        <w:tc>
          <w:tcPr>
            <w:tcW w:w="2985" w:type="dxa"/>
            <w:shd w:val="clear" w:color="auto" w:fill="E7E6E6"/>
          </w:tcPr>
          <w:p w14:paraId="19B6BD8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2123" w:type="dxa"/>
          </w:tcPr>
          <w:p w14:paraId="1291F69B" w14:textId="77777777" w:rsidR="000729CF" w:rsidRPr="000729CF" w:rsidRDefault="000729CF" w:rsidP="000729CF">
            <w:pPr>
              <w:spacing w:after="120"/>
              <w:rPr>
                <w:rFonts w:ascii="Arial" w:eastAsia="Calibri" w:hAnsi="Arial" w:cs="Arial"/>
                <w:sz w:val="24"/>
                <w:szCs w:val="24"/>
              </w:rPr>
            </w:pPr>
          </w:p>
        </w:tc>
        <w:tc>
          <w:tcPr>
            <w:tcW w:w="5377" w:type="dxa"/>
          </w:tcPr>
          <w:p w14:paraId="04AE56E1" w14:textId="77777777" w:rsidR="000729CF" w:rsidRPr="000729CF" w:rsidRDefault="000729CF" w:rsidP="000729CF">
            <w:pPr>
              <w:spacing w:after="120"/>
              <w:rPr>
                <w:rFonts w:ascii="Arial" w:eastAsia="Calibri" w:hAnsi="Arial" w:cs="Arial"/>
                <w:sz w:val="24"/>
                <w:szCs w:val="24"/>
              </w:rPr>
            </w:pPr>
          </w:p>
        </w:tc>
      </w:tr>
      <w:tr w:rsidR="000729CF" w:rsidRPr="000729CF" w14:paraId="191C683E" w14:textId="77777777" w:rsidTr="000729CF">
        <w:trPr>
          <w:trHeight w:val="20"/>
        </w:trPr>
        <w:tc>
          <w:tcPr>
            <w:tcW w:w="2985" w:type="dxa"/>
            <w:shd w:val="clear" w:color="auto" w:fill="E7E6E6"/>
          </w:tcPr>
          <w:p w14:paraId="694DAA8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w:t>
            </w:r>
            <w:r w:rsidRPr="000729CF">
              <w:rPr>
                <w:rFonts w:ascii="Arial" w:eastAsia="Calibri" w:hAnsi="Arial" w:cs="Arial"/>
                <w:sz w:val="24"/>
                <w:szCs w:val="24"/>
              </w:rPr>
              <w:t xml:space="preserve"> </w:t>
            </w:r>
            <w:r w:rsidRPr="000729CF">
              <w:rPr>
                <w:rFonts w:ascii="Arial" w:eastAsia="Calibri" w:hAnsi="Arial" w:cs="Arial"/>
                <w:b/>
                <w:bCs/>
                <w:sz w:val="24"/>
                <w:szCs w:val="24"/>
              </w:rPr>
              <w:t>Substance misuse</w:t>
            </w:r>
          </w:p>
        </w:tc>
        <w:tc>
          <w:tcPr>
            <w:tcW w:w="2123" w:type="dxa"/>
          </w:tcPr>
          <w:p w14:paraId="63931C8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c>
          <w:tcPr>
            <w:tcW w:w="5377" w:type="dxa"/>
          </w:tcPr>
          <w:p w14:paraId="1DBA8F6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Children in care are more likely to have come from families who have experienced substance misuse, therefore any cuts in services that impact on children in care will impact on those children affected by childhood poverty</w:t>
            </w:r>
          </w:p>
        </w:tc>
      </w:tr>
    </w:tbl>
    <w:p w14:paraId="71D7D5BB" w14:textId="77777777" w:rsidR="000729CF" w:rsidRPr="000729CF" w:rsidRDefault="000729CF" w:rsidP="000729CF">
      <w:pPr>
        <w:spacing w:after="160" w:line="259" w:lineRule="auto"/>
        <w:rPr>
          <w:rFonts w:ascii="Arial" w:eastAsia="Calibri" w:hAnsi="Arial" w:cs="Arial"/>
          <w:b/>
          <w:bCs/>
          <w:sz w:val="24"/>
          <w:szCs w:val="24"/>
          <w:lang w:val="en-GB"/>
        </w:rPr>
      </w:pPr>
    </w:p>
    <w:p w14:paraId="002F6485"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352FDFEA"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08ADE430"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1217AE94"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31910C87"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249A69B1"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52D56C30"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60A452D0"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1B09EC8D"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66C4A1C8"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207F5737" w14:textId="77777777" w:rsidR="000729CF" w:rsidRPr="000729CF" w:rsidRDefault="000729CF" w:rsidP="000729CF">
      <w:pPr>
        <w:rPr>
          <w:rFonts w:ascii="Arial" w:eastAsia="Calibri" w:hAnsi="Arial" w:cs="Arial"/>
          <w:sz w:val="24"/>
          <w:szCs w:val="24"/>
          <w:lang w:val="en-GB"/>
        </w:rPr>
      </w:pPr>
    </w:p>
    <w:p w14:paraId="50419F7D"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Cumulative impacts</w:t>
      </w:r>
    </w:p>
    <w:p w14:paraId="00905555"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Are there other budget proposals from other service areas that might worsen or mitigate the impacts from your proposal? Please give a brief description including name of other service(s).</w:t>
      </w:r>
    </w:p>
    <w:tbl>
      <w:tblPr>
        <w:tblStyle w:val="TableGrid"/>
        <w:tblW w:w="0" w:type="auto"/>
        <w:tblLook w:val="04A0" w:firstRow="1" w:lastRow="0" w:firstColumn="1" w:lastColumn="0" w:noHBand="0" w:noVBand="1"/>
      </w:tblPr>
      <w:tblGrid>
        <w:gridCol w:w="10456"/>
      </w:tblGrid>
      <w:tr w:rsidR="000729CF" w:rsidRPr="000729CF" w14:paraId="50E517C5" w14:textId="77777777" w:rsidTr="00BC26AB">
        <w:tc>
          <w:tcPr>
            <w:tcW w:w="10456" w:type="dxa"/>
          </w:tcPr>
          <w:p w14:paraId="3C2645F7"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 xml:space="preserve">Cuts in the contact service may lead to additional charges in this area if we need to ask carers and care providers to supervise contact. </w:t>
            </w:r>
          </w:p>
          <w:p w14:paraId="2356F564" w14:textId="77777777" w:rsidR="000729CF" w:rsidRPr="000729CF" w:rsidRDefault="000729CF" w:rsidP="000729CF">
            <w:pPr>
              <w:rPr>
                <w:rFonts w:ascii="Arial" w:eastAsia="Calibri" w:hAnsi="Arial" w:cs="Arial"/>
                <w:sz w:val="24"/>
                <w:szCs w:val="24"/>
              </w:rPr>
            </w:pPr>
          </w:p>
          <w:p w14:paraId="5A10C868" w14:textId="77777777" w:rsidR="000729CF" w:rsidRPr="000729CF" w:rsidRDefault="000729CF" w:rsidP="000729CF">
            <w:pPr>
              <w:rPr>
                <w:rFonts w:ascii="Arial" w:eastAsia="Calibri" w:hAnsi="Arial" w:cs="Arial"/>
                <w:sz w:val="24"/>
                <w:szCs w:val="24"/>
              </w:rPr>
            </w:pPr>
          </w:p>
        </w:tc>
      </w:tr>
    </w:tbl>
    <w:p w14:paraId="7FCDC02C" w14:textId="77777777" w:rsidR="000729CF" w:rsidRPr="000729CF" w:rsidRDefault="000729CF" w:rsidP="000729CF">
      <w:pPr>
        <w:spacing w:after="160" w:line="259" w:lineRule="auto"/>
        <w:rPr>
          <w:rFonts w:ascii="Arial" w:eastAsia="Calibri" w:hAnsi="Arial" w:cs="Arial"/>
          <w:sz w:val="24"/>
          <w:szCs w:val="24"/>
          <w:lang w:val="en-GB"/>
        </w:rPr>
      </w:pPr>
    </w:p>
    <w:p w14:paraId="13524F80"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Action planning</w:t>
      </w:r>
    </w:p>
    <w:p w14:paraId="57C08A2F"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SMART actions will be taken to mitigate the disproportionate impacts identified in section 3? If no mitigating action is possible, please state and explain why. Add additional rows as required. </w:t>
      </w:r>
    </w:p>
    <w:tbl>
      <w:tblPr>
        <w:tblStyle w:val="TableGrid"/>
        <w:tblW w:w="0" w:type="auto"/>
        <w:tblLook w:val="04A0" w:firstRow="1" w:lastRow="0" w:firstColumn="1" w:lastColumn="0" w:noHBand="0" w:noVBand="1"/>
      </w:tblPr>
      <w:tblGrid>
        <w:gridCol w:w="10456"/>
      </w:tblGrid>
      <w:tr w:rsidR="000729CF" w:rsidRPr="000729CF" w14:paraId="788422C3" w14:textId="77777777" w:rsidTr="00BC26AB">
        <w:trPr>
          <w:trHeight w:val="847"/>
        </w:trPr>
        <w:tc>
          <w:tcPr>
            <w:tcW w:w="10456" w:type="dxa"/>
          </w:tcPr>
          <w:p w14:paraId="10821F1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SMART action 1:</w:t>
            </w:r>
          </w:p>
          <w:p w14:paraId="6AF086E8" w14:textId="77777777" w:rsidR="000729CF" w:rsidRPr="000729CF" w:rsidRDefault="000729CF" w:rsidP="000729CF">
            <w:pPr>
              <w:rPr>
                <w:rFonts w:ascii="Arial" w:hAnsi="Arial" w:cs="Arial"/>
                <w:bCs/>
                <w:spacing w:val="-2"/>
                <w:sz w:val="24"/>
                <w:szCs w:val="24"/>
                <w:lang w:eastAsia="en-GB"/>
              </w:rPr>
            </w:pPr>
            <w:r w:rsidRPr="000729CF">
              <w:rPr>
                <w:rFonts w:ascii="Arial" w:hAnsi="Arial" w:cs="Arial"/>
                <w:bCs/>
                <w:spacing w:val="-2"/>
                <w:sz w:val="24"/>
                <w:szCs w:val="24"/>
                <w:lang w:eastAsia="en-GB"/>
              </w:rPr>
              <w:t>We are a demand lead service and are</w:t>
            </w:r>
            <w:r w:rsidRPr="000729CF">
              <w:rPr>
                <w:rFonts w:ascii="Arial" w:hAnsi="Arial" w:cs="Arial"/>
                <w:bCs/>
                <w:spacing w:val="-2"/>
                <w:sz w:val="28"/>
                <w:szCs w:val="28"/>
                <w:lang w:eastAsia="en-GB"/>
              </w:rPr>
              <w:t xml:space="preserve"> </w:t>
            </w:r>
            <w:r w:rsidRPr="000729CF">
              <w:rPr>
                <w:rFonts w:ascii="Arial" w:hAnsi="Arial" w:cs="Arial"/>
                <w:bCs/>
                <w:spacing w:val="-2"/>
                <w:sz w:val="24"/>
                <w:szCs w:val="24"/>
                <w:lang w:eastAsia="en-GB"/>
              </w:rPr>
              <w:t>therefore not able to reduce the demand as such, while doing everything possible to prevent children coming into care, when needed children are taken into care.</w:t>
            </w:r>
          </w:p>
          <w:p w14:paraId="28745749" w14:textId="77777777" w:rsidR="000729CF" w:rsidRPr="000729CF" w:rsidRDefault="000729CF" w:rsidP="000729CF">
            <w:pPr>
              <w:rPr>
                <w:rFonts w:ascii="Arial Bold" w:hAnsi="Arial Bold" w:cs="Arial"/>
                <w:b/>
                <w:spacing w:val="-2"/>
                <w:sz w:val="24"/>
                <w:szCs w:val="24"/>
                <w:lang w:eastAsia="en-GB"/>
              </w:rPr>
            </w:pPr>
          </w:p>
          <w:p w14:paraId="12455FAB" w14:textId="77777777" w:rsidR="000729CF" w:rsidRPr="000729CF" w:rsidRDefault="000729CF" w:rsidP="000729CF">
            <w:pPr>
              <w:rPr>
                <w:rFonts w:ascii="Arial" w:hAnsi="Arial" w:cs="Arial"/>
                <w:bCs/>
                <w:spacing w:val="-2"/>
                <w:sz w:val="24"/>
                <w:szCs w:val="24"/>
                <w:lang w:eastAsia="en-GB"/>
              </w:rPr>
            </w:pPr>
            <w:r w:rsidRPr="000729CF">
              <w:rPr>
                <w:rFonts w:ascii="Arial" w:hAnsi="Arial" w:cs="Arial"/>
                <w:bCs/>
                <w:spacing w:val="-2"/>
                <w:sz w:val="24"/>
                <w:szCs w:val="24"/>
                <w:lang w:eastAsia="en-GB"/>
              </w:rPr>
              <w:t xml:space="preserve">Due to the pressure above it is likely that even reducing the numbers of children in care will not see the overall costs reduce. Any reduction in budget will make it hard to place our most vulnerable young people. </w:t>
            </w:r>
          </w:p>
          <w:p w14:paraId="0A73D5ED" w14:textId="77777777" w:rsidR="000729CF" w:rsidRPr="000729CF" w:rsidRDefault="000729CF" w:rsidP="000729CF">
            <w:pPr>
              <w:rPr>
                <w:rFonts w:ascii="Arial" w:hAnsi="Arial" w:cs="Arial"/>
                <w:bCs/>
                <w:spacing w:val="-2"/>
                <w:sz w:val="24"/>
                <w:szCs w:val="24"/>
                <w:lang w:eastAsia="en-GB"/>
              </w:rPr>
            </w:pPr>
          </w:p>
          <w:p w14:paraId="18E29E6C" w14:textId="77777777" w:rsidR="000729CF" w:rsidRPr="000729CF" w:rsidRDefault="000729CF" w:rsidP="000729CF">
            <w:pPr>
              <w:rPr>
                <w:rFonts w:ascii="Arial" w:hAnsi="Arial" w:cs="Arial"/>
                <w:bCs/>
                <w:spacing w:val="-2"/>
                <w:sz w:val="24"/>
                <w:szCs w:val="24"/>
                <w:lang w:eastAsia="en-GB"/>
              </w:rPr>
            </w:pPr>
            <w:r w:rsidRPr="000729CF">
              <w:rPr>
                <w:rFonts w:ascii="Arial" w:hAnsi="Arial" w:cs="Arial"/>
                <w:bCs/>
                <w:spacing w:val="-2"/>
                <w:sz w:val="24"/>
                <w:szCs w:val="24"/>
                <w:lang w:eastAsia="en-GB"/>
              </w:rPr>
              <w:t xml:space="preserve">However we are working with the new national program to develop a regional fostering hub and of Mockingbird, a national programme to support foster cares via small community hubs, it is anticipated this will reduce placement breakdown and enable those requiring more support that may currently need to move to residential provision stay with foster carers. These will both come on line within the next year.  </w:t>
            </w:r>
          </w:p>
          <w:p w14:paraId="48E446FD" w14:textId="77777777" w:rsidR="000729CF" w:rsidRPr="000729CF" w:rsidRDefault="000729CF" w:rsidP="000729CF">
            <w:pPr>
              <w:spacing w:after="120"/>
              <w:ind w:left="360"/>
              <w:rPr>
                <w:rFonts w:ascii="Arial" w:eastAsia="Calibri" w:hAnsi="Arial" w:cs="Arial"/>
                <w:sz w:val="24"/>
                <w:szCs w:val="24"/>
              </w:rPr>
            </w:pPr>
          </w:p>
        </w:tc>
      </w:tr>
      <w:tr w:rsidR="000729CF" w:rsidRPr="000729CF" w14:paraId="4597A2A4" w14:textId="77777777" w:rsidTr="00BC26AB">
        <w:trPr>
          <w:trHeight w:val="847"/>
        </w:trPr>
        <w:tc>
          <w:tcPr>
            <w:tcW w:w="10456" w:type="dxa"/>
          </w:tcPr>
          <w:p w14:paraId="00367E4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SMART action 2: we have developed 3 support post that will come on line April 2024, they will work to prevent children coming into care or placement breakdown </w:t>
            </w:r>
          </w:p>
        </w:tc>
      </w:tr>
    </w:tbl>
    <w:p w14:paraId="65474B8A" w14:textId="77777777" w:rsidR="000729CF" w:rsidRPr="000729CF" w:rsidRDefault="000729CF" w:rsidP="000729CF">
      <w:pPr>
        <w:spacing w:after="160" w:line="259" w:lineRule="auto"/>
        <w:rPr>
          <w:rFonts w:ascii="Arial" w:eastAsia="Calibri" w:hAnsi="Arial" w:cs="Arial"/>
          <w:sz w:val="24"/>
          <w:szCs w:val="24"/>
          <w:lang w:val="en-GB"/>
        </w:rPr>
      </w:pPr>
    </w:p>
    <w:p w14:paraId="7B29CCD0"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Outcome of your assessment</w:t>
      </w:r>
    </w:p>
    <w:p w14:paraId="0DA3460B"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Based on the information above give the proposal an impact score between 1 – 5. </w:t>
      </w:r>
    </w:p>
    <w:p w14:paraId="4BC2DED9"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1= proposal has minimal impact and/or mitigating actions will significantly minimise the impact</w:t>
      </w:r>
    </w:p>
    <w:p w14:paraId="0DEC1648"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3= proposal will have a significant negative impact; however, mitigation actions will reduce the impact considerably.</w:t>
      </w:r>
    </w:p>
    <w:p w14:paraId="351F8DC4"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5= proposal has significant impact and mitigating actions will have limited effect on reducing impact.</w:t>
      </w:r>
    </w:p>
    <w:p w14:paraId="168E683B" w14:textId="77777777" w:rsidR="000729CF" w:rsidRPr="000729CF" w:rsidRDefault="000729CF" w:rsidP="000729CF">
      <w:pPr>
        <w:rPr>
          <w:rFonts w:ascii="Arial" w:eastAsia="Calibri" w:hAnsi="Arial" w:cs="Arial"/>
          <w:sz w:val="24"/>
          <w:szCs w:val="24"/>
          <w:highlight w:val="yellow"/>
          <w:lang w:val="en-GB"/>
        </w:rPr>
      </w:pPr>
    </w:p>
    <w:tbl>
      <w:tblPr>
        <w:tblStyle w:val="TableGrid"/>
        <w:tblW w:w="0" w:type="auto"/>
        <w:tblLook w:val="04A0" w:firstRow="1" w:lastRow="0" w:firstColumn="1" w:lastColumn="0" w:noHBand="0" w:noVBand="1"/>
      </w:tblPr>
      <w:tblGrid>
        <w:gridCol w:w="3114"/>
        <w:gridCol w:w="7342"/>
      </w:tblGrid>
      <w:tr w:rsidR="000729CF" w:rsidRPr="000729CF" w14:paraId="63120367" w14:textId="77777777" w:rsidTr="00BC26AB">
        <w:trPr>
          <w:trHeight w:val="152"/>
        </w:trPr>
        <w:tc>
          <w:tcPr>
            <w:tcW w:w="3114" w:type="dxa"/>
          </w:tcPr>
          <w:p w14:paraId="7041529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Proposal’s impact score:</w:t>
            </w:r>
          </w:p>
        </w:tc>
        <w:tc>
          <w:tcPr>
            <w:tcW w:w="7342" w:type="dxa"/>
          </w:tcPr>
          <w:p w14:paraId="150B06D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4</w:t>
            </w:r>
          </w:p>
        </w:tc>
      </w:tr>
    </w:tbl>
    <w:p w14:paraId="45196115" w14:textId="77777777" w:rsidR="000729CF" w:rsidRPr="000729CF" w:rsidRDefault="000729CF" w:rsidP="000729CF">
      <w:pPr>
        <w:spacing w:after="160" w:line="259" w:lineRule="auto"/>
        <w:rPr>
          <w:rFonts w:ascii="Arial" w:eastAsia="Calibri" w:hAnsi="Arial" w:cs="Arial"/>
          <w:sz w:val="24"/>
          <w:szCs w:val="24"/>
          <w:lang w:val="en-GB"/>
        </w:rPr>
      </w:pPr>
    </w:p>
    <w:p w14:paraId="79AE3439"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Publication</w:t>
      </w:r>
    </w:p>
    <w:p w14:paraId="2B16677E"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All Equality Impact Assessments will be published. If you are recommending, and choosing not to publish your EIA, please provide a reason:</w:t>
      </w:r>
    </w:p>
    <w:tbl>
      <w:tblPr>
        <w:tblStyle w:val="TableGrid"/>
        <w:tblW w:w="0" w:type="auto"/>
        <w:tblLook w:val="04A0" w:firstRow="1" w:lastRow="0" w:firstColumn="1" w:lastColumn="0" w:noHBand="0" w:noVBand="1"/>
      </w:tblPr>
      <w:tblGrid>
        <w:gridCol w:w="10456"/>
      </w:tblGrid>
      <w:tr w:rsidR="000729CF" w:rsidRPr="000729CF" w14:paraId="61EFB3A3" w14:textId="77777777" w:rsidTr="00BC26AB">
        <w:trPr>
          <w:trHeight w:val="803"/>
        </w:trPr>
        <w:tc>
          <w:tcPr>
            <w:tcW w:w="10456" w:type="dxa"/>
          </w:tcPr>
          <w:p w14:paraId="158D1F1F" w14:textId="77777777" w:rsidR="000729CF" w:rsidRPr="000729CF" w:rsidRDefault="000729CF" w:rsidP="000729CF">
            <w:pPr>
              <w:spacing w:after="120"/>
              <w:rPr>
                <w:rFonts w:ascii="Arial" w:eastAsia="Calibri" w:hAnsi="Arial" w:cs="Arial"/>
                <w:sz w:val="24"/>
                <w:szCs w:val="24"/>
              </w:rPr>
            </w:pPr>
          </w:p>
        </w:tc>
      </w:tr>
    </w:tbl>
    <w:p w14:paraId="43CB6A14" w14:textId="77777777" w:rsidR="000729CF" w:rsidRPr="000729CF" w:rsidRDefault="000729CF" w:rsidP="000729CF">
      <w:pPr>
        <w:spacing w:after="160" w:line="259" w:lineRule="auto"/>
        <w:rPr>
          <w:rFonts w:ascii="Arial" w:eastAsia="Calibri" w:hAnsi="Arial" w:cs="Arial"/>
          <w:sz w:val="24"/>
          <w:szCs w:val="24"/>
          <w:lang w:val="en-GB"/>
        </w:rPr>
      </w:pPr>
    </w:p>
    <w:p w14:paraId="6DB15063"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Directorate and Service Approval</w:t>
      </w:r>
    </w:p>
    <w:tbl>
      <w:tblPr>
        <w:tblStyle w:val="TableGrid"/>
        <w:tblW w:w="0" w:type="auto"/>
        <w:tblLook w:val="04A0" w:firstRow="1" w:lastRow="0" w:firstColumn="1" w:lastColumn="0" w:noHBand="0" w:noVBand="1"/>
      </w:tblPr>
      <w:tblGrid>
        <w:gridCol w:w="3681"/>
        <w:gridCol w:w="4394"/>
        <w:gridCol w:w="2381"/>
      </w:tblGrid>
      <w:tr w:rsidR="000729CF" w:rsidRPr="000729CF" w14:paraId="3D15A8DE" w14:textId="77777777" w:rsidTr="000729CF">
        <w:trPr>
          <w:trHeight w:val="20"/>
        </w:trPr>
        <w:tc>
          <w:tcPr>
            <w:tcW w:w="3681" w:type="dxa"/>
            <w:tcBorders>
              <w:bottom w:val="single" w:sz="4" w:space="0" w:color="auto"/>
            </w:tcBorders>
            <w:shd w:val="clear" w:color="auto" w:fill="D9D9D9"/>
          </w:tcPr>
          <w:p w14:paraId="4665DEF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4D27DDC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 and Job Title:</w:t>
            </w:r>
          </w:p>
        </w:tc>
        <w:tc>
          <w:tcPr>
            <w:tcW w:w="2381" w:type="dxa"/>
            <w:shd w:val="clear" w:color="auto" w:fill="D9D9D9"/>
          </w:tcPr>
          <w:p w14:paraId="0D742E0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60075279" w14:textId="77777777" w:rsidTr="000729CF">
        <w:trPr>
          <w:trHeight w:val="20"/>
        </w:trPr>
        <w:tc>
          <w:tcPr>
            <w:tcW w:w="3681" w:type="dxa"/>
            <w:shd w:val="clear" w:color="auto" w:fill="E7E6E6"/>
          </w:tcPr>
          <w:p w14:paraId="02FC119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Responsible Lead Officer:</w:t>
            </w:r>
          </w:p>
        </w:tc>
        <w:tc>
          <w:tcPr>
            <w:tcW w:w="4394" w:type="dxa"/>
          </w:tcPr>
          <w:p w14:paraId="1B3B5F2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Anna Gianfrancesco </w:t>
            </w:r>
          </w:p>
        </w:tc>
        <w:tc>
          <w:tcPr>
            <w:tcW w:w="2381" w:type="dxa"/>
          </w:tcPr>
          <w:p w14:paraId="4FBEA68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10.01.24</w:t>
            </w:r>
          </w:p>
        </w:tc>
      </w:tr>
      <w:tr w:rsidR="000729CF" w:rsidRPr="000729CF" w14:paraId="50CCB965" w14:textId="77777777" w:rsidTr="000729CF">
        <w:trPr>
          <w:trHeight w:val="20"/>
        </w:trPr>
        <w:tc>
          <w:tcPr>
            <w:tcW w:w="3681" w:type="dxa"/>
            <w:shd w:val="clear" w:color="auto" w:fill="E7E6E6"/>
          </w:tcPr>
          <w:p w14:paraId="13F3C61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Accountable Manager:</w:t>
            </w:r>
          </w:p>
        </w:tc>
        <w:tc>
          <w:tcPr>
            <w:tcW w:w="4394" w:type="dxa"/>
          </w:tcPr>
          <w:p w14:paraId="0A03744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Anna Gianfrancesco</w:t>
            </w:r>
          </w:p>
        </w:tc>
        <w:tc>
          <w:tcPr>
            <w:tcW w:w="2381" w:type="dxa"/>
          </w:tcPr>
          <w:p w14:paraId="41901D9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10.01.24</w:t>
            </w:r>
          </w:p>
        </w:tc>
      </w:tr>
    </w:tbl>
    <w:p w14:paraId="58F13BB8" w14:textId="77777777" w:rsidR="000729CF" w:rsidRPr="000729CF" w:rsidRDefault="000729CF" w:rsidP="000729CF">
      <w:pPr>
        <w:spacing w:after="160" w:line="259" w:lineRule="auto"/>
        <w:rPr>
          <w:rFonts w:ascii="Arial" w:eastAsia="Calibri" w:hAnsi="Arial" w:cs="Arial"/>
          <w:sz w:val="24"/>
          <w:szCs w:val="24"/>
          <w:lang w:val="en-GB"/>
        </w:rPr>
      </w:pPr>
    </w:p>
    <w:p w14:paraId="398CEE7E" w14:textId="77777777" w:rsidR="000729CF" w:rsidRPr="000729CF" w:rsidRDefault="000729CF" w:rsidP="000729CF">
      <w:pPr>
        <w:keepNext/>
        <w:keepLines/>
        <w:spacing w:before="40" w:after="160" w:line="259" w:lineRule="auto"/>
        <w:outlineLvl w:val="2"/>
        <w:rPr>
          <w:rFonts w:ascii="Arial" w:hAnsi="Arial" w:cs="Arial"/>
          <w:b/>
          <w:bCs/>
          <w:color w:val="000000"/>
          <w:sz w:val="28"/>
          <w:szCs w:val="28"/>
          <w:lang w:val="en-GB"/>
        </w:rPr>
      </w:pPr>
      <w:r w:rsidRPr="000729CF">
        <w:rPr>
          <w:rFonts w:ascii="Arial" w:hAnsi="Arial" w:cs="Arial"/>
          <w:b/>
          <w:bCs/>
          <w:color w:val="000000"/>
          <w:sz w:val="28"/>
          <w:szCs w:val="28"/>
          <w:lang w:val="en-GB"/>
        </w:rPr>
        <w:t>EDI Review and Approval:</w:t>
      </w:r>
    </w:p>
    <w:p w14:paraId="6EA619C8" w14:textId="77777777" w:rsidR="000729CF" w:rsidRPr="000729CF" w:rsidRDefault="000729CF" w:rsidP="000729CF">
      <w:pPr>
        <w:spacing w:after="160" w:line="259" w:lineRule="auto"/>
        <w:rPr>
          <w:rFonts w:ascii="Arial" w:eastAsia="Calibri" w:hAnsi="Arial" w:cs="Arial"/>
          <w:sz w:val="24"/>
          <w:szCs w:val="24"/>
          <w:lang w:val="en-GB"/>
        </w:rPr>
      </w:pPr>
    </w:p>
    <w:p w14:paraId="75380ED4" w14:textId="77777777" w:rsidR="000729CF" w:rsidRPr="000729CF" w:rsidRDefault="000729CF" w:rsidP="000729CF">
      <w:pPr>
        <w:keepNext/>
        <w:keepLines/>
        <w:spacing w:after="160" w:line="259" w:lineRule="auto"/>
        <w:ind w:left="283" w:hanging="283"/>
        <w:outlineLvl w:val="1"/>
        <w:rPr>
          <w:rFonts w:ascii="Arial" w:hAnsi="Arial" w:cs="Arial"/>
          <w:color w:val="2F5496"/>
          <w:sz w:val="24"/>
          <w:szCs w:val="24"/>
          <w:lang w:val="en-GB"/>
        </w:rPr>
      </w:pPr>
      <w:r w:rsidRPr="000729CF">
        <w:rPr>
          <w:rFonts w:ascii="Arial" w:hAnsi="Arial" w:cs="Arial"/>
          <w:color w:val="2F5496"/>
          <w:sz w:val="24"/>
          <w:szCs w:val="24"/>
          <w:lang w:val="en-GB"/>
        </w:rPr>
        <w:t>Equality Impact Assessment sign-off</w:t>
      </w:r>
    </w:p>
    <w:tbl>
      <w:tblPr>
        <w:tblStyle w:val="TableGrid"/>
        <w:tblW w:w="0" w:type="auto"/>
        <w:tblLook w:val="04A0" w:firstRow="1" w:lastRow="0" w:firstColumn="1" w:lastColumn="0" w:noHBand="0" w:noVBand="1"/>
      </w:tblPr>
      <w:tblGrid>
        <w:gridCol w:w="3681"/>
        <w:gridCol w:w="4394"/>
        <w:gridCol w:w="2381"/>
      </w:tblGrid>
      <w:tr w:rsidR="000729CF" w:rsidRPr="000729CF" w14:paraId="6E9C9412" w14:textId="77777777" w:rsidTr="000729CF">
        <w:trPr>
          <w:trHeight w:val="20"/>
        </w:trPr>
        <w:tc>
          <w:tcPr>
            <w:tcW w:w="3681" w:type="dxa"/>
            <w:tcBorders>
              <w:bottom w:val="single" w:sz="4" w:space="0" w:color="auto"/>
            </w:tcBorders>
            <w:shd w:val="clear" w:color="auto" w:fill="D9D9D9"/>
          </w:tcPr>
          <w:p w14:paraId="029DE0E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7DCA3B4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w:t>
            </w:r>
          </w:p>
        </w:tc>
        <w:tc>
          <w:tcPr>
            <w:tcW w:w="2381" w:type="dxa"/>
            <w:shd w:val="clear" w:color="auto" w:fill="D9D9D9"/>
          </w:tcPr>
          <w:p w14:paraId="5250536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18C8A4F7" w14:textId="77777777" w:rsidTr="000729CF">
        <w:trPr>
          <w:trHeight w:val="20"/>
        </w:trPr>
        <w:tc>
          <w:tcPr>
            <w:tcW w:w="3681" w:type="dxa"/>
            <w:shd w:val="clear" w:color="auto" w:fill="E7E6E6"/>
          </w:tcPr>
          <w:p w14:paraId="07E967D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Head of Communities, Equality, and Third Sector (CETS) Service:</w:t>
            </w:r>
          </w:p>
        </w:tc>
        <w:tc>
          <w:tcPr>
            <w:tcW w:w="4394" w:type="dxa"/>
          </w:tcPr>
          <w:p w14:paraId="2041226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Emma McDermott</w:t>
            </w:r>
          </w:p>
        </w:tc>
        <w:tc>
          <w:tcPr>
            <w:tcW w:w="2381" w:type="dxa"/>
          </w:tcPr>
          <w:p w14:paraId="7DD2BDC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23-01-24</w:t>
            </w:r>
          </w:p>
        </w:tc>
      </w:tr>
    </w:tbl>
    <w:p w14:paraId="646D4775" w14:textId="77777777" w:rsidR="000729CF" w:rsidRPr="000729CF" w:rsidRDefault="000729CF" w:rsidP="000729CF">
      <w:pPr>
        <w:rPr>
          <w:rFonts w:ascii="Arial" w:eastAsia="Calibri" w:hAnsi="Arial" w:cs="Arial"/>
          <w:sz w:val="22"/>
          <w:szCs w:val="22"/>
          <w:lang w:val="en-GB"/>
        </w:rPr>
      </w:pPr>
    </w:p>
    <w:p w14:paraId="4F5B4864" w14:textId="77777777" w:rsidR="000729CF" w:rsidRPr="000729CF" w:rsidRDefault="000729CF" w:rsidP="000729CF">
      <w:pPr>
        <w:spacing w:after="160" w:line="259" w:lineRule="auto"/>
        <w:rPr>
          <w:rFonts w:ascii="Arial" w:eastAsia="Calibri" w:hAnsi="Arial" w:cs="Arial"/>
          <w:b/>
          <w:bCs/>
          <w:sz w:val="24"/>
          <w:szCs w:val="24"/>
          <w:lang w:val="en-GB"/>
        </w:rPr>
      </w:pPr>
    </w:p>
    <w:p w14:paraId="7BF50BF3" w14:textId="77777777" w:rsidR="000729CF" w:rsidRPr="000729CF" w:rsidRDefault="000729CF" w:rsidP="000729CF">
      <w:pPr>
        <w:keepNext/>
        <w:keepLines/>
        <w:spacing w:after="160" w:line="259" w:lineRule="auto"/>
        <w:outlineLvl w:val="1"/>
        <w:rPr>
          <w:rFonts w:ascii="Arial" w:eastAsia="Calibri" w:hAnsi="Arial" w:cs="Arial"/>
          <w:sz w:val="24"/>
          <w:szCs w:val="24"/>
          <w:lang w:val="en-GB"/>
        </w:rPr>
      </w:pPr>
    </w:p>
    <w:p w14:paraId="02D87180" w14:textId="77777777" w:rsidR="000729CF" w:rsidRPr="000729CF" w:rsidRDefault="000729CF" w:rsidP="000729CF">
      <w:pPr>
        <w:spacing w:after="160" w:line="259" w:lineRule="auto"/>
        <w:rPr>
          <w:rFonts w:ascii="Arial" w:eastAsia="Calibri" w:hAnsi="Arial" w:cs="Arial"/>
          <w:sz w:val="24"/>
          <w:szCs w:val="24"/>
          <w:lang w:val="en-GB"/>
        </w:rPr>
      </w:pPr>
    </w:p>
    <w:p w14:paraId="4486F7AB"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br w:type="page"/>
      </w:r>
    </w:p>
    <w:p w14:paraId="08D82F7F" w14:textId="77777777" w:rsidR="000729CF" w:rsidRPr="000729CF" w:rsidRDefault="000729CF" w:rsidP="000729CF">
      <w:pPr>
        <w:keepNext/>
        <w:keepLines/>
        <w:spacing w:after="160" w:line="259" w:lineRule="auto"/>
        <w:outlineLvl w:val="0"/>
        <w:rPr>
          <w:rFonts w:ascii="Arial" w:hAnsi="Arial" w:cs="Arial"/>
          <w:b/>
          <w:bCs/>
          <w:color w:val="2F5496"/>
          <w:sz w:val="28"/>
          <w:szCs w:val="28"/>
          <w:lang w:val="en-GB"/>
        </w:rPr>
      </w:pPr>
      <w:r w:rsidRPr="000729CF">
        <w:rPr>
          <w:rFonts w:ascii="Arial" w:hAnsi="Arial" w:cs="Arial"/>
          <w:b/>
          <w:bCs/>
          <w:color w:val="2F5496"/>
          <w:sz w:val="28"/>
          <w:szCs w:val="28"/>
          <w:lang w:val="en-GB"/>
        </w:rPr>
        <w:t>Budget Equality Impact Assessment (EIA) 2024/25 – Service Users</w:t>
      </w:r>
    </w:p>
    <w:p w14:paraId="68A2D37B" w14:textId="77777777" w:rsidR="000729CF" w:rsidRPr="000729CF" w:rsidRDefault="000729CF" w:rsidP="000729CF">
      <w:pPr>
        <w:spacing w:after="160" w:line="259" w:lineRule="auto"/>
        <w:rPr>
          <w:rFonts w:ascii="Arial" w:eastAsia="Calibri" w:hAnsi="Arial" w:cs="Arial"/>
          <w:sz w:val="24"/>
          <w:szCs w:val="24"/>
          <w:lang w:val="en-GB"/>
        </w:rPr>
      </w:pPr>
    </w:p>
    <w:p w14:paraId="4998064D" w14:textId="77777777" w:rsidR="000729CF" w:rsidRPr="000729CF" w:rsidRDefault="000729CF" w:rsidP="000729CF">
      <w:pPr>
        <w:keepNext/>
        <w:keepLines/>
        <w:spacing w:after="160" w:line="259" w:lineRule="auto"/>
        <w:ind w:left="720" w:hanging="360"/>
        <w:outlineLvl w:val="1"/>
        <w:rPr>
          <w:rFonts w:ascii="Arial" w:hAnsi="Arial" w:cs="Arial"/>
          <w:color w:val="2F5496"/>
          <w:sz w:val="24"/>
          <w:szCs w:val="24"/>
          <w:lang w:val="en-GB"/>
        </w:rPr>
      </w:pPr>
      <w:r w:rsidRPr="000729CF">
        <w:rPr>
          <w:rFonts w:ascii="Arial" w:hAnsi="Arial" w:cs="Arial"/>
          <w:color w:val="2F5496"/>
          <w:sz w:val="24"/>
          <w:szCs w:val="24"/>
          <w:lang w:val="en-GB"/>
        </w:rPr>
        <w:t xml:space="preserve">Budget Proposal </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6492"/>
      </w:tblGrid>
      <w:tr w:rsidR="000729CF" w:rsidRPr="000729CF" w14:paraId="1756D6DC"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68369209"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Title of budget saving being assessed:</w:t>
            </w:r>
          </w:p>
        </w:tc>
        <w:tc>
          <w:tcPr>
            <w:tcW w:w="6492" w:type="dxa"/>
            <w:shd w:val="clear" w:color="auto" w:fill="auto"/>
          </w:tcPr>
          <w:p w14:paraId="108D49D9" w14:textId="77777777" w:rsidR="000729CF" w:rsidRPr="000729CF" w:rsidRDefault="000729CF" w:rsidP="000729CF">
            <w:pPr>
              <w:spacing w:after="12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Partners in Change Hub</w:t>
            </w:r>
          </w:p>
        </w:tc>
      </w:tr>
      <w:tr w:rsidR="000729CF" w:rsidRPr="000729CF" w14:paraId="2F887B70"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797D8545"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Name and title of officer responsible for this EIA: </w:t>
            </w:r>
          </w:p>
        </w:tc>
        <w:tc>
          <w:tcPr>
            <w:tcW w:w="6492" w:type="dxa"/>
            <w:shd w:val="clear" w:color="auto" w:fill="auto"/>
          </w:tcPr>
          <w:p w14:paraId="5F6E8F9E"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729CF">
              <w:rPr>
                <w:rFonts w:ascii="Arial" w:hAnsi="Arial" w:cs="Arial"/>
                <w:sz w:val="24"/>
                <w:szCs w:val="24"/>
              </w:rPr>
              <w:t>Tom Stibbs, Principal Children and Families Social Worker and Head of Specialist Services</w:t>
            </w:r>
          </w:p>
        </w:tc>
      </w:tr>
      <w:tr w:rsidR="000729CF" w:rsidRPr="000729CF" w14:paraId="34634A09" w14:textId="77777777" w:rsidTr="000729CF">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21F445C4"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Directorate and Service Name: </w:t>
            </w:r>
          </w:p>
        </w:tc>
        <w:tc>
          <w:tcPr>
            <w:tcW w:w="6492" w:type="dxa"/>
            <w:shd w:val="clear" w:color="auto" w:fill="auto"/>
          </w:tcPr>
          <w:p w14:paraId="33252E05" w14:textId="77777777" w:rsidR="000729CF" w:rsidRPr="000729CF" w:rsidRDefault="000729CF" w:rsidP="000729CF">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Families, Children and Learning, Safeguarding and Care, Partners in Change Hub</w:t>
            </w:r>
          </w:p>
        </w:tc>
      </w:tr>
      <w:tr w:rsidR="000729CF" w:rsidRPr="000729CF" w14:paraId="02758AAE"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601C1B67"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Budget proposal no.</w:t>
            </w:r>
          </w:p>
        </w:tc>
        <w:tc>
          <w:tcPr>
            <w:tcW w:w="6492" w:type="dxa"/>
            <w:shd w:val="clear" w:color="auto" w:fill="auto"/>
          </w:tcPr>
          <w:p w14:paraId="315419FB"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729CF">
              <w:rPr>
                <w:rFonts w:ascii="Arial" w:hAnsi="Arial" w:cs="Arial"/>
                <w:sz w:val="24"/>
                <w:szCs w:val="24"/>
              </w:rPr>
              <w:t>9</w:t>
            </w:r>
          </w:p>
        </w:tc>
      </w:tr>
    </w:tbl>
    <w:p w14:paraId="7255D62D" w14:textId="77777777" w:rsidR="000729CF" w:rsidRPr="000729CF" w:rsidRDefault="000729CF" w:rsidP="000729CF">
      <w:pPr>
        <w:spacing w:after="160" w:line="259" w:lineRule="auto"/>
        <w:rPr>
          <w:rFonts w:ascii="Arial" w:eastAsia="Calibri" w:hAnsi="Arial" w:cs="Arial"/>
          <w:sz w:val="24"/>
          <w:szCs w:val="24"/>
          <w:lang w:val="en-GB"/>
        </w:rPr>
      </w:pPr>
    </w:p>
    <w:p w14:paraId="6206798E"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Briefly describe the budget saving proposal: (use the wording in the budget spreadsheet and more detail if needed)</w:t>
      </w:r>
    </w:p>
    <w:tbl>
      <w:tblPr>
        <w:tblStyle w:val="TableGrid"/>
        <w:tblW w:w="0" w:type="auto"/>
        <w:tblLook w:val="04A0" w:firstRow="1" w:lastRow="0" w:firstColumn="1" w:lastColumn="0" w:noHBand="0" w:noVBand="1"/>
      </w:tblPr>
      <w:tblGrid>
        <w:gridCol w:w="10456"/>
      </w:tblGrid>
      <w:tr w:rsidR="000729CF" w:rsidRPr="000729CF" w14:paraId="7892A190" w14:textId="77777777" w:rsidTr="00BC26AB">
        <w:trPr>
          <w:trHeight w:val="851"/>
        </w:trPr>
        <w:tc>
          <w:tcPr>
            <w:tcW w:w="10456" w:type="dxa"/>
            <w:tcBorders>
              <w:bottom w:val="single" w:sz="4" w:space="0" w:color="auto"/>
            </w:tcBorders>
          </w:tcPr>
          <w:p w14:paraId="2D721B12" w14:textId="77777777" w:rsidR="000729CF" w:rsidRPr="000729CF" w:rsidRDefault="000729CF" w:rsidP="000729CF">
            <w:pPr>
              <w:rPr>
                <w:rFonts w:ascii="Arial" w:hAnsi="Arial" w:cs="Arial"/>
                <w:sz w:val="24"/>
                <w:szCs w:val="24"/>
                <w:lang w:eastAsia="en-GB"/>
              </w:rPr>
            </w:pPr>
            <w:r w:rsidRPr="000729CF">
              <w:rPr>
                <w:rFonts w:ascii="Arial" w:hAnsi="Arial" w:cs="Arial"/>
                <w:sz w:val="24"/>
                <w:szCs w:val="24"/>
                <w:lang w:eastAsia="en-GB"/>
              </w:rPr>
              <w:t>A £75k saving on the Partners in Change Hub budget, which is equivalent to 1fte post.  This will be achieved by reducing management hours and other non-staffing and staffing costs.</w:t>
            </w:r>
          </w:p>
          <w:p w14:paraId="0D855D41" w14:textId="77777777" w:rsidR="000729CF" w:rsidRPr="000729CF" w:rsidRDefault="000729CF" w:rsidP="000729CF">
            <w:pPr>
              <w:rPr>
                <w:rFonts w:ascii="Arial" w:hAnsi="Arial" w:cs="Arial"/>
                <w:sz w:val="24"/>
                <w:szCs w:val="24"/>
                <w:lang w:eastAsia="en-GB"/>
              </w:rPr>
            </w:pPr>
          </w:p>
          <w:p w14:paraId="505746AD" w14:textId="77777777" w:rsidR="000729CF" w:rsidRPr="000729CF" w:rsidRDefault="000729CF" w:rsidP="000729CF">
            <w:pPr>
              <w:rPr>
                <w:rFonts w:ascii="Arial" w:hAnsi="Arial" w:cs="Arial"/>
                <w:sz w:val="24"/>
                <w:szCs w:val="24"/>
                <w:lang w:eastAsia="en-GB"/>
              </w:rPr>
            </w:pPr>
            <w:r w:rsidRPr="000729CF">
              <w:rPr>
                <w:rFonts w:ascii="Arial" w:hAnsi="Arial" w:cs="Arial"/>
                <w:sz w:val="24"/>
                <w:szCs w:val="24"/>
                <w:lang w:eastAsia="en-GB"/>
              </w:rPr>
              <w:t>The Partners in Change Hub provides specialist support to social workers and families and this includes for example, input regarding domestic abuse, mental health or substance misuse.</w:t>
            </w:r>
          </w:p>
          <w:p w14:paraId="3F3F404D" w14:textId="77777777" w:rsidR="000729CF" w:rsidRPr="000729CF" w:rsidRDefault="000729CF" w:rsidP="000729CF">
            <w:pPr>
              <w:rPr>
                <w:rFonts w:ascii="Arial" w:hAnsi="Arial" w:cs="Arial"/>
                <w:sz w:val="24"/>
                <w:szCs w:val="24"/>
                <w:lang w:eastAsia="en-GB"/>
              </w:rPr>
            </w:pPr>
          </w:p>
        </w:tc>
      </w:tr>
      <w:tr w:rsidR="000729CF" w:rsidRPr="000729CF" w14:paraId="22838895" w14:textId="77777777" w:rsidTr="00BC26AB">
        <w:trPr>
          <w:trHeight w:val="851"/>
        </w:trPr>
        <w:tc>
          <w:tcPr>
            <w:tcW w:w="10456" w:type="dxa"/>
            <w:tcBorders>
              <w:left w:val="nil"/>
              <w:right w:val="nil"/>
            </w:tcBorders>
          </w:tcPr>
          <w:p w14:paraId="2C4CF81E" w14:textId="77777777" w:rsidR="000729CF" w:rsidRPr="000729CF" w:rsidRDefault="000729CF" w:rsidP="000729CF">
            <w:pPr>
              <w:spacing w:after="120"/>
              <w:rPr>
                <w:rFonts w:ascii="Arial" w:eastAsia="Calibri" w:hAnsi="Arial" w:cs="Arial"/>
                <w:sz w:val="24"/>
                <w:szCs w:val="24"/>
              </w:rPr>
            </w:pPr>
          </w:p>
          <w:p w14:paraId="1FD7527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Summarise the most significant impacts identified by this assessment including which groups will be disproportionally negatively affected drawing out intersectional impacts as applicable:</w:t>
            </w:r>
          </w:p>
        </w:tc>
      </w:tr>
      <w:tr w:rsidR="000729CF" w:rsidRPr="000729CF" w14:paraId="5DC27CF7" w14:textId="77777777" w:rsidTr="00BC26AB">
        <w:trPr>
          <w:trHeight w:val="851"/>
        </w:trPr>
        <w:tc>
          <w:tcPr>
            <w:tcW w:w="10456" w:type="dxa"/>
          </w:tcPr>
          <w:p w14:paraId="2B1B7E71" w14:textId="77777777" w:rsidR="000729CF" w:rsidRPr="000729CF" w:rsidRDefault="000729CF" w:rsidP="000729CF">
            <w:pPr>
              <w:rPr>
                <w:rFonts w:ascii="Arial" w:eastAsia="Calibri" w:hAnsi="Arial" w:cs="Arial"/>
                <w:bCs/>
                <w:sz w:val="24"/>
                <w:szCs w:val="24"/>
              </w:rPr>
            </w:pPr>
            <w:r w:rsidRPr="000729CF">
              <w:rPr>
                <w:rFonts w:ascii="Arial" w:eastAsia="Calibri" w:hAnsi="Arial" w:cs="Arial"/>
                <w:bCs/>
                <w:sz w:val="24"/>
                <w:szCs w:val="24"/>
              </w:rPr>
              <w:t>This reduction in budget will impact on the Partners in Change Hub’s ability to provide specialist support to social workers and families.  This will have a disproportionate impact on children and young people.  It will also disproportionately impact on children in care and care experienced young people, children who identify as ‘mixed / dual’ ethnicity and on parents, women, those with substance misuse and / or mental health issues and those who have experienced domestic or sexual abuse.</w:t>
            </w:r>
          </w:p>
          <w:p w14:paraId="58CE855F" w14:textId="77777777" w:rsidR="000729CF" w:rsidRPr="000729CF" w:rsidRDefault="000729CF" w:rsidP="000729CF">
            <w:pPr>
              <w:rPr>
                <w:rFonts w:ascii="Arial" w:eastAsia="Calibri" w:hAnsi="Arial" w:cs="Arial"/>
                <w:bCs/>
                <w:sz w:val="24"/>
                <w:szCs w:val="24"/>
              </w:rPr>
            </w:pPr>
          </w:p>
          <w:p w14:paraId="05DF82EE" w14:textId="77777777" w:rsidR="000729CF" w:rsidRPr="000729CF" w:rsidRDefault="000729CF" w:rsidP="000729CF">
            <w:pPr>
              <w:rPr>
                <w:rFonts w:ascii="Arial" w:eastAsia="Calibri" w:hAnsi="Arial" w:cs="Arial"/>
                <w:bCs/>
                <w:sz w:val="24"/>
                <w:szCs w:val="24"/>
              </w:rPr>
            </w:pPr>
            <w:r w:rsidRPr="000729CF">
              <w:rPr>
                <w:rFonts w:ascii="Arial" w:eastAsia="Calibri" w:hAnsi="Arial" w:cs="Arial"/>
                <w:bCs/>
                <w:sz w:val="24"/>
                <w:szCs w:val="24"/>
              </w:rPr>
              <w:t>A reduction of support from the Hub to social workers also increases the pressures on the social work system, which already faces the challenges of the impact of poverty on families, the increase in emotional and mental health issues for young people, and the national shortage of social workers.</w:t>
            </w:r>
          </w:p>
          <w:p w14:paraId="6AAE89C6" w14:textId="77777777" w:rsidR="000729CF" w:rsidRPr="000729CF" w:rsidRDefault="000729CF" w:rsidP="000729CF">
            <w:pPr>
              <w:rPr>
                <w:rFonts w:ascii="Arial" w:eastAsia="Calibri" w:hAnsi="Arial" w:cs="Arial"/>
                <w:bCs/>
                <w:sz w:val="24"/>
                <w:szCs w:val="24"/>
              </w:rPr>
            </w:pPr>
          </w:p>
          <w:p w14:paraId="44E85C4D" w14:textId="77777777" w:rsidR="000729CF" w:rsidRPr="000729CF" w:rsidRDefault="000729CF" w:rsidP="000729CF">
            <w:pPr>
              <w:rPr>
                <w:rFonts w:ascii="Arial" w:eastAsia="Calibri" w:hAnsi="Arial" w:cs="Arial"/>
                <w:bCs/>
                <w:sz w:val="24"/>
                <w:szCs w:val="24"/>
              </w:rPr>
            </w:pPr>
            <w:r w:rsidRPr="000729CF">
              <w:rPr>
                <w:rFonts w:ascii="Arial" w:eastAsia="Calibri" w:hAnsi="Arial" w:cs="Arial"/>
                <w:bCs/>
                <w:sz w:val="24"/>
                <w:szCs w:val="24"/>
              </w:rPr>
              <w:t xml:space="preserve">Due to the relatively small size of the budget saving proposal, it is possible to put in place mitigations, by reducing management costs and reviewing the structure of the Hub, which will limit the impacts of the proposals and the impact for the groups identified above.  As part of the review of the Hub, key support and interventions for the vulnerable groups identified in this document will be prioritised.  </w:t>
            </w:r>
          </w:p>
          <w:p w14:paraId="2129DAFA" w14:textId="77777777" w:rsidR="000729CF" w:rsidRPr="000729CF" w:rsidRDefault="000729CF" w:rsidP="000729CF">
            <w:pPr>
              <w:spacing w:after="120"/>
              <w:rPr>
                <w:rFonts w:ascii="Arial" w:eastAsia="Calibri" w:hAnsi="Arial" w:cs="Arial"/>
                <w:sz w:val="24"/>
                <w:szCs w:val="24"/>
              </w:rPr>
            </w:pPr>
          </w:p>
        </w:tc>
      </w:tr>
    </w:tbl>
    <w:p w14:paraId="0940E8E6" w14:textId="77777777" w:rsidR="000729CF" w:rsidRPr="000729CF" w:rsidRDefault="000729CF" w:rsidP="000729CF">
      <w:pPr>
        <w:rPr>
          <w:rFonts w:ascii="Arial" w:eastAsia="Calibri" w:hAnsi="Arial" w:cs="Arial"/>
          <w:sz w:val="24"/>
          <w:szCs w:val="24"/>
          <w:lang w:val="en-GB"/>
        </w:rPr>
      </w:pPr>
    </w:p>
    <w:p w14:paraId="1A3378E1" w14:textId="77777777" w:rsidR="000729CF" w:rsidRPr="000729CF" w:rsidRDefault="000729CF" w:rsidP="000729CF">
      <w:pPr>
        <w:spacing w:after="160" w:line="259" w:lineRule="auto"/>
        <w:rPr>
          <w:rFonts w:ascii="Arial" w:eastAsia="Calibri" w:hAnsi="Arial" w:cs="Arial"/>
          <w:sz w:val="24"/>
          <w:szCs w:val="24"/>
          <w:lang w:val="en-GB"/>
        </w:rPr>
      </w:pPr>
    </w:p>
    <w:p w14:paraId="43B1017E"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Consultation, engagement and supporting EIAs</w:t>
      </w:r>
    </w:p>
    <w:p w14:paraId="789309A0"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consultations or engagement activities are being used to inform this assessment? </w:t>
      </w:r>
    </w:p>
    <w:p w14:paraId="3BE52A93"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If consultation is planned or in process – state this and state when it will done/completed even if indicative. If no consultation completed or planned, state this, giving an explanation. </w:t>
      </w:r>
    </w:p>
    <w:tbl>
      <w:tblPr>
        <w:tblStyle w:val="TableGrid"/>
        <w:tblW w:w="0" w:type="auto"/>
        <w:tblLook w:val="04A0" w:firstRow="1" w:lastRow="0" w:firstColumn="1" w:lastColumn="0" w:noHBand="0" w:noVBand="1"/>
      </w:tblPr>
      <w:tblGrid>
        <w:gridCol w:w="10456"/>
      </w:tblGrid>
      <w:tr w:rsidR="000729CF" w:rsidRPr="000729CF" w14:paraId="085723DC" w14:textId="77777777" w:rsidTr="00BC26AB">
        <w:trPr>
          <w:trHeight w:val="871"/>
        </w:trPr>
        <w:tc>
          <w:tcPr>
            <w:tcW w:w="10456" w:type="dxa"/>
          </w:tcPr>
          <w:p w14:paraId="619F0F29" w14:textId="77777777" w:rsidR="000729CF" w:rsidRPr="000729CF" w:rsidRDefault="000729CF" w:rsidP="000729CF">
            <w:pPr>
              <w:rPr>
                <w:rFonts w:ascii="Arial" w:eastAsia="Calibri" w:hAnsi="Arial" w:cs="Arial"/>
                <w:bCs/>
                <w:sz w:val="24"/>
                <w:szCs w:val="24"/>
              </w:rPr>
            </w:pPr>
            <w:r w:rsidRPr="000729CF">
              <w:rPr>
                <w:rFonts w:ascii="Arial" w:eastAsia="Calibri" w:hAnsi="Arial" w:cs="Arial"/>
                <w:bCs/>
                <w:sz w:val="24"/>
                <w:szCs w:val="24"/>
              </w:rPr>
              <w:t>Consultation is planned with the staff in the Partners in Change Hub, including an engagement event for all staff.  In addition, the views of the wider service are being sought in terms of the impact of the support offered by the Partners in Change Hub.  The engagement will take place across February 2024 and will include a formal consultation process.  The views of families that receive support from the Hub are sought on an ongoing basis regarding their experience of the service.</w:t>
            </w:r>
          </w:p>
          <w:p w14:paraId="2E1575DB" w14:textId="77777777" w:rsidR="000729CF" w:rsidRPr="000729CF" w:rsidRDefault="000729CF" w:rsidP="000729CF">
            <w:pPr>
              <w:rPr>
                <w:rFonts w:ascii="Arial" w:eastAsia="Calibri" w:hAnsi="Arial" w:cs="Arial"/>
                <w:sz w:val="24"/>
                <w:szCs w:val="24"/>
              </w:rPr>
            </w:pPr>
          </w:p>
        </w:tc>
      </w:tr>
    </w:tbl>
    <w:p w14:paraId="12076579" w14:textId="77777777" w:rsidR="000729CF" w:rsidRPr="000729CF" w:rsidRDefault="000729CF" w:rsidP="000729CF">
      <w:pPr>
        <w:spacing w:after="160" w:line="259" w:lineRule="auto"/>
        <w:rPr>
          <w:rFonts w:ascii="Arial" w:eastAsia="Calibri" w:hAnsi="Arial" w:cs="Arial"/>
          <w:sz w:val="24"/>
          <w:szCs w:val="24"/>
          <w:lang w:val="en-GB"/>
        </w:rPr>
      </w:pPr>
    </w:p>
    <w:p w14:paraId="40CC8F6D"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other budget or service EIAs can assist/have been used to inform this assessment?</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0729CF" w:rsidRPr="000729CF" w14:paraId="70752C1A"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shd w:val="clear" w:color="auto" w:fill="FFFFFF"/>
          </w:tcPr>
          <w:p w14:paraId="02A7127B"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The EIAs for the budget saving proposal for the Contact and Family Time Service and for Placements for Children in Care.</w:t>
            </w:r>
          </w:p>
          <w:p w14:paraId="5E7CAFE7" w14:textId="77777777" w:rsidR="000729CF" w:rsidRPr="000729CF" w:rsidRDefault="000729CF" w:rsidP="000729CF">
            <w:pPr>
              <w:spacing w:after="120"/>
              <w:rPr>
                <w:rFonts w:ascii="Arial" w:hAnsi="Arial" w:cs="Arial"/>
                <w:sz w:val="24"/>
                <w:szCs w:val="24"/>
              </w:rPr>
            </w:pPr>
          </w:p>
        </w:tc>
      </w:tr>
    </w:tbl>
    <w:p w14:paraId="5A29C39A" w14:textId="77777777" w:rsidR="000729CF" w:rsidRPr="000729CF" w:rsidRDefault="000729CF" w:rsidP="000729CF">
      <w:pPr>
        <w:spacing w:after="160" w:line="259" w:lineRule="auto"/>
        <w:rPr>
          <w:rFonts w:ascii="Arial" w:eastAsia="Calibri" w:hAnsi="Arial" w:cs="Arial"/>
          <w:sz w:val="24"/>
          <w:szCs w:val="24"/>
          <w:lang w:val="en-GB"/>
        </w:rPr>
      </w:pPr>
    </w:p>
    <w:p w14:paraId="0F41C2FD"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Current data and impact monitoring</w:t>
      </w:r>
    </w:p>
    <w:p w14:paraId="68E227CB"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Do you currently collect and analyse the following data to enable monitoring of the impact of this proposal? </w:t>
      </w:r>
    </w:p>
    <w:p w14:paraId="471D8650"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Consider all possible intersections (Delete and State Yes, No, Not Applicable)</w:t>
      </w:r>
    </w:p>
    <w:tbl>
      <w:tblPr>
        <w:tblStyle w:val="TableGrid"/>
        <w:tblW w:w="10485" w:type="dxa"/>
        <w:tblLook w:val="04A0" w:firstRow="1" w:lastRow="0" w:firstColumn="1" w:lastColumn="0" w:noHBand="0" w:noVBand="1"/>
      </w:tblPr>
      <w:tblGrid>
        <w:gridCol w:w="6658"/>
        <w:gridCol w:w="3827"/>
      </w:tblGrid>
      <w:tr w:rsidR="000729CF" w:rsidRPr="000729CF" w14:paraId="49CA7955" w14:textId="77777777" w:rsidTr="000729CF">
        <w:trPr>
          <w:trHeight w:val="310"/>
        </w:trPr>
        <w:tc>
          <w:tcPr>
            <w:tcW w:w="6658" w:type="dxa"/>
            <w:shd w:val="clear" w:color="auto" w:fill="E7E6E6"/>
          </w:tcPr>
          <w:p w14:paraId="52B696A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Age</w:t>
            </w:r>
          </w:p>
        </w:tc>
        <w:tc>
          <w:tcPr>
            <w:tcW w:w="3827" w:type="dxa"/>
          </w:tcPr>
          <w:p w14:paraId="41BEA4F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7C9C93AF" w14:textId="77777777" w:rsidTr="000729CF">
        <w:trPr>
          <w:trHeight w:val="20"/>
        </w:trPr>
        <w:tc>
          <w:tcPr>
            <w:tcW w:w="6658" w:type="dxa"/>
            <w:shd w:val="clear" w:color="auto" w:fill="E7E6E6"/>
          </w:tcPr>
          <w:p w14:paraId="779D8C2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Disability and inclusive adjustments, coverage under equality act and not</w:t>
            </w:r>
          </w:p>
        </w:tc>
        <w:tc>
          <w:tcPr>
            <w:tcW w:w="3827" w:type="dxa"/>
          </w:tcPr>
          <w:p w14:paraId="721722B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1C90498D" w14:textId="77777777" w:rsidTr="000729CF">
        <w:trPr>
          <w:trHeight w:val="20"/>
        </w:trPr>
        <w:tc>
          <w:tcPr>
            <w:tcW w:w="6658" w:type="dxa"/>
            <w:shd w:val="clear" w:color="auto" w:fill="E7E6E6"/>
          </w:tcPr>
          <w:p w14:paraId="1DDA977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Ethnicity, ‘Race’, ethnic heritage (including Gypsy, Roma, Travellers)</w:t>
            </w:r>
          </w:p>
        </w:tc>
        <w:tc>
          <w:tcPr>
            <w:tcW w:w="3827" w:type="dxa"/>
          </w:tcPr>
          <w:p w14:paraId="65F2541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522F6034" w14:textId="77777777" w:rsidTr="000729CF">
        <w:trPr>
          <w:trHeight w:val="20"/>
        </w:trPr>
        <w:tc>
          <w:tcPr>
            <w:tcW w:w="6658" w:type="dxa"/>
            <w:shd w:val="clear" w:color="auto" w:fill="E7E6E6"/>
          </w:tcPr>
          <w:p w14:paraId="6662683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Religion, Belief, Spirituality, Faith, or Atheism</w:t>
            </w:r>
          </w:p>
        </w:tc>
        <w:tc>
          <w:tcPr>
            <w:tcW w:w="3827" w:type="dxa"/>
          </w:tcPr>
          <w:p w14:paraId="6845A09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287127A5" w14:textId="77777777" w:rsidTr="000729CF">
        <w:trPr>
          <w:trHeight w:val="20"/>
        </w:trPr>
        <w:tc>
          <w:tcPr>
            <w:tcW w:w="6658" w:type="dxa"/>
            <w:shd w:val="clear" w:color="auto" w:fill="E7E6E6"/>
          </w:tcPr>
          <w:p w14:paraId="7E8A9B6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Identity and Sex (including non-binary and Intersex people)</w:t>
            </w:r>
          </w:p>
        </w:tc>
        <w:tc>
          <w:tcPr>
            <w:tcW w:w="3827" w:type="dxa"/>
          </w:tcPr>
          <w:p w14:paraId="2679C46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2381AAFB" w14:textId="77777777" w:rsidTr="000729CF">
        <w:trPr>
          <w:trHeight w:val="20"/>
        </w:trPr>
        <w:tc>
          <w:tcPr>
            <w:tcW w:w="6658" w:type="dxa"/>
            <w:shd w:val="clear" w:color="auto" w:fill="E7E6E6"/>
          </w:tcPr>
          <w:p w14:paraId="180AB89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3827" w:type="dxa"/>
          </w:tcPr>
          <w:p w14:paraId="6E573B0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5ABE96B5" w14:textId="77777777" w:rsidTr="000729CF">
        <w:trPr>
          <w:trHeight w:val="20"/>
        </w:trPr>
        <w:tc>
          <w:tcPr>
            <w:tcW w:w="6658" w:type="dxa"/>
            <w:shd w:val="clear" w:color="auto" w:fill="E7E6E6"/>
          </w:tcPr>
          <w:p w14:paraId="408934D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3827" w:type="dxa"/>
          </w:tcPr>
          <w:p w14:paraId="6ABC741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53FB84CC" w14:textId="77777777" w:rsidTr="000729CF">
        <w:trPr>
          <w:trHeight w:val="20"/>
        </w:trPr>
        <w:tc>
          <w:tcPr>
            <w:tcW w:w="6658" w:type="dxa"/>
            <w:shd w:val="clear" w:color="auto" w:fill="E7E6E6"/>
          </w:tcPr>
          <w:p w14:paraId="5CA87D5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3827" w:type="dxa"/>
          </w:tcPr>
          <w:p w14:paraId="46DE29E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Not applicable </w:t>
            </w:r>
          </w:p>
        </w:tc>
      </w:tr>
      <w:tr w:rsidR="000729CF" w:rsidRPr="000729CF" w14:paraId="05386C86" w14:textId="77777777" w:rsidTr="000729CF">
        <w:trPr>
          <w:trHeight w:val="20"/>
        </w:trPr>
        <w:tc>
          <w:tcPr>
            <w:tcW w:w="6658" w:type="dxa"/>
            <w:shd w:val="clear" w:color="auto" w:fill="E7E6E6"/>
          </w:tcPr>
          <w:p w14:paraId="7322712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Pregnant people, Maternity, Paternity, Adoption, Menopause, (In)fertility (across the gender spectrum)</w:t>
            </w:r>
          </w:p>
        </w:tc>
        <w:tc>
          <w:tcPr>
            <w:tcW w:w="3827" w:type="dxa"/>
          </w:tcPr>
          <w:p w14:paraId="0B5CE13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28AF5974" w14:textId="77777777" w:rsidTr="000729CF">
        <w:trPr>
          <w:trHeight w:val="20"/>
        </w:trPr>
        <w:tc>
          <w:tcPr>
            <w:tcW w:w="6658" w:type="dxa"/>
            <w:shd w:val="clear" w:color="auto" w:fill="E7E6E6"/>
          </w:tcPr>
          <w:p w14:paraId="60A801F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3827" w:type="dxa"/>
          </w:tcPr>
          <w:p w14:paraId="2860E7F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038F99C1" w14:textId="77777777" w:rsidTr="000729CF">
        <w:trPr>
          <w:trHeight w:val="20"/>
        </w:trPr>
        <w:tc>
          <w:tcPr>
            <w:tcW w:w="6658" w:type="dxa"/>
            <w:shd w:val="clear" w:color="auto" w:fill="E7E6E6"/>
          </w:tcPr>
          <w:p w14:paraId="6A077A80" w14:textId="77777777" w:rsidR="000729CF" w:rsidRPr="000729CF" w:rsidRDefault="000729CF" w:rsidP="000729CF">
            <w:pPr>
              <w:spacing w:after="120"/>
              <w:rPr>
                <w:rFonts w:ascii="Arial" w:hAnsi="Arial" w:cs="Arial"/>
                <w:b/>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p>
        </w:tc>
        <w:tc>
          <w:tcPr>
            <w:tcW w:w="3827" w:type="dxa"/>
          </w:tcPr>
          <w:p w14:paraId="3BF365A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02991973" w14:textId="77777777" w:rsidTr="000729CF">
        <w:trPr>
          <w:trHeight w:val="20"/>
        </w:trPr>
        <w:tc>
          <w:tcPr>
            <w:tcW w:w="6658" w:type="dxa"/>
            <w:shd w:val="clear" w:color="auto" w:fill="E7E6E6"/>
          </w:tcPr>
          <w:p w14:paraId="370A2BAC" w14:textId="77777777" w:rsidR="000729CF" w:rsidRPr="000729CF" w:rsidRDefault="000729CF" w:rsidP="000729CF">
            <w:pPr>
              <w:spacing w:after="120"/>
              <w:rPr>
                <w:rFonts w:ascii="Arial" w:hAnsi="Arial" w:cs="Arial"/>
                <w:b/>
                <w:sz w:val="24"/>
                <w:szCs w:val="24"/>
              </w:rPr>
            </w:pPr>
            <w:r w:rsidRPr="000729CF">
              <w:rPr>
                <w:rFonts w:ascii="Arial" w:eastAsia="Calibri" w:hAnsi="Arial" w:cs="Arial"/>
                <w:b/>
                <w:bCs/>
                <w:color w:val="000000"/>
                <w:sz w:val="24"/>
                <w:szCs w:val="24"/>
              </w:rPr>
              <w:t>Carers</w:t>
            </w:r>
          </w:p>
        </w:tc>
        <w:tc>
          <w:tcPr>
            <w:tcW w:w="3827" w:type="dxa"/>
          </w:tcPr>
          <w:p w14:paraId="1C3A45E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3E8685EF" w14:textId="77777777" w:rsidTr="000729CF">
        <w:trPr>
          <w:trHeight w:val="20"/>
        </w:trPr>
        <w:tc>
          <w:tcPr>
            <w:tcW w:w="6658" w:type="dxa"/>
            <w:shd w:val="clear" w:color="auto" w:fill="E7E6E6"/>
          </w:tcPr>
          <w:p w14:paraId="4671F26C"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Looked after children, Care Leavers, Care and fostering experienced people</w:t>
            </w:r>
          </w:p>
        </w:tc>
        <w:tc>
          <w:tcPr>
            <w:tcW w:w="3827" w:type="dxa"/>
          </w:tcPr>
          <w:p w14:paraId="1C6DE21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5AA99BB2" w14:textId="77777777" w:rsidTr="000729CF">
        <w:trPr>
          <w:trHeight w:val="20"/>
        </w:trPr>
        <w:tc>
          <w:tcPr>
            <w:tcW w:w="6658" w:type="dxa"/>
            <w:shd w:val="clear" w:color="auto" w:fill="E7E6E6"/>
          </w:tcPr>
          <w:p w14:paraId="49CD00E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 and   people in vulnerable situations (All aspects and intersections)</w:t>
            </w:r>
          </w:p>
        </w:tc>
        <w:tc>
          <w:tcPr>
            <w:tcW w:w="3827" w:type="dxa"/>
          </w:tcPr>
          <w:p w14:paraId="58A8B16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3C7414D7" w14:textId="77777777" w:rsidTr="000729CF">
        <w:trPr>
          <w:trHeight w:val="20"/>
        </w:trPr>
        <w:tc>
          <w:tcPr>
            <w:tcW w:w="6658" w:type="dxa"/>
            <w:shd w:val="clear" w:color="auto" w:fill="E7E6E6"/>
          </w:tcPr>
          <w:p w14:paraId="37C6E41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Socio-economic Disadvantage</w:t>
            </w:r>
          </w:p>
        </w:tc>
        <w:tc>
          <w:tcPr>
            <w:tcW w:w="3827" w:type="dxa"/>
          </w:tcPr>
          <w:p w14:paraId="642A0E5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09CD5031" w14:textId="77777777" w:rsidTr="000729CF">
        <w:trPr>
          <w:trHeight w:val="20"/>
        </w:trPr>
        <w:tc>
          <w:tcPr>
            <w:tcW w:w="6658" w:type="dxa"/>
            <w:shd w:val="clear" w:color="auto" w:fill="E7E6E6"/>
          </w:tcPr>
          <w:p w14:paraId="4C5046A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Homelessness and associated risk and vulnerability</w:t>
            </w:r>
          </w:p>
        </w:tc>
        <w:tc>
          <w:tcPr>
            <w:tcW w:w="3827" w:type="dxa"/>
          </w:tcPr>
          <w:p w14:paraId="3EB390F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2DD7ED22" w14:textId="77777777" w:rsidTr="000729CF">
        <w:trPr>
          <w:trHeight w:val="20"/>
        </w:trPr>
        <w:tc>
          <w:tcPr>
            <w:tcW w:w="6658" w:type="dxa"/>
            <w:shd w:val="clear" w:color="auto" w:fill="E7E6E6"/>
          </w:tcPr>
          <w:p w14:paraId="248A0FF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3827" w:type="dxa"/>
          </w:tcPr>
          <w:p w14:paraId="5F9337FE" w14:textId="77777777" w:rsidR="000729CF" w:rsidRPr="000729CF" w:rsidRDefault="000729CF" w:rsidP="000729CF">
            <w:pPr>
              <w:spacing w:after="120"/>
              <w:rPr>
                <w:rFonts w:ascii="Arial" w:eastAsia="Calibri" w:hAnsi="Arial" w:cs="Arial"/>
                <w:sz w:val="24"/>
                <w:szCs w:val="24"/>
              </w:rPr>
            </w:pPr>
          </w:p>
        </w:tc>
      </w:tr>
      <w:tr w:rsidR="000729CF" w:rsidRPr="000729CF" w14:paraId="4BA4006F" w14:textId="77777777" w:rsidTr="000729CF">
        <w:trPr>
          <w:trHeight w:val="20"/>
        </w:trPr>
        <w:tc>
          <w:tcPr>
            <w:tcW w:w="6658" w:type="dxa"/>
            <w:shd w:val="clear" w:color="auto" w:fill="E7E6E6"/>
          </w:tcPr>
          <w:p w14:paraId="4FB0ED5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 (please specify here and add additional rows as needed)</w:t>
            </w:r>
          </w:p>
        </w:tc>
        <w:tc>
          <w:tcPr>
            <w:tcW w:w="3827" w:type="dxa"/>
          </w:tcPr>
          <w:p w14:paraId="518F1BF2" w14:textId="77777777" w:rsidR="000729CF" w:rsidRPr="000729CF" w:rsidRDefault="000729CF" w:rsidP="00CE70A3">
            <w:pPr>
              <w:numPr>
                <w:ilvl w:val="0"/>
                <w:numId w:val="101"/>
              </w:numPr>
              <w:contextualSpacing/>
              <w:rPr>
                <w:rFonts w:ascii="Arial" w:eastAsia="Calibri" w:hAnsi="Arial" w:cs="Arial"/>
                <w:sz w:val="24"/>
                <w:szCs w:val="24"/>
              </w:rPr>
            </w:pPr>
            <w:r w:rsidRPr="000729CF">
              <w:rPr>
                <w:rFonts w:ascii="Arial" w:eastAsia="Calibri" w:hAnsi="Arial" w:cs="Arial"/>
                <w:sz w:val="24"/>
                <w:szCs w:val="24"/>
              </w:rPr>
              <w:t xml:space="preserve">Lone parents </w:t>
            </w:r>
          </w:p>
          <w:p w14:paraId="7A2FE2DC" w14:textId="77777777" w:rsidR="000729CF" w:rsidRPr="000729CF" w:rsidRDefault="000729CF" w:rsidP="00CE70A3">
            <w:pPr>
              <w:numPr>
                <w:ilvl w:val="0"/>
                <w:numId w:val="101"/>
              </w:numPr>
              <w:contextualSpacing/>
              <w:rPr>
                <w:rFonts w:ascii="Arial" w:eastAsia="Calibri" w:hAnsi="Arial" w:cs="Arial"/>
                <w:sz w:val="24"/>
                <w:szCs w:val="24"/>
              </w:rPr>
            </w:pPr>
            <w:r w:rsidRPr="000729CF">
              <w:rPr>
                <w:rFonts w:ascii="Arial" w:eastAsia="Calibri" w:hAnsi="Arial" w:cs="Arial"/>
                <w:sz w:val="24"/>
                <w:szCs w:val="24"/>
              </w:rPr>
              <w:t>People facing literacy and numeracy barriers</w:t>
            </w:r>
          </w:p>
          <w:p w14:paraId="1A1F0ADC" w14:textId="77777777" w:rsidR="000729CF" w:rsidRPr="000729CF" w:rsidRDefault="000729CF" w:rsidP="00CE70A3">
            <w:pPr>
              <w:numPr>
                <w:ilvl w:val="0"/>
                <w:numId w:val="101"/>
              </w:numPr>
              <w:spacing w:after="120"/>
              <w:rPr>
                <w:rFonts w:ascii="Arial" w:eastAsia="Calibri" w:hAnsi="Arial" w:cs="Arial"/>
                <w:sz w:val="24"/>
                <w:szCs w:val="24"/>
              </w:rPr>
            </w:pPr>
            <w:r w:rsidRPr="000729CF">
              <w:rPr>
                <w:rFonts w:ascii="Arial" w:eastAsia="Calibri" w:hAnsi="Arial" w:cs="Arial"/>
                <w:sz w:val="24"/>
                <w:szCs w:val="24"/>
              </w:rPr>
              <w:t>People who have experienced female genital mutilation (FGM)</w:t>
            </w:r>
          </w:p>
          <w:p w14:paraId="33F053FE" w14:textId="77777777" w:rsidR="000729CF" w:rsidRPr="000729CF" w:rsidRDefault="000729CF" w:rsidP="00CE70A3">
            <w:pPr>
              <w:numPr>
                <w:ilvl w:val="0"/>
                <w:numId w:val="101"/>
              </w:numPr>
              <w:contextualSpacing/>
              <w:rPr>
                <w:rFonts w:ascii="Arial" w:eastAsia="Calibri" w:hAnsi="Arial" w:cs="Arial"/>
                <w:sz w:val="24"/>
                <w:szCs w:val="24"/>
              </w:rPr>
            </w:pPr>
            <w:r w:rsidRPr="000729CF">
              <w:rPr>
                <w:rFonts w:ascii="Arial" w:eastAsia="Calibri" w:hAnsi="Arial" w:cs="Arial"/>
                <w:sz w:val="24"/>
                <w:szCs w:val="24"/>
              </w:rPr>
              <w:t>People who have experienced human trafficking or modern slavery</w:t>
            </w:r>
          </w:p>
          <w:p w14:paraId="25D30859" w14:textId="77777777" w:rsidR="000729CF" w:rsidRPr="000729CF" w:rsidRDefault="000729CF" w:rsidP="00CE70A3">
            <w:pPr>
              <w:numPr>
                <w:ilvl w:val="0"/>
                <w:numId w:val="101"/>
              </w:numPr>
              <w:contextualSpacing/>
              <w:rPr>
                <w:rFonts w:ascii="Arial" w:eastAsia="Calibri" w:hAnsi="Arial" w:cs="Arial"/>
                <w:sz w:val="24"/>
                <w:szCs w:val="24"/>
              </w:rPr>
            </w:pPr>
            <w:r w:rsidRPr="000729CF">
              <w:rPr>
                <w:rFonts w:ascii="Arial" w:eastAsia="Calibri" w:hAnsi="Arial" w:cs="Arial"/>
                <w:sz w:val="24"/>
                <w:szCs w:val="24"/>
              </w:rPr>
              <w:t>People with experience of or living with addiction and/ or a substance use disorder (SUD)</w:t>
            </w:r>
          </w:p>
          <w:p w14:paraId="2BF40657" w14:textId="77777777" w:rsidR="000729CF" w:rsidRPr="000729CF" w:rsidRDefault="000729CF" w:rsidP="000729CF">
            <w:pPr>
              <w:spacing w:after="120"/>
              <w:ind w:left="360"/>
              <w:rPr>
                <w:rFonts w:ascii="Arial" w:eastAsia="Calibri" w:hAnsi="Arial" w:cs="Arial"/>
                <w:sz w:val="24"/>
                <w:szCs w:val="24"/>
              </w:rPr>
            </w:pPr>
          </w:p>
        </w:tc>
      </w:tr>
    </w:tbl>
    <w:p w14:paraId="6DB19171" w14:textId="77777777" w:rsidR="000729CF" w:rsidRPr="000729CF" w:rsidRDefault="000729CF" w:rsidP="000729CF">
      <w:pPr>
        <w:rPr>
          <w:rFonts w:ascii="Arial" w:eastAsia="Calibri" w:hAnsi="Arial" w:cs="Arial"/>
          <w:sz w:val="24"/>
          <w:szCs w:val="24"/>
          <w:lang w:val="en-GB"/>
        </w:rPr>
      </w:pPr>
    </w:p>
    <w:p w14:paraId="50258433"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4A4D84F3"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1AF231C0"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586B5390"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287199B9"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292322F4"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4400AED3"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693FB9BA"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4CC5160C"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3FEB9F67"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4D4F127A" w14:textId="77777777" w:rsidR="000729CF" w:rsidRPr="000729CF" w:rsidRDefault="000729CF" w:rsidP="000729CF">
      <w:pPr>
        <w:rPr>
          <w:rFonts w:ascii="Arial" w:eastAsia="Calibri" w:hAnsi="Arial" w:cs="Arial"/>
          <w:sz w:val="24"/>
          <w:szCs w:val="24"/>
          <w:lang w:val="en-GB"/>
        </w:rPr>
      </w:pPr>
    </w:p>
    <w:p w14:paraId="6D84A6E9"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If you answered “NO” to any of the above, how will you gather this data to enable improved monitoring of impact for this proposal?</w:t>
      </w:r>
    </w:p>
    <w:tbl>
      <w:tblPr>
        <w:tblStyle w:val="TableGrid"/>
        <w:tblW w:w="0" w:type="auto"/>
        <w:tblLook w:val="04A0" w:firstRow="1" w:lastRow="0" w:firstColumn="1" w:lastColumn="0" w:noHBand="0" w:noVBand="1"/>
      </w:tblPr>
      <w:tblGrid>
        <w:gridCol w:w="10456"/>
      </w:tblGrid>
      <w:tr w:rsidR="000729CF" w:rsidRPr="000729CF" w14:paraId="5E7009B8" w14:textId="77777777" w:rsidTr="00BC26AB">
        <w:trPr>
          <w:trHeight w:val="757"/>
        </w:trPr>
        <w:tc>
          <w:tcPr>
            <w:tcW w:w="10456" w:type="dxa"/>
          </w:tcPr>
          <w:p w14:paraId="15043B9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It is not possible to capture armed forces data on the IT system the council uses for this service. </w:t>
            </w:r>
          </w:p>
        </w:tc>
      </w:tr>
    </w:tbl>
    <w:p w14:paraId="0B31B236" w14:textId="77777777" w:rsidR="000729CF" w:rsidRPr="000729CF" w:rsidRDefault="000729CF" w:rsidP="000729CF">
      <w:pPr>
        <w:rPr>
          <w:rFonts w:ascii="Arial" w:eastAsia="Calibri" w:hAnsi="Arial" w:cs="Arial"/>
          <w:sz w:val="24"/>
          <w:szCs w:val="24"/>
          <w:lang w:val="en-GB"/>
        </w:rPr>
      </w:pPr>
    </w:p>
    <w:p w14:paraId="0C8E7758" w14:textId="77777777" w:rsidR="000729CF" w:rsidRPr="000729CF" w:rsidRDefault="000729CF" w:rsidP="000729CF">
      <w:pPr>
        <w:rPr>
          <w:rFonts w:ascii="Arial" w:eastAsia="Calibri" w:hAnsi="Arial" w:cs="Arial"/>
          <w:sz w:val="24"/>
          <w:szCs w:val="24"/>
          <w:lang w:val="en-GB"/>
        </w:rPr>
      </w:pPr>
    </w:p>
    <w:p w14:paraId="50852783"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are the arrangements for monitoring, and reviewing the impact of this proposal?</w:t>
      </w:r>
    </w:p>
    <w:tbl>
      <w:tblPr>
        <w:tblStyle w:val="TableGrid"/>
        <w:tblW w:w="0" w:type="auto"/>
        <w:tblLook w:val="04A0" w:firstRow="1" w:lastRow="0" w:firstColumn="1" w:lastColumn="0" w:noHBand="0" w:noVBand="1"/>
      </w:tblPr>
      <w:tblGrid>
        <w:gridCol w:w="10456"/>
      </w:tblGrid>
      <w:tr w:rsidR="000729CF" w:rsidRPr="000729CF" w14:paraId="6629AB26" w14:textId="77777777" w:rsidTr="00BC26AB">
        <w:trPr>
          <w:trHeight w:val="757"/>
        </w:trPr>
        <w:tc>
          <w:tcPr>
            <w:tcW w:w="10456" w:type="dxa"/>
          </w:tcPr>
          <w:p w14:paraId="1F499D7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Annual reports are completed for the Partners in Change (PIC)  Hub, which include consideration of protected characteristics, and these factors are also considered throughout PICs work in the delivery of specific interventions by the hub, for example mental health, substance misuse and parenting support, and at the regular reviews of these interventions.</w:t>
            </w:r>
          </w:p>
        </w:tc>
      </w:tr>
    </w:tbl>
    <w:p w14:paraId="6797CC5C" w14:textId="77777777" w:rsidR="000729CF" w:rsidRPr="000729CF" w:rsidRDefault="000729CF" w:rsidP="000729CF">
      <w:pPr>
        <w:rPr>
          <w:rFonts w:ascii="Arial" w:eastAsia="Calibri" w:hAnsi="Arial" w:cs="Arial"/>
          <w:sz w:val="24"/>
          <w:szCs w:val="24"/>
          <w:lang w:val="en-GB"/>
        </w:rPr>
      </w:pPr>
    </w:p>
    <w:p w14:paraId="4587D36B" w14:textId="77777777" w:rsidR="000729CF" w:rsidRPr="000729CF" w:rsidRDefault="000729CF" w:rsidP="000729CF">
      <w:pPr>
        <w:rPr>
          <w:rFonts w:ascii="Arial" w:eastAsia="Calibri" w:hAnsi="Arial" w:cs="Arial"/>
          <w:sz w:val="24"/>
          <w:szCs w:val="24"/>
          <w:lang w:val="en-GB"/>
        </w:rPr>
      </w:pPr>
    </w:p>
    <w:p w14:paraId="06C67C3A"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Impacts</w:t>
      </w:r>
    </w:p>
    <w:p w14:paraId="07987412"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Briefly state source of data or data analysis being used to describe the </w:t>
      </w:r>
      <w:r w:rsidRPr="000729CF">
        <w:rPr>
          <w:rFonts w:ascii="Arial" w:eastAsia="Calibri" w:hAnsi="Arial" w:cs="Arial"/>
          <w:color w:val="000000"/>
          <w:sz w:val="24"/>
          <w:szCs w:val="24"/>
          <w:bdr w:val="none" w:sz="0" w:space="0" w:color="auto" w:frame="1"/>
          <w:lang w:val="en-GB"/>
        </w:rPr>
        <w:t xml:space="preserve">disproportionate negative impacts. </w:t>
      </w:r>
      <w:r w:rsidRPr="000729CF">
        <w:rPr>
          <w:rFonts w:ascii="Arial" w:eastAsia="Calibri" w:hAnsi="Arial" w:cs="Arial"/>
          <w:sz w:val="24"/>
          <w:szCs w:val="24"/>
          <w:lang w:val="en-GB"/>
        </w:rPr>
        <w:t xml:space="preserve">Preferably provide link to data/ analysis if open data source. </w:t>
      </w:r>
    </w:p>
    <w:tbl>
      <w:tblPr>
        <w:tblStyle w:val="TableGrid"/>
        <w:tblW w:w="10485" w:type="dxa"/>
        <w:tblLook w:val="04A0" w:firstRow="1" w:lastRow="0" w:firstColumn="1" w:lastColumn="0" w:noHBand="0" w:noVBand="1"/>
      </w:tblPr>
      <w:tblGrid>
        <w:gridCol w:w="2985"/>
        <w:gridCol w:w="2123"/>
        <w:gridCol w:w="5377"/>
      </w:tblGrid>
      <w:tr w:rsidR="000729CF" w:rsidRPr="000729CF" w14:paraId="200AD968" w14:textId="77777777" w:rsidTr="000729CF">
        <w:trPr>
          <w:trHeight w:val="20"/>
        </w:trPr>
        <w:tc>
          <w:tcPr>
            <w:tcW w:w="2985" w:type="dxa"/>
            <w:shd w:val="clear" w:color="auto" w:fill="E7E6E6"/>
          </w:tcPr>
          <w:p w14:paraId="7EA9967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Assess impact for different population groups</w:t>
            </w:r>
          </w:p>
        </w:tc>
        <w:tc>
          <w:tcPr>
            <w:tcW w:w="2123" w:type="dxa"/>
            <w:shd w:val="clear" w:color="auto" w:fill="E7E6E6"/>
          </w:tcPr>
          <w:p w14:paraId="4AFDB7A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Is there a possible disproportionate negative impact? </w:t>
            </w:r>
          </w:p>
          <w:p w14:paraId="027B87DE" w14:textId="77777777" w:rsidR="000729CF" w:rsidRPr="000729CF" w:rsidRDefault="000729CF" w:rsidP="000729CF">
            <w:pPr>
              <w:spacing w:after="120"/>
              <w:rPr>
                <w:rFonts w:ascii="Arial" w:eastAsia="Calibri" w:hAnsi="Arial" w:cs="Arial"/>
                <w:b/>
                <w:bCs/>
                <w:sz w:val="24"/>
                <w:szCs w:val="24"/>
              </w:rPr>
            </w:pPr>
          </w:p>
          <w:p w14:paraId="58180F5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b/>
                <w:bCs/>
                <w:sz w:val="24"/>
                <w:szCs w:val="24"/>
              </w:rPr>
              <w:t>State Yes or No</w:t>
            </w:r>
          </w:p>
        </w:tc>
        <w:tc>
          <w:tcPr>
            <w:tcW w:w="5377" w:type="dxa"/>
            <w:shd w:val="clear" w:color="auto" w:fill="E7E6E6"/>
          </w:tcPr>
          <w:p w14:paraId="2E113F3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Describe the potential negative impact, considering for differences within groups For example, different ethnic groups, and peoples intersecting identities e.g. disabled women of faith</w:t>
            </w:r>
          </w:p>
          <w:p w14:paraId="66B3242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OR</w:t>
            </w:r>
          </w:p>
          <w:p w14:paraId="017FD49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If no impact is identified, briefly state why.</w:t>
            </w:r>
          </w:p>
        </w:tc>
      </w:tr>
      <w:tr w:rsidR="000729CF" w:rsidRPr="000729CF" w14:paraId="5837B841" w14:textId="77777777" w:rsidTr="000729CF">
        <w:trPr>
          <w:trHeight w:val="20"/>
        </w:trPr>
        <w:tc>
          <w:tcPr>
            <w:tcW w:w="2985" w:type="dxa"/>
            <w:shd w:val="clear" w:color="auto" w:fill="E7E6E6"/>
          </w:tcPr>
          <w:p w14:paraId="5B4321A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Age </w:t>
            </w:r>
          </w:p>
          <w:p w14:paraId="396E015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sz w:val="24"/>
                <w:szCs w:val="24"/>
              </w:rPr>
              <w:t>including those under 16, young adults, multiple ethnicities, those with various intersections.</w:t>
            </w:r>
          </w:p>
        </w:tc>
        <w:tc>
          <w:tcPr>
            <w:tcW w:w="2123" w:type="dxa"/>
          </w:tcPr>
          <w:p w14:paraId="4C35E1F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shd w:val="clear" w:color="auto" w:fill="auto"/>
            <w:vAlign w:val="center"/>
          </w:tcPr>
          <w:p w14:paraId="4A2A6A2A" w14:textId="77777777" w:rsidR="000729CF" w:rsidRPr="000729CF" w:rsidRDefault="000729CF" w:rsidP="000729CF">
            <w:pPr>
              <w:spacing w:after="120"/>
              <w:rPr>
                <w:rFonts w:ascii="Arial" w:eastAsia="Calibri" w:hAnsi="Arial" w:cs="Arial"/>
                <w:bCs/>
                <w:sz w:val="24"/>
                <w:szCs w:val="24"/>
              </w:rPr>
            </w:pPr>
            <w:r w:rsidRPr="000729CF">
              <w:rPr>
                <w:rFonts w:ascii="Arial" w:eastAsia="Calibri" w:hAnsi="Arial" w:cs="Arial"/>
                <w:bCs/>
                <w:sz w:val="24"/>
                <w:szCs w:val="24"/>
              </w:rPr>
              <w:t>The Partners in Change Hub provides support to children and young people, this will include care leavers up to the age of 25, and their families or carers.  The Partners in Change Hub also includes the baby team, which provides support as part of pre-birth processes and to new parents. The impact of this proposal will, therefore, have a potential negative impact on vulnerable young people and children disproportionately.</w:t>
            </w:r>
          </w:p>
        </w:tc>
      </w:tr>
      <w:tr w:rsidR="000729CF" w:rsidRPr="000729CF" w14:paraId="3F85306D" w14:textId="77777777" w:rsidTr="000729CF">
        <w:trPr>
          <w:trHeight w:val="20"/>
        </w:trPr>
        <w:tc>
          <w:tcPr>
            <w:tcW w:w="2985" w:type="dxa"/>
            <w:shd w:val="clear" w:color="auto" w:fill="E7E6E6"/>
          </w:tcPr>
          <w:p w14:paraId="6CA47E23"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 xml:space="preserve">Disability </w:t>
            </w:r>
            <w:r w:rsidRPr="000729CF">
              <w:rPr>
                <w:rFonts w:ascii="Arial" w:eastAsia="Calibri" w:hAnsi="Arial" w:cs="Arial"/>
                <w:sz w:val="24"/>
                <w:szCs w:val="24"/>
              </w:rPr>
              <w:t>includes physical and sensory disabled, D/deaf, deafened, hard of hearing, blind, neurodiverse people, people with non-visible disabilities.</w:t>
            </w:r>
          </w:p>
        </w:tc>
        <w:tc>
          <w:tcPr>
            <w:tcW w:w="2123" w:type="dxa"/>
          </w:tcPr>
          <w:p w14:paraId="7D87ED7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shd w:val="clear" w:color="auto" w:fill="auto"/>
            <w:vAlign w:val="center"/>
          </w:tcPr>
          <w:p w14:paraId="62ADC5A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bCs/>
                <w:sz w:val="24"/>
                <w:szCs w:val="24"/>
              </w:rPr>
              <w:t>Many of the children that the Partners in Change Hub supports will experience additional complexities and this includes emotional and mental health issues and/or neurodiversity. The hub provides specialist support to children and young people with emotional and mental health issues and neurodiversity and so these children would be negatively impacted by a reduction in service.</w:t>
            </w:r>
          </w:p>
        </w:tc>
      </w:tr>
      <w:tr w:rsidR="000729CF" w:rsidRPr="000729CF" w14:paraId="5F42BFE7" w14:textId="77777777" w:rsidTr="000729CF">
        <w:trPr>
          <w:trHeight w:val="20"/>
        </w:trPr>
        <w:tc>
          <w:tcPr>
            <w:tcW w:w="2985" w:type="dxa"/>
            <w:shd w:val="clear" w:color="auto" w:fill="E7E6E6"/>
          </w:tcPr>
          <w:p w14:paraId="739F9060" w14:textId="77777777" w:rsidR="000729CF" w:rsidRPr="000729CF" w:rsidRDefault="000729CF" w:rsidP="000729CF">
            <w:pPr>
              <w:keepNext/>
              <w:keepLines/>
              <w:spacing w:before="40"/>
              <w:outlineLvl w:val="2"/>
              <w:rPr>
                <w:rFonts w:ascii="Arial" w:hAnsi="Arial" w:cs="Arial"/>
                <w:color w:val="1F3763"/>
                <w:sz w:val="24"/>
                <w:szCs w:val="24"/>
              </w:rPr>
            </w:pPr>
            <w:r w:rsidRPr="000729CF">
              <w:rPr>
                <w:rFonts w:ascii="Arial" w:hAnsi="Arial" w:cs="Arial"/>
                <w:b/>
                <w:bCs/>
                <w:color w:val="000000"/>
                <w:sz w:val="24"/>
                <w:szCs w:val="24"/>
              </w:rPr>
              <w:t>Ethnicity, ‘</w:t>
            </w:r>
            <w:r w:rsidRPr="000729CF">
              <w:rPr>
                <w:rFonts w:ascii="Arial" w:hAnsi="Arial" w:cs="Arial"/>
                <w:color w:val="000000"/>
                <w:sz w:val="24"/>
                <w:szCs w:val="24"/>
              </w:rPr>
              <w:t>Race’, ethnic heritage including Gypsy, Roma, Travellers</w:t>
            </w:r>
          </w:p>
        </w:tc>
        <w:tc>
          <w:tcPr>
            <w:tcW w:w="2123" w:type="dxa"/>
          </w:tcPr>
          <w:p w14:paraId="4B72975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062547D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35% of children in care in Brighton &amp; Hove are Black or from the Global Majority. We know that children of ‘mixed/dual’ ethnicity are over-represented as children in care.  This is also reflected in the children that the Partners in Change Hub offers support to.  These children would, therefore, be disproportionately impacted by any reduction in services.</w:t>
            </w:r>
          </w:p>
        </w:tc>
      </w:tr>
      <w:tr w:rsidR="000729CF" w:rsidRPr="000729CF" w14:paraId="19534EF5" w14:textId="77777777" w:rsidTr="000729CF">
        <w:trPr>
          <w:trHeight w:val="20"/>
        </w:trPr>
        <w:tc>
          <w:tcPr>
            <w:tcW w:w="2985" w:type="dxa"/>
            <w:shd w:val="clear" w:color="auto" w:fill="E7E6E6"/>
          </w:tcPr>
          <w:p w14:paraId="1EC8D9D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Religion, Spirituality, Faith, Atheism, and philosophical belief </w:t>
            </w:r>
          </w:p>
        </w:tc>
        <w:tc>
          <w:tcPr>
            <w:tcW w:w="2123" w:type="dxa"/>
          </w:tcPr>
          <w:p w14:paraId="1A5A97B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207A928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disproportionate impact identified. </w:t>
            </w:r>
          </w:p>
        </w:tc>
      </w:tr>
      <w:tr w:rsidR="000729CF" w:rsidRPr="000729CF" w14:paraId="4A2FE251" w14:textId="77777777" w:rsidTr="000729CF">
        <w:trPr>
          <w:trHeight w:val="20"/>
        </w:trPr>
        <w:tc>
          <w:tcPr>
            <w:tcW w:w="2985" w:type="dxa"/>
            <w:shd w:val="clear" w:color="auto" w:fill="E7E6E6"/>
          </w:tcPr>
          <w:p w14:paraId="2C08DCA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Gender and Sex </w:t>
            </w:r>
            <w:r w:rsidRPr="000729CF">
              <w:rPr>
                <w:rFonts w:ascii="Arial" w:eastAsia="Calibri" w:hAnsi="Arial" w:cs="Arial"/>
                <w:sz w:val="24"/>
                <w:szCs w:val="24"/>
              </w:rPr>
              <w:t>including non-binary and intersex people</w:t>
            </w:r>
          </w:p>
        </w:tc>
        <w:tc>
          <w:tcPr>
            <w:tcW w:w="2123" w:type="dxa"/>
          </w:tcPr>
          <w:p w14:paraId="6B05CFB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58FF035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Social work services and the Partners in Change Hub engages with a higher number of those who identify as women than men and this is reflected in interventions such as parenting groups and domestic abuse support.  Women could, therefore, be disproportionately impacted by the proposals.</w:t>
            </w:r>
          </w:p>
        </w:tc>
      </w:tr>
      <w:tr w:rsidR="000729CF" w:rsidRPr="000729CF" w14:paraId="6034BEF3" w14:textId="77777777" w:rsidTr="000729CF">
        <w:trPr>
          <w:trHeight w:val="20"/>
        </w:trPr>
        <w:tc>
          <w:tcPr>
            <w:tcW w:w="2985" w:type="dxa"/>
            <w:shd w:val="clear" w:color="auto" w:fill="E7E6E6"/>
          </w:tcPr>
          <w:p w14:paraId="2A0A22B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2123" w:type="dxa"/>
          </w:tcPr>
          <w:p w14:paraId="61E3299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62BF4E8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bCs/>
                <w:sz w:val="24"/>
                <w:szCs w:val="24"/>
              </w:rPr>
              <w:t>A number of children in care identify as non-binary or trans and these young people will often also have additional complex needs and vulnerability, which may result in additional support from the Partners in Change Hub.</w:t>
            </w:r>
          </w:p>
        </w:tc>
      </w:tr>
      <w:tr w:rsidR="000729CF" w:rsidRPr="000729CF" w14:paraId="4C506B38" w14:textId="77777777" w:rsidTr="000729CF">
        <w:trPr>
          <w:trHeight w:val="20"/>
        </w:trPr>
        <w:tc>
          <w:tcPr>
            <w:tcW w:w="2985" w:type="dxa"/>
            <w:shd w:val="clear" w:color="auto" w:fill="E7E6E6"/>
          </w:tcPr>
          <w:p w14:paraId="628E60A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2123" w:type="dxa"/>
          </w:tcPr>
          <w:p w14:paraId="0B1F6BA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4F71658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disproportionate impact identified.</w:t>
            </w:r>
          </w:p>
        </w:tc>
      </w:tr>
      <w:tr w:rsidR="000729CF" w:rsidRPr="000729CF" w14:paraId="76E9D5B8" w14:textId="77777777" w:rsidTr="000729CF">
        <w:trPr>
          <w:trHeight w:val="20"/>
        </w:trPr>
        <w:tc>
          <w:tcPr>
            <w:tcW w:w="2985" w:type="dxa"/>
            <w:shd w:val="clear" w:color="auto" w:fill="E7E6E6"/>
          </w:tcPr>
          <w:p w14:paraId="442E1D4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2123" w:type="dxa"/>
          </w:tcPr>
          <w:p w14:paraId="3825459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n/a</w:t>
            </w:r>
          </w:p>
        </w:tc>
        <w:tc>
          <w:tcPr>
            <w:tcW w:w="5377" w:type="dxa"/>
          </w:tcPr>
          <w:p w14:paraId="08EC93A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n/a</w:t>
            </w:r>
          </w:p>
        </w:tc>
      </w:tr>
      <w:tr w:rsidR="000729CF" w:rsidRPr="000729CF" w14:paraId="1649C030" w14:textId="77777777" w:rsidTr="000729CF">
        <w:trPr>
          <w:trHeight w:val="20"/>
        </w:trPr>
        <w:tc>
          <w:tcPr>
            <w:tcW w:w="2985" w:type="dxa"/>
            <w:shd w:val="clear" w:color="auto" w:fill="E7E6E6"/>
          </w:tcPr>
          <w:p w14:paraId="03B8E27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Pregnancy, Maternity, Paternity, Adoption, Menopause, (In)fertility </w:t>
            </w:r>
            <w:r w:rsidRPr="000729CF">
              <w:rPr>
                <w:rFonts w:ascii="Arial" w:eastAsia="Calibri" w:hAnsi="Arial" w:cs="Arial"/>
                <w:color w:val="000000"/>
                <w:sz w:val="24"/>
                <w:szCs w:val="24"/>
              </w:rPr>
              <w:t>(across intersections and non-binary gender spectrum)</w:t>
            </w:r>
          </w:p>
        </w:tc>
        <w:tc>
          <w:tcPr>
            <w:tcW w:w="2123" w:type="dxa"/>
          </w:tcPr>
          <w:p w14:paraId="66D3C06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6489D1F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bCs/>
                <w:sz w:val="24"/>
                <w:szCs w:val="24"/>
              </w:rPr>
              <w:t>The Partners in Change Hub includes the baby team, which provides support as part of pre-birth processes and to new parents. The impact will, therefore, have a potential negative impact on parents.  The Partners in Change Hub also provides specialist support to permanence processes within social work services, including decisions regarding adoption care plans for children and so this would be negatively impacted if these services were reduced.</w:t>
            </w:r>
          </w:p>
        </w:tc>
      </w:tr>
      <w:tr w:rsidR="000729CF" w:rsidRPr="000729CF" w14:paraId="46082976" w14:textId="77777777" w:rsidTr="000729CF">
        <w:trPr>
          <w:trHeight w:val="20"/>
        </w:trPr>
        <w:tc>
          <w:tcPr>
            <w:tcW w:w="2985" w:type="dxa"/>
            <w:shd w:val="clear" w:color="auto" w:fill="E7E6E6"/>
          </w:tcPr>
          <w:p w14:paraId="265EACC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2123" w:type="dxa"/>
          </w:tcPr>
          <w:p w14:paraId="1917491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Unknow</w:t>
            </w:r>
          </w:p>
        </w:tc>
        <w:tc>
          <w:tcPr>
            <w:tcW w:w="5377" w:type="dxa"/>
          </w:tcPr>
          <w:p w14:paraId="2D5C391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data or insight </w:t>
            </w:r>
          </w:p>
        </w:tc>
      </w:tr>
      <w:tr w:rsidR="000729CF" w:rsidRPr="000729CF" w14:paraId="6D05D786" w14:textId="77777777" w:rsidTr="000729CF">
        <w:trPr>
          <w:trHeight w:val="20"/>
        </w:trPr>
        <w:tc>
          <w:tcPr>
            <w:tcW w:w="2985" w:type="dxa"/>
            <w:shd w:val="clear" w:color="auto" w:fill="E7E6E6"/>
          </w:tcPr>
          <w:p w14:paraId="422B6D7B" w14:textId="77777777" w:rsidR="000729CF" w:rsidRPr="000729CF" w:rsidRDefault="000729CF" w:rsidP="000729CF">
            <w:pPr>
              <w:spacing w:after="120"/>
              <w:rPr>
                <w:rFonts w:ascii="Arial" w:eastAsia="Calibri" w:hAnsi="Arial" w:cs="Arial"/>
                <w:b/>
                <w:bCs/>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r w:rsidRPr="000729CF">
              <w:rPr>
                <w:rFonts w:ascii="Arial" w:hAnsi="Arial" w:cs="Arial"/>
                <w:color w:val="000000"/>
                <w:sz w:val="24"/>
                <w:szCs w:val="24"/>
              </w:rPr>
              <w:t>considering for age, language, and various intersections</w:t>
            </w:r>
          </w:p>
        </w:tc>
        <w:tc>
          <w:tcPr>
            <w:tcW w:w="2123" w:type="dxa"/>
          </w:tcPr>
          <w:p w14:paraId="1713EAD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7224135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The Partners in Change provides specialist support to Unaccompanied Asylum-Seeking Children and Care Leavers seeking asylum. </w:t>
            </w:r>
          </w:p>
        </w:tc>
      </w:tr>
      <w:tr w:rsidR="000729CF" w:rsidRPr="000729CF" w14:paraId="163EBB95" w14:textId="77777777" w:rsidTr="000729CF">
        <w:trPr>
          <w:trHeight w:val="20"/>
        </w:trPr>
        <w:tc>
          <w:tcPr>
            <w:tcW w:w="2985" w:type="dxa"/>
            <w:shd w:val="clear" w:color="auto" w:fill="E7E6E6"/>
          </w:tcPr>
          <w:p w14:paraId="142A2C7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Carers </w:t>
            </w:r>
            <w:r w:rsidRPr="000729CF">
              <w:rPr>
                <w:rFonts w:ascii="Arial" w:hAnsi="Arial" w:cs="Arial"/>
                <w:color w:val="000000"/>
                <w:sz w:val="24"/>
                <w:szCs w:val="24"/>
              </w:rPr>
              <w:t>considering for age, language, and various intersections</w:t>
            </w:r>
          </w:p>
        </w:tc>
        <w:tc>
          <w:tcPr>
            <w:tcW w:w="2123" w:type="dxa"/>
          </w:tcPr>
          <w:p w14:paraId="30F788C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2347D83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As well as support to parents, the Partners in Change Hub provides support to other adults that are in caring roles, whether these are formal or informal, as well as children that take on caring responsibilities</w:t>
            </w:r>
          </w:p>
        </w:tc>
      </w:tr>
      <w:tr w:rsidR="000729CF" w:rsidRPr="000729CF" w14:paraId="27736696" w14:textId="77777777" w:rsidTr="000729CF">
        <w:trPr>
          <w:trHeight w:val="20"/>
        </w:trPr>
        <w:tc>
          <w:tcPr>
            <w:tcW w:w="2985" w:type="dxa"/>
            <w:shd w:val="clear" w:color="auto" w:fill="E7E6E6"/>
          </w:tcPr>
          <w:p w14:paraId="7FAEF16E"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 xml:space="preserve">Looked after children, Care Leavers, Care and fostering experienced people </w:t>
            </w:r>
            <w:r w:rsidRPr="000729CF">
              <w:rPr>
                <w:rFonts w:ascii="Arial" w:hAnsi="Arial" w:cs="Arial"/>
                <w:color w:val="000000"/>
                <w:sz w:val="24"/>
                <w:szCs w:val="24"/>
              </w:rPr>
              <w:t>considering for age, language, and various intersections</w:t>
            </w:r>
          </w:p>
        </w:tc>
        <w:tc>
          <w:tcPr>
            <w:tcW w:w="2123" w:type="dxa"/>
          </w:tcPr>
          <w:p w14:paraId="757112E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0DEF113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Partners in Change Hub provides support to children in care, care leavers and care experienced children as well as children in need and children with child protection plans.  These children would, therefore, be negatively impacted by a reduction in the service offered by the Hub.</w:t>
            </w:r>
          </w:p>
        </w:tc>
      </w:tr>
      <w:tr w:rsidR="000729CF" w:rsidRPr="000729CF" w14:paraId="05B1BBDB" w14:textId="77777777" w:rsidTr="000729CF">
        <w:trPr>
          <w:trHeight w:val="20"/>
        </w:trPr>
        <w:tc>
          <w:tcPr>
            <w:tcW w:w="2985" w:type="dxa"/>
            <w:shd w:val="clear" w:color="auto" w:fill="E7E6E6"/>
          </w:tcPr>
          <w:p w14:paraId="11333D8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w:t>
            </w:r>
          </w:p>
        </w:tc>
        <w:tc>
          <w:tcPr>
            <w:tcW w:w="2123" w:type="dxa"/>
          </w:tcPr>
          <w:p w14:paraId="75CCC80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4C236A4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Partners in Change Hub provides specialist support to adults and children who have experienced domestic or sexual abuse and so these survivors would be impacted if these services were reduced.</w:t>
            </w:r>
          </w:p>
        </w:tc>
      </w:tr>
      <w:tr w:rsidR="000729CF" w:rsidRPr="000729CF" w14:paraId="7C307EDF" w14:textId="77777777" w:rsidTr="000729CF">
        <w:trPr>
          <w:trHeight w:val="20"/>
        </w:trPr>
        <w:tc>
          <w:tcPr>
            <w:tcW w:w="2985" w:type="dxa"/>
            <w:shd w:val="clear" w:color="auto" w:fill="E7E6E6"/>
          </w:tcPr>
          <w:p w14:paraId="0E8076A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Socio-economic disadvantage </w:t>
            </w:r>
            <w:r w:rsidRPr="000729CF">
              <w:rPr>
                <w:rFonts w:ascii="Arial" w:eastAsia="Calibri" w:hAnsi="Arial" w:cs="Arial"/>
                <w:color w:val="000000"/>
                <w:sz w:val="24"/>
                <w:szCs w:val="24"/>
              </w:rPr>
              <w:t>considering for age, disability, D/deaf/ blind, ethnicity, expatriate background, and various intersections</w:t>
            </w:r>
          </w:p>
        </w:tc>
        <w:tc>
          <w:tcPr>
            <w:tcW w:w="2123" w:type="dxa"/>
          </w:tcPr>
          <w:p w14:paraId="7154EA6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61B1C71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The </w:t>
            </w:r>
            <w:hyperlink r:id="rId36" w:history="1">
              <w:r w:rsidRPr="000729CF">
                <w:rPr>
                  <w:rFonts w:ascii="Arial" w:eastAsia="Calibri" w:hAnsi="Arial" w:cs="Arial"/>
                  <w:color w:val="0563C1"/>
                  <w:sz w:val="24"/>
                  <w:szCs w:val="24"/>
                  <w:u w:val="single"/>
                </w:rPr>
                <w:t>Child Welfare Inequalities Project</w:t>
              </w:r>
            </w:hyperlink>
            <w:r w:rsidRPr="000729CF">
              <w:rPr>
                <w:rFonts w:ascii="Arial" w:eastAsia="Calibri" w:hAnsi="Arial" w:cs="Arial"/>
                <w:sz w:val="24"/>
                <w:szCs w:val="24"/>
              </w:rPr>
              <w:t>, has shown that children who receive social work support are more likely to have experienced socio—economic disadvantage.  If services are reduced from the Partners in Change hub these children would be negatively impacted.</w:t>
            </w:r>
          </w:p>
        </w:tc>
      </w:tr>
      <w:tr w:rsidR="000729CF" w:rsidRPr="000729CF" w14:paraId="437CD11B" w14:textId="77777777" w:rsidTr="000729CF">
        <w:trPr>
          <w:trHeight w:val="20"/>
        </w:trPr>
        <w:tc>
          <w:tcPr>
            <w:tcW w:w="2985" w:type="dxa"/>
            <w:shd w:val="clear" w:color="auto" w:fill="E7E6E6"/>
          </w:tcPr>
          <w:p w14:paraId="6B801AF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Homeless and rough sleepers </w:t>
            </w:r>
            <w:r w:rsidRPr="000729CF">
              <w:rPr>
                <w:rFonts w:ascii="Arial" w:eastAsia="Calibri" w:hAnsi="Arial" w:cs="Arial"/>
                <w:color w:val="000000"/>
                <w:sz w:val="24"/>
                <w:szCs w:val="24"/>
              </w:rPr>
              <w:t>considering for age, veteran, ethnicity, language, and various intersections</w:t>
            </w:r>
          </w:p>
        </w:tc>
        <w:tc>
          <w:tcPr>
            <w:tcW w:w="2123" w:type="dxa"/>
          </w:tcPr>
          <w:p w14:paraId="2C97233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3D2EB259" w14:textId="77777777" w:rsidR="000729CF" w:rsidRPr="000729CF" w:rsidRDefault="000729CF" w:rsidP="000729CF">
            <w:pPr>
              <w:spacing w:after="120"/>
              <w:rPr>
                <w:rFonts w:ascii="Arial" w:eastAsia="Calibri" w:hAnsi="Arial" w:cs="Arial"/>
                <w:sz w:val="24"/>
                <w:szCs w:val="24"/>
              </w:rPr>
            </w:pPr>
          </w:p>
        </w:tc>
      </w:tr>
      <w:tr w:rsidR="000729CF" w:rsidRPr="000729CF" w14:paraId="4E8454F8" w14:textId="77777777" w:rsidTr="000729CF">
        <w:trPr>
          <w:trHeight w:val="20"/>
        </w:trPr>
        <w:tc>
          <w:tcPr>
            <w:tcW w:w="2985" w:type="dxa"/>
            <w:shd w:val="clear" w:color="auto" w:fill="E7E6E6"/>
          </w:tcPr>
          <w:p w14:paraId="266ECB4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2123" w:type="dxa"/>
          </w:tcPr>
          <w:p w14:paraId="037A48A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0541F5EE" w14:textId="77777777" w:rsidR="000729CF" w:rsidRPr="000729CF" w:rsidRDefault="000729CF" w:rsidP="000729CF">
            <w:pPr>
              <w:spacing w:after="120"/>
              <w:rPr>
                <w:rFonts w:ascii="Arial" w:eastAsia="Calibri" w:hAnsi="Arial" w:cs="Arial"/>
                <w:sz w:val="24"/>
                <w:szCs w:val="24"/>
              </w:rPr>
            </w:pPr>
          </w:p>
        </w:tc>
      </w:tr>
      <w:tr w:rsidR="000729CF" w:rsidRPr="000729CF" w14:paraId="61087CA2" w14:textId="77777777" w:rsidTr="000729CF">
        <w:trPr>
          <w:trHeight w:val="20"/>
        </w:trPr>
        <w:tc>
          <w:tcPr>
            <w:tcW w:w="2985" w:type="dxa"/>
            <w:shd w:val="clear" w:color="auto" w:fill="E7E6E6"/>
          </w:tcPr>
          <w:p w14:paraId="45BCA00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w:t>
            </w:r>
          </w:p>
        </w:tc>
        <w:tc>
          <w:tcPr>
            <w:tcW w:w="2123" w:type="dxa"/>
          </w:tcPr>
          <w:p w14:paraId="705543D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Parents with substance misuse and / or mental health issues</w:t>
            </w:r>
          </w:p>
        </w:tc>
        <w:tc>
          <w:tcPr>
            <w:tcW w:w="5377" w:type="dxa"/>
          </w:tcPr>
          <w:p w14:paraId="1218EB5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Partners in Change Hub provides support to parents with substance misuse and / or mental health issues and these parents and their children would be negatively impacted if these services were reduced.</w:t>
            </w:r>
          </w:p>
        </w:tc>
      </w:tr>
    </w:tbl>
    <w:p w14:paraId="1DA23682" w14:textId="77777777" w:rsidR="000729CF" w:rsidRPr="000729CF" w:rsidRDefault="000729CF" w:rsidP="000729CF">
      <w:pPr>
        <w:spacing w:after="160" w:line="259" w:lineRule="auto"/>
        <w:rPr>
          <w:rFonts w:ascii="Arial" w:eastAsia="Calibri" w:hAnsi="Arial" w:cs="Arial"/>
          <w:b/>
          <w:bCs/>
          <w:sz w:val="24"/>
          <w:szCs w:val="24"/>
          <w:lang w:val="en-GB"/>
        </w:rPr>
      </w:pPr>
    </w:p>
    <w:p w14:paraId="7311E307"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103F8087"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6F326D9E"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7CA43789"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42F38DC3"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14924995"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4B1DA781"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4BAFD98D"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3439E052"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2B5F8B6C"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0B747BB7" w14:textId="77777777" w:rsidR="000729CF" w:rsidRPr="000729CF" w:rsidRDefault="000729CF" w:rsidP="000729CF">
      <w:pPr>
        <w:rPr>
          <w:rFonts w:ascii="Arial" w:eastAsia="Calibri" w:hAnsi="Arial" w:cs="Arial"/>
          <w:sz w:val="24"/>
          <w:szCs w:val="24"/>
          <w:lang w:val="en-GB"/>
        </w:rPr>
      </w:pPr>
    </w:p>
    <w:p w14:paraId="0EBAC7EB"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Cumulative impacts</w:t>
      </w:r>
    </w:p>
    <w:p w14:paraId="2E942AD5"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Are there other budget proposals from other service areas that might worsen or mitigate the impacts from your proposal? Please give a brief description including name of other service(s).</w:t>
      </w:r>
    </w:p>
    <w:tbl>
      <w:tblPr>
        <w:tblStyle w:val="TableGrid"/>
        <w:tblW w:w="0" w:type="auto"/>
        <w:tblLook w:val="04A0" w:firstRow="1" w:lastRow="0" w:firstColumn="1" w:lastColumn="0" w:noHBand="0" w:noVBand="1"/>
      </w:tblPr>
      <w:tblGrid>
        <w:gridCol w:w="10456"/>
      </w:tblGrid>
      <w:tr w:rsidR="000729CF" w:rsidRPr="000729CF" w14:paraId="322CC308" w14:textId="77777777" w:rsidTr="00BC26AB">
        <w:tc>
          <w:tcPr>
            <w:tcW w:w="10456" w:type="dxa"/>
          </w:tcPr>
          <w:p w14:paraId="053C0A85"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Budget proposals to reduce funding for the contact service and placements may have a negative impact on children in care and, therefore, worsen the impact of any reduction of support from the Partners in Change Hub for these children, especially within the context of increased poverty and the national context of increasing numbers of children in care.</w:t>
            </w:r>
          </w:p>
          <w:p w14:paraId="6B6C3B53" w14:textId="77777777" w:rsidR="000729CF" w:rsidRPr="000729CF" w:rsidRDefault="000729CF" w:rsidP="000729CF">
            <w:pPr>
              <w:rPr>
                <w:rFonts w:ascii="Arial" w:eastAsia="Calibri" w:hAnsi="Arial" w:cs="Arial"/>
                <w:sz w:val="24"/>
                <w:szCs w:val="24"/>
              </w:rPr>
            </w:pPr>
          </w:p>
        </w:tc>
      </w:tr>
    </w:tbl>
    <w:p w14:paraId="7A42E8B0" w14:textId="77777777" w:rsidR="000729CF" w:rsidRPr="000729CF" w:rsidRDefault="000729CF" w:rsidP="000729CF">
      <w:pPr>
        <w:spacing w:after="160" w:line="259" w:lineRule="auto"/>
        <w:rPr>
          <w:rFonts w:ascii="Arial" w:eastAsia="Calibri" w:hAnsi="Arial" w:cs="Arial"/>
          <w:sz w:val="24"/>
          <w:szCs w:val="24"/>
          <w:lang w:val="en-GB"/>
        </w:rPr>
      </w:pPr>
    </w:p>
    <w:p w14:paraId="73E59F85"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Action planning</w:t>
      </w:r>
    </w:p>
    <w:p w14:paraId="4B25AD9F"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SMART actions will be taken to mitigate the disproportionate impacts identified in section 3? If no mitigating action is possible, please state and explain why. Add additional rows as required. </w:t>
      </w:r>
    </w:p>
    <w:tbl>
      <w:tblPr>
        <w:tblStyle w:val="TableGrid"/>
        <w:tblW w:w="0" w:type="auto"/>
        <w:tblLook w:val="04A0" w:firstRow="1" w:lastRow="0" w:firstColumn="1" w:lastColumn="0" w:noHBand="0" w:noVBand="1"/>
      </w:tblPr>
      <w:tblGrid>
        <w:gridCol w:w="10456"/>
      </w:tblGrid>
      <w:tr w:rsidR="000729CF" w:rsidRPr="000729CF" w14:paraId="4F6C7CDB" w14:textId="77777777" w:rsidTr="00BC26AB">
        <w:trPr>
          <w:trHeight w:val="847"/>
        </w:trPr>
        <w:tc>
          <w:tcPr>
            <w:tcW w:w="10456" w:type="dxa"/>
          </w:tcPr>
          <w:p w14:paraId="7F8293C9" w14:textId="77777777" w:rsidR="000729CF" w:rsidRPr="000729CF" w:rsidRDefault="000729CF" w:rsidP="000729CF">
            <w:pPr>
              <w:spacing w:after="120"/>
              <w:ind w:left="360"/>
              <w:rPr>
                <w:rFonts w:ascii="Arial" w:eastAsia="Calibri" w:hAnsi="Arial" w:cs="Arial"/>
                <w:sz w:val="24"/>
                <w:szCs w:val="24"/>
              </w:rPr>
            </w:pPr>
            <w:r w:rsidRPr="000729CF">
              <w:rPr>
                <w:rFonts w:ascii="Arial" w:eastAsia="Calibri" w:hAnsi="Arial" w:cs="Arial"/>
                <w:sz w:val="24"/>
                <w:szCs w:val="24"/>
              </w:rPr>
              <w:t>SMART action 1: The budget savings proposal to be partially met by a reduction in management hours and a restructure of the Partners in Change Hub to support this change – consultation process to be completed in February 2024</w:t>
            </w:r>
          </w:p>
        </w:tc>
      </w:tr>
      <w:tr w:rsidR="000729CF" w:rsidRPr="000729CF" w14:paraId="3A4D1009" w14:textId="77777777" w:rsidTr="00BC26AB">
        <w:trPr>
          <w:trHeight w:val="847"/>
        </w:trPr>
        <w:tc>
          <w:tcPr>
            <w:tcW w:w="10456" w:type="dxa"/>
          </w:tcPr>
          <w:p w14:paraId="0FFEBAB3" w14:textId="77777777" w:rsidR="000729CF" w:rsidRPr="000729CF" w:rsidRDefault="000729CF" w:rsidP="000729CF">
            <w:pPr>
              <w:spacing w:after="120"/>
              <w:ind w:left="360"/>
              <w:rPr>
                <w:rFonts w:ascii="Arial" w:eastAsia="Calibri" w:hAnsi="Arial" w:cs="Arial"/>
                <w:sz w:val="24"/>
                <w:szCs w:val="24"/>
              </w:rPr>
            </w:pPr>
            <w:r w:rsidRPr="000729CF">
              <w:rPr>
                <w:rFonts w:ascii="Arial" w:eastAsia="Calibri" w:hAnsi="Arial" w:cs="Arial"/>
                <w:sz w:val="24"/>
                <w:szCs w:val="24"/>
              </w:rPr>
              <w:t>SMART action 2: A review of the Partners in Change Hub budget to take place to confirm any non-staffing savings that can be made – January 2024</w:t>
            </w:r>
          </w:p>
        </w:tc>
      </w:tr>
      <w:tr w:rsidR="000729CF" w:rsidRPr="000729CF" w14:paraId="279E4984" w14:textId="77777777" w:rsidTr="00BC26AB">
        <w:trPr>
          <w:trHeight w:val="847"/>
        </w:trPr>
        <w:tc>
          <w:tcPr>
            <w:tcW w:w="10456" w:type="dxa"/>
          </w:tcPr>
          <w:p w14:paraId="396D0D26" w14:textId="77777777" w:rsidR="000729CF" w:rsidRPr="000729CF" w:rsidRDefault="000729CF" w:rsidP="000729CF">
            <w:pPr>
              <w:spacing w:after="120"/>
              <w:ind w:left="360"/>
              <w:rPr>
                <w:rFonts w:ascii="Arial" w:eastAsia="Calibri" w:hAnsi="Arial" w:cs="Arial"/>
                <w:sz w:val="24"/>
                <w:szCs w:val="24"/>
              </w:rPr>
            </w:pPr>
            <w:r w:rsidRPr="000729CF">
              <w:rPr>
                <w:rFonts w:ascii="Arial" w:eastAsia="Calibri" w:hAnsi="Arial" w:cs="Arial"/>
                <w:sz w:val="24"/>
                <w:szCs w:val="24"/>
              </w:rPr>
              <w:t>SMART action 3: If budget savings proposal cannot be met via reduction in management hours and non-staffing costs, a reduction in staffing costs to be co-ordinated so that it does not reduce the services identified above in Section 4 and direct support to children and families are protected – consultation process to be completed in February 2024</w:t>
            </w:r>
          </w:p>
        </w:tc>
      </w:tr>
    </w:tbl>
    <w:p w14:paraId="7E771734" w14:textId="77777777" w:rsidR="000729CF" w:rsidRPr="000729CF" w:rsidRDefault="000729CF" w:rsidP="000729CF">
      <w:pPr>
        <w:spacing w:after="160" w:line="259" w:lineRule="auto"/>
        <w:rPr>
          <w:rFonts w:ascii="Arial" w:eastAsia="Calibri" w:hAnsi="Arial" w:cs="Arial"/>
          <w:sz w:val="24"/>
          <w:szCs w:val="24"/>
          <w:lang w:val="en-GB"/>
        </w:rPr>
      </w:pPr>
    </w:p>
    <w:p w14:paraId="39C22652"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Outcome of your assessment</w:t>
      </w:r>
    </w:p>
    <w:p w14:paraId="6844D826"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Based on the information above give the proposal an impact score between 1 – 5. </w:t>
      </w:r>
    </w:p>
    <w:p w14:paraId="34252B22"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1= proposal has minimal impact and/or mitigating actions will significantly minimise the impact</w:t>
      </w:r>
    </w:p>
    <w:p w14:paraId="10F47E76"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3= proposal will have a significant negative impact; however, mitigation actions will reduce the impact considerably.</w:t>
      </w:r>
    </w:p>
    <w:p w14:paraId="0EA436CF"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5= proposal has significant impact and mitigating actions will have limited effect on reducing impact.</w:t>
      </w:r>
    </w:p>
    <w:p w14:paraId="4CD750AE" w14:textId="77777777" w:rsidR="000729CF" w:rsidRPr="000729CF" w:rsidRDefault="000729CF" w:rsidP="000729CF">
      <w:pPr>
        <w:rPr>
          <w:rFonts w:ascii="Arial" w:eastAsia="Calibri" w:hAnsi="Arial" w:cs="Arial"/>
          <w:sz w:val="24"/>
          <w:szCs w:val="24"/>
          <w:highlight w:val="yellow"/>
          <w:lang w:val="en-GB"/>
        </w:rPr>
      </w:pPr>
    </w:p>
    <w:tbl>
      <w:tblPr>
        <w:tblStyle w:val="TableGrid"/>
        <w:tblW w:w="0" w:type="auto"/>
        <w:tblLook w:val="04A0" w:firstRow="1" w:lastRow="0" w:firstColumn="1" w:lastColumn="0" w:noHBand="0" w:noVBand="1"/>
      </w:tblPr>
      <w:tblGrid>
        <w:gridCol w:w="3114"/>
        <w:gridCol w:w="7342"/>
      </w:tblGrid>
      <w:tr w:rsidR="000729CF" w:rsidRPr="000729CF" w14:paraId="16D704D6" w14:textId="77777777" w:rsidTr="00BC26AB">
        <w:trPr>
          <w:trHeight w:val="152"/>
        </w:trPr>
        <w:tc>
          <w:tcPr>
            <w:tcW w:w="3114" w:type="dxa"/>
          </w:tcPr>
          <w:p w14:paraId="7B3F06D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Proposal’s impact score:</w:t>
            </w:r>
          </w:p>
        </w:tc>
        <w:tc>
          <w:tcPr>
            <w:tcW w:w="7342" w:type="dxa"/>
          </w:tcPr>
          <w:p w14:paraId="3BF73C7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3</w:t>
            </w:r>
          </w:p>
        </w:tc>
      </w:tr>
    </w:tbl>
    <w:p w14:paraId="51E13F49" w14:textId="77777777" w:rsidR="000729CF" w:rsidRPr="000729CF" w:rsidRDefault="000729CF" w:rsidP="000729CF">
      <w:pPr>
        <w:spacing w:after="160" w:line="259" w:lineRule="auto"/>
        <w:rPr>
          <w:rFonts w:ascii="Arial" w:eastAsia="Calibri" w:hAnsi="Arial" w:cs="Arial"/>
          <w:sz w:val="24"/>
          <w:szCs w:val="24"/>
          <w:lang w:val="en-GB"/>
        </w:rPr>
      </w:pPr>
    </w:p>
    <w:p w14:paraId="4945C08A"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Publication</w:t>
      </w:r>
    </w:p>
    <w:p w14:paraId="13F852FD"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All Equality Impact Assessments will be published. If you are recommending, and choosing not to publish your EIA, please provide a reason:</w:t>
      </w:r>
    </w:p>
    <w:tbl>
      <w:tblPr>
        <w:tblStyle w:val="TableGrid"/>
        <w:tblW w:w="0" w:type="auto"/>
        <w:tblLook w:val="04A0" w:firstRow="1" w:lastRow="0" w:firstColumn="1" w:lastColumn="0" w:noHBand="0" w:noVBand="1"/>
      </w:tblPr>
      <w:tblGrid>
        <w:gridCol w:w="10456"/>
      </w:tblGrid>
      <w:tr w:rsidR="000729CF" w:rsidRPr="000729CF" w14:paraId="331DB24E" w14:textId="77777777" w:rsidTr="00BC26AB">
        <w:trPr>
          <w:trHeight w:val="803"/>
        </w:trPr>
        <w:tc>
          <w:tcPr>
            <w:tcW w:w="10456" w:type="dxa"/>
          </w:tcPr>
          <w:p w14:paraId="38947A1E" w14:textId="77777777" w:rsidR="000729CF" w:rsidRPr="000729CF" w:rsidRDefault="000729CF" w:rsidP="000729CF">
            <w:pPr>
              <w:spacing w:after="120"/>
              <w:rPr>
                <w:rFonts w:ascii="Arial" w:eastAsia="Calibri" w:hAnsi="Arial" w:cs="Arial"/>
                <w:sz w:val="24"/>
                <w:szCs w:val="24"/>
              </w:rPr>
            </w:pPr>
          </w:p>
        </w:tc>
      </w:tr>
    </w:tbl>
    <w:p w14:paraId="154E3946" w14:textId="77777777" w:rsidR="000729CF" w:rsidRPr="000729CF" w:rsidRDefault="000729CF" w:rsidP="000729CF">
      <w:pPr>
        <w:spacing w:after="160" w:line="259" w:lineRule="auto"/>
        <w:rPr>
          <w:rFonts w:ascii="Arial" w:eastAsia="Calibri" w:hAnsi="Arial" w:cs="Arial"/>
          <w:sz w:val="24"/>
          <w:szCs w:val="24"/>
          <w:lang w:val="en-GB"/>
        </w:rPr>
      </w:pPr>
    </w:p>
    <w:p w14:paraId="74F7EB39"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Directorate and Service Approval</w:t>
      </w:r>
    </w:p>
    <w:tbl>
      <w:tblPr>
        <w:tblStyle w:val="TableGrid"/>
        <w:tblW w:w="0" w:type="auto"/>
        <w:tblLook w:val="04A0" w:firstRow="1" w:lastRow="0" w:firstColumn="1" w:lastColumn="0" w:noHBand="0" w:noVBand="1"/>
      </w:tblPr>
      <w:tblGrid>
        <w:gridCol w:w="3681"/>
        <w:gridCol w:w="4394"/>
        <w:gridCol w:w="2381"/>
      </w:tblGrid>
      <w:tr w:rsidR="000729CF" w:rsidRPr="000729CF" w14:paraId="12197E32" w14:textId="77777777" w:rsidTr="000729CF">
        <w:trPr>
          <w:trHeight w:val="20"/>
        </w:trPr>
        <w:tc>
          <w:tcPr>
            <w:tcW w:w="3681" w:type="dxa"/>
            <w:tcBorders>
              <w:bottom w:val="single" w:sz="4" w:space="0" w:color="auto"/>
            </w:tcBorders>
            <w:shd w:val="clear" w:color="auto" w:fill="D9D9D9"/>
          </w:tcPr>
          <w:p w14:paraId="6607DDC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56D3B65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 and Job Title:</w:t>
            </w:r>
          </w:p>
        </w:tc>
        <w:tc>
          <w:tcPr>
            <w:tcW w:w="2381" w:type="dxa"/>
            <w:shd w:val="clear" w:color="auto" w:fill="D9D9D9"/>
          </w:tcPr>
          <w:p w14:paraId="1307176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6A717713" w14:textId="77777777" w:rsidTr="000729CF">
        <w:trPr>
          <w:trHeight w:val="20"/>
        </w:trPr>
        <w:tc>
          <w:tcPr>
            <w:tcW w:w="3681" w:type="dxa"/>
            <w:shd w:val="clear" w:color="auto" w:fill="E7E6E6"/>
          </w:tcPr>
          <w:p w14:paraId="770B0B5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Responsible Lead Officer:</w:t>
            </w:r>
          </w:p>
        </w:tc>
        <w:tc>
          <w:tcPr>
            <w:tcW w:w="4394" w:type="dxa"/>
          </w:tcPr>
          <w:p w14:paraId="7DBF1E3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Tom Stibbs, Principal Children and Families Social Worker and Head of Specialist Services</w:t>
            </w:r>
          </w:p>
        </w:tc>
        <w:tc>
          <w:tcPr>
            <w:tcW w:w="2381" w:type="dxa"/>
          </w:tcPr>
          <w:p w14:paraId="27F7D9F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17.01.24</w:t>
            </w:r>
          </w:p>
        </w:tc>
      </w:tr>
      <w:tr w:rsidR="000729CF" w:rsidRPr="000729CF" w14:paraId="0263DAEA" w14:textId="77777777" w:rsidTr="000729CF">
        <w:trPr>
          <w:trHeight w:val="20"/>
        </w:trPr>
        <w:tc>
          <w:tcPr>
            <w:tcW w:w="3681" w:type="dxa"/>
            <w:shd w:val="clear" w:color="auto" w:fill="E7E6E6"/>
          </w:tcPr>
          <w:p w14:paraId="1DF2036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Accountable Manager:</w:t>
            </w:r>
          </w:p>
        </w:tc>
        <w:tc>
          <w:tcPr>
            <w:tcW w:w="4394" w:type="dxa"/>
          </w:tcPr>
          <w:p w14:paraId="68791E5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Tom Stibbs, Principal Children and Families Social Worker and Head of Specialist Services</w:t>
            </w:r>
          </w:p>
        </w:tc>
        <w:tc>
          <w:tcPr>
            <w:tcW w:w="2381" w:type="dxa"/>
          </w:tcPr>
          <w:p w14:paraId="098D077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17.01.24</w:t>
            </w:r>
          </w:p>
        </w:tc>
      </w:tr>
    </w:tbl>
    <w:p w14:paraId="4BD1FA74" w14:textId="77777777" w:rsidR="000729CF" w:rsidRPr="000729CF" w:rsidRDefault="000729CF" w:rsidP="000729CF">
      <w:pPr>
        <w:spacing w:after="160" w:line="259" w:lineRule="auto"/>
        <w:rPr>
          <w:rFonts w:ascii="Arial" w:eastAsia="Calibri" w:hAnsi="Arial" w:cs="Arial"/>
          <w:sz w:val="24"/>
          <w:szCs w:val="24"/>
          <w:lang w:val="en-GB"/>
        </w:rPr>
      </w:pPr>
    </w:p>
    <w:p w14:paraId="51821DDE" w14:textId="77777777" w:rsidR="000729CF" w:rsidRPr="000729CF" w:rsidRDefault="000729CF" w:rsidP="000729CF">
      <w:pPr>
        <w:keepNext/>
        <w:keepLines/>
        <w:spacing w:before="40" w:after="160" w:line="259" w:lineRule="auto"/>
        <w:outlineLvl w:val="2"/>
        <w:rPr>
          <w:rFonts w:ascii="Arial" w:hAnsi="Arial" w:cs="Arial"/>
          <w:b/>
          <w:bCs/>
          <w:color w:val="000000"/>
          <w:sz w:val="28"/>
          <w:szCs w:val="28"/>
          <w:lang w:val="en-GB"/>
        </w:rPr>
      </w:pPr>
      <w:r w:rsidRPr="000729CF">
        <w:rPr>
          <w:rFonts w:ascii="Arial" w:hAnsi="Arial" w:cs="Arial"/>
          <w:b/>
          <w:bCs/>
          <w:color w:val="000000"/>
          <w:sz w:val="28"/>
          <w:szCs w:val="28"/>
          <w:lang w:val="en-GB"/>
        </w:rPr>
        <w:t>EDI Review and Approval:</w:t>
      </w:r>
    </w:p>
    <w:p w14:paraId="07C0A372" w14:textId="77777777" w:rsidR="000729CF" w:rsidRPr="000729CF" w:rsidRDefault="000729CF" w:rsidP="000729CF">
      <w:pPr>
        <w:spacing w:after="160" w:line="259" w:lineRule="auto"/>
        <w:rPr>
          <w:rFonts w:ascii="Arial" w:eastAsia="Calibri" w:hAnsi="Arial" w:cs="Arial"/>
          <w:sz w:val="24"/>
          <w:szCs w:val="24"/>
          <w:lang w:val="en-GB"/>
        </w:rPr>
      </w:pPr>
    </w:p>
    <w:p w14:paraId="044AFF12" w14:textId="77777777" w:rsidR="000729CF" w:rsidRPr="000729CF" w:rsidRDefault="000729CF" w:rsidP="000729CF">
      <w:pPr>
        <w:keepNext/>
        <w:keepLines/>
        <w:spacing w:after="160" w:line="259" w:lineRule="auto"/>
        <w:ind w:left="283" w:hanging="283"/>
        <w:outlineLvl w:val="1"/>
        <w:rPr>
          <w:rFonts w:ascii="Arial" w:hAnsi="Arial" w:cs="Arial"/>
          <w:color w:val="2F5496"/>
          <w:sz w:val="24"/>
          <w:szCs w:val="24"/>
          <w:lang w:val="en-GB"/>
        </w:rPr>
      </w:pPr>
      <w:r w:rsidRPr="000729CF">
        <w:rPr>
          <w:rFonts w:ascii="Arial" w:hAnsi="Arial" w:cs="Arial"/>
          <w:color w:val="2F5496"/>
          <w:sz w:val="24"/>
          <w:szCs w:val="24"/>
          <w:lang w:val="en-GB"/>
        </w:rPr>
        <w:t>Equality Impact Assessment sign-off</w:t>
      </w:r>
    </w:p>
    <w:tbl>
      <w:tblPr>
        <w:tblStyle w:val="TableGrid"/>
        <w:tblW w:w="0" w:type="auto"/>
        <w:tblLook w:val="04A0" w:firstRow="1" w:lastRow="0" w:firstColumn="1" w:lastColumn="0" w:noHBand="0" w:noVBand="1"/>
      </w:tblPr>
      <w:tblGrid>
        <w:gridCol w:w="3681"/>
        <w:gridCol w:w="4394"/>
        <w:gridCol w:w="2381"/>
      </w:tblGrid>
      <w:tr w:rsidR="000729CF" w:rsidRPr="000729CF" w14:paraId="541AB2C7" w14:textId="77777777" w:rsidTr="000729CF">
        <w:trPr>
          <w:trHeight w:val="20"/>
        </w:trPr>
        <w:tc>
          <w:tcPr>
            <w:tcW w:w="3681" w:type="dxa"/>
            <w:tcBorders>
              <w:bottom w:val="single" w:sz="4" w:space="0" w:color="auto"/>
            </w:tcBorders>
            <w:shd w:val="clear" w:color="auto" w:fill="D9D9D9"/>
          </w:tcPr>
          <w:p w14:paraId="4C2800E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35B83E1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w:t>
            </w:r>
          </w:p>
        </w:tc>
        <w:tc>
          <w:tcPr>
            <w:tcW w:w="2381" w:type="dxa"/>
            <w:shd w:val="clear" w:color="auto" w:fill="D9D9D9"/>
          </w:tcPr>
          <w:p w14:paraId="7832E8D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6F643309" w14:textId="77777777" w:rsidTr="000729CF">
        <w:trPr>
          <w:trHeight w:val="20"/>
        </w:trPr>
        <w:tc>
          <w:tcPr>
            <w:tcW w:w="3681" w:type="dxa"/>
            <w:shd w:val="clear" w:color="auto" w:fill="E7E6E6"/>
          </w:tcPr>
          <w:p w14:paraId="1F496B1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Head of Communities, Equality, and Third Sector (CETS) Service:</w:t>
            </w:r>
          </w:p>
        </w:tc>
        <w:tc>
          <w:tcPr>
            <w:tcW w:w="4394" w:type="dxa"/>
          </w:tcPr>
          <w:p w14:paraId="5E9F03D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Emma McDermott</w:t>
            </w:r>
          </w:p>
        </w:tc>
        <w:tc>
          <w:tcPr>
            <w:tcW w:w="2381" w:type="dxa"/>
          </w:tcPr>
          <w:p w14:paraId="156218F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23-01-24</w:t>
            </w:r>
          </w:p>
        </w:tc>
      </w:tr>
    </w:tbl>
    <w:p w14:paraId="7206DDC6" w14:textId="77777777" w:rsidR="000729CF" w:rsidRPr="000729CF" w:rsidRDefault="000729CF" w:rsidP="000729CF">
      <w:pPr>
        <w:rPr>
          <w:rFonts w:ascii="Arial" w:eastAsia="Calibri" w:hAnsi="Arial" w:cs="Arial"/>
          <w:sz w:val="22"/>
          <w:szCs w:val="22"/>
          <w:lang w:val="en-GB"/>
        </w:rPr>
      </w:pPr>
    </w:p>
    <w:p w14:paraId="0C76D85D" w14:textId="77777777" w:rsidR="000729CF" w:rsidRPr="000729CF" w:rsidRDefault="000729CF" w:rsidP="000729CF">
      <w:pPr>
        <w:spacing w:after="160" w:line="259" w:lineRule="auto"/>
        <w:rPr>
          <w:rFonts w:ascii="Arial" w:eastAsia="Calibri" w:hAnsi="Arial" w:cs="Arial"/>
          <w:b/>
          <w:bCs/>
          <w:sz w:val="24"/>
          <w:szCs w:val="24"/>
          <w:lang w:val="en-GB"/>
        </w:rPr>
      </w:pPr>
    </w:p>
    <w:p w14:paraId="46571CC2" w14:textId="77777777" w:rsidR="000729CF" w:rsidRPr="000729CF" w:rsidRDefault="000729CF" w:rsidP="000729CF">
      <w:pPr>
        <w:keepNext/>
        <w:keepLines/>
        <w:spacing w:after="160" w:line="259" w:lineRule="auto"/>
        <w:outlineLvl w:val="1"/>
        <w:rPr>
          <w:rFonts w:ascii="Arial" w:eastAsia="Calibri" w:hAnsi="Arial" w:cs="Arial"/>
          <w:sz w:val="24"/>
          <w:szCs w:val="24"/>
          <w:lang w:val="en-GB"/>
        </w:rPr>
      </w:pPr>
    </w:p>
    <w:p w14:paraId="16F7286E" w14:textId="77777777" w:rsidR="000729CF" w:rsidRPr="000729CF" w:rsidRDefault="000729CF" w:rsidP="000729CF">
      <w:pPr>
        <w:spacing w:after="160" w:line="259" w:lineRule="auto"/>
        <w:rPr>
          <w:rFonts w:ascii="Arial" w:eastAsia="Calibri" w:hAnsi="Arial" w:cs="Arial"/>
          <w:sz w:val="24"/>
          <w:szCs w:val="24"/>
          <w:lang w:val="en-GB"/>
        </w:rPr>
      </w:pPr>
    </w:p>
    <w:p w14:paraId="22D6B14B"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br w:type="page"/>
      </w:r>
    </w:p>
    <w:p w14:paraId="215C5FF7" w14:textId="77777777" w:rsidR="000729CF" w:rsidRPr="000729CF" w:rsidRDefault="000729CF" w:rsidP="000729CF">
      <w:pPr>
        <w:keepNext/>
        <w:keepLines/>
        <w:spacing w:after="160" w:line="259" w:lineRule="auto"/>
        <w:outlineLvl w:val="0"/>
        <w:rPr>
          <w:rFonts w:ascii="Arial" w:hAnsi="Arial" w:cs="Arial"/>
          <w:b/>
          <w:bCs/>
          <w:color w:val="2F5496"/>
          <w:sz w:val="28"/>
          <w:szCs w:val="28"/>
          <w:lang w:val="en-GB"/>
        </w:rPr>
      </w:pPr>
      <w:r w:rsidRPr="000729CF">
        <w:rPr>
          <w:rFonts w:ascii="Arial" w:hAnsi="Arial" w:cs="Arial"/>
          <w:b/>
          <w:bCs/>
          <w:color w:val="2F5496"/>
          <w:sz w:val="28"/>
          <w:szCs w:val="28"/>
          <w:lang w:val="en-GB"/>
        </w:rPr>
        <w:t>Budget Equality Impact Assessment (EIA) 2024/25 – Service Users</w:t>
      </w:r>
    </w:p>
    <w:p w14:paraId="6FDA58C6" w14:textId="77777777" w:rsidR="000729CF" w:rsidRPr="000729CF" w:rsidRDefault="000729CF" w:rsidP="000729CF">
      <w:pPr>
        <w:spacing w:after="160" w:line="259" w:lineRule="auto"/>
        <w:rPr>
          <w:rFonts w:ascii="Arial" w:eastAsia="Calibri" w:hAnsi="Arial" w:cs="Arial"/>
          <w:sz w:val="24"/>
          <w:szCs w:val="24"/>
          <w:lang w:val="en-GB"/>
        </w:rPr>
      </w:pPr>
    </w:p>
    <w:p w14:paraId="268CA02A" w14:textId="77777777" w:rsidR="000729CF" w:rsidRPr="000729CF" w:rsidRDefault="000729CF" w:rsidP="000729CF">
      <w:pPr>
        <w:keepNext/>
        <w:keepLines/>
        <w:spacing w:after="160" w:line="259" w:lineRule="auto"/>
        <w:ind w:left="720" w:hanging="360"/>
        <w:outlineLvl w:val="1"/>
        <w:rPr>
          <w:rFonts w:ascii="Arial" w:hAnsi="Arial" w:cs="Arial"/>
          <w:color w:val="2F5496"/>
          <w:sz w:val="24"/>
          <w:szCs w:val="24"/>
          <w:lang w:val="en-GB"/>
        </w:rPr>
      </w:pPr>
      <w:r w:rsidRPr="000729CF">
        <w:rPr>
          <w:rFonts w:ascii="Arial" w:hAnsi="Arial" w:cs="Arial"/>
          <w:color w:val="2F5496"/>
          <w:sz w:val="24"/>
          <w:szCs w:val="24"/>
          <w:lang w:val="en-GB"/>
        </w:rPr>
        <w:t xml:space="preserve">Budget Proposal </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6492"/>
      </w:tblGrid>
      <w:tr w:rsidR="000729CF" w:rsidRPr="000729CF" w14:paraId="04ED3974"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7BE92506"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Title of budget saving being assessed:</w:t>
            </w:r>
          </w:p>
        </w:tc>
        <w:tc>
          <w:tcPr>
            <w:tcW w:w="6492" w:type="dxa"/>
            <w:shd w:val="clear" w:color="auto" w:fill="auto"/>
          </w:tcPr>
          <w:p w14:paraId="3A3E591B" w14:textId="77777777" w:rsidR="000729CF" w:rsidRPr="000729CF" w:rsidRDefault="000729CF" w:rsidP="000729CF">
            <w:pPr>
              <w:spacing w:after="12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Community Care Budget</w:t>
            </w:r>
          </w:p>
        </w:tc>
      </w:tr>
      <w:tr w:rsidR="000729CF" w:rsidRPr="000729CF" w14:paraId="2EAE0D99"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1BC1C60C"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Name and title of officer responsible for this EIA: </w:t>
            </w:r>
          </w:p>
        </w:tc>
        <w:tc>
          <w:tcPr>
            <w:tcW w:w="6492" w:type="dxa"/>
            <w:shd w:val="clear" w:color="auto" w:fill="auto"/>
          </w:tcPr>
          <w:p w14:paraId="73D788F5"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729CF">
              <w:rPr>
                <w:rFonts w:ascii="Arial" w:hAnsi="Arial" w:cs="Arial"/>
                <w:sz w:val="24"/>
                <w:szCs w:val="24"/>
              </w:rPr>
              <w:t>Steve Hook, Assistant Director of Operations</w:t>
            </w:r>
          </w:p>
        </w:tc>
      </w:tr>
      <w:tr w:rsidR="000729CF" w:rsidRPr="000729CF" w14:paraId="75969FFB" w14:textId="77777777" w:rsidTr="000729CF">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664C8451"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Directorate and Service Name: </w:t>
            </w:r>
          </w:p>
        </w:tc>
        <w:tc>
          <w:tcPr>
            <w:tcW w:w="6492" w:type="dxa"/>
            <w:shd w:val="clear" w:color="auto" w:fill="auto"/>
          </w:tcPr>
          <w:p w14:paraId="207CFA2F" w14:textId="77777777" w:rsidR="000729CF" w:rsidRPr="000729CF" w:rsidRDefault="000729CF" w:rsidP="000729CF">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 xml:space="preserve">Health and Adult Social Care, Operations </w:t>
            </w:r>
          </w:p>
        </w:tc>
      </w:tr>
      <w:tr w:rsidR="000729CF" w:rsidRPr="000729CF" w14:paraId="2AABC020"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2E846841"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Budget proposal no.</w:t>
            </w:r>
          </w:p>
        </w:tc>
        <w:tc>
          <w:tcPr>
            <w:tcW w:w="6492" w:type="dxa"/>
            <w:shd w:val="clear" w:color="auto" w:fill="auto"/>
          </w:tcPr>
          <w:p w14:paraId="28A05A0F"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729CF">
              <w:rPr>
                <w:rFonts w:ascii="Arial" w:hAnsi="Arial" w:cs="Arial"/>
                <w:sz w:val="24"/>
                <w:szCs w:val="24"/>
              </w:rPr>
              <w:t>10</w:t>
            </w:r>
          </w:p>
        </w:tc>
      </w:tr>
    </w:tbl>
    <w:p w14:paraId="19F65AD4" w14:textId="77777777" w:rsidR="000729CF" w:rsidRPr="000729CF" w:rsidRDefault="000729CF" w:rsidP="000729CF">
      <w:pPr>
        <w:spacing w:after="160" w:line="259" w:lineRule="auto"/>
        <w:rPr>
          <w:rFonts w:ascii="Arial" w:eastAsia="Calibri" w:hAnsi="Arial" w:cs="Arial"/>
          <w:sz w:val="24"/>
          <w:szCs w:val="24"/>
          <w:lang w:val="en-GB"/>
        </w:rPr>
      </w:pPr>
    </w:p>
    <w:p w14:paraId="1B072A45"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Briefly describe the budget saving proposal: (use the wording in the budget spreadsheet and more detail if needed)</w:t>
      </w:r>
    </w:p>
    <w:tbl>
      <w:tblPr>
        <w:tblStyle w:val="TableGrid"/>
        <w:tblW w:w="0" w:type="auto"/>
        <w:tblLook w:val="04A0" w:firstRow="1" w:lastRow="0" w:firstColumn="1" w:lastColumn="0" w:noHBand="0" w:noVBand="1"/>
      </w:tblPr>
      <w:tblGrid>
        <w:gridCol w:w="10456"/>
      </w:tblGrid>
      <w:tr w:rsidR="000729CF" w:rsidRPr="000729CF" w14:paraId="673A9280" w14:textId="77777777" w:rsidTr="00BC26AB">
        <w:trPr>
          <w:trHeight w:val="851"/>
        </w:trPr>
        <w:tc>
          <w:tcPr>
            <w:tcW w:w="10456" w:type="dxa"/>
            <w:tcBorders>
              <w:bottom w:val="single" w:sz="4" w:space="0" w:color="auto"/>
            </w:tcBorders>
          </w:tcPr>
          <w:p w14:paraId="7CED55D4" w14:textId="77777777" w:rsidR="000729CF" w:rsidRPr="000729CF" w:rsidRDefault="000729CF" w:rsidP="000729CF">
            <w:pPr>
              <w:rPr>
                <w:rFonts w:ascii="Arial" w:hAnsi="Arial" w:cs="Arial"/>
                <w:sz w:val="24"/>
                <w:szCs w:val="24"/>
                <w:lang w:eastAsia="en-GB"/>
              </w:rPr>
            </w:pPr>
            <w:r w:rsidRPr="000729CF">
              <w:rPr>
                <w:rFonts w:ascii="Arial" w:hAnsi="Arial" w:cs="Arial"/>
                <w:sz w:val="24"/>
                <w:szCs w:val="24"/>
                <w:lang w:eastAsia="en-GB"/>
              </w:rPr>
              <w:t>The overall net budget for this service area is £68.387m and the proposed saving is £3.008m.</w:t>
            </w:r>
          </w:p>
          <w:p w14:paraId="3802B222" w14:textId="77777777" w:rsidR="000729CF" w:rsidRPr="000729CF" w:rsidRDefault="000729CF" w:rsidP="000729CF">
            <w:pPr>
              <w:rPr>
                <w:rFonts w:ascii="Arial" w:hAnsi="Arial" w:cs="Arial"/>
                <w:bCs/>
                <w:sz w:val="24"/>
                <w:szCs w:val="24"/>
                <w:lang w:eastAsia="en-GB"/>
              </w:rPr>
            </w:pPr>
          </w:p>
          <w:p w14:paraId="5A788F9A" w14:textId="77777777" w:rsidR="000729CF" w:rsidRPr="000729CF" w:rsidRDefault="000729CF" w:rsidP="000729CF">
            <w:pPr>
              <w:rPr>
                <w:rFonts w:ascii="Arial" w:hAnsi="Arial" w:cs="Arial"/>
                <w:bCs/>
                <w:sz w:val="24"/>
                <w:szCs w:val="24"/>
                <w:lang w:eastAsia="en-GB"/>
              </w:rPr>
            </w:pPr>
            <w:r w:rsidRPr="000729CF">
              <w:rPr>
                <w:rFonts w:ascii="Arial" w:hAnsi="Arial" w:cs="Arial"/>
                <w:bCs/>
                <w:sz w:val="24"/>
                <w:szCs w:val="24"/>
                <w:lang w:eastAsia="en-GB"/>
              </w:rPr>
              <w:t xml:space="preserve">This is proposed to be done by continuing with the agreed direction of travel for Adult Social Care focusing upon reducing demand through several approaches:  </w:t>
            </w:r>
          </w:p>
          <w:p w14:paraId="5E29EB33" w14:textId="77777777" w:rsidR="000729CF" w:rsidRPr="000729CF" w:rsidRDefault="000729CF" w:rsidP="000729CF">
            <w:pPr>
              <w:rPr>
                <w:rFonts w:ascii="Arial" w:hAnsi="Arial" w:cs="Arial"/>
                <w:bCs/>
                <w:sz w:val="24"/>
                <w:szCs w:val="24"/>
                <w:lang w:eastAsia="en-GB"/>
              </w:rPr>
            </w:pPr>
          </w:p>
          <w:p w14:paraId="0930DEB8" w14:textId="77777777" w:rsidR="000729CF" w:rsidRPr="000729CF" w:rsidRDefault="000729CF" w:rsidP="00CE70A3">
            <w:pPr>
              <w:numPr>
                <w:ilvl w:val="0"/>
                <w:numId w:val="109"/>
              </w:numPr>
              <w:rPr>
                <w:rFonts w:ascii="Arial" w:hAnsi="Arial" w:cs="Arial"/>
                <w:sz w:val="24"/>
                <w:szCs w:val="24"/>
                <w:lang w:eastAsia="en-GB"/>
              </w:rPr>
            </w:pPr>
            <w:r w:rsidRPr="000729CF">
              <w:rPr>
                <w:rFonts w:ascii="Arial" w:hAnsi="Arial" w:cs="Arial"/>
                <w:sz w:val="24"/>
                <w:szCs w:val="24"/>
                <w:lang w:eastAsia="en-GB"/>
              </w:rPr>
              <w:t>increase the reablement offer to those who require it</w:t>
            </w:r>
          </w:p>
          <w:p w14:paraId="32DCEE7E" w14:textId="77777777" w:rsidR="000729CF" w:rsidRPr="000729CF" w:rsidRDefault="000729CF" w:rsidP="00CE70A3">
            <w:pPr>
              <w:numPr>
                <w:ilvl w:val="0"/>
                <w:numId w:val="109"/>
              </w:numPr>
              <w:spacing w:line="259" w:lineRule="auto"/>
              <w:rPr>
                <w:rFonts w:ascii="Arial" w:hAnsi="Arial" w:cs="Arial"/>
                <w:sz w:val="24"/>
                <w:szCs w:val="24"/>
                <w:lang w:eastAsia="en-GB"/>
              </w:rPr>
            </w:pPr>
            <w:r w:rsidRPr="000729CF">
              <w:rPr>
                <w:rFonts w:ascii="Arial" w:hAnsi="Arial" w:cs="Arial"/>
                <w:sz w:val="24"/>
                <w:szCs w:val="24"/>
                <w:lang w:eastAsia="en-GB"/>
              </w:rPr>
              <w:t>focus on preventative interventions and promoting independence in line with the target operating model, including advice, and signposting and increasing the use of technology enabled care</w:t>
            </w:r>
          </w:p>
          <w:p w14:paraId="60B633B5" w14:textId="77777777" w:rsidR="000729CF" w:rsidRPr="000729CF" w:rsidRDefault="000729CF" w:rsidP="00CE70A3">
            <w:pPr>
              <w:numPr>
                <w:ilvl w:val="0"/>
                <w:numId w:val="109"/>
              </w:numPr>
              <w:rPr>
                <w:rFonts w:ascii="Arial" w:hAnsi="Arial" w:cs="Arial"/>
                <w:sz w:val="24"/>
                <w:szCs w:val="24"/>
                <w:lang w:eastAsia="en-GB"/>
              </w:rPr>
            </w:pPr>
            <w:r w:rsidRPr="000729CF">
              <w:rPr>
                <w:rFonts w:ascii="Arial" w:hAnsi="Arial" w:cs="Arial"/>
                <w:sz w:val="24"/>
                <w:szCs w:val="24"/>
                <w:lang w:eastAsia="en-GB"/>
              </w:rPr>
              <w:t>reduction of long-term care placements through improved care pathways.</w:t>
            </w:r>
          </w:p>
          <w:p w14:paraId="48EAA216" w14:textId="77777777" w:rsidR="000729CF" w:rsidRPr="000729CF" w:rsidRDefault="000729CF" w:rsidP="00CE70A3">
            <w:pPr>
              <w:numPr>
                <w:ilvl w:val="0"/>
                <w:numId w:val="109"/>
              </w:numPr>
              <w:spacing w:line="259" w:lineRule="auto"/>
              <w:rPr>
                <w:rFonts w:ascii="Arial" w:hAnsi="Arial" w:cs="Arial"/>
                <w:sz w:val="24"/>
                <w:szCs w:val="24"/>
              </w:rPr>
            </w:pPr>
            <w:r w:rsidRPr="000729CF">
              <w:rPr>
                <w:rFonts w:ascii="Arial" w:hAnsi="Arial" w:cs="Arial"/>
                <w:sz w:val="24"/>
                <w:szCs w:val="24"/>
              </w:rPr>
              <w:t>supporting adults with learning disabilities to move on from high-cost placements into new living arrangements which promote independence</w:t>
            </w:r>
          </w:p>
          <w:p w14:paraId="6C58FF14" w14:textId="77777777" w:rsidR="000729CF" w:rsidRPr="000729CF" w:rsidRDefault="000729CF" w:rsidP="00CE70A3">
            <w:pPr>
              <w:numPr>
                <w:ilvl w:val="0"/>
                <w:numId w:val="109"/>
              </w:numPr>
              <w:spacing w:line="259" w:lineRule="auto"/>
              <w:rPr>
                <w:rFonts w:ascii="Arial" w:hAnsi="Arial" w:cs="Arial"/>
                <w:sz w:val="24"/>
                <w:szCs w:val="24"/>
              </w:rPr>
            </w:pPr>
            <w:r w:rsidRPr="000729CF">
              <w:rPr>
                <w:rFonts w:ascii="Arial" w:hAnsi="Arial" w:cs="Arial"/>
                <w:sz w:val="24"/>
                <w:szCs w:val="24"/>
              </w:rPr>
              <w:t>ensure reviews demonstrate support services are adequate to meet needs and represent efficiency and value for money</w:t>
            </w:r>
          </w:p>
          <w:p w14:paraId="2D3EA158" w14:textId="77777777" w:rsidR="000729CF" w:rsidRPr="000729CF" w:rsidRDefault="000729CF" w:rsidP="00CE70A3">
            <w:pPr>
              <w:numPr>
                <w:ilvl w:val="0"/>
                <w:numId w:val="109"/>
              </w:numPr>
              <w:spacing w:line="259" w:lineRule="auto"/>
              <w:rPr>
                <w:rFonts w:ascii="Arial" w:hAnsi="Arial" w:cs="Arial"/>
                <w:sz w:val="24"/>
                <w:szCs w:val="24"/>
              </w:rPr>
            </w:pPr>
            <w:r w:rsidRPr="000729CF">
              <w:rPr>
                <w:rFonts w:ascii="Arial" w:hAnsi="Arial" w:cs="Arial"/>
                <w:sz w:val="24"/>
                <w:szCs w:val="24"/>
              </w:rPr>
              <w:t xml:space="preserve">maximising income through financial assessment reviews </w:t>
            </w:r>
            <w:r w:rsidRPr="000729CF">
              <w:rPr>
                <w:rFonts w:ascii="Arial" w:hAnsi="Arial" w:cs="Arial"/>
                <w:color w:val="000000"/>
                <w:sz w:val="24"/>
                <w:szCs w:val="24"/>
              </w:rPr>
              <w:t>in line with the annual state benefit increases by increasing the number of reviews undertaken</w:t>
            </w:r>
          </w:p>
          <w:p w14:paraId="56C08934" w14:textId="77777777" w:rsidR="000729CF" w:rsidRPr="000729CF" w:rsidRDefault="000729CF" w:rsidP="00CE70A3">
            <w:pPr>
              <w:numPr>
                <w:ilvl w:val="0"/>
                <w:numId w:val="109"/>
              </w:numPr>
              <w:spacing w:line="259" w:lineRule="auto"/>
              <w:rPr>
                <w:rFonts w:ascii="Arial" w:hAnsi="Arial" w:cs="Arial"/>
                <w:sz w:val="24"/>
                <w:szCs w:val="24"/>
              </w:rPr>
            </w:pPr>
            <w:r w:rsidRPr="000729CF">
              <w:rPr>
                <w:rFonts w:ascii="Arial" w:hAnsi="Arial" w:cs="Arial"/>
                <w:sz w:val="24"/>
                <w:szCs w:val="24"/>
              </w:rPr>
              <w:t>reviewing adult learning disabilities block contracts</w:t>
            </w:r>
          </w:p>
          <w:p w14:paraId="335C80BC" w14:textId="77777777" w:rsidR="000729CF" w:rsidRPr="000729CF" w:rsidRDefault="000729CF" w:rsidP="00CE70A3">
            <w:pPr>
              <w:numPr>
                <w:ilvl w:val="0"/>
                <w:numId w:val="109"/>
              </w:numPr>
              <w:spacing w:line="259" w:lineRule="auto"/>
              <w:rPr>
                <w:rFonts w:ascii="Arial" w:hAnsi="Arial" w:cs="Arial"/>
                <w:sz w:val="24"/>
                <w:szCs w:val="24"/>
              </w:rPr>
            </w:pPr>
            <w:r w:rsidRPr="000729CF">
              <w:rPr>
                <w:rFonts w:ascii="Arial" w:hAnsi="Arial" w:cs="Arial"/>
                <w:sz w:val="24"/>
                <w:szCs w:val="24"/>
                <w:lang w:eastAsia="en-GB"/>
              </w:rPr>
              <w:t>reprovisioning Shared Lives</w:t>
            </w:r>
            <w:r w:rsidRPr="000729CF">
              <w:rPr>
                <w:rFonts w:ascii="Arial" w:hAnsi="Arial" w:cs="Arial"/>
                <w:color w:val="000000"/>
                <w:sz w:val="24"/>
                <w:szCs w:val="24"/>
              </w:rPr>
              <w:t xml:space="preserve"> to deliver greatest financial efficiencies</w:t>
            </w:r>
          </w:p>
          <w:p w14:paraId="7EC374E6" w14:textId="77777777" w:rsidR="000729CF" w:rsidRPr="000729CF" w:rsidRDefault="000729CF" w:rsidP="00CE70A3">
            <w:pPr>
              <w:numPr>
                <w:ilvl w:val="0"/>
                <w:numId w:val="109"/>
              </w:numPr>
              <w:spacing w:line="259" w:lineRule="auto"/>
              <w:rPr>
                <w:rFonts w:ascii="Arial" w:hAnsi="Arial" w:cs="Arial"/>
                <w:sz w:val="24"/>
                <w:szCs w:val="24"/>
                <w:lang w:eastAsia="en-GB"/>
              </w:rPr>
            </w:pPr>
            <w:r w:rsidRPr="000729CF">
              <w:rPr>
                <w:rFonts w:ascii="Arial" w:hAnsi="Arial" w:cs="Arial"/>
                <w:sz w:val="24"/>
                <w:szCs w:val="24"/>
                <w:lang w:eastAsia="en-GB"/>
              </w:rPr>
              <w:t>managing provider fee uplifts considering the current market fee position</w:t>
            </w:r>
          </w:p>
          <w:p w14:paraId="2B689C22" w14:textId="77777777" w:rsidR="000729CF" w:rsidRPr="000729CF" w:rsidRDefault="000729CF" w:rsidP="000729CF">
            <w:pPr>
              <w:spacing w:after="120"/>
              <w:rPr>
                <w:rFonts w:ascii="Arial" w:eastAsia="Calibri" w:hAnsi="Arial" w:cs="Arial"/>
                <w:sz w:val="24"/>
                <w:szCs w:val="24"/>
              </w:rPr>
            </w:pPr>
          </w:p>
        </w:tc>
      </w:tr>
      <w:tr w:rsidR="000729CF" w:rsidRPr="000729CF" w14:paraId="51CABAED" w14:textId="77777777" w:rsidTr="00BC26AB">
        <w:trPr>
          <w:trHeight w:val="851"/>
        </w:trPr>
        <w:tc>
          <w:tcPr>
            <w:tcW w:w="10456" w:type="dxa"/>
            <w:tcBorders>
              <w:left w:val="nil"/>
              <w:right w:val="nil"/>
            </w:tcBorders>
          </w:tcPr>
          <w:p w14:paraId="4D1323A6" w14:textId="77777777" w:rsidR="000729CF" w:rsidRPr="000729CF" w:rsidRDefault="000729CF" w:rsidP="000729CF">
            <w:pPr>
              <w:spacing w:after="120"/>
              <w:rPr>
                <w:rFonts w:ascii="Arial" w:eastAsia="Calibri" w:hAnsi="Arial" w:cs="Arial"/>
                <w:sz w:val="24"/>
                <w:szCs w:val="24"/>
              </w:rPr>
            </w:pPr>
          </w:p>
          <w:p w14:paraId="724B676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Summarise the most significant impacts identified by this assessment including which groups will be disproportionally negatively affected drawing out intersectional impacts as applicable:</w:t>
            </w:r>
          </w:p>
        </w:tc>
      </w:tr>
      <w:tr w:rsidR="000729CF" w:rsidRPr="000729CF" w14:paraId="52C99EF6" w14:textId="77777777" w:rsidTr="00BC26AB">
        <w:trPr>
          <w:trHeight w:val="851"/>
        </w:trPr>
        <w:tc>
          <w:tcPr>
            <w:tcW w:w="10456" w:type="dxa"/>
          </w:tcPr>
          <w:p w14:paraId="6971EE23" w14:textId="77777777" w:rsidR="000729CF" w:rsidRPr="000729CF" w:rsidRDefault="000729CF" w:rsidP="000729CF">
            <w:pPr>
              <w:spacing w:line="259" w:lineRule="auto"/>
              <w:contextualSpacing/>
              <w:rPr>
                <w:rFonts w:ascii="Arial" w:eastAsia="Calibri" w:hAnsi="Arial" w:cs="Arial"/>
                <w:sz w:val="24"/>
                <w:szCs w:val="24"/>
              </w:rPr>
            </w:pPr>
            <w:r w:rsidRPr="000729CF">
              <w:rPr>
                <w:rFonts w:ascii="Arial" w:eastAsia="Calibri" w:hAnsi="Arial" w:cs="Arial"/>
                <w:sz w:val="24"/>
                <w:szCs w:val="24"/>
              </w:rPr>
              <w:t>Older people, people with disabilities and carers are groups who are affected when changes are made in Adult Social Care, considering intersectional impacts. However, due to the nature of these changes being focused</w:t>
            </w:r>
            <w:r w:rsidRPr="000729CF">
              <w:rPr>
                <w:rFonts w:ascii="Helvetica" w:hAnsi="Helvetica" w:cs="Helvetica"/>
                <w:sz w:val="24"/>
                <w:szCs w:val="24"/>
              </w:rPr>
              <w:t xml:space="preserve"> on prevention of admission into long term residential and nursing care, promoting independence in the community and ensuring value for money, there are no identified negative disproportionate impacts for these groups.</w:t>
            </w:r>
          </w:p>
        </w:tc>
      </w:tr>
    </w:tbl>
    <w:p w14:paraId="1BE432F0" w14:textId="77777777" w:rsidR="000729CF" w:rsidRPr="000729CF" w:rsidRDefault="000729CF" w:rsidP="000729CF">
      <w:pPr>
        <w:rPr>
          <w:rFonts w:ascii="Arial" w:eastAsia="Calibri" w:hAnsi="Arial" w:cs="Arial"/>
          <w:sz w:val="24"/>
          <w:szCs w:val="24"/>
          <w:lang w:val="en-GB"/>
        </w:rPr>
      </w:pPr>
    </w:p>
    <w:p w14:paraId="1C82E66C" w14:textId="77777777" w:rsidR="000729CF" w:rsidRPr="000729CF" w:rsidRDefault="000729CF" w:rsidP="000729CF">
      <w:pPr>
        <w:spacing w:after="160" w:line="259" w:lineRule="auto"/>
        <w:rPr>
          <w:rFonts w:ascii="Arial" w:eastAsia="Calibri" w:hAnsi="Arial" w:cs="Arial"/>
          <w:sz w:val="24"/>
          <w:szCs w:val="24"/>
          <w:lang w:val="en-GB"/>
        </w:rPr>
      </w:pPr>
    </w:p>
    <w:p w14:paraId="64CE90C7"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Consultation, engagement and supporting EIAs</w:t>
      </w:r>
    </w:p>
    <w:p w14:paraId="63951070"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consultations or engagement activities are being used to inform this assessment? </w:t>
      </w:r>
    </w:p>
    <w:p w14:paraId="68A472F9"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If consultation is planned or in process – state this and state when it will done/completed even if indicative. If no consultation completed or planned, state this, giving an explanation. </w:t>
      </w:r>
    </w:p>
    <w:tbl>
      <w:tblPr>
        <w:tblStyle w:val="TableGrid"/>
        <w:tblW w:w="0" w:type="auto"/>
        <w:tblLook w:val="04A0" w:firstRow="1" w:lastRow="0" w:firstColumn="1" w:lastColumn="0" w:noHBand="0" w:noVBand="1"/>
      </w:tblPr>
      <w:tblGrid>
        <w:gridCol w:w="10456"/>
      </w:tblGrid>
      <w:tr w:rsidR="000729CF" w:rsidRPr="000729CF" w14:paraId="52DCB16C" w14:textId="77777777" w:rsidTr="00BC26AB">
        <w:trPr>
          <w:trHeight w:val="871"/>
        </w:trPr>
        <w:tc>
          <w:tcPr>
            <w:tcW w:w="10456" w:type="dxa"/>
          </w:tcPr>
          <w:p w14:paraId="07DBB5F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results of the NHS Digital Adult Social Care User Survey 2022-23 have been reviewed to understand what is important to people who use adult social care services.</w:t>
            </w:r>
          </w:p>
          <w:p w14:paraId="12DF9F3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Continued engagement with partners, people with learning disabilities and their families through the Learning Disability Partnership Board.</w:t>
            </w:r>
          </w:p>
          <w:p w14:paraId="27EBD17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Discussions with individuals and their families/carers, and with Grace Eyre, will take place prior to any alterations to the service provision of Shared Lives.</w:t>
            </w:r>
          </w:p>
          <w:p w14:paraId="1CCF2C2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We regularly engage with care and support providers and will continue our ongoing engagement. </w:t>
            </w:r>
            <w:r w:rsidRPr="000729CF">
              <w:rPr>
                <w:rFonts w:ascii="Arial" w:hAnsi="Arial" w:cs="Arial"/>
                <w:color w:val="000000"/>
                <w:sz w:val="24"/>
                <w:szCs w:val="24"/>
              </w:rPr>
              <w:t>We will continue to negotiate with providers throughout the year on fee uplift requests so that services can continue to meet the care and support needs of the individuals within their care.</w:t>
            </w:r>
          </w:p>
        </w:tc>
      </w:tr>
    </w:tbl>
    <w:p w14:paraId="778F685A" w14:textId="77777777" w:rsidR="000729CF" w:rsidRPr="000729CF" w:rsidRDefault="000729CF" w:rsidP="000729CF">
      <w:pPr>
        <w:spacing w:after="160" w:line="259" w:lineRule="auto"/>
        <w:rPr>
          <w:rFonts w:ascii="Arial" w:eastAsia="Calibri" w:hAnsi="Arial" w:cs="Arial"/>
          <w:sz w:val="24"/>
          <w:szCs w:val="24"/>
          <w:lang w:val="en-GB"/>
        </w:rPr>
      </w:pPr>
    </w:p>
    <w:p w14:paraId="53A34905"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other budget or service EIAs can assist/have been used to inform this assessment?</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0729CF" w:rsidRPr="000729CF" w14:paraId="21A3F331"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shd w:val="clear" w:color="auto" w:fill="FFFFFF"/>
          </w:tcPr>
          <w:p w14:paraId="3A351644"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None</w:t>
            </w:r>
          </w:p>
        </w:tc>
      </w:tr>
    </w:tbl>
    <w:p w14:paraId="29B55307" w14:textId="77777777" w:rsidR="000729CF" w:rsidRPr="000729CF" w:rsidRDefault="000729CF" w:rsidP="000729CF">
      <w:pPr>
        <w:spacing w:after="160" w:line="259" w:lineRule="auto"/>
        <w:rPr>
          <w:rFonts w:ascii="Arial" w:eastAsia="Calibri" w:hAnsi="Arial" w:cs="Arial"/>
          <w:sz w:val="24"/>
          <w:szCs w:val="24"/>
          <w:lang w:val="en-GB"/>
        </w:rPr>
      </w:pPr>
    </w:p>
    <w:p w14:paraId="2C3EFE2C"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Current data and impact monitoring</w:t>
      </w:r>
    </w:p>
    <w:p w14:paraId="07A9B488"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Do you currently collect and analyse the following data to enable monitoring of the impact of this proposal? </w:t>
      </w:r>
    </w:p>
    <w:p w14:paraId="147F7104"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Consider all possible intersections (Delete and State Yes, No, Not Applicable)</w:t>
      </w:r>
    </w:p>
    <w:tbl>
      <w:tblPr>
        <w:tblStyle w:val="TableGrid"/>
        <w:tblW w:w="10485" w:type="dxa"/>
        <w:tblLook w:val="04A0" w:firstRow="1" w:lastRow="0" w:firstColumn="1" w:lastColumn="0" w:noHBand="0" w:noVBand="1"/>
      </w:tblPr>
      <w:tblGrid>
        <w:gridCol w:w="6658"/>
        <w:gridCol w:w="3827"/>
      </w:tblGrid>
      <w:tr w:rsidR="000729CF" w:rsidRPr="000729CF" w14:paraId="331442BA" w14:textId="77777777" w:rsidTr="000729CF">
        <w:trPr>
          <w:trHeight w:val="310"/>
        </w:trPr>
        <w:tc>
          <w:tcPr>
            <w:tcW w:w="6658" w:type="dxa"/>
            <w:shd w:val="clear" w:color="auto" w:fill="E7E6E6"/>
          </w:tcPr>
          <w:p w14:paraId="781F755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Age</w:t>
            </w:r>
          </w:p>
        </w:tc>
        <w:tc>
          <w:tcPr>
            <w:tcW w:w="3827" w:type="dxa"/>
          </w:tcPr>
          <w:p w14:paraId="69E5E1CC" w14:textId="77777777" w:rsidR="000729CF" w:rsidRPr="000729CF" w:rsidRDefault="000729CF" w:rsidP="000729CF">
            <w:pPr>
              <w:spacing w:after="120"/>
              <w:rPr>
                <w:rFonts w:ascii="Arial" w:hAnsi="Arial" w:cs="Arial"/>
                <w:color w:val="000000"/>
                <w:sz w:val="24"/>
                <w:szCs w:val="24"/>
              </w:rPr>
            </w:pPr>
            <w:r w:rsidRPr="000729CF">
              <w:rPr>
                <w:rFonts w:ascii="Arial" w:eastAsia="Calibri" w:hAnsi="Arial" w:cs="Arial"/>
                <w:sz w:val="24"/>
                <w:szCs w:val="24"/>
              </w:rPr>
              <w:t xml:space="preserve">YES </w:t>
            </w:r>
          </w:p>
        </w:tc>
      </w:tr>
      <w:tr w:rsidR="000729CF" w:rsidRPr="000729CF" w14:paraId="2864A61A" w14:textId="77777777" w:rsidTr="000729CF">
        <w:trPr>
          <w:trHeight w:val="20"/>
        </w:trPr>
        <w:tc>
          <w:tcPr>
            <w:tcW w:w="6658" w:type="dxa"/>
            <w:shd w:val="clear" w:color="auto" w:fill="E7E6E6"/>
          </w:tcPr>
          <w:p w14:paraId="2B50977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Disability and inclusive adjustments, coverage under equality act and not</w:t>
            </w:r>
          </w:p>
        </w:tc>
        <w:tc>
          <w:tcPr>
            <w:tcW w:w="3827" w:type="dxa"/>
          </w:tcPr>
          <w:p w14:paraId="4DCF650E" w14:textId="77777777" w:rsidR="000729CF" w:rsidRPr="000729CF" w:rsidRDefault="000729CF" w:rsidP="000729CF">
            <w:pPr>
              <w:spacing w:after="120"/>
              <w:rPr>
                <w:rFonts w:ascii="Arial" w:hAnsi="Arial" w:cs="Arial"/>
                <w:color w:val="000000"/>
                <w:sz w:val="24"/>
                <w:szCs w:val="24"/>
              </w:rPr>
            </w:pPr>
            <w:r w:rsidRPr="000729CF">
              <w:rPr>
                <w:rFonts w:ascii="Arial" w:eastAsia="Calibri" w:hAnsi="Arial" w:cs="Arial"/>
                <w:sz w:val="24"/>
                <w:szCs w:val="24"/>
              </w:rPr>
              <w:t xml:space="preserve">YES </w:t>
            </w:r>
          </w:p>
        </w:tc>
      </w:tr>
      <w:tr w:rsidR="000729CF" w:rsidRPr="000729CF" w14:paraId="5831AD1C" w14:textId="77777777" w:rsidTr="000729CF">
        <w:trPr>
          <w:trHeight w:val="20"/>
        </w:trPr>
        <w:tc>
          <w:tcPr>
            <w:tcW w:w="6658" w:type="dxa"/>
            <w:shd w:val="clear" w:color="auto" w:fill="E7E6E6"/>
          </w:tcPr>
          <w:p w14:paraId="3844E90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Ethnicity, ‘Race’, ethnic heritage (including Gypsy, Roma, Travellers)</w:t>
            </w:r>
          </w:p>
        </w:tc>
        <w:tc>
          <w:tcPr>
            <w:tcW w:w="3827" w:type="dxa"/>
          </w:tcPr>
          <w:p w14:paraId="46AC39C9" w14:textId="77777777" w:rsidR="000729CF" w:rsidRPr="000729CF" w:rsidRDefault="000729CF" w:rsidP="000729CF">
            <w:pPr>
              <w:spacing w:after="120"/>
              <w:rPr>
                <w:rFonts w:ascii="Arial" w:hAnsi="Arial" w:cs="Arial"/>
                <w:color w:val="000000"/>
                <w:sz w:val="24"/>
                <w:szCs w:val="24"/>
              </w:rPr>
            </w:pPr>
            <w:r w:rsidRPr="000729CF">
              <w:rPr>
                <w:rFonts w:ascii="Arial" w:eastAsia="Calibri" w:hAnsi="Arial" w:cs="Arial"/>
                <w:sz w:val="24"/>
                <w:szCs w:val="24"/>
              </w:rPr>
              <w:t xml:space="preserve">YES </w:t>
            </w:r>
          </w:p>
        </w:tc>
      </w:tr>
      <w:tr w:rsidR="000729CF" w:rsidRPr="000729CF" w14:paraId="5A525EDE" w14:textId="77777777" w:rsidTr="000729CF">
        <w:trPr>
          <w:trHeight w:val="20"/>
        </w:trPr>
        <w:tc>
          <w:tcPr>
            <w:tcW w:w="6658" w:type="dxa"/>
            <w:shd w:val="clear" w:color="auto" w:fill="E7E6E6"/>
          </w:tcPr>
          <w:p w14:paraId="04CAE3E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Religion, Belief, Spirituality, Faith, or Atheism</w:t>
            </w:r>
          </w:p>
        </w:tc>
        <w:tc>
          <w:tcPr>
            <w:tcW w:w="3827" w:type="dxa"/>
          </w:tcPr>
          <w:p w14:paraId="769557B3" w14:textId="77777777" w:rsidR="000729CF" w:rsidRPr="000729CF" w:rsidRDefault="000729CF" w:rsidP="000729CF">
            <w:pPr>
              <w:spacing w:after="120"/>
              <w:rPr>
                <w:rFonts w:ascii="Arial" w:hAnsi="Arial" w:cs="Arial"/>
                <w:color w:val="000000"/>
                <w:sz w:val="24"/>
                <w:szCs w:val="24"/>
              </w:rPr>
            </w:pPr>
            <w:r w:rsidRPr="000729CF">
              <w:rPr>
                <w:rFonts w:ascii="Arial" w:eastAsia="Calibri" w:hAnsi="Arial" w:cs="Arial"/>
                <w:sz w:val="24"/>
                <w:szCs w:val="24"/>
              </w:rPr>
              <w:t>YES</w:t>
            </w:r>
          </w:p>
        </w:tc>
      </w:tr>
      <w:tr w:rsidR="000729CF" w:rsidRPr="000729CF" w14:paraId="56F914F7" w14:textId="77777777" w:rsidTr="000729CF">
        <w:trPr>
          <w:trHeight w:val="20"/>
        </w:trPr>
        <w:tc>
          <w:tcPr>
            <w:tcW w:w="6658" w:type="dxa"/>
            <w:shd w:val="clear" w:color="auto" w:fill="E7E6E6"/>
          </w:tcPr>
          <w:p w14:paraId="250E59C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Identity and Sex (including non-binary and Intersex people)</w:t>
            </w:r>
          </w:p>
        </w:tc>
        <w:tc>
          <w:tcPr>
            <w:tcW w:w="3827" w:type="dxa"/>
          </w:tcPr>
          <w:p w14:paraId="32969C5B" w14:textId="77777777" w:rsidR="000729CF" w:rsidRPr="000729CF" w:rsidRDefault="000729CF" w:rsidP="000729CF">
            <w:pPr>
              <w:spacing w:after="120"/>
              <w:rPr>
                <w:rFonts w:ascii="Arial" w:hAnsi="Arial" w:cs="Arial"/>
                <w:color w:val="000000"/>
                <w:sz w:val="24"/>
                <w:szCs w:val="24"/>
              </w:rPr>
            </w:pPr>
            <w:r w:rsidRPr="000729CF">
              <w:rPr>
                <w:rFonts w:ascii="Arial" w:eastAsia="Calibri" w:hAnsi="Arial" w:cs="Arial"/>
                <w:sz w:val="24"/>
                <w:szCs w:val="24"/>
              </w:rPr>
              <w:t xml:space="preserve">YES </w:t>
            </w:r>
          </w:p>
        </w:tc>
      </w:tr>
      <w:tr w:rsidR="000729CF" w:rsidRPr="000729CF" w14:paraId="41456228" w14:textId="77777777" w:rsidTr="000729CF">
        <w:trPr>
          <w:trHeight w:val="20"/>
        </w:trPr>
        <w:tc>
          <w:tcPr>
            <w:tcW w:w="6658" w:type="dxa"/>
            <w:shd w:val="clear" w:color="auto" w:fill="E7E6E6"/>
          </w:tcPr>
          <w:p w14:paraId="2CA633A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3827" w:type="dxa"/>
          </w:tcPr>
          <w:p w14:paraId="7F17708A" w14:textId="77777777" w:rsidR="000729CF" w:rsidRPr="000729CF" w:rsidRDefault="000729CF" w:rsidP="000729CF">
            <w:pPr>
              <w:spacing w:after="120"/>
              <w:rPr>
                <w:rFonts w:ascii="Arial" w:hAnsi="Arial" w:cs="Arial"/>
                <w:color w:val="000000"/>
                <w:sz w:val="24"/>
                <w:szCs w:val="24"/>
              </w:rPr>
            </w:pPr>
            <w:r w:rsidRPr="000729CF">
              <w:rPr>
                <w:rFonts w:ascii="Arial" w:eastAsia="Calibri" w:hAnsi="Arial" w:cs="Arial"/>
                <w:sz w:val="24"/>
                <w:szCs w:val="24"/>
              </w:rPr>
              <w:t xml:space="preserve">NO </w:t>
            </w:r>
          </w:p>
        </w:tc>
      </w:tr>
      <w:tr w:rsidR="000729CF" w:rsidRPr="000729CF" w14:paraId="1BDE1168" w14:textId="77777777" w:rsidTr="000729CF">
        <w:trPr>
          <w:trHeight w:val="20"/>
        </w:trPr>
        <w:tc>
          <w:tcPr>
            <w:tcW w:w="6658" w:type="dxa"/>
            <w:shd w:val="clear" w:color="auto" w:fill="E7E6E6"/>
          </w:tcPr>
          <w:p w14:paraId="1DD3747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3827" w:type="dxa"/>
          </w:tcPr>
          <w:p w14:paraId="5427F490" w14:textId="77777777" w:rsidR="000729CF" w:rsidRPr="000729CF" w:rsidRDefault="000729CF" w:rsidP="000729CF">
            <w:pPr>
              <w:spacing w:after="120"/>
              <w:rPr>
                <w:rFonts w:ascii="Arial" w:hAnsi="Arial" w:cs="Arial"/>
                <w:color w:val="000000"/>
                <w:sz w:val="24"/>
                <w:szCs w:val="24"/>
              </w:rPr>
            </w:pPr>
            <w:r w:rsidRPr="000729CF">
              <w:rPr>
                <w:rFonts w:ascii="Arial" w:eastAsia="Calibri" w:hAnsi="Arial" w:cs="Arial"/>
                <w:sz w:val="24"/>
                <w:szCs w:val="24"/>
              </w:rPr>
              <w:t xml:space="preserve">YES </w:t>
            </w:r>
          </w:p>
        </w:tc>
      </w:tr>
      <w:tr w:rsidR="000729CF" w:rsidRPr="000729CF" w14:paraId="08DBEC56" w14:textId="77777777" w:rsidTr="000729CF">
        <w:trPr>
          <w:trHeight w:val="20"/>
        </w:trPr>
        <w:tc>
          <w:tcPr>
            <w:tcW w:w="6658" w:type="dxa"/>
            <w:shd w:val="clear" w:color="auto" w:fill="E7E6E6"/>
          </w:tcPr>
          <w:p w14:paraId="314E752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3827" w:type="dxa"/>
          </w:tcPr>
          <w:p w14:paraId="29F07597" w14:textId="77777777" w:rsidR="000729CF" w:rsidRPr="000729CF" w:rsidRDefault="000729CF" w:rsidP="000729CF">
            <w:pPr>
              <w:spacing w:after="120"/>
              <w:rPr>
                <w:rFonts w:ascii="Arial" w:hAnsi="Arial" w:cs="Arial"/>
                <w:color w:val="000000"/>
                <w:sz w:val="24"/>
                <w:szCs w:val="24"/>
              </w:rPr>
            </w:pPr>
            <w:r w:rsidRPr="000729CF">
              <w:rPr>
                <w:rFonts w:ascii="Arial" w:eastAsia="Calibri" w:hAnsi="Arial" w:cs="Arial"/>
                <w:sz w:val="24"/>
                <w:szCs w:val="24"/>
              </w:rPr>
              <w:t xml:space="preserve"> NO</w:t>
            </w:r>
          </w:p>
        </w:tc>
      </w:tr>
      <w:tr w:rsidR="000729CF" w:rsidRPr="000729CF" w14:paraId="06B5FC83" w14:textId="77777777" w:rsidTr="000729CF">
        <w:trPr>
          <w:trHeight w:val="20"/>
        </w:trPr>
        <w:tc>
          <w:tcPr>
            <w:tcW w:w="6658" w:type="dxa"/>
            <w:shd w:val="clear" w:color="auto" w:fill="E7E6E6"/>
          </w:tcPr>
          <w:p w14:paraId="780667D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Pregnant people, Maternity, Paternity, Adoption, Menopause, (In)fertility (across the gender spectrum)</w:t>
            </w:r>
          </w:p>
        </w:tc>
        <w:tc>
          <w:tcPr>
            <w:tcW w:w="3827" w:type="dxa"/>
          </w:tcPr>
          <w:p w14:paraId="28CACA0C" w14:textId="77777777" w:rsidR="000729CF" w:rsidRPr="000729CF" w:rsidRDefault="000729CF" w:rsidP="000729CF">
            <w:pPr>
              <w:spacing w:after="120"/>
              <w:rPr>
                <w:rFonts w:ascii="Arial" w:hAnsi="Arial" w:cs="Arial"/>
                <w:color w:val="000000"/>
                <w:sz w:val="24"/>
                <w:szCs w:val="24"/>
              </w:rPr>
            </w:pPr>
            <w:r w:rsidRPr="000729CF">
              <w:rPr>
                <w:rFonts w:ascii="Arial" w:eastAsia="Calibri" w:hAnsi="Arial" w:cs="Arial"/>
                <w:sz w:val="24"/>
                <w:szCs w:val="24"/>
              </w:rPr>
              <w:t>Not applicable</w:t>
            </w:r>
          </w:p>
        </w:tc>
      </w:tr>
      <w:tr w:rsidR="000729CF" w:rsidRPr="000729CF" w14:paraId="51AB5CF7" w14:textId="77777777" w:rsidTr="000729CF">
        <w:trPr>
          <w:trHeight w:val="20"/>
        </w:trPr>
        <w:tc>
          <w:tcPr>
            <w:tcW w:w="6658" w:type="dxa"/>
            <w:shd w:val="clear" w:color="auto" w:fill="E7E6E6"/>
          </w:tcPr>
          <w:p w14:paraId="0EA4F26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3827" w:type="dxa"/>
          </w:tcPr>
          <w:p w14:paraId="68F31CF9" w14:textId="77777777" w:rsidR="000729CF" w:rsidRPr="000729CF" w:rsidRDefault="000729CF" w:rsidP="000729CF">
            <w:pPr>
              <w:spacing w:after="120"/>
              <w:rPr>
                <w:rFonts w:ascii="Arial" w:hAnsi="Arial" w:cs="Arial"/>
                <w:color w:val="000000"/>
                <w:sz w:val="24"/>
                <w:szCs w:val="24"/>
              </w:rPr>
            </w:pPr>
            <w:r w:rsidRPr="000729CF">
              <w:rPr>
                <w:rFonts w:ascii="Arial" w:eastAsia="Calibri" w:hAnsi="Arial" w:cs="Arial"/>
                <w:sz w:val="24"/>
                <w:szCs w:val="24"/>
              </w:rPr>
              <w:t xml:space="preserve"> NO</w:t>
            </w:r>
          </w:p>
        </w:tc>
      </w:tr>
      <w:tr w:rsidR="000729CF" w:rsidRPr="000729CF" w14:paraId="201D2D22" w14:textId="77777777" w:rsidTr="000729CF">
        <w:trPr>
          <w:trHeight w:val="20"/>
        </w:trPr>
        <w:tc>
          <w:tcPr>
            <w:tcW w:w="6658" w:type="dxa"/>
            <w:shd w:val="clear" w:color="auto" w:fill="E7E6E6"/>
          </w:tcPr>
          <w:p w14:paraId="361A47C6" w14:textId="77777777" w:rsidR="000729CF" w:rsidRPr="000729CF" w:rsidRDefault="000729CF" w:rsidP="000729CF">
            <w:pPr>
              <w:spacing w:after="120"/>
              <w:rPr>
                <w:rFonts w:ascii="Arial" w:hAnsi="Arial" w:cs="Arial"/>
                <w:b/>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p>
        </w:tc>
        <w:tc>
          <w:tcPr>
            <w:tcW w:w="3827" w:type="dxa"/>
          </w:tcPr>
          <w:p w14:paraId="29403AD1" w14:textId="77777777" w:rsidR="000729CF" w:rsidRPr="000729CF" w:rsidRDefault="000729CF" w:rsidP="000729CF">
            <w:pPr>
              <w:spacing w:after="120"/>
              <w:rPr>
                <w:rFonts w:ascii="Arial" w:hAnsi="Arial" w:cs="Arial"/>
                <w:color w:val="000000"/>
                <w:sz w:val="24"/>
                <w:szCs w:val="24"/>
              </w:rPr>
            </w:pPr>
            <w:r w:rsidRPr="000729CF">
              <w:rPr>
                <w:rFonts w:ascii="Arial" w:eastAsia="Calibri" w:hAnsi="Arial" w:cs="Arial"/>
                <w:sz w:val="24"/>
                <w:szCs w:val="24"/>
              </w:rPr>
              <w:t>NO</w:t>
            </w:r>
          </w:p>
        </w:tc>
      </w:tr>
      <w:tr w:rsidR="000729CF" w:rsidRPr="000729CF" w14:paraId="0B5F036B" w14:textId="77777777" w:rsidTr="000729CF">
        <w:trPr>
          <w:trHeight w:val="20"/>
        </w:trPr>
        <w:tc>
          <w:tcPr>
            <w:tcW w:w="6658" w:type="dxa"/>
            <w:shd w:val="clear" w:color="auto" w:fill="E7E6E6"/>
          </w:tcPr>
          <w:p w14:paraId="1A593697" w14:textId="77777777" w:rsidR="000729CF" w:rsidRPr="000729CF" w:rsidRDefault="000729CF" w:rsidP="000729CF">
            <w:pPr>
              <w:spacing w:after="120"/>
              <w:rPr>
                <w:rFonts w:ascii="Arial" w:hAnsi="Arial" w:cs="Arial"/>
                <w:b/>
                <w:sz w:val="24"/>
                <w:szCs w:val="24"/>
              </w:rPr>
            </w:pPr>
            <w:r w:rsidRPr="000729CF">
              <w:rPr>
                <w:rFonts w:ascii="Arial" w:eastAsia="Calibri" w:hAnsi="Arial" w:cs="Arial"/>
                <w:b/>
                <w:bCs/>
                <w:color w:val="000000"/>
                <w:sz w:val="24"/>
                <w:szCs w:val="24"/>
              </w:rPr>
              <w:t>Carers</w:t>
            </w:r>
          </w:p>
        </w:tc>
        <w:tc>
          <w:tcPr>
            <w:tcW w:w="3827" w:type="dxa"/>
          </w:tcPr>
          <w:p w14:paraId="6B8FEC09" w14:textId="77777777" w:rsidR="000729CF" w:rsidRPr="000729CF" w:rsidRDefault="000729CF" w:rsidP="000729CF">
            <w:pPr>
              <w:spacing w:after="120"/>
              <w:rPr>
                <w:rFonts w:ascii="Arial" w:hAnsi="Arial" w:cs="Arial"/>
                <w:color w:val="000000"/>
                <w:sz w:val="24"/>
                <w:szCs w:val="24"/>
              </w:rPr>
            </w:pPr>
            <w:r w:rsidRPr="000729CF">
              <w:rPr>
                <w:rFonts w:ascii="Arial" w:eastAsia="Calibri" w:hAnsi="Arial" w:cs="Arial"/>
                <w:sz w:val="24"/>
                <w:szCs w:val="24"/>
              </w:rPr>
              <w:t xml:space="preserve">YES </w:t>
            </w:r>
          </w:p>
        </w:tc>
      </w:tr>
      <w:tr w:rsidR="000729CF" w:rsidRPr="000729CF" w14:paraId="783F81E0" w14:textId="77777777" w:rsidTr="000729CF">
        <w:trPr>
          <w:trHeight w:val="20"/>
        </w:trPr>
        <w:tc>
          <w:tcPr>
            <w:tcW w:w="6658" w:type="dxa"/>
            <w:shd w:val="clear" w:color="auto" w:fill="E7E6E6"/>
          </w:tcPr>
          <w:p w14:paraId="5712D3F2"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Looked after children, Care Leavers, Care and fostering experienced people</w:t>
            </w:r>
          </w:p>
        </w:tc>
        <w:tc>
          <w:tcPr>
            <w:tcW w:w="3827" w:type="dxa"/>
          </w:tcPr>
          <w:p w14:paraId="0859CDF9" w14:textId="77777777" w:rsidR="000729CF" w:rsidRPr="000729CF" w:rsidRDefault="000729CF" w:rsidP="000729CF">
            <w:pPr>
              <w:spacing w:after="120"/>
              <w:rPr>
                <w:rFonts w:ascii="Arial" w:hAnsi="Arial" w:cs="Arial"/>
                <w:color w:val="000000"/>
                <w:sz w:val="24"/>
                <w:szCs w:val="24"/>
              </w:rPr>
            </w:pPr>
            <w:r w:rsidRPr="000729CF">
              <w:rPr>
                <w:rFonts w:ascii="Arial" w:eastAsia="Calibri" w:hAnsi="Arial" w:cs="Arial"/>
                <w:sz w:val="24"/>
                <w:szCs w:val="24"/>
              </w:rPr>
              <w:t xml:space="preserve"> Not applicable</w:t>
            </w:r>
          </w:p>
        </w:tc>
      </w:tr>
      <w:tr w:rsidR="000729CF" w:rsidRPr="000729CF" w14:paraId="4FAF11A6" w14:textId="77777777" w:rsidTr="000729CF">
        <w:trPr>
          <w:trHeight w:val="20"/>
        </w:trPr>
        <w:tc>
          <w:tcPr>
            <w:tcW w:w="6658" w:type="dxa"/>
            <w:shd w:val="clear" w:color="auto" w:fill="E7E6E6"/>
          </w:tcPr>
          <w:p w14:paraId="376665F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 and people in vulnerable situations (All aspects and intersections)</w:t>
            </w:r>
          </w:p>
        </w:tc>
        <w:tc>
          <w:tcPr>
            <w:tcW w:w="3827" w:type="dxa"/>
          </w:tcPr>
          <w:p w14:paraId="6E62644F" w14:textId="77777777" w:rsidR="000729CF" w:rsidRPr="000729CF" w:rsidRDefault="000729CF" w:rsidP="000729CF">
            <w:pPr>
              <w:spacing w:after="120"/>
              <w:rPr>
                <w:rFonts w:ascii="Arial" w:hAnsi="Arial" w:cs="Arial"/>
                <w:color w:val="000000"/>
                <w:sz w:val="24"/>
                <w:szCs w:val="24"/>
              </w:rPr>
            </w:pPr>
            <w:r w:rsidRPr="000729CF">
              <w:rPr>
                <w:rFonts w:ascii="Arial" w:eastAsia="Calibri" w:hAnsi="Arial" w:cs="Arial"/>
                <w:sz w:val="24"/>
                <w:szCs w:val="24"/>
              </w:rPr>
              <w:t xml:space="preserve"> NO</w:t>
            </w:r>
          </w:p>
        </w:tc>
      </w:tr>
      <w:tr w:rsidR="000729CF" w:rsidRPr="000729CF" w14:paraId="7399C98F" w14:textId="77777777" w:rsidTr="000729CF">
        <w:trPr>
          <w:trHeight w:val="20"/>
        </w:trPr>
        <w:tc>
          <w:tcPr>
            <w:tcW w:w="6658" w:type="dxa"/>
            <w:shd w:val="clear" w:color="auto" w:fill="E7E6E6"/>
          </w:tcPr>
          <w:p w14:paraId="0A44FD5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Socio-economic Disadvantage</w:t>
            </w:r>
          </w:p>
        </w:tc>
        <w:tc>
          <w:tcPr>
            <w:tcW w:w="3827" w:type="dxa"/>
          </w:tcPr>
          <w:p w14:paraId="13B721D6" w14:textId="77777777" w:rsidR="000729CF" w:rsidRPr="000729CF" w:rsidRDefault="000729CF" w:rsidP="000729CF">
            <w:pPr>
              <w:spacing w:after="120"/>
              <w:rPr>
                <w:rFonts w:ascii="Arial" w:hAnsi="Arial" w:cs="Arial"/>
                <w:color w:val="000000"/>
                <w:sz w:val="24"/>
                <w:szCs w:val="24"/>
              </w:rPr>
            </w:pPr>
            <w:r w:rsidRPr="000729CF">
              <w:rPr>
                <w:rFonts w:ascii="Arial" w:eastAsia="Calibri" w:hAnsi="Arial" w:cs="Arial"/>
                <w:sz w:val="24"/>
                <w:szCs w:val="24"/>
              </w:rPr>
              <w:t xml:space="preserve"> NO </w:t>
            </w:r>
          </w:p>
        </w:tc>
      </w:tr>
      <w:tr w:rsidR="000729CF" w:rsidRPr="000729CF" w14:paraId="2F487AA4" w14:textId="77777777" w:rsidTr="000729CF">
        <w:trPr>
          <w:trHeight w:val="20"/>
        </w:trPr>
        <w:tc>
          <w:tcPr>
            <w:tcW w:w="6658" w:type="dxa"/>
            <w:shd w:val="clear" w:color="auto" w:fill="E7E6E6"/>
          </w:tcPr>
          <w:p w14:paraId="6DD6635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Homelessness and associated risk and vulnerability</w:t>
            </w:r>
          </w:p>
        </w:tc>
        <w:tc>
          <w:tcPr>
            <w:tcW w:w="3827" w:type="dxa"/>
          </w:tcPr>
          <w:p w14:paraId="54ADEC20" w14:textId="77777777" w:rsidR="000729CF" w:rsidRPr="000729CF" w:rsidRDefault="000729CF" w:rsidP="000729CF">
            <w:pPr>
              <w:spacing w:after="120"/>
              <w:rPr>
                <w:rFonts w:ascii="Arial" w:hAnsi="Arial" w:cs="Arial"/>
                <w:color w:val="000000"/>
                <w:sz w:val="24"/>
                <w:szCs w:val="24"/>
              </w:rPr>
            </w:pPr>
            <w:r w:rsidRPr="000729CF">
              <w:rPr>
                <w:rFonts w:ascii="Arial" w:eastAsia="Calibri" w:hAnsi="Arial" w:cs="Arial"/>
                <w:sz w:val="24"/>
                <w:szCs w:val="24"/>
              </w:rPr>
              <w:t>YES</w:t>
            </w:r>
          </w:p>
        </w:tc>
      </w:tr>
      <w:tr w:rsidR="000729CF" w:rsidRPr="000729CF" w14:paraId="0BFA5F0F" w14:textId="77777777" w:rsidTr="000729CF">
        <w:trPr>
          <w:trHeight w:val="20"/>
        </w:trPr>
        <w:tc>
          <w:tcPr>
            <w:tcW w:w="6658" w:type="dxa"/>
            <w:shd w:val="clear" w:color="auto" w:fill="E7E6E6"/>
          </w:tcPr>
          <w:p w14:paraId="0A95B87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3827" w:type="dxa"/>
          </w:tcPr>
          <w:p w14:paraId="2CD1E992" w14:textId="77777777" w:rsidR="000729CF" w:rsidRPr="000729CF" w:rsidRDefault="000729CF" w:rsidP="000729CF">
            <w:pPr>
              <w:spacing w:after="120"/>
              <w:rPr>
                <w:rFonts w:ascii="Arial" w:hAnsi="Arial" w:cs="Arial"/>
                <w:color w:val="000000"/>
                <w:sz w:val="24"/>
                <w:szCs w:val="24"/>
              </w:rPr>
            </w:pPr>
            <w:r w:rsidRPr="000729CF">
              <w:rPr>
                <w:rFonts w:ascii="Arial" w:eastAsia="Calibri" w:hAnsi="Arial" w:cs="Arial"/>
                <w:sz w:val="24"/>
                <w:szCs w:val="24"/>
              </w:rPr>
              <w:t xml:space="preserve"> NO</w:t>
            </w:r>
          </w:p>
        </w:tc>
      </w:tr>
      <w:tr w:rsidR="000729CF" w:rsidRPr="000729CF" w14:paraId="1B2470C4" w14:textId="77777777" w:rsidTr="000729CF">
        <w:trPr>
          <w:trHeight w:val="20"/>
        </w:trPr>
        <w:tc>
          <w:tcPr>
            <w:tcW w:w="6658" w:type="dxa"/>
            <w:shd w:val="clear" w:color="auto" w:fill="E7E6E6"/>
          </w:tcPr>
          <w:p w14:paraId="1F1D6DD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 (please specify here and add additional rows as needed)</w:t>
            </w:r>
          </w:p>
        </w:tc>
        <w:tc>
          <w:tcPr>
            <w:tcW w:w="3827" w:type="dxa"/>
          </w:tcPr>
          <w:p w14:paraId="470B64BD" w14:textId="77777777" w:rsidR="000729CF" w:rsidRPr="000729CF" w:rsidRDefault="000729CF" w:rsidP="000729CF">
            <w:pPr>
              <w:spacing w:after="120"/>
              <w:rPr>
                <w:rFonts w:ascii="Arial" w:hAnsi="Arial" w:cs="Arial"/>
                <w:color w:val="000000"/>
                <w:sz w:val="24"/>
                <w:szCs w:val="24"/>
              </w:rPr>
            </w:pPr>
            <w:r w:rsidRPr="000729CF">
              <w:rPr>
                <w:rFonts w:ascii="Arial" w:eastAsia="Calibri" w:hAnsi="Arial" w:cs="Arial"/>
                <w:sz w:val="24"/>
                <w:szCs w:val="24"/>
              </w:rPr>
              <w:t xml:space="preserve"> NO</w:t>
            </w:r>
          </w:p>
        </w:tc>
      </w:tr>
    </w:tbl>
    <w:p w14:paraId="6006DB54" w14:textId="77777777" w:rsidR="000729CF" w:rsidRPr="000729CF" w:rsidRDefault="000729CF" w:rsidP="000729CF">
      <w:pPr>
        <w:rPr>
          <w:rFonts w:ascii="Arial" w:eastAsia="Calibri" w:hAnsi="Arial" w:cs="Arial"/>
          <w:sz w:val="24"/>
          <w:szCs w:val="24"/>
          <w:lang w:val="en-GB"/>
        </w:rPr>
      </w:pPr>
    </w:p>
    <w:p w14:paraId="02191457"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172DF386"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58E40BB6"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3FA22028"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49B86C9B"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432B5A7D"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713B41A0"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09519DA0"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1B18B867"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1E670084"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708B8B29" w14:textId="77777777" w:rsidR="000729CF" w:rsidRPr="000729CF" w:rsidRDefault="000729CF" w:rsidP="000729CF">
      <w:pPr>
        <w:rPr>
          <w:rFonts w:ascii="Arial" w:eastAsia="Calibri" w:hAnsi="Arial" w:cs="Arial"/>
          <w:sz w:val="24"/>
          <w:szCs w:val="24"/>
          <w:lang w:val="en-GB"/>
        </w:rPr>
      </w:pPr>
    </w:p>
    <w:p w14:paraId="3466A17A"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If you answered “NO” to any of the above, how will you gather this data to enable improved monitoring of impact for this proposal?</w:t>
      </w:r>
    </w:p>
    <w:tbl>
      <w:tblPr>
        <w:tblStyle w:val="TableGrid"/>
        <w:tblW w:w="0" w:type="auto"/>
        <w:tblLook w:val="04A0" w:firstRow="1" w:lastRow="0" w:firstColumn="1" w:lastColumn="0" w:noHBand="0" w:noVBand="1"/>
      </w:tblPr>
      <w:tblGrid>
        <w:gridCol w:w="10456"/>
      </w:tblGrid>
      <w:tr w:rsidR="000729CF" w:rsidRPr="000729CF" w14:paraId="19985F55" w14:textId="77777777" w:rsidTr="00BC26AB">
        <w:trPr>
          <w:trHeight w:val="757"/>
        </w:trPr>
        <w:tc>
          <w:tcPr>
            <w:tcW w:w="10456" w:type="dxa"/>
          </w:tcPr>
          <w:p w14:paraId="604D8947" w14:textId="77777777" w:rsidR="000729CF" w:rsidRPr="000729CF" w:rsidRDefault="000729CF" w:rsidP="000729CF">
            <w:pPr>
              <w:spacing w:line="259" w:lineRule="auto"/>
              <w:rPr>
                <w:rFonts w:ascii="Arial" w:eastAsia="Calibri" w:hAnsi="Arial" w:cs="Arial"/>
                <w:sz w:val="24"/>
                <w:szCs w:val="24"/>
              </w:rPr>
            </w:pPr>
            <w:r w:rsidRPr="000729CF">
              <w:rPr>
                <w:rFonts w:ascii="Arial" w:hAnsi="Arial" w:cs="Arial"/>
                <w:color w:val="000000"/>
                <w:sz w:val="24"/>
                <w:szCs w:val="24"/>
              </w:rPr>
              <w:t>Equalities data is gathered in line with statutory guidelines as indicated by DHSC and NHSE. Assessments and reviews of individuals gather further information to fully understand the strengths and needs of each person requiring care and support. Although this is not monitored currently for trends and analysis, each individual’s needs are considered throughout their care and support planning. Where we do not have data available, we will seek to improve this and continue to engage with people in the community to understand the impacts further. Further work is underway corporately to adopt new standards on data collection for protected characteristics which we will use as appropriate to our services.</w:t>
            </w:r>
          </w:p>
        </w:tc>
      </w:tr>
    </w:tbl>
    <w:p w14:paraId="058E00FF" w14:textId="77777777" w:rsidR="000729CF" w:rsidRPr="000729CF" w:rsidRDefault="000729CF" w:rsidP="000729CF">
      <w:pPr>
        <w:rPr>
          <w:rFonts w:ascii="Arial" w:eastAsia="Calibri" w:hAnsi="Arial" w:cs="Arial"/>
          <w:sz w:val="24"/>
          <w:szCs w:val="24"/>
          <w:lang w:val="en-GB"/>
        </w:rPr>
      </w:pPr>
    </w:p>
    <w:p w14:paraId="33C8E432" w14:textId="77777777" w:rsidR="000729CF" w:rsidRPr="000729CF" w:rsidRDefault="000729CF" w:rsidP="000729CF">
      <w:pPr>
        <w:rPr>
          <w:rFonts w:ascii="Arial" w:eastAsia="Calibri" w:hAnsi="Arial" w:cs="Arial"/>
          <w:sz w:val="24"/>
          <w:szCs w:val="24"/>
          <w:lang w:val="en-GB"/>
        </w:rPr>
      </w:pPr>
    </w:p>
    <w:p w14:paraId="3CE7166D"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are the arrangements for monitoring, and reviewing the impact of this proposal?</w:t>
      </w:r>
    </w:p>
    <w:tbl>
      <w:tblPr>
        <w:tblStyle w:val="TableGrid"/>
        <w:tblW w:w="0" w:type="auto"/>
        <w:tblLook w:val="04A0" w:firstRow="1" w:lastRow="0" w:firstColumn="1" w:lastColumn="0" w:noHBand="0" w:noVBand="1"/>
      </w:tblPr>
      <w:tblGrid>
        <w:gridCol w:w="10456"/>
      </w:tblGrid>
      <w:tr w:rsidR="000729CF" w:rsidRPr="000729CF" w14:paraId="7F71583D" w14:textId="77777777" w:rsidTr="00BC26AB">
        <w:trPr>
          <w:trHeight w:val="757"/>
        </w:trPr>
        <w:tc>
          <w:tcPr>
            <w:tcW w:w="10456" w:type="dxa"/>
          </w:tcPr>
          <w:p w14:paraId="08541949" w14:textId="77777777" w:rsidR="000729CF" w:rsidRPr="000729CF" w:rsidRDefault="000729CF" w:rsidP="000729CF">
            <w:pPr>
              <w:spacing w:line="259" w:lineRule="auto"/>
              <w:rPr>
                <w:rFonts w:ascii="Arial" w:hAnsi="Arial" w:cs="Arial"/>
                <w:color w:val="000000"/>
                <w:sz w:val="24"/>
                <w:szCs w:val="24"/>
              </w:rPr>
            </w:pPr>
            <w:r w:rsidRPr="000729CF">
              <w:rPr>
                <w:rFonts w:ascii="Arial" w:hAnsi="Arial" w:cs="Arial"/>
                <w:color w:val="000000"/>
                <w:sz w:val="24"/>
                <w:szCs w:val="24"/>
              </w:rPr>
              <w:t xml:space="preserve">The Executive Director for Health and Adult Social Care retains the responsibility for professional leadership and operational delivery for meeting statutory need and will ensure governance arrangements support social work professional practice to ensure that statutory duties and responsibilities are appropriately met and best practice is followed. </w:t>
            </w:r>
          </w:p>
          <w:p w14:paraId="1D5AB627" w14:textId="77777777" w:rsidR="000729CF" w:rsidRPr="000729CF" w:rsidRDefault="000729CF" w:rsidP="000729CF">
            <w:pPr>
              <w:spacing w:line="259" w:lineRule="auto"/>
              <w:rPr>
                <w:rFonts w:ascii="Arial" w:eastAsia="Calibri" w:hAnsi="Arial" w:cs="Arial"/>
                <w:sz w:val="24"/>
                <w:szCs w:val="24"/>
              </w:rPr>
            </w:pPr>
          </w:p>
          <w:p w14:paraId="3C0AA539" w14:textId="77777777" w:rsidR="000729CF" w:rsidRPr="000729CF" w:rsidRDefault="000729CF" w:rsidP="000729CF">
            <w:pPr>
              <w:spacing w:line="259" w:lineRule="auto"/>
              <w:rPr>
                <w:rFonts w:ascii="Arial" w:eastAsia="Calibri" w:hAnsi="Arial" w:cs="Arial"/>
                <w:sz w:val="24"/>
                <w:szCs w:val="24"/>
              </w:rPr>
            </w:pPr>
            <w:r w:rsidRPr="000729CF">
              <w:rPr>
                <w:rFonts w:ascii="Arial" w:eastAsia="Calibri" w:hAnsi="Arial" w:cs="Arial"/>
                <w:sz w:val="24"/>
                <w:szCs w:val="24"/>
              </w:rPr>
              <w:t>We will continue to review the impacts of this proposal through annual service user surveys and bi-annual carer surveys, as well as monitoring compliments and complaints. We will also gather stakeholder feedback through existing partnership boards and forums. Any impacts to individuals are assessed through reviews and care and support planning.</w:t>
            </w:r>
          </w:p>
        </w:tc>
      </w:tr>
    </w:tbl>
    <w:p w14:paraId="3A5328E0" w14:textId="77777777" w:rsidR="000729CF" w:rsidRPr="000729CF" w:rsidRDefault="000729CF" w:rsidP="000729CF">
      <w:pPr>
        <w:rPr>
          <w:rFonts w:ascii="Arial" w:eastAsia="Calibri" w:hAnsi="Arial" w:cs="Arial"/>
          <w:sz w:val="24"/>
          <w:szCs w:val="24"/>
          <w:lang w:val="en-GB"/>
        </w:rPr>
      </w:pPr>
    </w:p>
    <w:p w14:paraId="2353F803" w14:textId="77777777" w:rsidR="000729CF" w:rsidRPr="000729CF" w:rsidRDefault="000729CF" w:rsidP="000729CF">
      <w:pPr>
        <w:rPr>
          <w:rFonts w:ascii="Arial" w:eastAsia="Calibri" w:hAnsi="Arial" w:cs="Arial"/>
          <w:sz w:val="24"/>
          <w:szCs w:val="24"/>
          <w:lang w:val="en-GB"/>
        </w:rPr>
      </w:pPr>
    </w:p>
    <w:p w14:paraId="675E4E60"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Impacts</w:t>
      </w:r>
    </w:p>
    <w:p w14:paraId="27F19710"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Briefly state source of data or data analysis being used to describe the </w:t>
      </w:r>
      <w:r w:rsidRPr="000729CF">
        <w:rPr>
          <w:rFonts w:ascii="Arial" w:eastAsia="Calibri" w:hAnsi="Arial" w:cs="Arial"/>
          <w:color w:val="000000"/>
          <w:sz w:val="24"/>
          <w:szCs w:val="24"/>
          <w:bdr w:val="none" w:sz="0" w:space="0" w:color="auto" w:frame="1"/>
          <w:lang w:val="en-GB"/>
        </w:rPr>
        <w:t xml:space="preserve">disproportionate negative impacts. </w:t>
      </w:r>
      <w:r w:rsidRPr="000729CF">
        <w:rPr>
          <w:rFonts w:ascii="Arial" w:eastAsia="Calibri" w:hAnsi="Arial" w:cs="Arial"/>
          <w:sz w:val="24"/>
          <w:szCs w:val="24"/>
          <w:lang w:val="en-GB"/>
        </w:rPr>
        <w:t xml:space="preserve">Preferably provide link to data/ analysis if open data source. </w:t>
      </w:r>
    </w:p>
    <w:tbl>
      <w:tblPr>
        <w:tblStyle w:val="TableGrid"/>
        <w:tblW w:w="10485" w:type="dxa"/>
        <w:tblLook w:val="04A0" w:firstRow="1" w:lastRow="0" w:firstColumn="1" w:lastColumn="0" w:noHBand="0" w:noVBand="1"/>
      </w:tblPr>
      <w:tblGrid>
        <w:gridCol w:w="2985"/>
        <w:gridCol w:w="2123"/>
        <w:gridCol w:w="5377"/>
      </w:tblGrid>
      <w:tr w:rsidR="000729CF" w:rsidRPr="000729CF" w14:paraId="58D3C4B2" w14:textId="77777777" w:rsidTr="000729CF">
        <w:trPr>
          <w:trHeight w:val="20"/>
        </w:trPr>
        <w:tc>
          <w:tcPr>
            <w:tcW w:w="2985" w:type="dxa"/>
            <w:shd w:val="clear" w:color="auto" w:fill="E7E6E6"/>
          </w:tcPr>
          <w:p w14:paraId="7A3D00A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Assess impact for different population groups</w:t>
            </w:r>
          </w:p>
        </w:tc>
        <w:tc>
          <w:tcPr>
            <w:tcW w:w="2123" w:type="dxa"/>
            <w:shd w:val="clear" w:color="auto" w:fill="E7E6E6"/>
          </w:tcPr>
          <w:p w14:paraId="114ED73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Is there a possible disproportionate negative impact? </w:t>
            </w:r>
          </w:p>
          <w:p w14:paraId="18A33D03" w14:textId="77777777" w:rsidR="000729CF" w:rsidRPr="000729CF" w:rsidRDefault="000729CF" w:rsidP="000729CF">
            <w:pPr>
              <w:spacing w:after="120"/>
              <w:rPr>
                <w:rFonts w:ascii="Arial" w:eastAsia="Calibri" w:hAnsi="Arial" w:cs="Arial"/>
                <w:b/>
                <w:bCs/>
                <w:sz w:val="24"/>
                <w:szCs w:val="24"/>
              </w:rPr>
            </w:pPr>
          </w:p>
          <w:p w14:paraId="4968625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b/>
                <w:bCs/>
                <w:sz w:val="24"/>
                <w:szCs w:val="24"/>
              </w:rPr>
              <w:t>State Yes or No</w:t>
            </w:r>
          </w:p>
        </w:tc>
        <w:tc>
          <w:tcPr>
            <w:tcW w:w="5377" w:type="dxa"/>
            <w:shd w:val="clear" w:color="auto" w:fill="E7E6E6"/>
          </w:tcPr>
          <w:p w14:paraId="4492BEE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Describe the potential negative impact, considering for differences within groups For example, different ethnic groups, and peoples intersecting identities e.g. disabled women of faith</w:t>
            </w:r>
          </w:p>
          <w:p w14:paraId="4CB1E54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OR</w:t>
            </w:r>
          </w:p>
          <w:p w14:paraId="5FB5B45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If no impact is identified, briefly state why.</w:t>
            </w:r>
          </w:p>
        </w:tc>
      </w:tr>
      <w:tr w:rsidR="000729CF" w:rsidRPr="000729CF" w14:paraId="7EC7C1CD" w14:textId="77777777" w:rsidTr="000729CF">
        <w:trPr>
          <w:trHeight w:val="20"/>
        </w:trPr>
        <w:tc>
          <w:tcPr>
            <w:tcW w:w="2985" w:type="dxa"/>
            <w:shd w:val="clear" w:color="auto" w:fill="E7E6E6"/>
          </w:tcPr>
          <w:p w14:paraId="4F2DB3C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Age </w:t>
            </w:r>
          </w:p>
          <w:p w14:paraId="2756042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sz w:val="24"/>
                <w:szCs w:val="24"/>
              </w:rPr>
              <w:t>including those under 16, young adults, multiple ethnicities, those with various intersections.</w:t>
            </w:r>
          </w:p>
        </w:tc>
        <w:tc>
          <w:tcPr>
            <w:tcW w:w="2123" w:type="dxa"/>
          </w:tcPr>
          <w:p w14:paraId="29EAFF0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374575D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Focus on prevention of admission into long term residential and nursing care and promoting independence in the community.</w:t>
            </w:r>
          </w:p>
        </w:tc>
      </w:tr>
      <w:tr w:rsidR="000729CF" w:rsidRPr="000729CF" w14:paraId="345A1DE6" w14:textId="77777777" w:rsidTr="000729CF">
        <w:trPr>
          <w:trHeight w:val="20"/>
        </w:trPr>
        <w:tc>
          <w:tcPr>
            <w:tcW w:w="2985" w:type="dxa"/>
            <w:shd w:val="clear" w:color="auto" w:fill="E7E6E6"/>
          </w:tcPr>
          <w:p w14:paraId="5062D4DA"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 xml:space="preserve">Disability </w:t>
            </w:r>
            <w:r w:rsidRPr="000729CF">
              <w:rPr>
                <w:rFonts w:ascii="Arial" w:eastAsia="Calibri" w:hAnsi="Arial" w:cs="Arial"/>
                <w:sz w:val="24"/>
                <w:szCs w:val="24"/>
              </w:rPr>
              <w:t>includes physical and sensory disabled, D/deaf, deafened, hard of hearing, blind, neurodiverse people, people with non-visible disabilities.</w:t>
            </w:r>
          </w:p>
        </w:tc>
        <w:tc>
          <w:tcPr>
            <w:tcW w:w="2123" w:type="dxa"/>
          </w:tcPr>
          <w:p w14:paraId="7A8C80F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7B3B7DE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Focus on prevention of admission into long term residential and nursing care and promoting independence in the community.</w:t>
            </w:r>
          </w:p>
        </w:tc>
      </w:tr>
      <w:tr w:rsidR="000729CF" w:rsidRPr="000729CF" w14:paraId="545DB6C5" w14:textId="77777777" w:rsidTr="000729CF">
        <w:trPr>
          <w:trHeight w:val="20"/>
        </w:trPr>
        <w:tc>
          <w:tcPr>
            <w:tcW w:w="2985" w:type="dxa"/>
            <w:shd w:val="clear" w:color="auto" w:fill="E7E6E6"/>
          </w:tcPr>
          <w:p w14:paraId="0039DAB3" w14:textId="77777777" w:rsidR="000729CF" w:rsidRPr="000729CF" w:rsidRDefault="000729CF" w:rsidP="000729CF">
            <w:pPr>
              <w:keepNext/>
              <w:keepLines/>
              <w:spacing w:before="40"/>
              <w:outlineLvl w:val="2"/>
              <w:rPr>
                <w:rFonts w:ascii="Arial" w:hAnsi="Arial" w:cs="Arial"/>
                <w:color w:val="1F3763"/>
                <w:sz w:val="24"/>
                <w:szCs w:val="24"/>
              </w:rPr>
            </w:pPr>
            <w:r w:rsidRPr="000729CF">
              <w:rPr>
                <w:rFonts w:ascii="Arial" w:hAnsi="Arial" w:cs="Arial"/>
                <w:b/>
                <w:bCs/>
                <w:color w:val="000000"/>
                <w:sz w:val="24"/>
                <w:szCs w:val="24"/>
              </w:rPr>
              <w:t>Ethnicity, ‘</w:t>
            </w:r>
            <w:r w:rsidRPr="000729CF">
              <w:rPr>
                <w:rFonts w:ascii="Arial" w:hAnsi="Arial" w:cs="Arial"/>
                <w:color w:val="000000"/>
                <w:sz w:val="24"/>
                <w:szCs w:val="24"/>
              </w:rPr>
              <w:t>Race’, ethnic heritage including Gypsy, Roma, Travellers</w:t>
            </w:r>
          </w:p>
        </w:tc>
        <w:tc>
          <w:tcPr>
            <w:tcW w:w="2123" w:type="dxa"/>
          </w:tcPr>
          <w:p w14:paraId="4687A5D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5CF23EBD" w14:textId="77777777" w:rsidR="000729CF" w:rsidRPr="000729CF" w:rsidRDefault="000729CF" w:rsidP="000729CF">
            <w:pPr>
              <w:spacing w:after="120"/>
              <w:rPr>
                <w:rFonts w:ascii="Arial" w:eastAsia="Calibri" w:hAnsi="Arial" w:cs="Arial"/>
                <w:sz w:val="24"/>
                <w:szCs w:val="24"/>
              </w:rPr>
            </w:pPr>
          </w:p>
        </w:tc>
      </w:tr>
      <w:tr w:rsidR="000729CF" w:rsidRPr="000729CF" w14:paraId="38F7FB0B" w14:textId="77777777" w:rsidTr="000729CF">
        <w:trPr>
          <w:trHeight w:val="20"/>
        </w:trPr>
        <w:tc>
          <w:tcPr>
            <w:tcW w:w="2985" w:type="dxa"/>
            <w:shd w:val="clear" w:color="auto" w:fill="E7E6E6"/>
          </w:tcPr>
          <w:p w14:paraId="2A3982C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Religion, Spirituality, Faith, Atheism, and philosophical belief </w:t>
            </w:r>
          </w:p>
        </w:tc>
        <w:tc>
          <w:tcPr>
            <w:tcW w:w="2123" w:type="dxa"/>
          </w:tcPr>
          <w:p w14:paraId="7B5BC72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p w14:paraId="0AF393A9" w14:textId="77777777" w:rsidR="000729CF" w:rsidRPr="000729CF" w:rsidRDefault="000729CF" w:rsidP="000729CF">
            <w:pPr>
              <w:spacing w:after="120"/>
              <w:rPr>
                <w:rFonts w:ascii="Arial" w:eastAsia="Calibri" w:hAnsi="Arial" w:cs="Arial"/>
                <w:sz w:val="24"/>
                <w:szCs w:val="24"/>
              </w:rPr>
            </w:pPr>
          </w:p>
        </w:tc>
        <w:tc>
          <w:tcPr>
            <w:tcW w:w="5377" w:type="dxa"/>
          </w:tcPr>
          <w:p w14:paraId="3D747D4E" w14:textId="77777777" w:rsidR="000729CF" w:rsidRPr="000729CF" w:rsidRDefault="000729CF" w:rsidP="000729CF">
            <w:pPr>
              <w:spacing w:after="120"/>
              <w:rPr>
                <w:rFonts w:ascii="Arial" w:eastAsia="Calibri" w:hAnsi="Arial" w:cs="Arial"/>
                <w:sz w:val="24"/>
                <w:szCs w:val="24"/>
              </w:rPr>
            </w:pPr>
          </w:p>
        </w:tc>
      </w:tr>
      <w:tr w:rsidR="000729CF" w:rsidRPr="000729CF" w14:paraId="190492D8" w14:textId="77777777" w:rsidTr="000729CF">
        <w:trPr>
          <w:trHeight w:val="20"/>
        </w:trPr>
        <w:tc>
          <w:tcPr>
            <w:tcW w:w="2985" w:type="dxa"/>
            <w:shd w:val="clear" w:color="auto" w:fill="E7E6E6"/>
          </w:tcPr>
          <w:p w14:paraId="1C66A97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Gender and Sex </w:t>
            </w:r>
            <w:r w:rsidRPr="000729CF">
              <w:rPr>
                <w:rFonts w:ascii="Arial" w:eastAsia="Calibri" w:hAnsi="Arial" w:cs="Arial"/>
                <w:sz w:val="24"/>
                <w:szCs w:val="24"/>
              </w:rPr>
              <w:t>including non-binary and intersex people</w:t>
            </w:r>
          </w:p>
        </w:tc>
        <w:tc>
          <w:tcPr>
            <w:tcW w:w="2123" w:type="dxa"/>
          </w:tcPr>
          <w:p w14:paraId="297F22B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p w14:paraId="0D6408C6" w14:textId="77777777" w:rsidR="000729CF" w:rsidRPr="000729CF" w:rsidRDefault="000729CF" w:rsidP="000729CF">
            <w:pPr>
              <w:spacing w:after="120"/>
              <w:rPr>
                <w:rFonts w:ascii="Arial" w:eastAsia="Calibri" w:hAnsi="Arial" w:cs="Arial"/>
                <w:sz w:val="24"/>
                <w:szCs w:val="24"/>
              </w:rPr>
            </w:pPr>
          </w:p>
        </w:tc>
        <w:tc>
          <w:tcPr>
            <w:tcW w:w="5377" w:type="dxa"/>
          </w:tcPr>
          <w:p w14:paraId="51B1472E" w14:textId="77777777" w:rsidR="000729CF" w:rsidRPr="000729CF" w:rsidRDefault="000729CF" w:rsidP="000729CF">
            <w:pPr>
              <w:spacing w:after="120"/>
              <w:rPr>
                <w:rFonts w:ascii="Arial" w:eastAsia="Calibri" w:hAnsi="Arial" w:cs="Arial"/>
                <w:sz w:val="24"/>
                <w:szCs w:val="24"/>
              </w:rPr>
            </w:pPr>
          </w:p>
        </w:tc>
      </w:tr>
      <w:tr w:rsidR="000729CF" w:rsidRPr="000729CF" w14:paraId="4668A791" w14:textId="77777777" w:rsidTr="000729CF">
        <w:trPr>
          <w:trHeight w:val="20"/>
        </w:trPr>
        <w:tc>
          <w:tcPr>
            <w:tcW w:w="2985" w:type="dxa"/>
            <w:shd w:val="clear" w:color="auto" w:fill="E7E6E6"/>
          </w:tcPr>
          <w:p w14:paraId="5F8227D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2123" w:type="dxa"/>
          </w:tcPr>
          <w:p w14:paraId="1F3FF00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72E7EC7F" w14:textId="77777777" w:rsidR="000729CF" w:rsidRPr="000729CF" w:rsidRDefault="000729CF" w:rsidP="000729CF">
            <w:pPr>
              <w:spacing w:after="120"/>
              <w:rPr>
                <w:rFonts w:ascii="Arial" w:eastAsia="Calibri" w:hAnsi="Arial" w:cs="Arial"/>
                <w:sz w:val="24"/>
                <w:szCs w:val="24"/>
              </w:rPr>
            </w:pPr>
          </w:p>
        </w:tc>
      </w:tr>
      <w:tr w:rsidR="000729CF" w:rsidRPr="000729CF" w14:paraId="3344DD3C" w14:textId="77777777" w:rsidTr="000729CF">
        <w:trPr>
          <w:trHeight w:val="20"/>
        </w:trPr>
        <w:tc>
          <w:tcPr>
            <w:tcW w:w="2985" w:type="dxa"/>
            <w:shd w:val="clear" w:color="auto" w:fill="E7E6E6"/>
          </w:tcPr>
          <w:p w14:paraId="37F1410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2123" w:type="dxa"/>
          </w:tcPr>
          <w:p w14:paraId="3D57FA0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73202553" w14:textId="77777777" w:rsidR="000729CF" w:rsidRPr="000729CF" w:rsidRDefault="000729CF" w:rsidP="000729CF">
            <w:pPr>
              <w:spacing w:after="120"/>
              <w:rPr>
                <w:rFonts w:ascii="Arial" w:eastAsia="Calibri" w:hAnsi="Arial" w:cs="Arial"/>
                <w:sz w:val="24"/>
                <w:szCs w:val="24"/>
              </w:rPr>
            </w:pPr>
          </w:p>
        </w:tc>
      </w:tr>
      <w:tr w:rsidR="000729CF" w:rsidRPr="000729CF" w14:paraId="26936170" w14:textId="77777777" w:rsidTr="000729CF">
        <w:trPr>
          <w:trHeight w:val="20"/>
        </w:trPr>
        <w:tc>
          <w:tcPr>
            <w:tcW w:w="2985" w:type="dxa"/>
            <w:shd w:val="clear" w:color="auto" w:fill="E7E6E6"/>
          </w:tcPr>
          <w:p w14:paraId="73E818D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2123" w:type="dxa"/>
          </w:tcPr>
          <w:p w14:paraId="2A0DEC5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73307F5F" w14:textId="77777777" w:rsidR="000729CF" w:rsidRPr="000729CF" w:rsidRDefault="000729CF" w:rsidP="000729CF">
            <w:pPr>
              <w:spacing w:after="120"/>
              <w:rPr>
                <w:rFonts w:ascii="Arial" w:eastAsia="Calibri" w:hAnsi="Arial" w:cs="Arial"/>
                <w:sz w:val="24"/>
                <w:szCs w:val="24"/>
              </w:rPr>
            </w:pPr>
          </w:p>
        </w:tc>
      </w:tr>
      <w:tr w:rsidR="000729CF" w:rsidRPr="000729CF" w14:paraId="3E767ACA" w14:textId="77777777" w:rsidTr="000729CF">
        <w:trPr>
          <w:trHeight w:val="20"/>
        </w:trPr>
        <w:tc>
          <w:tcPr>
            <w:tcW w:w="2985" w:type="dxa"/>
            <w:shd w:val="clear" w:color="auto" w:fill="E7E6E6"/>
          </w:tcPr>
          <w:p w14:paraId="7F0DDE5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Pregnancy, Maternity, Paternity, Adoption, Menopause, (In)fertility </w:t>
            </w:r>
            <w:r w:rsidRPr="000729CF">
              <w:rPr>
                <w:rFonts w:ascii="Arial" w:eastAsia="Calibri" w:hAnsi="Arial" w:cs="Arial"/>
                <w:color w:val="000000"/>
                <w:sz w:val="24"/>
                <w:szCs w:val="24"/>
              </w:rPr>
              <w:t>(across intersections and non-binary gender spectrum)</w:t>
            </w:r>
          </w:p>
        </w:tc>
        <w:tc>
          <w:tcPr>
            <w:tcW w:w="2123" w:type="dxa"/>
          </w:tcPr>
          <w:p w14:paraId="521711C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p w14:paraId="5A121AC5" w14:textId="77777777" w:rsidR="000729CF" w:rsidRPr="000729CF" w:rsidRDefault="000729CF" w:rsidP="000729CF">
            <w:pPr>
              <w:spacing w:after="120"/>
              <w:rPr>
                <w:rFonts w:ascii="Arial" w:eastAsia="Calibri" w:hAnsi="Arial" w:cs="Arial"/>
                <w:sz w:val="24"/>
                <w:szCs w:val="24"/>
              </w:rPr>
            </w:pPr>
          </w:p>
        </w:tc>
        <w:tc>
          <w:tcPr>
            <w:tcW w:w="5377" w:type="dxa"/>
          </w:tcPr>
          <w:p w14:paraId="0399CDBD" w14:textId="77777777" w:rsidR="000729CF" w:rsidRPr="000729CF" w:rsidRDefault="000729CF" w:rsidP="000729CF">
            <w:pPr>
              <w:spacing w:after="120"/>
              <w:rPr>
                <w:rFonts w:ascii="Arial" w:eastAsia="Calibri" w:hAnsi="Arial" w:cs="Arial"/>
                <w:sz w:val="24"/>
                <w:szCs w:val="24"/>
              </w:rPr>
            </w:pPr>
          </w:p>
        </w:tc>
      </w:tr>
      <w:tr w:rsidR="000729CF" w:rsidRPr="000729CF" w14:paraId="1C11F394" w14:textId="77777777" w:rsidTr="000729CF">
        <w:trPr>
          <w:trHeight w:val="20"/>
        </w:trPr>
        <w:tc>
          <w:tcPr>
            <w:tcW w:w="2985" w:type="dxa"/>
            <w:shd w:val="clear" w:color="auto" w:fill="E7E6E6"/>
          </w:tcPr>
          <w:p w14:paraId="62517AE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2123" w:type="dxa"/>
          </w:tcPr>
          <w:p w14:paraId="6AE438B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p w14:paraId="505FE386" w14:textId="77777777" w:rsidR="000729CF" w:rsidRPr="000729CF" w:rsidRDefault="000729CF" w:rsidP="000729CF">
            <w:pPr>
              <w:spacing w:after="120"/>
              <w:rPr>
                <w:rFonts w:ascii="Arial" w:eastAsia="Calibri" w:hAnsi="Arial" w:cs="Arial"/>
                <w:sz w:val="24"/>
                <w:szCs w:val="24"/>
              </w:rPr>
            </w:pPr>
          </w:p>
        </w:tc>
        <w:tc>
          <w:tcPr>
            <w:tcW w:w="5377" w:type="dxa"/>
          </w:tcPr>
          <w:p w14:paraId="09A86406" w14:textId="77777777" w:rsidR="000729CF" w:rsidRPr="000729CF" w:rsidRDefault="000729CF" w:rsidP="000729CF">
            <w:pPr>
              <w:spacing w:after="120"/>
              <w:rPr>
                <w:rFonts w:ascii="Arial" w:eastAsia="Calibri" w:hAnsi="Arial" w:cs="Arial"/>
                <w:sz w:val="24"/>
                <w:szCs w:val="24"/>
              </w:rPr>
            </w:pPr>
          </w:p>
        </w:tc>
      </w:tr>
      <w:tr w:rsidR="000729CF" w:rsidRPr="000729CF" w14:paraId="0C3AFF26" w14:textId="77777777" w:rsidTr="000729CF">
        <w:trPr>
          <w:trHeight w:val="20"/>
        </w:trPr>
        <w:tc>
          <w:tcPr>
            <w:tcW w:w="2985" w:type="dxa"/>
            <w:shd w:val="clear" w:color="auto" w:fill="E7E6E6"/>
          </w:tcPr>
          <w:p w14:paraId="77BA2D7C" w14:textId="77777777" w:rsidR="000729CF" w:rsidRPr="000729CF" w:rsidRDefault="000729CF" w:rsidP="000729CF">
            <w:pPr>
              <w:spacing w:after="120"/>
              <w:rPr>
                <w:rFonts w:ascii="Arial" w:eastAsia="Calibri" w:hAnsi="Arial" w:cs="Arial"/>
                <w:b/>
                <w:bCs/>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r w:rsidRPr="000729CF">
              <w:rPr>
                <w:rFonts w:ascii="Arial" w:hAnsi="Arial" w:cs="Arial"/>
                <w:color w:val="000000"/>
                <w:sz w:val="24"/>
                <w:szCs w:val="24"/>
              </w:rPr>
              <w:t>considering for age, language, and various intersections</w:t>
            </w:r>
          </w:p>
        </w:tc>
        <w:tc>
          <w:tcPr>
            <w:tcW w:w="2123" w:type="dxa"/>
          </w:tcPr>
          <w:p w14:paraId="3C6FDB2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p w14:paraId="2A36DFE7" w14:textId="77777777" w:rsidR="000729CF" w:rsidRPr="000729CF" w:rsidRDefault="000729CF" w:rsidP="000729CF">
            <w:pPr>
              <w:spacing w:after="120"/>
              <w:rPr>
                <w:rFonts w:ascii="Arial" w:eastAsia="Calibri" w:hAnsi="Arial" w:cs="Arial"/>
                <w:sz w:val="24"/>
                <w:szCs w:val="24"/>
              </w:rPr>
            </w:pPr>
          </w:p>
        </w:tc>
        <w:tc>
          <w:tcPr>
            <w:tcW w:w="5377" w:type="dxa"/>
          </w:tcPr>
          <w:p w14:paraId="16386302" w14:textId="77777777" w:rsidR="000729CF" w:rsidRPr="000729CF" w:rsidRDefault="000729CF" w:rsidP="000729CF">
            <w:pPr>
              <w:spacing w:after="120"/>
              <w:rPr>
                <w:rFonts w:ascii="Arial" w:eastAsia="Calibri" w:hAnsi="Arial" w:cs="Arial"/>
                <w:sz w:val="24"/>
                <w:szCs w:val="24"/>
              </w:rPr>
            </w:pPr>
          </w:p>
        </w:tc>
      </w:tr>
      <w:tr w:rsidR="000729CF" w:rsidRPr="000729CF" w14:paraId="312CB43B" w14:textId="77777777" w:rsidTr="000729CF">
        <w:trPr>
          <w:trHeight w:val="20"/>
        </w:trPr>
        <w:tc>
          <w:tcPr>
            <w:tcW w:w="2985" w:type="dxa"/>
            <w:shd w:val="clear" w:color="auto" w:fill="E7E6E6"/>
          </w:tcPr>
          <w:p w14:paraId="4E5B09D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Carers </w:t>
            </w:r>
            <w:r w:rsidRPr="000729CF">
              <w:rPr>
                <w:rFonts w:ascii="Arial" w:hAnsi="Arial" w:cs="Arial"/>
                <w:color w:val="000000"/>
                <w:sz w:val="24"/>
                <w:szCs w:val="24"/>
              </w:rPr>
              <w:t>considering for age, language, and various intersections</w:t>
            </w:r>
          </w:p>
        </w:tc>
        <w:tc>
          <w:tcPr>
            <w:tcW w:w="2123" w:type="dxa"/>
          </w:tcPr>
          <w:p w14:paraId="1595E11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p w14:paraId="31E9E51C" w14:textId="77777777" w:rsidR="000729CF" w:rsidRPr="000729CF" w:rsidRDefault="000729CF" w:rsidP="000729CF">
            <w:pPr>
              <w:spacing w:after="120"/>
              <w:rPr>
                <w:rFonts w:ascii="Arial" w:eastAsia="Calibri" w:hAnsi="Arial" w:cs="Arial"/>
                <w:sz w:val="24"/>
                <w:szCs w:val="24"/>
              </w:rPr>
            </w:pPr>
          </w:p>
        </w:tc>
        <w:tc>
          <w:tcPr>
            <w:tcW w:w="5377" w:type="dxa"/>
          </w:tcPr>
          <w:p w14:paraId="75073943" w14:textId="77777777" w:rsidR="000729CF" w:rsidRPr="000729CF" w:rsidRDefault="000729CF" w:rsidP="000729CF">
            <w:pPr>
              <w:spacing w:after="120"/>
              <w:rPr>
                <w:rFonts w:ascii="Arial" w:eastAsia="Calibri" w:hAnsi="Arial" w:cs="Arial"/>
                <w:sz w:val="24"/>
                <w:szCs w:val="24"/>
              </w:rPr>
            </w:pPr>
          </w:p>
        </w:tc>
      </w:tr>
      <w:tr w:rsidR="000729CF" w:rsidRPr="000729CF" w14:paraId="079BE5D2" w14:textId="77777777" w:rsidTr="000729CF">
        <w:trPr>
          <w:trHeight w:val="20"/>
        </w:trPr>
        <w:tc>
          <w:tcPr>
            <w:tcW w:w="2985" w:type="dxa"/>
            <w:shd w:val="clear" w:color="auto" w:fill="E7E6E6"/>
          </w:tcPr>
          <w:p w14:paraId="1B0AFCB3"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 xml:space="preserve">Looked after children, Care Leavers, Care and fostering experienced people </w:t>
            </w:r>
            <w:r w:rsidRPr="000729CF">
              <w:rPr>
                <w:rFonts w:ascii="Arial" w:hAnsi="Arial" w:cs="Arial"/>
                <w:color w:val="000000"/>
                <w:sz w:val="24"/>
                <w:szCs w:val="24"/>
              </w:rPr>
              <w:t>considering for age, language, and various intersections</w:t>
            </w:r>
          </w:p>
        </w:tc>
        <w:tc>
          <w:tcPr>
            <w:tcW w:w="2123" w:type="dxa"/>
          </w:tcPr>
          <w:p w14:paraId="0F8D1A8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p w14:paraId="333F42B3" w14:textId="77777777" w:rsidR="000729CF" w:rsidRPr="000729CF" w:rsidRDefault="000729CF" w:rsidP="000729CF">
            <w:pPr>
              <w:spacing w:after="120"/>
              <w:rPr>
                <w:rFonts w:ascii="Arial" w:eastAsia="Calibri" w:hAnsi="Arial" w:cs="Arial"/>
                <w:sz w:val="24"/>
                <w:szCs w:val="24"/>
              </w:rPr>
            </w:pPr>
          </w:p>
        </w:tc>
        <w:tc>
          <w:tcPr>
            <w:tcW w:w="5377" w:type="dxa"/>
          </w:tcPr>
          <w:p w14:paraId="1CEE9376" w14:textId="77777777" w:rsidR="000729CF" w:rsidRPr="000729CF" w:rsidRDefault="000729CF" w:rsidP="000729CF">
            <w:pPr>
              <w:spacing w:after="120"/>
              <w:rPr>
                <w:rFonts w:ascii="Arial" w:eastAsia="Calibri" w:hAnsi="Arial" w:cs="Arial"/>
                <w:sz w:val="24"/>
                <w:szCs w:val="24"/>
              </w:rPr>
            </w:pPr>
          </w:p>
        </w:tc>
      </w:tr>
      <w:tr w:rsidR="000729CF" w:rsidRPr="000729CF" w14:paraId="7D82A416" w14:textId="77777777" w:rsidTr="000729CF">
        <w:trPr>
          <w:trHeight w:val="20"/>
        </w:trPr>
        <w:tc>
          <w:tcPr>
            <w:tcW w:w="2985" w:type="dxa"/>
            <w:shd w:val="clear" w:color="auto" w:fill="E7E6E6"/>
          </w:tcPr>
          <w:p w14:paraId="02CC558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w:t>
            </w:r>
          </w:p>
        </w:tc>
        <w:tc>
          <w:tcPr>
            <w:tcW w:w="2123" w:type="dxa"/>
          </w:tcPr>
          <w:p w14:paraId="73F8C96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p w14:paraId="2A53F760" w14:textId="77777777" w:rsidR="000729CF" w:rsidRPr="000729CF" w:rsidRDefault="000729CF" w:rsidP="000729CF">
            <w:pPr>
              <w:spacing w:after="120"/>
              <w:rPr>
                <w:rFonts w:ascii="Arial" w:eastAsia="Calibri" w:hAnsi="Arial" w:cs="Arial"/>
                <w:sz w:val="24"/>
                <w:szCs w:val="24"/>
              </w:rPr>
            </w:pPr>
          </w:p>
        </w:tc>
        <w:tc>
          <w:tcPr>
            <w:tcW w:w="5377" w:type="dxa"/>
          </w:tcPr>
          <w:p w14:paraId="7245DED6" w14:textId="77777777" w:rsidR="000729CF" w:rsidRPr="000729CF" w:rsidRDefault="000729CF" w:rsidP="000729CF">
            <w:pPr>
              <w:spacing w:after="120"/>
              <w:rPr>
                <w:rFonts w:ascii="Arial" w:eastAsia="Calibri" w:hAnsi="Arial" w:cs="Arial"/>
                <w:sz w:val="24"/>
                <w:szCs w:val="24"/>
              </w:rPr>
            </w:pPr>
          </w:p>
        </w:tc>
      </w:tr>
      <w:tr w:rsidR="000729CF" w:rsidRPr="000729CF" w14:paraId="25A4B4C8" w14:textId="77777777" w:rsidTr="000729CF">
        <w:trPr>
          <w:trHeight w:val="20"/>
        </w:trPr>
        <w:tc>
          <w:tcPr>
            <w:tcW w:w="2985" w:type="dxa"/>
            <w:shd w:val="clear" w:color="auto" w:fill="E7E6E6"/>
          </w:tcPr>
          <w:p w14:paraId="17DDD30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Socio-economic disadvantage </w:t>
            </w:r>
            <w:r w:rsidRPr="000729CF">
              <w:rPr>
                <w:rFonts w:ascii="Arial" w:eastAsia="Calibri" w:hAnsi="Arial" w:cs="Arial"/>
                <w:color w:val="000000"/>
                <w:sz w:val="24"/>
                <w:szCs w:val="24"/>
              </w:rPr>
              <w:t>considering for age, disability, D/deaf/ blind, ethnicity, expatriate background, and various intersections</w:t>
            </w:r>
          </w:p>
        </w:tc>
        <w:tc>
          <w:tcPr>
            <w:tcW w:w="2123" w:type="dxa"/>
          </w:tcPr>
          <w:p w14:paraId="33F4C6A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p w14:paraId="5076913F" w14:textId="77777777" w:rsidR="000729CF" w:rsidRPr="000729CF" w:rsidRDefault="000729CF" w:rsidP="000729CF">
            <w:pPr>
              <w:spacing w:after="120"/>
              <w:rPr>
                <w:rFonts w:ascii="Arial" w:eastAsia="Calibri" w:hAnsi="Arial" w:cs="Arial"/>
                <w:sz w:val="24"/>
                <w:szCs w:val="24"/>
              </w:rPr>
            </w:pPr>
          </w:p>
        </w:tc>
        <w:tc>
          <w:tcPr>
            <w:tcW w:w="5377" w:type="dxa"/>
          </w:tcPr>
          <w:p w14:paraId="6FAEF2C7" w14:textId="77777777" w:rsidR="000729CF" w:rsidRPr="000729CF" w:rsidRDefault="000729CF" w:rsidP="000729CF">
            <w:pPr>
              <w:spacing w:after="120"/>
              <w:rPr>
                <w:rFonts w:ascii="Arial" w:eastAsia="Calibri" w:hAnsi="Arial" w:cs="Arial"/>
                <w:sz w:val="24"/>
                <w:szCs w:val="24"/>
              </w:rPr>
            </w:pPr>
          </w:p>
        </w:tc>
      </w:tr>
      <w:tr w:rsidR="000729CF" w:rsidRPr="000729CF" w14:paraId="6D78CF37" w14:textId="77777777" w:rsidTr="000729CF">
        <w:trPr>
          <w:trHeight w:val="20"/>
        </w:trPr>
        <w:tc>
          <w:tcPr>
            <w:tcW w:w="2985" w:type="dxa"/>
            <w:shd w:val="clear" w:color="auto" w:fill="E7E6E6"/>
          </w:tcPr>
          <w:p w14:paraId="3AB8132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Homeless and rough sleepers </w:t>
            </w:r>
            <w:r w:rsidRPr="000729CF">
              <w:rPr>
                <w:rFonts w:ascii="Arial" w:eastAsia="Calibri" w:hAnsi="Arial" w:cs="Arial"/>
                <w:color w:val="000000"/>
                <w:sz w:val="24"/>
                <w:szCs w:val="24"/>
              </w:rPr>
              <w:t>considering for age, veteran, ethnicity, language, and various intersections</w:t>
            </w:r>
          </w:p>
        </w:tc>
        <w:tc>
          <w:tcPr>
            <w:tcW w:w="2123" w:type="dxa"/>
          </w:tcPr>
          <w:p w14:paraId="42C2B4D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p w14:paraId="42A0DD32" w14:textId="77777777" w:rsidR="000729CF" w:rsidRPr="000729CF" w:rsidRDefault="000729CF" w:rsidP="000729CF">
            <w:pPr>
              <w:spacing w:after="120"/>
              <w:rPr>
                <w:rFonts w:ascii="Arial" w:eastAsia="Calibri" w:hAnsi="Arial" w:cs="Arial"/>
                <w:sz w:val="24"/>
                <w:szCs w:val="24"/>
              </w:rPr>
            </w:pPr>
          </w:p>
        </w:tc>
        <w:tc>
          <w:tcPr>
            <w:tcW w:w="5377" w:type="dxa"/>
          </w:tcPr>
          <w:p w14:paraId="3052A460" w14:textId="77777777" w:rsidR="000729CF" w:rsidRPr="000729CF" w:rsidRDefault="000729CF" w:rsidP="000729CF">
            <w:pPr>
              <w:spacing w:after="120"/>
              <w:rPr>
                <w:rFonts w:ascii="Arial" w:eastAsia="Calibri" w:hAnsi="Arial" w:cs="Arial"/>
                <w:sz w:val="24"/>
                <w:szCs w:val="24"/>
              </w:rPr>
            </w:pPr>
          </w:p>
        </w:tc>
      </w:tr>
      <w:tr w:rsidR="000729CF" w:rsidRPr="000729CF" w14:paraId="0E4C5581" w14:textId="77777777" w:rsidTr="000729CF">
        <w:trPr>
          <w:trHeight w:val="20"/>
        </w:trPr>
        <w:tc>
          <w:tcPr>
            <w:tcW w:w="2985" w:type="dxa"/>
            <w:shd w:val="clear" w:color="auto" w:fill="E7E6E6"/>
          </w:tcPr>
          <w:p w14:paraId="4EB250B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2123" w:type="dxa"/>
          </w:tcPr>
          <w:p w14:paraId="29D041E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357CC2DD" w14:textId="77777777" w:rsidR="000729CF" w:rsidRPr="000729CF" w:rsidRDefault="000729CF" w:rsidP="000729CF">
            <w:pPr>
              <w:spacing w:after="120"/>
              <w:rPr>
                <w:rFonts w:ascii="Arial" w:eastAsia="Calibri" w:hAnsi="Arial" w:cs="Arial"/>
                <w:sz w:val="24"/>
                <w:szCs w:val="24"/>
              </w:rPr>
            </w:pPr>
          </w:p>
        </w:tc>
      </w:tr>
      <w:tr w:rsidR="000729CF" w:rsidRPr="000729CF" w14:paraId="7EA6FBDD" w14:textId="77777777" w:rsidTr="000729CF">
        <w:trPr>
          <w:trHeight w:val="20"/>
        </w:trPr>
        <w:tc>
          <w:tcPr>
            <w:tcW w:w="2985" w:type="dxa"/>
            <w:shd w:val="clear" w:color="auto" w:fill="E7E6E6"/>
          </w:tcPr>
          <w:p w14:paraId="2178F8B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 (please specify here and add additional rows as needed)</w:t>
            </w:r>
          </w:p>
        </w:tc>
        <w:tc>
          <w:tcPr>
            <w:tcW w:w="2123" w:type="dxa"/>
          </w:tcPr>
          <w:p w14:paraId="38E9C5C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7B54C8C4" w14:textId="77777777" w:rsidR="000729CF" w:rsidRPr="000729CF" w:rsidRDefault="000729CF" w:rsidP="000729CF">
            <w:pPr>
              <w:spacing w:after="120"/>
              <w:rPr>
                <w:rFonts w:ascii="Arial" w:eastAsia="Calibri" w:hAnsi="Arial" w:cs="Arial"/>
                <w:sz w:val="24"/>
                <w:szCs w:val="24"/>
              </w:rPr>
            </w:pPr>
          </w:p>
        </w:tc>
      </w:tr>
    </w:tbl>
    <w:p w14:paraId="67194671" w14:textId="77777777" w:rsidR="000729CF" w:rsidRPr="000729CF" w:rsidRDefault="000729CF" w:rsidP="000729CF">
      <w:pPr>
        <w:spacing w:after="160" w:line="259" w:lineRule="auto"/>
        <w:rPr>
          <w:rFonts w:ascii="Arial" w:eastAsia="Calibri" w:hAnsi="Arial" w:cs="Arial"/>
          <w:b/>
          <w:bCs/>
          <w:sz w:val="24"/>
          <w:szCs w:val="24"/>
          <w:lang w:val="en-GB"/>
        </w:rPr>
      </w:pPr>
    </w:p>
    <w:p w14:paraId="4FB05250"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3A52AB2B"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107D5DE0"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34871844"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3DBAC3E4"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40F9DDD7"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4CC05D0B"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0ABE43F8"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404233D2"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46CAD801"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6ECD7A99" w14:textId="77777777" w:rsidR="000729CF" w:rsidRPr="000729CF" w:rsidRDefault="000729CF" w:rsidP="000729CF">
      <w:pPr>
        <w:rPr>
          <w:rFonts w:ascii="Arial" w:eastAsia="Calibri" w:hAnsi="Arial" w:cs="Arial"/>
          <w:sz w:val="24"/>
          <w:szCs w:val="24"/>
          <w:lang w:val="en-GB"/>
        </w:rPr>
      </w:pPr>
    </w:p>
    <w:p w14:paraId="5BE5306C"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Cumulative impacts</w:t>
      </w:r>
    </w:p>
    <w:p w14:paraId="027F8E5B"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Are there other budget proposals from other service areas that might worsen or mitigate the impacts from your proposal? Please give a brief description including name of other service(s).</w:t>
      </w:r>
    </w:p>
    <w:tbl>
      <w:tblPr>
        <w:tblStyle w:val="TableGrid"/>
        <w:tblW w:w="0" w:type="auto"/>
        <w:tblLook w:val="04A0" w:firstRow="1" w:lastRow="0" w:firstColumn="1" w:lastColumn="0" w:noHBand="0" w:noVBand="1"/>
      </w:tblPr>
      <w:tblGrid>
        <w:gridCol w:w="10456"/>
      </w:tblGrid>
      <w:tr w:rsidR="000729CF" w:rsidRPr="000729CF" w14:paraId="5093818F" w14:textId="77777777" w:rsidTr="00BC26AB">
        <w:tc>
          <w:tcPr>
            <w:tcW w:w="10456" w:type="dxa"/>
          </w:tcPr>
          <w:p w14:paraId="7284FAD8" w14:textId="77777777" w:rsidR="000729CF" w:rsidRPr="000729CF" w:rsidRDefault="000729CF" w:rsidP="000729CF">
            <w:pPr>
              <w:spacing w:line="259" w:lineRule="auto"/>
              <w:rPr>
                <w:rFonts w:ascii="Arial" w:hAnsi="Arial" w:cs="Arial"/>
                <w:sz w:val="24"/>
                <w:szCs w:val="24"/>
              </w:rPr>
            </w:pPr>
            <w:r w:rsidRPr="000729CF">
              <w:rPr>
                <w:rFonts w:ascii="Arial" w:hAnsi="Arial" w:cs="Arial"/>
                <w:color w:val="000000"/>
                <w:sz w:val="24"/>
                <w:szCs w:val="24"/>
              </w:rPr>
              <w:t>Any changes in Health Service provision in the city can impact particularly on those people impacted by this proposal. This will be closely monitored through the integrated health agenda and other joint planning mechanisms.</w:t>
            </w:r>
          </w:p>
          <w:p w14:paraId="72981CBD" w14:textId="77777777" w:rsidR="000729CF" w:rsidRPr="000729CF" w:rsidRDefault="000729CF" w:rsidP="000729CF">
            <w:pPr>
              <w:rPr>
                <w:rFonts w:ascii="Arial" w:eastAsia="Calibri" w:hAnsi="Arial" w:cs="Arial"/>
                <w:sz w:val="24"/>
                <w:szCs w:val="24"/>
              </w:rPr>
            </w:pPr>
          </w:p>
        </w:tc>
      </w:tr>
    </w:tbl>
    <w:p w14:paraId="45DE3160" w14:textId="77777777" w:rsidR="000729CF" w:rsidRPr="000729CF" w:rsidRDefault="000729CF" w:rsidP="000729CF">
      <w:pPr>
        <w:spacing w:after="160" w:line="259" w:lineRule="auto"/>
        <w:rPr>
          <w:rFonts w:ascii="Arial" w:eastAsia="Calibri" w:hAnsi="Arial" w:cs="Arial"/>
          <w:sz w:val="24"/>
          <w:szCs w:val="24"/>
          <w:lang w:val="en-GB"/>
        </w:rPr>
      </w:pPr>
    </w:p>
    <w:p w14:paraId="78191553"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Action planning</w:t>
      </w:r>
    </w:p>
    <w:p w14:paraId="75540F1B"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SMART actions will be taken to mitigate the disproportionate impacts identified in section 3? If no mitigating action is possible, please state and explain why. Add additional rows as required. </w:t>
      </w:r>
    </w:p>
    <w:tbl>
      <w:tblPr>
        <w:tblStyle w:val="TableGrid"/>
        <w:tblW w:w="0" w:type="auto"/>
        <w:tblLook w:val="04A0" w:firstRow="1" w:lastRow="0" w:firstColumn="1" w:lastColumn="0" w:noHBand="0" w:noVBand="1"/>
      </w:tblPr>
      <w:tblGrid>
        <w:gridCol w:w="10456"/>
      </w:tblGrid>
      <w:tr w:rsidR="000729CF" w:rsidRPr="000729CF" w14:paraId="534DD38C" w14:textId="77777777" w:rsidTr="00BC26AB">
        <w:trPr>
          <w:trHeight w:val="847"/>
        </w:trPr>
        <w:tc>
          <w:tcPr>
            <w:tcW w:w="10456" w:type="dxa"/>
          </w:tcPr>
          <w:p w14:paraId="34D465B0" w14:textId="77777777" w:rsidR="000729CF" w:rsidRPr="000729CF" w:rsidRDefault="000729CF" w:rsidP="00CE70A3">
            <w:pPr>
              <w:numPr>
                <w:ilvl w:val="0"/>
                <w:numId w:val="99"/>
              </w:numPr>
              <w:spacing w:after="120"/>
              <w:rPr>
                <w:rFonts w:ascii="Arial" w:eastAsia="Calibri" w:hAnsi="Arial" w:cs="Arial"/>
                <w:sz w:val="24"/>
                <w:szCs w:val="24"/>
              </w:rPr>
            </w:pPr>
            <w:r w:rsidRPr="000729CF">
              <w:rPr>
                <w:rFonts w:ascii="Arial" w:eastAsia="Calibri" w:hAnsi="Arial" w:cs="Arial"/>
                <w:sz w:val="24"/>
                <w:szCs w:val="24"/>
              </w:rPr>
              <w:t>No mitigation actions are available due to no disproportionate impacts identified</w:t>
            </w:r>
          </w:p>
        </w:tc>
      </w:tr>
    </w:tbl>
    <w:p w14:paraId="6BB98E0E" w14:textId="77777777" w:rsidR="000729CF" w:rsidRPr="000729CF" w:rsidRDefault="000729CF" w:rsidP="000729CF">
      <w:pPr>
        <w:spacing w:after="160" w:line="259" w:lineRule="auto"/>
        <w:rPr>
          <w:rFonts w:ascii="Arial" w:eastAsia="Calibri" w:hAnsi="Arial" w:cs="Arial"/>
          <w:sz w:val="24"/>
          <w:szCs w:val="24"/>
          <w:lang w:val="en-GB"/>
        </w:rPr>
      </w:pPr>
    </w:p>
    <w:p w14:paraId="488B9404"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Outcome of your assessment</w:t>
      </w:r>
    </w:p>
    <w:p w14:paraId="2DBA2AB5"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Based on the information above give the proposal an impact score between 1 – 5. </w:t>
      </w:r>
    </w:p>
    <w:p w14:paraId="5A051FA5"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1= proposal has minimal impact and/or mitigating actions will significantly minimise the impact</w:t>
      </w:r>
    </w:p>
    <w:p w14:paraId="119BD822"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3= proposal will have a significant negative impact; however, mitigation actions will reduce the impact considerably.</w:t>
      </w:r>
    </w:p>
    <w:p w14:paraId="22BF4601"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5= proposal has significant impact and mitigating actions will have limited effect on reducing impact.</w:t>
      </w:r>
    </w:p>
    <w:p w14:paraId="1EED49F0" w14:textId="77777777" w:rsidR="000729CF" w:rsidRPr="000729CF" w:rsidRDefault="000729CF" w:rsidP="000729CF">
      <w:pPr>
        <w:rPr>
          <w:rFonts w:ascii="Arial" w:eastAsia="Calibri" w:hAnsi="Arial" w:cs="Arial"/>
          <w:sz w:val="24"/>
          <w:szCs w:val="24"/>
          <w:highlight w:val="yellow"/>
          <w:lang w:val="en-GB"/>
        </w:rPr>
      </w:pPr>
    </w:p>
    <w:tbl>
      <w:tblPr>
        <w:tblStyle w:val="TableGrid"/>
        <w:tblW w:w="0" w:type="auto"/>
        <w:tblLook w:val="04A0" w:firstRow="1" w:lastRow="0" w:firstColumn="1" w:lastColumn="0" w:noHBand="0" w:noVBand="1"/>
      </w:tblPr>
      <w:tblGrid>
        <w:gridCol w:w="3114"/>
        <w:gridCol w:w="7342"/>
      </w:tblGrid>
      <w:tr w:rsidR="000729CF" w:rsidRPr="000729CF" w14:paraId="777D6079" w14:textId="77777777" w:rsidTr="00BC26AB">
        <w:trPr>
          <w:trHeight w:val="152"/>
        </w:trPr>
        <w:tc>
          <w:tcPr>
            <w:tcW w:w="3114" w:type="dxa"/>
          </w:tcPr>
          <w:p w14:paraId="103A512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Proposal’s impact score:</w:t>
            </w:r>
          </w:p>
        </w:tc>
        <w:tc>
          <w:tcPr>
            <w:tcW w:w="7342" w:type="dxa"/>
          </w:tcPr>
          <w:p w14:paraId="2848449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1</w:t>
            </w:r>
          </w:p>
        </w:tc>
      </w:tr>
    </w:tbl>
    <w:p w14:paraId="1FEB048F" w14:textId="77777777" w:rsidR="000729CF" w:rsidRPr="000729CF" w:rsidRDefault="000729CF" w:rsidP="000729CF">
      <w:pPr>
        <w:spacing w:after="160" w:line="259" w:lineRule="auto"/>
        <w:rPr>
          <w:rFonts w:ascii="Arial" w:eastAsia="Calibri" w:hAnsi="Arial" w:cs="Arial"/>
          <w:sz w:val="24"/>
          <w:szCs w:val="24"/>
          <w:lang w:val="en-GB"/>
        </w:rPr>
      </w:pPr>
    </w:p>
    <w:p w14:paraId="161AAC81"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Publication</w:t>
      </w:r>
    </w:p>
    <w:p w14:paraId="1858A071"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All Equality Impact Assessments will be published. If you are recommending, and choosing not to publish your EIA, please provide a reason:</w:t>
      </w:r>
    </w:p>
    <w:tbl>
      <w:tblPr>
        <w:tblStyle w:val="TableGrid"/>
        <w:tblW w:w="0" w:type="auto"/>
        <w:tblLook w:val="04A0" w:firstRow="1" w:lastRow="0" w:firstColumn="1" w:lastColumn="0" w:noHBand="0" w:noVBand="1"/>
      </w:tblPr>
      <w:tblGrid>
        <w:gridCol w:w="10456"/>
      </w:tblGrid>
      <w:tr w:rsidR="000729CF" w:rsidRPr="000729CF" w14:paraId="4616CD2E" w14:textId="77777777" w:rsidTr="00BC26AB">
        <w:trPr>
          <w:trHeight w:val="803"/>
        </w:trPr>
        <w:tc>
          <w:tcPr>
            <w:tcW w:w="10456" w:type="dxa"/>
          </w:tcPr>
          <w:p w14:paraId="1B0FBEC8" w14:textId="77777777" w:rsidR="000729CF" w:rsidRPr="000729CF" w:rsidRDefault="000729CF" w:rsidP="000729CF">
            <w:pPr>
              <w:spacing w:after="120"/>
              <w:rPr>
                <w:rFonts w:ascii="Arial" w:eastAsia="Calibri" w:hAnsi="Arial" w:cs="Arial"/>
                <w:sz w:val="24"/>
                <w:szCs w:val="24"/>
              </w:rPr>
            </w:pPr>
          </w:p>
        </w:tc>
      </w:tr>
    </w:tbl>
    <w:p w14:paraId="73CA4555" w14:textId="77777777" w:rsidR="000729CF" w:rsidRPr="000729CF" w:rsidRDefault="000729CF" w:rsidP="000729CF">
      <w:pPr>
        <w:spacing w:after="160" w:line="259" w:lineRule="auto"/>
        <w:rPr>
          <w:rFonts w:ascii="Arial" w:eastAsia="Calibri" w:hAnsi="Arial" w:cs="Arial"/>
          <w:sz w:val="24"/>
          <w:szCs w:val="24"/>
          <w:lang w:val="en-GB"/>
        </w:rPr>
      </w:pPr>
    </w:p>
    <w:p w14:paraId="31D2D61A"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Directorate and Service Approval</w:t>
      </w:r>
    </w:p>
    <w:tbl>
      <w:tblPr>
        <w:tblStyle w:val="TableGrid"/>
        <w:tblW w:w="0" w:type="auto"/>
        <w:tblLook w:val="04A0" w:firstRow="1" w:lastRow="0" w:firstColumn="1" w:lastColumn="0" w:noHBand="0" w:noVBand="1"/>
      </w:tblPr>
      <w:tblGrid>
        <w:gridCol w:w="3681"/>
        <w:gridCol w:w="4394"/>
        <w:gridCol w:w="2381"/>
      </w:tblGrid>
      <w:tr w:rsidR="000729CF" w:rsidRPr="000729CF" w14:paraId="2F4BB132" w14:textId="77777777" w:rsidTr="000729CF">
        <w:trPr>
          <w:trHeight w:val="20"/>
        </w:trPr>
        <w:tc>
          <w:tcPr>
            <w:tcW w:w="3681" w:type="dxa"/>
            <w:tcBorders>
              <w:bottom w:val="single" w:sz="4" w:space="0" w:color="auto"/>
            </w:tcBorders>
            <w:shd w:val="clear" w:color="auto" w:fill="D9D9D9"/>
          </w:tcPr>
          <w:p w14:paraId="006C5F9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589CDE6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 and Job Title:</w:t>
            </w:r>
          </w:p>
        </w:tc>
        <w:tc>
          <w:tcPr>
            <w:tcW w:w="2381" w:type="dxa"/>
            <w:shd w:val="clear" w:color="auto" w:fill="D9D9D9"/>
          </w:tcPr>
          <w:p w14:paraId="150D037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0CE1354E" w14:textId="77777777" w:rsidTr="000729CF">
        <w:trPr>
          <w:trHeight w:val="20"/>
        </w:trPr>
        <w:tc>
          <w:tcPr>
            <w:tcW w:w="3681" w:type="dxa"/>
            <w:shd w:val="clear" w:color="auto" w:fill="E7E6E6"/>
          </w:tcPr>
          <w:p w14:paraId="05D99C6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Responsible Lead Officer:</w:t>
            </w:r>
          </w:p>
        </w:tc>
        <w:tc>
          <w:tcPr>
            <w:tcW w:w="4394" w:type="dxa"/>
          </w:tcPr>
          <w:p w14:paraId="085157E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Steve Hook</w:t>
            </w:r>
          </w:p>
        </w:tc>
        <w:tc>
          <w:tcPr>
            <w:tcW w:w="2381" w:type="dxa"/>
          </w:tcPr>
          <w:p w14:paraId="33A6463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18/01/24</w:t>
            </w:r>
          </w:p>
        </w:tc>
      </w:tr>
      <w:tr w:rsidR="000729CF" w:rsidRPr="000729CF" w14:paraId="702B577A" w14:textId="77777777" w:rsidTr="000729CF">
        <w:trPr>
          <w:trHeight w:val="20"/>
        </w:trPr>
        <w:tc>
          <w:tcPr>
            <w:tcW w:w="3681" w:type="dxa"/>
            <w:shd w:val="clear" w:color="auto" w:fill="E7E6E6"/>
          </w:tcPr>
          <w:p w14:paraId="36C6AC1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Accountable Manager:</w:t>
            </w:r>
          </w:p>
        </w:tc>
        <w:tc>
          <w:tcPr>
            <w:tcW w:w="4394" w:type="dxa"/>
          </w:tcPr>
          <w:p w14:paraId="7EC464B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Rob Persey</w:t>
            </w:r>
          </w:p>
        </w:tc>
        <w:tc>
          <w:tcPr>
            <w:tcW w:w="2381" w:type="dxa"/>
          </w:tcPr>
          <w:p w14:paraId="4F57A39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18/01/24</w:t>
            </w:r>
          </w:p>
        </w:tc>
      </w:tr>
    </w:tbl>
    <w:p w14:paraId="49C7E70B" w14:textId="77777777" w:rsidR="000729CF" w:rsidRPr="000729CF" w:rsidRDefault="000729CF" w:rsidP="000729CF">
      <w:pPr>
        <w:spacing w:after="160" w:line="259" w:lineRule="auto"/>
        <w:rPr>
          <w:rFonts w:ascii="Arial" w:eastAsia="Calibri" w:hAnsi="Arial" w:cs="Arial"/>
          <w:sz w:val="24"/>
          <w:szCs w:val="24"/>
          <w:lang w:val="en-GB"/>
        </w:rPr>
      </w:pPr>
    </w:p>
    <w:p w14:paraId="14F7776D" w14:textId="77777777" w:rsidR="000729CF" w:rsidRPr="000729CF" w:rsidRDefault="000729CF" w:rsidP="000729CF">
      <w:pPr>
        <w:keepNext/>
        <w:keepLines/>
        <w:spacing w:before="40" w:after="160" w:line="259" w:lineRule="auto"/>
        <w:outlineLvl w:val="2"/>
        <w:rPr>
          <w:rFonts w:ascii="Arial" w:hAnsi="Arial" w:cs="Arial"/>
          <w:b/>
          <w:bCs/>
          <w:color w:val="000000"/>
          <w:sz w:val="28"/>
          <w:szCs w:val="28"/>
          <w:lang w:val="en-GB"/>
        </w:rPr>
      </w:pPr>
      <w:r w:rsidRPr="000729CF">
        <w:rPr>
          <w:rFonts w:ascii="Arial" w:hAnsi="Arial" w:cs="Arial"/>
          <w:b/>
          <w:bCs/>
          <w:color w:val="000000"/>
          <w:sz w:val="28"/>
          <w:szCs w:val="28"/>
          <w:lang w:val="en-GB"/>
        </w:rPr>
        <w:t>EDI Review and Approval:</w:t>
      </w:r>
    </w:p>
    <w:p w14:paraId="74AD4FAF" w14:textId="77777777" w:rsidR="000729CF" w:rsidRPr="000729CF" w:rsidRDefault="000729CF" w:rsidP="000729CF">
      <w:pPr>
        <w:spacing w:after="160" w:line="259" w:lineRule="auto"/>
        <w:rPr>
          <w:rFonts w:ascii="Arial" w:eastAsia="Calibri" w:hAnsi="Arial" w:cs="Arial"/>
          <w:sz w:val="24"/>
          <w:szCs w:val="24"/>
          <w:lang w:val="en-GB"/>
        </w:rPr>
      </w:pPr>
    </w:p>
    <w:p w14:paraId="37D6EA88" w14:textId="77777777" w:rsidR="000729CF" w:rsidRPr="000729CF" w:rsidRDefault="000729CF" w:rsidP="000729CF">
      <w:pPr>
        <w:keepNext/>
        <w:keepLines/>
        <w:spacing w:after="160" w:line="259" w:lineRule="auto"/>
        <w:ind w:left="283" w:hanging="283"/>
        <w:outlineLvl w:val="1"/>
        <w:rPr>
          <w:rFonts w:ascii="Arial" w:hAnsi="Arial" w:cs="Arial"/>
          <w:color w:val="2F5496"/>
          <w:sz w:val="24"/>
          <w:szCs w:val="24"/>
          <w:lang w:val="en-GB"/>
        </w:rPr>
      </w:pPr>
      <w:r w:rsidRPr="000729CF">
        <w:rPr>
          <w:rFonts w:ascii="Arial" w:hAnsi="Arial" w:cs="Arial"/>
          <w:color w:val="2F5496"/>
          <w:sz w:val="24"/>
          <w:szCs w:val="24"/>
          <w:lang w:val="en-GB"/>
        </w:rPr>
        <w:t>Equality Impact Assessment sign-off</w:t>
      </w:r>
    </w:p>
    <w:tbl>
      <w:tblPr>
        <w:tblStyle w:val="TableGrid"/>
        <w:tblW w:w="0" w:type="auto"/>
        <w:tblLook w:val="04A0" w:firstRow="1" w:lastRow="0" w:firstColumn="1" w:lastColumn="0" w:noHBand="0" w:noVBand="1"/>
      </w:tblPr>
      <w:tblGrid>
        <w:gridCol w:w="3681"/>
        <w:gridCol w:w="4394"/>
        <w:gridCol w:w="2381"/>
      </w:tblGrid>
      <w:tr w:rsidR="000729CF" w:rsidRPr="000729CF" w14:paraId="10E2C160" w14:textId="77777777" w:rsidTr="000729CF">
        <w:trPr>
          <w:trHeight w:val="20"/>
        </w:trPr>
        <w:tc>
          <w:tcPr>
            <w:tcW w:w="3681" w:type="dxa"/>
            <w:tcBorders>
              <w:bottom w:val="single" w:sz="4" w:space="0" w:color="auto"/>
            </w:tcBorders>
            <w:shd w:val="clear" w:color="auto" w:fill="D9D9D9"/>
          </w:tcPr>
          <w:p w14:paraId="4AF023E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799ED74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w:t>
            </w:r>
          </w:p>
        </w:tc>
        <w:tc>
          <w:tcPr>
            <w:tcW w:w="2381" w:type="dxa"/>
            <w:shd w:val="clear" w:color="auto" w:fill="D9D9D9"/>
          </w:tcPr>
          <w:p w14:paraId="5DB5574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44FA2BEF" w14:textId="77777777" w:rsidTr="000729CF">
        <w:trPr>
          <w:trHeight w:val="20"/>
        </w:trPr>
        <w:tc>
          <w:tcPr>
            <w:tcW w:w="3681" w:type="dxa"/>
            <w:shd w:val="clear" w:color="auto" w:fill="E7E6E6"/>
          </w:tcPr>
          <w:p w14:paraId="66212D4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Head of Communities, Equality, and Third Sector (CETS) Service:</w:t>
            </w:r>
          </w:p>
        </w:tc>
        <w:tc>
          <w:tcPr>
            <w:tcW w:w="4394" w:type="dxa"/>
          </w:tcPr>
          <w:p w14:paraId="21D2FFD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Emma McDermott</w:t>
            </w:r>
          </w:p>
        </w:tc>
        <w:tc>
          <w:tcPr>
            <w:tcW w:w="2381" w:type="dxa"/>
          </w:tcPr>
          <w:p w14:paraId="36ADCF6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23-01-24</w:t>
            </w:r>
          </w:p>
        </w:tc>
      </w:tr>
    </w:tbl>
    <w:p w14:paraId="4C744C49" w14:textId="77777777" w:rsidR="000729CF" w:rsidRPr="000729CF" w:rsidRDefault="000729CF" w:rsidP="000729CF">
      <w:pPr>
        <w:rPr>
          <w:rFonts w:ascii="Arial" w:eastAsia="Calibri" w:hAnsi="Arial" w:cs="Arial"/>
          <w:sz w:val="22"/>
          <w:szCs w:val="22"/>
          <w:lang w:val="en-GB"/>
        </w:rPr>
      </w:pPr>
    </w:p>
    <w:p w14:paraId="249F6BE8" w14:textId="77777777" w:rsidR="000729CF" w:rsidRPr="000729CF" w:rsidRDefault="000729CF" w:rsidP="000729CF">
      <w:pPr>
        <w:spacing w:after="160" w:line="259" w:lineRule="auto"/>
        <w:rPr>
          <w:rFonts w:ascii="Arial" w:eastAsia="Calibri" w:hAnsi="Arial" w:cs="Arial"/>
          <w:b/>
          <w:bCs/>
          <w:sz w:val="24"/>
          <w:szCs w:val="24"/>
          <w:lang w:val="en-GB"/>
        </w:rPr>
      </w:pPr>
    </w:p>
    <w:p w14:paraId="12FB5F87" w14:textId="77777777" w:rsidR="000729CF" w:rsidRPr="000729CF" w:rsidRDefault="000729CF" w:rsidP="000729CF">
      <w:pPr>
        <w:keepNext/>
        <w:keepLines/>
        <w:spacing w:after="160" w:line="259" w:lineRule="auto"/>
        <w:outlineLvl w:val="1"/>
        <w:rPr>
          <w:rFonts w:ascii="Arial" w:eastAsia="Calibri" w:hAnsi="Arial" w:cs="Arial"/>
          <w:sz w:val="24"/>
          <w:szCs w:val="24"/>
          <w:lang w:val="en-GB"/>
        </w:rPr>
      </w:pPr>
    </w:p>
    <w:p w14:paraId="508C7304" w14:textId="77777777" w:rsidR="000729CF" w:rsidRPr="000729CF" w:rsidRDefault="000729CF" w:rsidP="000729CF">
      <w:pPr>
        <w:spacing w:after="160" w:line="259" w:lineRule="auto"/>
        <w:rPr>
          <w:rFonts w:ascii="Arial" w:eastAsia="Calibri" w:hAnsi="Arial" w:cs="Arial"/>
          <w:sz w:val="24"/>
          <w:szCs w:val="24"/>
          <w:lang w:val="en-GB"/>
        </w:rPr>
      </w:pPr>
    </w:p>
    <w:p w14:paraId="37254A67"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br w:type="page"/>
      </w:r>
    </w:p>
    <w:p w14:paraId="2CA4251D" w14:textId="77777777" w:rsidR="000729CF" w:rsidRPr="000729CF" w:rsidRDefault="000729CF" w:rsidP="000729CF">
      <w:pPr>
        <w:keepNext/>
        <w:keepLines/>
        <w:spacing w:after="160" w:line="259" w:lineRule="auto"/>
        <w:outlineLvl w:val="0"/>
        <w:rPr>
          <w:rFonts w:ascii="Arial" w:hAnsi="Arial" w:cs="Arial"/>
          <w:b/>
          <w:bCs/>
          <w:color w:val="2F5496"/>
          <w:sz w:val="28"/>
          <w:szCs w:val="28"/>
          <w:lang w:val="en-GB"/>
        </w:rPr>
      </w:pPr>
      <w:r w:rsidRPr="000729CF">
        <w:rPr>
          <w:rFonts w:ascii="Arial" w:hAnsi="Arial" w:cs="Arial"/>
          <w:b/>
          <w:bCs/>
          <w:color w:val="2F5496"/>
          <w:sz w:val="28"/>
          <w:szCs w:val="28"/>
          <w:lang w:val="en-GB"/>
        </w:rPr>
        <w:t>Budget Equality Impact Assessment (EIA) 2024/25 – Service Users</w:t>
      </w:r>
    </w:p>
    <w:p w14:paraId="30309F41" w14:textId="77777777" w:rsidR="000729CF" w:rsidRPr="000729CF" w:rsidRDefault="000729CF" w:rsidP="000729CF">
      <w:pPr>
        <w:spacing w:after="160" w:line="259" w:lineRule="auto"/>
        <w:rPr>
          <w:rFonts w:ascii="Arial" w:eastAsia="Calibri" w:hAnsi="Arial" w:cs="Arial"/>
          <w:sz w:val="24"/>
          <w:szCs w:val="24"/>
          <w:lang w:val="en-GB"/>
        </w:rPr>
      </w:pPr>
    </w:p>
    <w:p w14:paraId="545A52A9" w14:textId="77777777" w:rsidR="000729CF" w:rsidRPr="000729CF" w:rsidRDefault="000729CF" w:rsidP="000729CF">
      <w:pPr>
        <w:keepNext/>
        <w:keepLines/>
        <w:spacing w:after="160" w:line="259" w:lineRule="auto"/>
        <w:ind w:left="720" w:hanging="360"/>
        <w:outlineLvl w:val="1"/>
        <w:rPr>
          <w:rFonts w:ascii="Arial" w:hAnsi="Arial" w:cs="Arial"/>
          <w:color w:val="2F5496"/>
          <w:sz w:val="24"/>
          <w:szCs w:val="24"/>
          <w:lang w:val="en-GB"/>
        </w:rPr>
      </w:pPr>
      <w:r w:rsidRPr="000729CF">
        <w:rPr>
          <w:rFonts w:ascii="Arial" w:hAnsi="Arial" w:cs="Arial"/>
          <w:color w:val="2F5496"/>
          <w:sz w:val="24"/>
          <w:szCs w:val="24"/>
          <w:lang w:val="en-GB"/>
        </w:rPr>
        <w:t xml:space="preserve">Budget Proposal </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6492"/>
      </w:tblGrid>
      <w:tr w:rsidR="000729CF" w:rsidRPr="000729CF" w14:paraId="39370AC7"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2821F344"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Title of budget saving being assessed:</w:t>
            </w:r>
          </w:p>
        </w:tc>
        <w:tc>
          <w:tcPr>
            <w:tcW w:w="6492" w:type="dxa"/>
            <w:shd w:val="clear" w:color="auto" w:fill="auto"/>
          </w:tcPr>
          <w:p w14:paraId="397E3153" w14:textId="77777777" w:rsidR="000729CF" w:rsidRPr="000729CF" w:rsidRDefault="000729CF" w:rsidP="000729CF">
            <w:pPr>
              <w:spacing w:after="12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Health and Adult Social Care Provider Services</w:t>
            </w:r>
          </w:p>
        </w:tc>
      </w:tr>
      <w:tr w:rsidR="000729CF" w:rsidRPr="000729CF" w14:paraId="3FFA0D83"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0FA55507"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Name and title of officer responsible for this EIA: </w:t>
            </w:r>
          </w:p>
        </w:tc>
        <w:tc>
          <w:tcPr>
            <w:tcW w:w="6492" w:type="dxa"/>
            <w:shd w:val="clear" w:color="auto" w:fill="auto"/>
          </w:tcPr>
          <w:p w14:paraId="54BBB420"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729CF">
              <w:rPr>
                <w:rFonts w:ascii="Arial" w:hAnsi="Arial" w:cs="Arial"/>
                <w:sz w:val="24"/>
                <w:szCs w:val="24"/>
              </w:rPr>
              <w:t>Michelle Jenkins, Assistant Director of Resources, Safeguarding and Performance</w:t>
            </w:r>
          </w:p>
        </w:tc>
      </w:tr>
      <w:tr w:rsidR="000729CF" w:rsidRPr="000729CF" w14:paraId="00A24DF4" w14:textId="77777777" w:rsidTr="000729CF">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76E524EA"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Directorate and Service Name: </w:t>
            </w:r>
          </w:p>
        </w:tc>
        <w:tc>
          <w:tcPr>
            <w:tcW w:w="6492" w:type="dxa"/>
            <w:shd w:val="clear" w:color="auto" w:fill="auto"/>
          </w:tcPr>
          <w:p w14:paraId="4FC62C67" w14:textId="77777777" w:rsidR="000729CF" w:rsidRPr="000729CF" w:rsidRDefault="000729CF" w:rsidP="000729CF">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Health and Adult Social Care, Safeguarding and Performance</w:t>
            </w:r>
          </w:p>
        </w:tc>
      </w:tr>
      <w:tr w:rsidR="000729CF" w:rsidRPr="000729CF" w14:paraId="4B6E8906"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6D9537A5"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Budget proposal no.</w:t>
            </w:r>
          </w:p>
        </w:tc>
        <w:tc>
          <w:tcPr>
            <w:tcW w:w="6492" w:type="dxa"/>
            <w:shd w:val="clear" w:color="auto" w:fill="auto"/>
          </w:tcPr>
          <w:p w14:paraId="1084A304"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729CF">
              <w:rPr>
                <w:rFonts w:ascii="Arial" w:hAnsi="Arial" w:cs="Arial"/>
                <w:sz w:val="24"/>
                <w:szCs w:val="24"/>
              </w:rPr>
              <w:t>11</w:t>
            </w:r>
          </w:p>
        </w:tc>
      </w:tr>
    </w:tbl>
    <w:p w14:paraId="6A8B8A56" w14:textId="77777777" w:rsidR="000729CF" w:rsidRPr="000729CF" w:rsidRDefault="000729CF" w:rsidP="000729CF">
      <w:pPr>
        <w:spacing w:after="160" w:line="259" w:lineRule="auto"/>
        <w:rPr>
          <w:rFonts w:ascii="Arial" w:eastAsia="Calibri" w:hAnsi="Arial" w:cs="Arial"/>
          <w:sz w:val="24"/>
          <w:szCs w:val="24"/>
          <w:lang w:val="en-GB"/>
        </w:rPr>
      </w:pPr>
    </w:p>
    <w:p w14:paraId="0646F94F"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Briefly describe the budget saving proposal: (use the wording in the budget spreadsheet and more detail if needed)</w:t>
      </w:r>
    </w:p>
    <w:tbl>
      <w:tblPr>
        <w:tblStyle w:val="TableGrid"/>
        <w:tblW w:w="0" w:type="auto"/>
        <w:tblLook w:val="04A0" w:firstRow="1" w:lastRow="0" w:firstColumn="1" w:lastColumn="0" w:noHBand="0" w:noVBand="1"/>
      </w:tblPr>
      <w:tblGrid>
        <w:gridCol w:w="10456"/>
      </w:tblGrid>
      <w:tr w:rsidR="000729CF" w:rsidRPr="000729CF" w14:paraId="608B2FBC" w14:textId="77777777" w:rsidTr="00BC26AB">
        <w:trPr>
          <w:trHeight w:val="851"/>
        </w:trPr>
        <w:tc>
          <w:tcPr>
            <w:tcW w:w="10456" w:type="dxa"/>
            <w:tcBorders>
              <w:bottom w:val="single" w:sz="4" w:space="0" w:color="auto"/>
            </w:tcBorders>
          </w:tcPr>
          <w:p w14:paraId="6BD70D09" w14:textId="77777777" w:rsidR="000729CF" w:rsidRPr="000729CF" w:rsidRDefault="000729CF" w:rsidP="000729CF">
            <w:pPr>
              <w:rPr>
                <w:rFonts w:ascii="Arial" w:hAnsi="Arial" w:cs="Arial"/>
                <w:sz w:val="24"/>
                <w:szCs w:val="24"/>
                <w:lang w:eastAsia="en-GB"/>
              </w:rPr>
            </w:pPr>
            <w:r w:rsidRPr="000729CF">
              <w:rPr>
                <w:rFonts w:ascii="Arial" w:hAnsi="Arial" w:cs="Arial"/>
                <w:sz w:val="24"/>
                <w:szCs w:val="24"/>
                <w:lang w:eastAsia="en-GB"/>
              </w:rPr>
              <w:t>The budget for this area is £14.358m and the proposed saving is £1.297m</w:t>
            </w:r>
          </w:p>
          <w:p w14:paraId="341BFB18" w14:textId="77777777" w:rsidR="000729CF" w:rsidRPr="000729CF" w:rsidRDefault="000729CF" w:rsidP="000729CF">
            <w:pPr>
              <w:rPr>
                <w:rFonts w:ascii="Arial" w:hAnsi="Arial" w:cs="Arial"/>
                <w:bCs/>
                <w:sz w:val="24"/>
                <w:szCs w:val="24"/>
                <w:lang w:eastAsia="en-GB"/>
              </w:rPr>
            </w:pPr>
          </w:p>
          <w:p w14:paraId="307CA60E" w14:textId="77777777" w:rsidR="000729CF" w:rsidRPr="000729CF" w:rsidRDefault="000729CF" w:rsidP="000729CF">
            <w:pPr>
              <w:rPr>
                <w:rFonts w:ascii="Arial" w:hAnsi="Arial" w:cs="Arial"/>
                <w:bCs/>
                <w:sz w:val="24"/>
                <w:szCs w:val="24"/>
                <w:lang w:eastAsia="en-GB"/>
              </w:rPr>
            </w:pPr>
            <w:r w:rsidRPr="000729CF">
              <w:rPr>
                <w:rFonts w:ascii="Arial" w:hAnsi="Arial" w:cs="Arial"/>
                <w:bCs/>
                <w:sz w:val="24"/>
                <w:szCs w:val="24"/>
                <w:lang w:eastAsia="en-GB"/>
              </w:rPr>
              <w:t xml:space="preserve">This is proposed to be achieved through; </w:t>
            </w:r>
          </w:p>
          <w:p w14:paraId="38FB34DD" w14:textId="77777777" w:rsidR="000729CF" w:rsidRPr="000729CF" w:rsidRDefault="000729CF" w:rsidP="00CE70A3">
            <w:pPr>
              <w:numPr>
                <w:ilvl w:val="0"/>
                <w:numId w:val="110"/>
              </w:numPr>
              <w:rPr>
                <w:rFonts w:ascii="Arial" w:eastAsia="Calibri" w:hAnsi="Arial" w:cs="Arial"/>
                <w:sz w:val="24"/>
                <w:szCs w:val="24"/>
              </w:rPr>
            </w:pPr>
            <w:r w:rsidRPr="000729CF">
              <w:rPr>
                <w:rFonts w:ascii="Arial" w:eastAsia="Calibri" w:hAnsi="Arial" w:cs="Arial"/>
                <w:sz w:val="24"/>
                <w:szCs w:val="24"/>
              </w:rPr>
              <w:t>ceasing the provision of the learning disability community support service (£182,000)</w:t>
            </w:r>
          </w:p>
          <w:p w14:paraId="1827CA98" w14:textId="77777777" w:rsidR="000729CF" w:rsidRPr="000729CF" w:rsidRDefault="000729CF" w:rsidP="00CE70A3">
            <w:pPr>
              <w:numPr>
                <w:ilvl w:val="0"/>
                <w:numId w:val="110"/>
              </w:numPr>
              <w:contextualSpacing/>
              <w:rPr>
                <w:rFonts w:ascii="Arial" w:eastAsia="Calibri" w:hAnsi="Arial" w:cs="Arial"/>
                <w:sz w:val="24"/>
                <w:szCs w:val="24"/>
                <w:lang w:eastAsia="en-GB"/>
              </w:rPr>
            </w:pPr>
            <w:r w:rsidRPr="000729CF">
              <w:rPr>
                <w:rFonts w:ascii="Arial" w:eastAsia="Calibri" w:hAnsi="Arial" w:cs="Arial"/>
                <w:sz w:val="24"/>
                <w:szCs w:val="24"/>
              </w:rPr>
              <w:t>ceasing the provision of services at Cromwell Road (£327,000)</w:t>
            </w:r>
          </w:p>
          <w:p w14:paraId="4993E78F" w14:textId="77777777" w:rsidR="000729CF" w:rsidRPr="000729CF" w:rsidRDefault="000729CF" w:rsidP="000729CF">
            <w:pPr>
              <w:rPr>
                <w:rFonts w:ascii="Arial" w:hAnsi="Arial" w:cs="Arial"/>
                <w:bCs/>
                <w:sz w:val="24"/>
                <w:szCs w:val="24"/>
                <w:lang w:eastAsia="en-GB"/>
              </w:rPr>
            </w:pPr>
          </w:p>
          <w:p w14:paraId="4A273795" w14:textId="77777777" w:rsidR="000729CF" w:rsidRPr="000729CF" w:rsidRDefault="000729CF" w:rsidP="000729CF">
            <w:pPr>
              <w:spacing w:after="200" w:line="276" w:lineRule="auto"/>
              <w:contextualSpacing/>
              <w:rPr>
                <w:rFonts w:ascii="Arial" w:hAnsi="Arial" w:cs="Arial"/>
                <w:sz w:val="24"/>
                <w:szCs w:val="24"/>
                <w:lang w:eastAsia="en-GB"/>
              </w:rPr>
            </w:pPr>
            <w:r w:rsidRPr="000729CF">
              <w:rPr>
                <w:rFonts w:ascii="Arial" w:hAnsi="Arial" w:cs="Arial"/>
                <w:sz w:val="24"/>
                <w:szCs w:val="24"/>
                <w:lang w:eastAsia="en-GB"/>
              </w:rPr>
              <w:t>Additional to the above proposals, a saving of £577,000 is proposed through the following:</w:t>
            </w:r>
          </w:p>
          <w:p w14:paraId="5D8C38C7" w14:textId="77777777" w:rsidR="000729CF" w:rsidRPr="000729CF" w:rsidRDefault="000729CF" w:rsidP="000729CF">
            <w:pPr>
              <w:spacing w:after="200" w:line="276" w:lineRule="auto"/>
              <w:contextualSpacing/>
              <w:rPr>
                <w:rFonts w:ascii="Arial" w:hAnsi="Arial" w:cs="Arial"/>
                <w:bCs/>
                <w:sz w:val="24"/>
                <w:szCs w:val="24"/>
                <w:lang w:eastAsia="en-GB"/>
              </w:rPr>
            </w:pPr>
          </w:p>
          <w:p w14:paraId="676B087A" w14:textId="77777777" w:rsidR="000729CF" w:rsidRPr="000729CF" w:rsidRDefault="000729CF" w:rsidP="00CE70A3">
            <w:pPr>
              <w:numPr>
                <w:ilvl w:val="0"/>
                <w:numId w:val="110"/>
              </w:numPr>
              <w:rPr>
                <w:rFonts w:ascii="Arial" w:hAnsi="Arial" w:cs="Arial"/>
                <w:sz w:val="24"/>
                <w:szCs w:val="24"/>
                <w:lang w:eastAsia="en-GB"/>
              </w:rPr>
            </w:pPr>
            <w:r w:rsidRPr="000729CF">
              <w:rPr>
                <w:rFonts w:ascii="Arial" w:hAnsi="Arial" w:cs="Arial"/>
                <w:sz w:val="24"/>
                <w:szCs w:val="24"/>
                <w:lang w:eastAsia="en-GB"/>
              </w:rPr>
              <w:t>ensuring Housing Benefit for residents living in Glenwood Lodge and New Steine Mews hostels is optimised (£344,000)</w:t>
            </w:r>
          </w:p>
          <w:p w14:paraId="10311687" w14:textId="77777777" w:rsidR="000729CF" w:rsidRPr="000729CF" w:rsidRDefault="000729CF" w:rsidP="00CE70A3">
            <w:pPr>
              <w:numPr>
                <w:ilvl w:val="0"/>
                <w:numId w:val="110"/>
              </w:numPr>
              <w:rPr>
                <w:rFonts w:ascii="Arial" w:hAnsi="Arial" w:cs="Arial"/>
                <w:sz w:val="24"/>
                <w:szCs w:val="24"/>
                <w:lang w:eastAsia="en-GB"/>
              </w:rPr>
            </w:pPr>
            <w:r w:rsidRPr="000729CF">
              <w:rPr>
                <w:rFonts w:ascii="Arial" w:hAnsi="Arial" w:cs="Arial"/>
                <w:sz w:val="24"/>
                <w:szCs w:val="24"/>
                <w:lang w:eastAsia="en-GB"/>
              </w:rPr>
              <w:t>reduce service at Ireland Lodge Resource Centre from 34 to 24 bed (£211,000)</w:t>
            </w:r>
          </w:p>
          <w:p w14:paraId="4639E33A" w14:textId="77777777" w:rsidR="000729CF" w:rsidRPr="000729CF" w:rsidRDefault="000729CF" w:rsidP="00CE70A3">
            <w:pPr>
              <w:numPr>
                <w:ilvl w:val="0"/>
                <w:numId w:val="110"/>
              </w:numPr>
              <w:rPr>
                <w:rFonts w:ascii="Arial" w:hAnsi="Arial" w:cs="Arial"/>
                <w:bCs/>
                <w:sz w:val="24"/>
                <w:szCs w:val="24"/>
                <w:lang w:eastAsia="en-GB"/>
              </w:rPr>
            </w:pPr>
            <w:r w:rsidRPr="000729CF">
              <w:rPr>
                <w:rFonts w:ascii="Arial" w:hAnsi="Arial" w:cs="Arial"/>
                <w:sz w:val="24"/>
                <w:szCs w:val="24"/>
                <w:lang w:eastAsia="en-GB"/>
              </w:rPr>
              <w:t>deleting vacant posts at Independence at Home Service (£100,000)</w:t>
            </w:r>
          </w:p>
          <w:p w14:paraId="35CF0C07" w14:textId="77777777" w:rsidR="000729CF" w:rsidRPr="000729CF" w:rsidRDefault="000729CF" w:rsidP="00CE70A3">
            <w:pPr>
              <w:numPr>
                <w:ilvl w:val="0"/>
                <w:numId w:val="110"/>
              </w:numPr>
              <w:rPr>
                <w:rFonts w:ascii="Arial" w:hAnsi="Arial" w:cs="Arial"/>
                <w:bCs/>
                <w:sz w:val="24"/>
                <w:szCs w:val="24"/>
                <w:lang w:eastAsia="en-GB"/>
              </w:rPr>
            </w:pPr>
            <w:r w:rsidRPr="000729CF">
              <w:rPr>
                <w:rFonts w:ascii="Arial" w:hAnsi="Arial" w:cs="Arial"/>
                <w:sz w:val="24"/>
                <w:szCs w:val="24"/>
                <w:lang w:eastAsia="en-GB"/>
              </w:rPr>
              <w:t>deleting vacant posts at Wellington House Day Service (£75,000)</w:t>
            </w:r>
          </w:p>
          <w:p w14:paraId="630D27DB" w14:textId="77777777" w:rsidR="000729CF" w:rsidRPr="000729CF" w:rsidRDefault="000729CF" w:rsidP="00CE70A3">
            <w:pPr>
              <w:numPr>
                <w:ilvl w:val="0"/>
                <w:numId w:val="110"/>
              </w:numPr>
              <w:rPr>
                <w:rFonts w:ascii="Arial" w:hAnsi="Arial" w:cs="Arial"/>
                <w:bCs/>
                <w:sz w:val="24"/>
                <w:szCs w:val="24"/>
                <w:lang w:eastAsia="en-GB"/>
              </w:rPr>
            </w:pPr>
            <w:r w:rsidRPr="000729CF">
              <w:rPr>
                <w:rFonts w:ascii="Arial" w:hAnsi="Arial" w:cs="Arial"/>
                <w:sz w:val="24"/>
                <w:szCs w:val="24"/>
                <w:lang w:eastAsia="en-GB"/>
              </w:rPr>
              <w:t>reduced premises costs due to an office move (£30,000)</w:t>
            </w:r>
          </w:p>
          <w:p w14:paraId="0ABEE90F" w14:textId="77777777" w:rsidR="000729CF" w:rsidRPr="000729CF" w:rsidRDefault="000729CF" w:rsidP="00CE70A3">
            <w:pPr>
              <w:numPr>
                <w:ilvl w:val="0"/>
                <w:numId w:val="110"/>
              </w:numPr>
              <w:rPr>
                <w:rFonts w:ascii="Arial" w:eastAsia="Calibri" w:hAnsi="Arial" w:cs="Arial"/>
                <w:sz w:val="24"/>
                <w:szCs w:val="24"/>
              </w:rPr>
            </w:pPr>
            <w:r w:rsidRPr="000729CF">
              <w:rPr>
                <w:rFonts w:ascii="Arial" w:eastAsia="Calibri" w:hAnsi="Arial" w:cs="Arial"/>
                <w:sz w:val="24"/>
                <w:szCs w:val="24"/>
              </w:rPr>
              <w:t>reduced costs from change of contract for staffing absence process (£28,000)</w:t>
            </w:r>
          </w:p>
          <w:p w14:paraId="58FF9886" w14:textId="77777777" w:rsidR="000729CF" w:rsidRPr="000729CF" w:rsidRDefault="000729CF" w:rsidP="000729CF">
            <w:pPr>
              <w:rPr>
                <w:rFonts w:ascii="Arial" w:eastAsia="Calibri" w:hAnsi="Arial" w:cs="Arial"/>
                <w:sz w:val="24"/>
                <w:szCs w:val="24"/>
              </w:rPr>
            </w:pPr>
          </w:p>
        </w:tc>
      </w:tr>
      <w:tr w:rsidR="000729CF" w:rsidRPr="000729CF" w14:paraId="00466D24" w14:textId="77777777" w:rsidTr="00BC26AB">
        <w:trPr>
          <w:trHeight w:val="851"/>
        </w:trPr>
        <w:tc>
          <w:tcPr>
            <w:tcW w:w="10456" w:type="dxa"/>
            <w:tcBorders>
              <w:left w:val="nil"/>
              <w:right w:val="nil"/>
            </w:tcBorders>
          </w:tcPr>
          <w:p w14:paraId="56B31E15" w14:textId="77777777" w:rsidR="000729CF" w:rsidRPr="000729CF" w:rsidRDefault="000729CF" w:rsidP="000729CF">
            <w:pPr>
              <w:spacing w:after="120"/>
              <w:rPr>
                <w:rFonts w:ascii="Arial" w:eastAsia="Calibri" w:hAnsi="Arial" w:cs="Arial"/>
                <w:sz w:val="24"/>
                <w:szCs w:val="24"/>
              </w:rPr>
            </w:pPr>
          </w:p>
          <w:p w14:paraId="3095DCD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Summarise the most significant impacts identified by this assessment including which groups will be disproportionally negatively affected drawing out intersectional impacts as applicable:</w:t>
            </w:r>
          </w:p>
        </w:tc>
      </w:tr>
      <w:tr w:rsidR="000729CF" w:rsidRPr="000729CF" w14:paraId="18E41B96" w14:textId="77777777" w:rsidTr="00BC26AB">
        <w:trPr>
          <w:trHeight w:val="851"/>
        </w:trPr>
        <w:tc>
          <w:tcPr>
            <w:tcW w:w="10456" w:type="dxa"/>
          </w:tcPr>
          <w:p w14:paraId="28D5BEA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Disabled people are disproportionately impacted by the closures proposals as these services are directly providing in response to the needs of disabled people.</w:t>
            </w:r>
          </w:p>
          <w:p w14:paraId="2B006FA1" w14:textId="77777777" w:rsidR="000729CF" w:rsidRPr="000729CF" w:rsidRDefault="000729CF" w:rsidP="000729CF">
            <w:pPr>
              <w:spacing w:line="276" w:lineRule="auto"/>
              <w:contextualSpacing/>
              <w:rPr>
                <w:rFonts w:ascii="Arial" w:eastAsia="Calibri" w:hAnsi="Arial" w:cs="Arial"/>
                <w:sz w:val="24"/>
                <w:szCs w:val="24"/>
              </w:rPr>
            </w:pPr>
          </w:p>
          <w:p w14:paraId="4AC73C9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Cromwell Road is a learning disability care home for two residents. As part of the closure these residents’ care will be reviewed and their future care plan to be agreed and actioned within the closure timescales. Future needs will be met through the private sector.</w:t>
            </w:r>
          </w:p>
          <w:p w14:paraId="586D5E07" w14:textId="77777777" w:rsidR="000729CF" w:rsidRPr="000729CF" w:rsidRDefault="000729CF" w:rsidP="000729CF">
            <w:pPr>
              <w:spacing w:after="120"/>
              <w:rPr>
                <w:rFonts w:ascii="Arial" w:eastAsia="Calibri" w:hAnsi="Arial" w:cs="Arial"/>
                <w:sz w:val="24"/>
                <w:szCs w:val="24"/>
              </w:rPr>
            </w:pPr>
          </w:p>
          <w:p w14:paraId="76BD0A3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learning disability community support service provides support to 78 people with learning disabilities living in the community. As part of the closure of this service, all service users will require their care to be reviewed and reprovisioned to alternative providers of community support in the private sector.</w:t>
            </w:r>
          </w:p>
          <w:p w14:paraId="4D3D8106" w14:textId="77777777" w:rsidR="000729CF" w:rsidRPr="000729CF" w:rsidRDefault="000729CF" w:rsidP="000729CF">
            <w:pPr>
              <w:spacing w:after="120"/>
              <w:rPr>
                <w:rFonts w:ascii="Arial" w:eastAsia="Calibri" w:hAnsi="Arial" w:cs="Arial"/>
                <w:sz w:val="24"/>
                <w:szCs w:val="24"/>
              </w:rPr>
            </w:pPr>
          </w:p>
          <w:p w14:paraId="4B8BA111" w14:textId="77777777" w:rsidR="000729CF" w:rsidRPr="000729CF" w:rsidRDefault="000729CF" w:rsidP="000729CF">
            <w:pPr>
              <w:spacing w:after="120"/>
              <w:rPr>
                <w:rFonts w:ascii="Arial" w:eastAsia="Calibri" w:hAnsi="Arial" w:cs="Arial"/>
                <w:sz w:val="24"/>
                <w:szCs w:val="24"/>
              </w:rPr>
            </w:pPr>
            <w:r w:rsidRPr="000729CF">
              <w:rPr>
                <w:rFonts w:ascii="Helvetica" w:hAnsi="Helvetica" w:cs="Helvetica"/>
                <w:sz w:val="24"/>
                <w:szCs w:val="24"/>
              </w:rPr>
              <w:t>Ireland Lodge Resource Centre is a residential care home, currently providing 24 residential placements for people requiring 24-hour care due to living with dementia. The</w:t>
            </w:r>
            <w:r w:rsidRPr="000729CF">
              <w:rPr>
                <w:rFonts w:ascii="Arial" w:eastAsia="Calibri" w:hAnsi="Arial" w:cs="Arial"/>
                <w:sz w:val="24"/>
                <w:szCs w:val="24"/>
              </w:rPr>
              <w:t xml:space="preserve"> additional 10 beds are not required as there is alternative provision available.</w:t>
            </w:r>
          </w:p>
          <w:p w14:paraId="46AED381" w14:textId="77777777" w:rsidR="000729CF" w:rsidRPr="000729CF" w:rsidRDefault="000729CF" w:rsidP="000729CF">
            <w:pPr>
              <w:spacing w:line="276" w:lineRule="auto"/>
              <w:contextualSpacing/>
              <w:rPr>
                <w:rFonts w:ascii="Arial" w:hAnsi="Arial" w:cs="Arial"/>
                <w:sz w:val="24"/>
                <w:szCs w:val="24"/>
              </w:rPr>
            </w:pPr>
          </w:p>
          <w:p w14:paraId="3BF4DCE5" w14:textId="77777777" w:rsidR="000729CF" w:rsidRPr="000729CF" w:rsidRDefault="000729CF" w:rsidP="000729CF">
            <w:pPr>
              <w:spacing w:line="276" w:lineRule="auto"/>
              <w:contextualSpacing/>
              <w:rPr>
                <w:rFonts w:ascii="Arial" w:hAnsi="Arial" w:cs="Arial"/>
                <w:bCs/>
                <w:sz w:val="24"/>
                <w:szCs w:val="24"/>
              </w:rPr>
            </w:pPr>
            <w:r w:rsidRPr="000729CF">
              <w:rPr>
                <w:rFonts w:ascii="Arial" w:hAnsi="Arial" w:cs="Arial"/>
                <w:bCs/>
                <w:sz w:val="24"/>
                <w:szCs w:val="24"/>
              </w:rPr>
              <w:t xml:space="preserve">Independence at Home is a home care service managed by Brighton &amp; Hove City Council, delivering a service to those who are requiring care in their own homes, especially reablement. Deletion of vacancies in the Independence at Home service does not impact on immediate delivery of care as the service has not required recruitment to these posts for a significant amount of time in order to deliver the service. Deletion of these posts would mean future growth of the service, if required, is not possible, and would need to be met through the private sector. </w:t>
            </w:r>
          </w:p>
          <w:p w14:paraId="3BCB1FA6" w14:textId="77777777" w:rsidR="000729CF" w:rsidRPr="000729CF" w:rsidRDefault="000729CF" w:rsidP="000729CF">
            <w:pPr>
              <w:spacing w:line="276" w:lineRule="auto"/>
              <w:contextualSpacing/>
              <w:rPr>
                <w:rFonts w:ascii="Arial" w:hAnsi="Arial" w:cs="Arial"/>
                <w:bCs/>
                <w:sz w:val="24"/>
                <w:szCs w:val="24"/>
              </w:rPr>
            </w:pPr>
          </w:p>
          <w:p w14:paraId="7A89F0B4" w14:textId="77777777" w:rsidR="000729CF" w:rsidRPr="000729CF" w:rsidRDefault="000729CF" w:rsidP="000729CF">
            <w:pPr>
              <w:spacing w:line="276" w:lineRule="auto"/>
              <w:contextualSpacing/>
              <w:rPr>
                <w:rFonts w:ascii="Arial" w:hAnsi="Arial" w:cs="Arial"/>
                <w:sz w:val="24"/>
                <w:szCs w:val="24"/>
              </w:rPr>
            </w:pPr>
            <w:r w:rsidRPr="000729CF">
              <w:rPr>
                <w:rFonts w:ascii="Arial" w:hAnsi="Arial" w:cs="Arial"/>
                <w:sz w:val="24"/>
                <w:szCs w:val="24"/>
              </w:rPr>
              <w:t xml:space="preserve">Wellington House Day Service is a service providing day care for adults with a learning disability, managed by Brighton &amp; Hove City Council. Deletion of vacancies in this service does not impact on immediate delivery of day care as the service has not required recruitment to these posts for a significant amount of time in order to deliver the demand for the service. Deletion of these posts would mean future growth of the service, if required, is not possible, and would need to be met through the private sector. </w:t>
            </w:r>
          </w:p>
        </w:tc>
      </w:tr>
    </w:tbl>
    <w:p w14:paraId="0202F614" w14:textId="77777777" w:rsidR="000729CF" w:rsidRPr="000729CF" w:rsidRDefault="000729CF" w:rsidP="000729CF">
      <w:pPr>
        <w:rPr>
          <w:rFonts w:ascii="Arial" w:eastAsia="Calibri" w:hAnsi="Arial" w:cs="Arial"/>
          <w:sz w:val="24"/>
          <w:szCs w:val="24"/>
          <w:lang w:val="en-GB"/>
        </w:rPr>
      </w:pPr>
    </w:p>
    <w:p w14:paraId="46A713AA" w14:textId="77777777" w:rsidR="000729CF" w:rsidRPr="000729CF" w:rsidRDefault="000729CF" w:rsidP="000729CF">
      <w:pPr>
        <w:spacing w:after="160" w:line="259" w:lineRule="auto"/>
        <w:rPr>
          <w:rFonts w:ascii="Arial" w:eastAsia="Calibri" w:hAnsi="Arial" w:cs="Arial"/>
          <w:sz w:val="24"/>
          <w:szCs w:val="24"/>
          <w:lang w:val="en-GB"/>
        </w:rPr>
      </w:pPr>
    </w:p>
    <w:p w14:paraId="12AA35A8"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Consultation, engagement and supporting EIAs</w:t>
      </w:r>
    </w:p>
    <w:p w14:paraId="26D930CB"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consultations or engagement activities are being used to inform this assessment? </w:t>
      </w:r>
    </w:p>
    <w:p w14:paraId="7531AF83"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If consultation is planned or in process – state this and state when it will done/completed even if indicative. If no consultation completed or planned, state this, giving an explanation. </w:t>
      </w:r>
    </w:p>
    <w:tbl>
      <w:tblPr>
        <w:tblStyle w:val="TableGrid"/>
        <w:tblW w:w="0" w:type="auto"/>
        <w:tblLook w:val="04A0" w:firstRow="1" w:lastRow="0" w:firstColumn="1" w:lastColumn="0" w:noHBand="0" w:noVBand="1"/>
      </w:tblPr>
      <w:tblGrid>
        <w:gridCol w:w="10456"/>
      </w:tblGrid>
      <w:tr w:rsidR="000729CF" w:rsidRPr="000729CF" w14:paraId="1D8276FB" w14:textId="77777777" w:rsidTr="00BC26AB">
        <w:trPr>
          <w:trHeight w:val="871"/>
        </w:trPr>
        <w:tc>
          <w:tcPr>
            <w:tcW w:w="10456" w:type="dxa"/>
          </w:tcPr>
          <w:p w14:paraId="0E2737A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Consultation would be planned prior to the closure of Cromwell Road with residents and their families to ensure the best outcomes for their future care. We have reviewed the capacity of the private market to ensure there is enough provision available for those with services that will be ceasing.</w:t>
            </w:r>
          </w:p>
          <w:p w14:paraId="118E5C9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Discussions are planned, prior to ceasing the provision of the Community Support service, with service users and their families to ensure the best outcomes for their future care. We have reviewed the capacity of the private market to ensure there is enough provision available for those with services that will be ceasing.</w:t>
            </w:r>
          </w:p>
        </w:tc>
      </w:tr>
    </w:tbl>
    <w:p w14:paraId="311B2D29" w14:textId="77777777" w:rsidR="000729CF" w:rsidRPr="000729CF" w:rsidRDefault="000729CF" w:rsidP="000729CF">
      <w:pPr>
        <w:spacing w:after="160" w:line="259" w:lineRule="auto"/>
        <w:rPr>
          <w:rFonts w:ascii="Arial" w:eastAsia="Calibri" w:hAnsi="Arial" w:cs="Arial"/>
          <w:sz w:val="24"/>
          <w:szCs w:val="24"/>
          <w:lang w:val="en-GB"/>
        </w:rPr>
      </w:pPr>
    </w:p>
    <w:p w14:paraId="7AA05DA6" w14:textId="77777777" w:rsidR="000729CF" w:rsidRPr="000729CF" w:rsidRDefault="000729CF" w:rsidP="000729CF">
      <w:pPr>
        <w:spacing w:after="160" w:line="259" w:lineRule="auto"/>
        <w:rPr>
          <w:rFonts w:ascii="Arial" w:eastAsia="Calibri" w:hAnsi="Arial" w:cs="Arial"/>
          <w:sz w:val="24"/>
          <w:szCs w:val="24"/>
          <w:lang w:val="en-GB"/>
        </w:rPr>
      </w:pPr>
    </w:p>
    <w:p w14:paraId="7535AEC0"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other budget or service EIAs can assist/have been used to inform this assessment?</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0729CF" w:rsidRPr="000729CF" w14:paraId="245D723D"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shd w:val="clear" w:color="auto" w:fill="FFFFFF"/>
          </w:tcPr>
          <w:p w14:paraId="277DE8EC"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None</w:t>
            </w:r>
          </w:p>
        </w:tc>
      </w:tr>
    </w:tbl>
    <w:p w14:paraId="2FF45318" w14:textId="77777777" w:rsidR="000729CF" w:rsidRPr="000729CF" w:rsidRDefault="000729CF" w:rsidP="000729CF">
      <w:pPr>
        <w:spacing w:after="160" w:line="259" w:lineRule="auto"/>
        <w:rPr>
          <w:rFonts w:ascii="Arial" w:eastAsia="Calibri" w:hAnsi="Arial" w:cs="Arial"/>
          <w:sz w:val="24"/>
          <w:szCs w:val="24"/>
          <w:lang w:val="en-GB"/>
        </w:rPr>
      </w:pPr>
    </w:p>
    <w:p w14:paraId="4B249DC1"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Current data and impact monitoring</w:t>
      </w:r>
    </w:p>
    <w:p w14:paraId="56C4CD61"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Do you currently collect and analyse the following data to enable monitoring of the impact of this proposal? </w:t>
      </w:r>
    </w:p>
    <w:p w14:paraId="5707DB07"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Consider all possible intersections (Delete and State Yes, No, Not Applicable)</w:t>
      </w:r>
    </w:p>
    <w:tbl>
      <w:tblPr>
        <w:tblStyle w:val="TableGrid"/>
        <w:tblW w:w="10485" w:type="dxa"/>
        <w:tblLook w:val="04A0" w:firstRow="1" w:lastRow="0" w:firstColumn="1" w:lastColumn="0" w:noHBand="0" w:noVBand="1"/>
      </w:tblPr>
      <w:tblGrid>
        <w:gridCol w:w="6658"/>
        <w:gridCol w:w="3827"/>
      </w:tblGrid>
      <w:tr w:rsidR="000729CF" w:rsidRPr="000729CF" w14:paraId="5393C527" w14:textId="77777777" w:rsidTr="000729CF">
        <w:trPr>
          <w:trHeight w:val="310"/>
        </w:trPr>
        <w:tc>
          <w:tcPr>
            <w:tcW w:w="6658" w:type="dxa"/>
            <w:shd w:val="clear" w:color="auto" w:fill="E7E6E6"/>
          </w:tcPr>
          <w:p w14:paraId="636A7EB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Age</w:t>
            </w:r>
          </w:p>
        </w:tc>
        <w:tc>
          <w:tcPr>
            <w:tcW w:w="3827" w:type="dxa"/>
          </w:tcPr>
          <w:p w14:paraId="078D521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19A9440A" w14:textId="77777777" w:rsidTr="000729CF">
        <w:trPr>
          <w:trHeight w:val="20"/>
        </w:trPr>
        <w:tc>
          <w:tcPr>
            <w:tcW w:w="6658" w:type="dxa"/>
            <w:shd w:val="clear" w:color="auto" w:fill="E7E6E6"/>
          </w:tcPr>
          <w:p w14:paraId="66FF3FD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Disability and inclusive adjustments, coverage under equality act and not</w:t>
            </w:r>
          </w:p>
        </w:tc>
        <w:tc>
          <w:tcPr>
            <w:tcW w:w="3827" w:type="dxa"/>
          </w:tcPr>
          <w:p w14:paraId="6941BAD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59777BC9" w14:textId="77777777" w:rsidTr="000729CF">
        <w:trPr>
          <w:trHeight w:val="20"/>
        </w:trPr>
        <w:tc>
          <w:tcPr>
            <w:tcW w:w="6658" w:type="dxa"/>
            <w:shd w:val="clear" w:color="auto" w:fill="E7E6E6"/>
          </w:tcPr>
          <w:p w14:paraId="0DA3F22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Ethnicity, ‘Race’, ethnic heritage (including Gypsy, Roma, Travellers)</w:t>
            </w:r>
          </w:p>
        </w:tc>
        <w:tc>
          <w:tcPr>
            <w:tcW w:w="3827" w:type="dxa"/>
          </w:tcPr>
          <w:p w14:paraId="658C7BD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1F91E52D" w14:textId="77777777" w:rsidTr="000729CF">
        <w:trPr>
          <w:trHeight w:val="20"/>
        </w:trPr>
        <w:tc>
          <w:tcPr>
            <w:tcW w:w="6658" w:type="dxa"/>
            <w:shd w:val="clear" w:color="auto" w:fill="E7E6E6"/>
          </w:tcPr>
          <w:p w14:paraId="57D4ACF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Religion, Belief, Spirituality, Faith, or Atheism</w:t>
            </w:r>
          </w:p>
        </w:tc>
        <w:tc>
          <w:tcPr>
            <w:tcW w:w="3827" w:type="dxa"/>
          </w:tcPr>
          <w:p w14:paraId="14FBEBC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0732B151" w14:textId="77777777" w:rsidTr="000729CF">
        <w:trPr>
          <w:trHeight w:val="20"/>
        </w:trPr>
        <w:tc>
          <w:tcPr>
            <w:tcW w:w="6658" w:type="dxa"/>
            <w:shd w:val="clear" w:color="auto" w:fill="E7E6E6"/>
          </w:tcPr>
          <w:p w14:paraId="3B11B0B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Identity and Sex (including non-binary and Intersex people)</w:t>
            </w:r>
          </w:p>
        </w:tc>
        <w:tc>
          <w:tcPr>
            <w:tcW w:w="3827" w:type="dxa"/>
          </w:tcPr>
          <w:p w14:paraId="30B4126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1093000A" w14:textId="77777777" w:rsidTr="000729CF">
        <w:trPr>
          <w:trHeight w:val="20"/>
        </w:trPr>
        <w:tc>
          <w:tcPr>
            <w:tcW w:w="6658" w:type="dxa"/>
            <w:shd w:val="clear" w:color="auto" w:fill="E7E6E6"/>
          </w:tcPr>
          <w:p w14:paraId="3EC9373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3827" w:type="dxa"/>
          </w:tcPr>
          <w:p w14:paraId="4858C53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r>
      <w:tr w:rsidR="000729CF" w:rsidRPr="000729CF" w14:paraId="390143CC" w14:textId="77777777" w:rsidTr="000729CF">
        <w:trPr>
          <w:trHeight w:val="20"/>
        </w:trPr>
        <w:tc>
          <w:tcPr>
            <w:tcW w:w="6658" w:type="dxa"/>
            <w:shd w:val="clear" w:color="auto" w:fill="E7E6E6"/>
          </w:tcPr>
          <w:p w14:paraId="72753B6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3827" w:type="dxa"/>
          </w:tcPr>
          <w:p w14:paraId="16759C7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261028BF" w14:textId="77777777" w:rsidTr="000729CF">
        <w:trPr>
          <w:trHeight w:val="20"/>
        </w:trPr>
        <w:tc>
          <w:tcPr>
            <w:tcW w:w="6658" w:type="dxa"/>
            <w:shd w:val="clear" w:color="auto" w:fill="E7E6E6"/>
          </w:tcPr>
          <w:p w14:paraId="0092C18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3827" w:type="dxa"/>
          </w:tcPr>
          <w:p w14:paraId="1917186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 NO</w:t>
            </w:r>
          </w:p>
        </w:tc>
      </w:tr>
      <w:tr w:rsidR="000729CF" w:rsidRPr="000729CF" w14:paraId="20306AEE" w14:textId="77777777" w:rsidTr="000729CF">
        <w:trPr>
          <w:trHeight w:val="20"/>
        </w:trPr>
        <w:tc>
          <w:tcPr>
            <w:tcW w:w="6658" w:type="dxa"/>
            <w:shd w:val="clear" w:color="auto" w:fill="E7E6E6"/>
          </w:tcPr>
          <w:p w14:paraId="54F7F9F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Pregnant people, Maternity, Paternity, Adoption, Menopause, (In)fertility (across the gender spectrum)</w:t>
            </w:r>
          </w:p>
        </w:tc>
        <w:tc>
          <w:tcPr>
            <w:tcW w:w="3827" w:type="dxa"/>
          </w:tcPr>
          <w:p w14:paraId="483E7C3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2B154F47" w14:textId="77777777" w:rsidTr="000729CF">
        <w:trPr>
          <w:trHeight w:val="20"/>
        </w:trPr>
        <w:tc>
          <w:tcPr>
            <w:tcW w:w="6658" w:type="dxa"/>
            <w:shd w:val="clear" w:color="auto" w:fill="E7E6E6"/>
          </w:tcPr>
          <w:p w14:paraId="7C82E63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3827" w:type="dxa"/>
          </w:tcPr>
          <w:p w14:paraId="44C740F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 NO</w:t>
            </w:r>
          </w:p>
        </w:tc>
      </w:tr>
      <w:tr w:rsidR="000729CF" w:rsidRPr="000729CF" w14:paraId="2C401AD1" w14:textId="77777777" w:rsidTr="000729CF">
        <w:trPr>
          <w:trHeight w:val="20"/>
        </w:trPr>
        <w:tc>
          <w:tcPr>
            <w:tcW w:w="6658" w:type="dxa"/>
            <w:shd w:val="clear" w:color="auto" w:fill="E7E6E6"/>
          </w:tcPr>
          <w:p w14:paraId="6B8F2C0F" w14:textId="77777777" w:rsidR="000729CF" w:rsidRPr="000729CF" w:rsidRDefault="000729CF" w:rsidP="000729CF">
            <w:pPr>
              <w:spacing w:after="120"/>
              <w:rPr>
                <w:rFonts w:ascii="Arial" w:hAnsi="Arial" w:cs="Arial"/>
                <w:b/>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p>
        </w:tc>
        <w:tc>
          <w:tcPr>
            <w:tcW w:w="3827" w:type="dxa"/>
          </w:tcPr>
          <w:p w14:paraId="6E9A306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79F3BBC7" w14:textId="77777777" w:rsidTr="000729CF">
        <w:trPr>
          <w:trHeight w:val="20"/>
        </w:trPr>
        <w:tc>
          <w:tcPr>
            <w:tcW w:w="6658" w:type="dxa"/>
            <w:shd w:val="clear" w:color="auto" w:fill="E7E6E6"/>
          </w:tcPr>
          <w:p w14:paraId="32518258" w14:textId="77777777" w:rsidR="000729CF" w:rsidRPr="000729CF" w:rsidRDefault="000729CF" w:rsidP="000729CF">
            <w:pPr>
              <w:spacing w:after="120"/>
              <w:rPr>
                <w:rFonts w:ascii="Arial" w:hAnsi="Arial" w:cs="Arial"/>
                <w:b/>
                <w:sz w:val="24"/>
                <w:szCs w:val="24"/>
              </w:rPr>
            </w:pPr>
            <w:r w:rsidRPr="000729CF">
              <w:rPr>
                <w:rFonts w:ascii="Arial" w:eastAsia="Calibri" w:hAnsi="Arial" w:cs="Arial"/>
                <w:b/>
                <w:bCs/>
                <w:color w:val="000000"/>
                <w:sz w:val="24"/>
                <w:szCs w:val="24"/>
              </w:rPr>
              <w:t>Carers</w:t>
            </w:r>
          </w:p>
        </w:tc>
        <w:tc>
          <w:tcPr>
            <w:tcW w:w="3827" w:type="dxa"/>
          </w:tcPr>
          <w:p w14:paraId="7C02293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4E149576" w14:textId="77777777" w:rsidTr="000729CF">
        <w:trPr>
          <w:trHeight w:val="20"/>
        </w:trPr>
        <w:tc>
          <w:tcPr>
            <w:tcW w:w="6658" w:type="dxa"/>
            <w:shd w:val="clear" w:color="auto" w:fill="E7E6E6"/>
          </w:tcPr>
          <w:p w14:paraId="1677C64B"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Looked after children, Care Leavers, Care and fostering experienced people</w:t>
            </w:r>
          </w:p>
        </w:tc>
        <w:tc>
          <w:tcPr>
            <w:tcW w:w="3827" w:type="dxa"/>
          </w:tcPr>
          <w:p w14:paraId="0BFEEE9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 Not applicable</w:t>
            </w:r>
          </w:p>
        </w:tc>
      </w:tr>
      <w:tr w:rsidR="000729CF" w:rsidRPr="000729CF" w14:paraId="7FD6ECF5" w14:textId="77777777" w:rsidTr="000729CF">
        <w:trPr>
          <w:trHeight w:val="20"/>
        </w:trPr>
        <w:tc>
          <w:tcPr>
            <w:tcW w:w="6658" w:type="dxa"/>
            <w:shd w:val="clear" w:color="auto" w:fill="E7E6E6"/>
          </w:tcPr>
          <w:p w14:paraId="06B6B1F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 and people in vulnerable situations (All aspects and intersections)</w:t>
            </w:r>
          </w:p>
        </w:tc>
        <w:tc>
          <w:tcPr>
            <w:tcW w:w="3827" w:type="dxa"/>
          </w:tcPr>
          <w:p w14:paraId="29D5883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 NO</w:t>
            </w:r>
          </w:p>
        </w:tc>
      </w:tr>
      <w:tr w:rsidR="000729CF" w:rsidRPr="000729CF" w14:paraId="23147D19" w14:textId="77777777" w:rsidTr="000729CF">
        <w:trPr>
          <w:trHeight w:val="20"/>
        </w:trPr>
        <w:tc>
          <w:tcPr>
            <w:tcW w:w="6658" w:type="dxa"/>
            <w:shd w:val="clear" w:color="auto" w:fill="E7E6E6"/>
          </w:tcPr>
          <w:p w14:paraId="734D6A7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Socio-economic Disadvantage</w:t>
            </w:r>
          </w:p>
        </w:tc>
        <w:tc>
          <w:tcPr>
            <w:tcW w:w="3827" w:type="dxa"/>
          </w:tcPr>
          <w:p w14:paraId="7BF9393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 NO </w:t>
            </w:r>
          </w:p>
        </w:tc>
      </w:tr>
      <w:tr w:rsidR="000729CF" w:rsidRPr="000729CF" w14:paraId="27C85DDA" w14:textId="77777777" w:rsidTr="000729CF">
        <w:trPr>
          <w:trHeight w:val="20"/>
        </w:trPr>
        <w:tc>
          <w:tcPr>
            <w:tcW w:w="6658" w:type="dxa"/>
            <w:shd w:val="clear" w:color="auto" w:fill="E7E6E6"/>
          </w:tcPr>
          <w:p w14:paraId="640FEFA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Homelessness and associated risk and vulnerability</w:t>
            </w:r>
          </w:p>
        </w:tc>
        <w:tc>
          <w:tcPr>
            <w:tcW w:w="3827" w:type="dxa"/>
          </w:tcPr>
          <w:p w14:paraId="52692BF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7A874750" w14:textId="77777777" w:rsidTr="000729CF">
        <w:trPr>
          <w:trHeight w:val="20"/>
        </w:trPr>
        <w:tc>
          <w:tcPr>
            <w:tcW w:w="6658" w:type="dxa"/>
            <w:shd w:val="clear" w:color="auto" w:fill="E7E6E6"/>
          </w:tcPr>
          <w:p w14:paraId="4CC533B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3827" w:type="dxa"/>
          </w:tcPr>
          <w:p w14:paraId="445E8E5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 NO</w:t>
            </w:r>
          </w:p>
        </w:tc>
      </w:tr>
      <w:tr w:rsidR="000729CF" w:rsidRPr="000729CF" w14:paraId="643EF30B" w14:textId="77777777" w:rsidTr="000729CF">
        <w:trPr>
          <w:trHeight w:val="20"/>
        </w:trPr>
        <w:tc>
          <w:tcPr>
            <w:tcW w:w="6658" w:type="dxa"/>
            <w:shd w:val="clear" w:color="auto" w:fill="E7E6E6"/>
          </w:tcPr>
          <w:p w14:paraId="32C7D29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 (please specify here and add additional rows as needed)</w:t>
            </w:r>
          </w:p>
        </w:tc>
        <w:tc>
          <w:tcPr>
            <w:tcW w:w="3827" w:type="dxa"/>
          </w:tcPr>
          <w:p w14:paraId="36E7589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 NO </w:t>
            </w:r>
          </w:p>
        </w:tc>
      </w:tr>
    </w:tbl>
    <w:p w14:paraId="5DFEEACD" w14:textId="77777777" w:rsidR="000729CF" w:rsidRPr="000729CF" w:rsidRDefault="000729CF" w:rsidP="000729CF">
      <w:pPr>
        <w:rPr>
          <w:rFonts w:ascii="Arial" w:eastAsia="Calibri" w:hAnsi="Arial" w:cs="Arial"/>
          <w:sz w:val="24"/>
          <w:szCs w:val="24"/>
          <w:lang w:val="en-GB"/>
        </w:rPr>
      </w:pPr>
    </w:p>
    <w:p w14:paraId="17829357"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075B346B"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50F6AF1B"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22A88E87"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3770A437"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77589D48"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1D96C20D"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3B9F3FF8"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6765DF5D"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4A36DD8F"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35DE8A92" w14:textId="77777777" w:rsidR="000729CF" w:rsidRPr="000729CF" w:rsidRDefault="000729CF" w:rsidP="000729CF">
      <w:pPr>
        <w:rPr>
          <w:rFonts w:ascii="Arial" w:eastAsia="Calibri" w:hAnsi="Arial" w:cs="Arial"/>
          <w:sz w:val="24"/>
          <w:szCs w:val="24"/>
          <w:lang w:val="en-GB"/>
        </w:rPr>
      </w:pPr>
    </w:p>
    <w:p w14:paraId="3576D1CA"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If you answered “NO” to any of the above, how will you gather this data to enable improved monitoring of impact for this proposal?</w:t>
      </w:r>
    </w:p>
    <w:tbl>
      <w:tblPr>
        <w:tblStyle w:val="TableGrid"/>
        <w:tblW w:w="0" w:type="auto"/>
        <w:tblLook w:val="04A0" w:firstRow="1" w:lastRow="0" w:firstColumn="1" w:lastColumn="0" w:noHBand="0" w:noVBand="1"/>
      </w:tblPr>
      <w:tblGrid>
        <w:gridCol w:w="10456"/>
      </w:tblGrid>
      <w:tr w:rsidR="000729CF" w:rsidRPr="000729CF" w14:paraId="0163DEB8" w14:textId="77777777" w:rsidTr="00BC26AB">
        <w:trPr>
          <w:trHeight w:val="757"/>
        </w:trPr>
        <w:tc>
          <w:tcPr>
            <w:tcW w:w="10456" w:type="dxa"/>
          </w:tcPr>
          <w:p w14:paraId="2A5B088D" w14:textId="77777777" w:rsidR="000729CF" w:rsidRPr="000729CF" w:rsidRDefault="000729CF" w:rsidP="000729CF">
            <w:pPr>
              <w:rPr>
                <w:rFonts w:ascii="Arial" w:hAnsi="Arial" w:cs="Arial"/>
                <w:color w:val="000000"/>
                <w:sz w:val="24"/>
                <w:szCs w:val="24"/>
              </w:rPr>
            </w:pPr>
            <w:r w:rsidRPr="000729CF">
              <w:rPr>
                <w:rFonts w:ascii="Arial" w:hAnsi="Arial" w:cs="Arial"/>
                <w:color w:val="000000"/>
                <w:sz w:val="24"/>
                <w:szCs w:val="24"/>
              </w:rPr>
              <w:t>Equalities data is gathered in line with statutory guidelines as indicated by DHSC and NHSE. Assessments and r</w:t>
            </w:r>
            <w:r w:rsidRPr="000729CF">
              <w:rPr>
                <w:rFonts w:ascii="Arial" w:eastAsia="Calibri" w:hAnsi="Arial" w:cs="Arial"/>
                <w:sz w:val="24"/>
                <w:szCs w:val="24"/>
              </w:rPr>
              <w:t>eviews of individuals gather further information to fully understand the strengths and needs of each person requiring care and support.</w:t>
            </w:r>
            <w:r w:rsidRPr="000729CF">
              <w:rPr>
                <w:rFonts w:ascii="Arial" w:hAnsi="Arial" w:cs="Arial"/>
                <w:color w:val="000000"/>
                <w:sz w:val="24"/>
                <w:szCs w:val="24"/>
              </w:rPr>
              <w:t xml:space="preserve"> Although this is not monitored currently for trends and analysis, each individual’s needs are considered throughout their care and support planning. Where we do not have data available, we will seek to improve this and continue to engage with people in the community to understand the impacts further. Further work is underway corporately to adopt new standards on data collection for protected characteristics.</w:t>
            </w:r>
          </w:p>
        </w:tc>
      </w:tr>
    </w:tbl>
    <w:p w14:paraId="6F63F5FC" w14:textId="77777777" w:rsidR="000729CF" w:rsidRPr="000729CF" w:rsidRDefault="000729CF" w:rsidP="000729CF">
      <w:pPr>
        <w:rPr>
          <w:rFonts w:ascii="Arial" w:eastAsia="Calibri" w:hAnsi="Arial" w:cs="Arial"/>
          <w:sz w:val="24"/>
          <w:szCs w:val="24"/>
          <w:lang w:val="en-GB"/>
        </w:rPr>
      </w:pPr>
    </w:p>
    <w:p w14:paraId="68E0A6C7" w14:textId="77777777" w:rsidR="000729CF" w:rsidRPr="000729CF" w:rsidRDefault="000729CF" w:rsidP="000729CF">
      <w:pPr>
        <w:rPr>
          <w:rFonts w:ascii="Arial" w:eastAsia="Calibri" w:hAnsi="Arial" w:cs="Arial"/>
          <w:sz w:val="24"/>
          <w:szCs w:val="24"/>
          <w:lang w:val="en-GB"/>
        </w:rPr>
      </w:pPr>
    </w:p>
    <w:p w14:paraId="0D6B0AC5"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are the arrangements for monitoring, and reviewing the impact of this proposal?</w:t>
      </w:r>
    </w:p>
    <w:tbl>
      <w:tblPr>
        <w:tblStyle w:val="TableGrid"/>
        <w:tblW w:w="0" w:type="auto"/>
        <w:tblLook w:val="04A0" w:firstRow="1" w:lastRow="0" w:firstColumn="1" w:lastColumn="0" w:noHBand="0" w:noVBand="1"/>
      </w:tblPr>
      <w:tblGrid>
        <w:gridCol w:w="10456"/>
      </w:tblGrid>
      <w:tr w:rsidR="000729CF" w:rsidRPr="000729CF" w14:paraId="46E083B6" w14:textId="77777777" w:rsidTr="00BC26AB">
        <w:trPr>
          <w:trHeight w:val="757"/>
        </w:trPr>
        <w:tc>
          <w:tcPr>
            <w:tcW w:w="10456" w:type="dxa"/>
          </w:tcPr>
          <w:p w14:paraId="5E88DF50" w14:textId="77777777" w:rsidR="000729CF" w:rsidRPr="000729CF" w:rsidRDefault="000729CF" w:rsidP="000729CF">
            <w:pPr>
              <w:rPr>
                <w:rFonts w:ascii="Arial" w:hAnsi="Arial" w:cs="Arial"/>
                <w:bCs/>
                <w:sz w:val="24"/>
                <w:szCs w:val="24"/>
                <w:lang w:eastAsia="en-GB"/>
              </w:rPr>
            </w:pPr>
            <w:r w:rsidRPr="000729CF">
              <w:rPr>
                <w:rFonts w:ascii="Arial" w:hAnsi="Arial" w:cs="Arial"/>
                <w:bCs/>
                <w:sz w:val="24"/>
                <w:szCs w:val="24"/>
                <w:lang w:eastAsia="en-GB"/>
              </w:rPr>
              <w:t xml:space="preserve">The Executive Director for Health and Adult Social Care retains the responsibility for professional leadership and operational delivery for meeting statutory need and will ensure governance arrangements support social work professional practice to ensure that statutory duties and responsibilities are appropriately met and best practice is followed. </w:t>
            </w:r>
          </w:p>
          <w:p w14:paraId="43EBDF4C" w14:textId="77777777" w:rsidR="000729CF" w:rsidRPr="000729CF" w:rsidRDefault="000729CF" w:rsidP="000729CF">
            <w:pPr>
              <w:rPr>
                <w:rFonts w:ascii="Arial" w:hAnsi="Arial" w:cs="Arial"/>
                <w:bCs/>
                <w:sz w:val="24"/>
                <w:szCs w:val="24"/>
                <w:lang w:eastAsia="en-GB"/>
              </w:rPr>
            </w:pPr>
          </w:p>
          <w:p w14:paraId="4AE23B47" w14:textId="77777777" w:rsidR="000729CF" w:rsidRPr="000729CF" w:rsidRDefault="000729CF" w:rsidP="000729CF">
            <w:pPr>
              <w:rPr>
                <w:rFonts w:ascii="Arial" w:hAnsi="Arial" w:cs="Arial"/>
                <w:sz w:val="24"/>
                <w:szCs w:val="24"/>
                <w:lang w:eastAsia="en-GB"/>
              </w:rPr>
            </w:pPr>
            <w:r w:rsidRPr="000729CF">
              <w:rPr>
                <w:rFonts w:ascii="Arial" w:hAnsi="Arial" w:cs="Arial"/>
                <w:sz w:val="24"/>
                <w:szCs w:val="24"/>
                <w:lang w:eastAsia="en-GB"/>
              </w:rPr>
              <w:t>Through the commissioning strategy and cycle, we will continue to engage with providers, partners, service users and their families/carers to monitor the impact of this proposal. We will use data from our brokerage team to monitor demand and supply. Reviews will consider the impact to individuals and carers. The annual service user survey and biannual carers surveys, as well as customer feedback through compliments and complaints, will also feed into our monitoring and review of this proposal.</w:t>
            </w:r>
          </w:p>
          <w:p w14:paraId="6408F65F" w14:textId="77777777" w:rsidR="000729CF" w:rsidRPr="000729CF" w:rsidRDefault="000729CF" w:rsidP="000729CF">
            <w:pPr>
              <w:spacing w:after="120"/>
              <w:rPr>
                <w:rFonts w:ascii="Arial" w:eastAsia="Calibri" w:hAnsi="Arial" w:cs="Arial"/>
                <w:sz w:val="24"/>
                <w:szCs w:val="24"/>
              </w:rPr>
            </w:pPr>
          </w:p>
        </w:tc>
      </w:tr>
    </w:tbl>
    <w:p w14:paraId="2E29B7DB" w14:textId="77777777" w:rsidR="000729CF" w:rsidRPr="000729CF" w:rsidRDefault="000729CF" w:rsidP="000729CF">
      <w:pPr>
        <w:rPr>
          <w:rFonts w:ascii="Arial" w:eastAsia="Calibri" w:hAnsi="Arial" w:cs="Arial"/>
          <w:sz w:val="24"/>
          <w:szCs w:val="24"/>
          <w:lang w:val="en-GB"/>
        </w:rPr>
      </w:pPr>
    </w:p>
    <w:p w14:paraId="117F2521" w14:textId="77777777" w:rsidR="000729CF" w:rsidRPr="000729CF" w:rsidRDefault="000729CF" w:rsidP="000729CF">
      <w:pPr>
        <w:rPr>
          <w:rFonts w:ascii="Arial" w:eastAsia="Calibri" w:hAnsi="Arial" w:cs="Arial"/>
          <w:sz w:val="24"/>
          <w:szCs w:val="24"/>
          <w:lang w:val="en-GB"/>
        </w:rPr>
      </w:pPr>
    </w:p>
    <w:p w14:paraId="55C00AED"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Impacts</w:t>
      </w:r>
    </w:p>
    <w:p w14:paraId="436FF8D2"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Briefly state source of data or data analysis being used to describe the </w:t>
      </w:r>
      <w:r w:rsidRPr="000729CF">
        <w:rPr>
          <w:rFonts w:ascii="Arial" w:eastAsia="Calibri" w:hAnsi="Arial" w:cs="Arial"/>
          <w:color w:val="000000"/>
          <w:sz w:val="24"/>
          <w:szCs w:val="24"/>
          <w:bdr w:val="none" w:sz="0" w:space="0" w:color="auto" w:frame="1"/>
          <w:lang w:val="en-GB"/>
        </w:rPr>
        <w:t xml:space="preserve">disproportionate negative impacts. </w:t>
      </w:r>
      <w:r w:rsidRPr="000729CF">
        <w:rPr>
          <w:rFonts w:ascii="Arial" w:eastAsia="Calibri" w:hAnsi="Arial" w:cs="Arial"/>
          <w:sz w:val="24"/>
          <w:szCs w:val="24"/>
          <w:lang w:val="en-GB"/>
        </w:rPr>
        <w:t xml:space="preserve">Preferably provide link to data/ analysis if open data source. </w:t>
      </w:r>
    </w:p>
    <w:tbl>
      <w:tblPr>
        <w:tblStyle w:val="TableGrid"/>
        <w:tblW w:w="10485" w:type="dxa"/>
        <w:tblLook w:val="04A0" w:firstRow="1" w:lastRow="0" w:firstColumn="1" w:lastColumn="0" w:noHBand="0" w:noVBand="1"/>
      </w:tblPr>
      <w:tblGrid>
        <w:gridCol w:w="2985"/>
        <w:gridCol w:w="2123"/>
        <w:gridCol w:w="5377"/>
      </w:tblGrid>
      <w:tr w:rsidR="000729CF" w:rsidRPr="000729CF" w14:paraId="5763F391" w14:textId="77777777" w:rsidTr="000729CF">
        <w:trPr>
          <w:trHeight w:val="20"/>
        </w:trPr>
        <w:tc>
          <w:tcPr>
            <w:tcW w:w="2985" w:type="dxa"/>
            <w:shd w:val="clear" w:color="auto" w:fill="E7E6E6"/>
          </w:tcPr>
          <w:p w14:paraId="39A9582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Assess impact for different population groups</w:t>
            </w:r>
          </w:p>
        </w:tc>
        <w:tc>
          <w:tcPr>
            <w:tcW w:w="2123" w:type="dxa"/>
            <w:shd w:val="clear" w:color="auto" w:fill="E7E6E6"/>
          </w:tcPr>
          <w:p w14:paraId="30A764B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Is there a possible disproportionate negative impact? </w:t>
            </w:r>
          </w:p>
          <w:p w14:paraId="20CEF807" w14:textId="77777777" w:rsidR="000729CF" w:rsidRPr="000729CF" w:rsidRDefault="000729CF" w:rsidP="000729CF">
            <w:pPr>
              <w:spacing w:after="120"/>
              <w:rPr>
                <w:rFonts w:ascii="Arial" w:eastAsia="Calibri" w:hAnsi="Arial" w:cs="Arial"/>
                <w:b/>
                <w:bCs/>
                <w:sz w:val="24"/>
                <w:szCs w:val="24"/>
              </w:rPr>
            </w:pPr>
          </w:p>
          <w:p w14:paraId="3F0DE59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b/>
                <w:bCs/>
                <w:sz w:val="24"/>
                <w:szCs w:val="24"/>
              </w:rPr>
              <w:t>State Yes or No</w:t>
            </w:r>
          </w:p>
        </w:tc>
        <w:tc>
          <w:tcPr>
            <w:tcW w:w="5377" w:type="dxa"/>
            <w:shd w:val="clear" w:color="auto" w:fill="E7E6E6"/>
          </w:tcPr>
          <w:p w14:paraId="132D521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Describe the potential negative impact, considering for differences within groups For example, different ethnic groups, and peoples intersecting identities e.g. disabled women of faith</w:t>
            </w:r>
          </w:p>
          <w:p w14:paraId="4CB2B80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OR</w:t>
            </w:r>
          </w:p>
          <w:p w14:paraId="7F4A106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If no impact is identified, briefly state why.</w:t>
            </w:r>
          </w:p>
        </w:tc>
      </w:tr>
      <w:tr w:rsidR="000729CF" w:rsidRPr="000729CF" w14:paraId="7382592A" w14:textId="77777777" w:rsidTr="000729CF">
        <w:trPr>
          <w:trHeight w:val="20"/>
        </w:trPr>
        <w:tc>
          <w:tcPr>
            <w:tcW w:w="2985" w:type="dxa"/>
            <w:shd w:val="clear" w:color="auto" w:fill="E7E6E6"/>
          </w:tcPr>
          <w:p w14:paraId="3083EBB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Age </w:t>
            </w:r>
          </w:p>
          <w:p w14:paraId="4FF60CB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sz w:val="24"/>
                <w:szCs w:val="24"/>
              </w:rPr>
              <w:t>including those under 16, young adults, multiple ethnicities, those with various intersections.</w:t>
            </w:r>
          </w:p>
        </w:tc>
        <w:tc>
          <w:tcPr>
            <w:tcW w:w="2123" w:type="dxa"/>
          </w:tcPr>
          <w:p w14:paraId="2D51B3E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326F50F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services are for adults. Approximately 20% of people impacted by ceasing learning disability provision are over 65.</w:t>
            </w:r>
          </w:p>
        </w:tc>
      </w:tr>
      <w:tr w:rsidR="000729CF" w:rsidRPr="000729CF" w14:paraId="6A01EA8D" w14:textId="77777777" w:rsidTr="000729CF">
        <w:trPr>
          <w:trHeight w:val="20"/>
        </w:trPr>
        <w:tc>
          <w:tcPr>
            <w:tcW w:w="2985" w:type="dxa"/>
            <w:shd w:val="clear" w:color="auto" w:fill="E7E6E6"/>
          </w:tcPr>
          <w:p w14:paraId="6AA391FF"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 xml:space="preserve">Disability </w:t>
            </w:r>
            <w:r w:rsidRPr="000729CF">
              <w:rPr>
                <w:rFonts w:ascii="Arial" w:eastAsia="Calibri" w:hAnsi="Arial" w:cs="Arial"/>
                <w:sz w:val="24"/>
                <w:szCs w:val="24"/>
              </w:rPr>
              <w:t>includes physical and sensory disabled, D/deaf, deafened, hard of hearing, blind, neurodiverse people, people with non-visible disabilities.</w:t>
            </w:r>
          </w:p>
        </w:tc>
        <w:tc>
          <w:tcPr>
            <w:tcW w:w="2123" w:type="dxa"/>
          </w:tcPr>
          <w:p w14:paraId="2024D9A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40BE925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People with learning disabilities impacted by ceasing provision at Cromwell Road and Community Support.</w:t>
            </w:r>
          </w:p>
        </w:tc>
      </w:tr>
      <w:tr w:rsidR="000729CF" w:rsidRPr="000729CF" w14:paraId="1838E33D" w14:textId="77777777" w:rsidTr="000729CF">
        <w:trPr>
          <w:trHeight w:val="20"/>
        </w:trPr>
        <w:tc>
          <w:tcPr>
            <w:tcW w:w="2985" w:type="dxa"/>
            <w:shd w:val="clear" w:color="auto" w:fill="E7E6E6"/>
          </w:tcPr>
          <w:p w14:paraId="66900B39" w14:textId="77777777" w:rsidR="000729CF" w:rsidRPr="000729CF" w:rsidRDefault="000729CF" w:rsidP="000729CF">
            <w:pPr>
              <w:keepNext/>
              <w:keepLines/>
              <w:spacing w:before="40"/>
              <w:outlineLvl w:val="2"/>
              <w:rPr>
                <w:rFonts w:ascii="Arial" w:hAnsi="Arial" w:cs="Arial"/>
                <w:color w:val="1F3763"/>
                <w:sz w:val="24"/>
                <w:szCs w:val="24"/>
              </w:rPr>
            </w:pPr>
            <w:r w:rsidRPr="000729CF">
              <w:rPr>
                <w:rFonts w:ascii="Arial" w:hAnsi="Arial" w:cs="Arial"/>
                <w:b/>
                <w:bCs/>
                <w:color w:val="000000"/>
                <w:sz w:val="24"/>
                <w:szCs w:val="24"/>
              </w:rPr>
              <w:t>Ethnicity, ‘</w:t>
            </w:r>
            <w:r w:rsidRPr="000729CF">
              <w:rPr>
                <w:rFonts w:ascii="Arial" w:hAnsi="Arial" w:cs="Arial"/>
                <w:color w:val="000000"/>
                <w:sz w:val="24"/>
                <w:szCs w:val="24"/>
              </w:rPr>
              <w:t>Race’, ethnic heritage including Gypsy, Roma, Travellers</w:t>
            </w:r>
          </w:p>
        </w:tc>
        <w:tc>
          <w:tcPr>
            <w:tcW w:w="2123" w:type="dxa"/>
          </w:tcPr>
          <w:p w14:paraId="3F0B680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33A33BC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service users impacted by the ceasing of provision at Cromwell Road and the Community Support service are predominantly White British (over 90%).</w:t>
            </w:r>
          </w:p>
        </w:tc>
      </w:tr>
      <w:tr w:rsidR="000729CF" w:rsidRPr="000729CF" w14:paraId="356A8A30" w14:textId="77777777" w:rsidTr="000729CF">
        <w:trPr>
          <w:trHeight w:val="20"/>
        </w:trPr>
        <w:tc>
          <w:tcPr>
            <w:tcW w:w="2985" w:type="dxa"/>
            <w:shd w:val="clear" w:color="auto" w:fill="E7E6E6"/>
          </w:tcPr>
          <w:p w14:paraId="5972598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Religion, Spirituality, Faith, Atheism, and philosophical belief </w:t>
            </w:r>
          </w:p>
        </w:tc>
        <w:tc>
          <w:tcPr>
            <w:tcW w:w="2123" w:type="dxa"/>
          </w:tcPr>
          <w:p w14:paraId="12E0622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45219C00" w14:textId="77777777" w:rsidR="000729CF" w:rsidRPr="000729CF" w:rsidRDefault="000729CF" w:rsidP="000729CF">
            <w:pPr>
              <w:spacing w:after="120"/>
              <w:rPr>
                <w:rFonts w:ascii="Arial" w:eastAsia="Calibri" w:hAnsi="Arial" w:cs="Arial"/>
                <w:sz w:val="24"/>
                <w:szCs w:val="24"/>
              </w:rPr>
            </w:pPr>
          </w:p>
        </w:tc>
      </w:tr>
      <w:tr w:rsidR="000729CF" w:rsidRPr="000729CF" w14:paraId="66F5DFC6" w14:textId="77777777" w:rsidTr="000729CF">
        <w:trPr>
          <w:trHeight w:val="20"/>
        </w:trPr>
        <w:tc>
          <w:tcPr>
            <w:tcW w:w="2985" w:type="dxa"/>
            <w:shd w:val="clear" w:color="auto" w:fill="E7E6E6"/>
          </w:tcPr>
          <w:p w14:paraId="5344134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Gender and Sex </w:t>
            </w:r>
            <w:r w:rsidRPr="000729CF">
              <w:rPr>
                <w:rFonts w:ascii="Arial" w:eastAsia="Calibri" w:hAnsi="Arial" w:cs="Arial"/>
                <w:sz w:val="24"/>
                <w:szCs w:val="24"/>
              </w:rPr>
              <w:t>including non-binary and intersex people</w:t>
            </w:r>
          </w:p>
        </w:tc>
        <w:tc>
          <w:tcPr>
            <w:tcW w:w="2123" w:type="dxa"/>
          </w:tcPr>
          <w:p w14:paraId="75A45B5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3D50FC8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Approximately 55% of people impacted by ceasing learning disability provision are male.</w:t>
            </w:r>
          </w:p>
        </w:tc>
      </w:tr>
      <w:tr w:rsidR="000729CF" w:rsidRPr="000729CF" w14:paraId="0A032328" w14:textId="77777777" w:rsidTr="000729CF">
        <w:trPr>
          <w:trHeight w:val="20"/>
        </w:trPr>
        <w:tc>
          <w:tcPr>
            <w:tcW w:w="2985" w:type="dxa"/>
            <w:shd w:val="clear" w:color="auto" w:fill="E7E6E6"/>
          </w:tcPr>
          <w:p w14:paraId="0196A95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2123" w:type="dxa"/>
          </w:tcPr>
          <w:p w14:paraId="0BEC26F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7DA04EFC" w14:textId="77777777" w:rsidR="000729CF" w:rsidRPr="000729CF" w:rsidRDefault="000729CF" w:rsidP="000729CF">
            <w:pPr>
              <w:spacing w:after="120"/>
              <w:rPr>
                <w:rFonts w:ascii="Arial" w:eastAsia="Calibri" w:hAnsi="Arial" w:cs="Arial"/>
                <w:sz w:val="24"/>
                <w:szCs w:val="24"/>
              </w:rPr>
            </w:pPr>
          </w:p>
        </w:tc>
      </w:tr>
      <w:tr w:rsidR="000729CF" w:rsidRPr="000729CF" w14:paraId="2904A191" w14:textId="77777777" w:rsidTr="000729CF">
        <w:trPr>
          <w:trHeight w:val="20"/>
        </w:trPr>
        <w:tc>
          <w:tcPr>
            <w:tcW w:w="2985" w:type="dxa"/>
            <w:shd w:val="clear" w:color="auto" w:fill="E7E6E6"/>
          </w:tcPr>
          <w:p w14:paraId="35686C4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2123" w:type="dxa"/>
          </w:tcPr>
          <w:p w14:paraId="020FBDB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30EDACA2" w14:textId="77777777" w:rsidR="000729CF" w:rsidRPr="000729CF" w:rsidRDefault="000729CF" w:rsidP="000729CF">
            <w:pPr>
              <w:spacing w:after="120"/>
              <w:rPr>
                <w:rFonts w:ascii="Arial" w:eastAsia="Calibri" w:hAnsi="Arial" w:cs="Arial"/>
                <w:sz w:val="24"/>
                <w:szCs w:val="24"/>
              </w:rPr>
            </w:pPr>
          </w:p>
        </w:tc>
      </w:tr>
      <w:tr w:rsidR="000729CF" w:rsidRPr="000729CF" w14:paraId="221E4F70" w14:textId="77777777" w:rsidTr="000729CF">
        <w:trPr>
          <w:trHeight w:val="20"/>
        </w:trPr>
        <w:tc>
          <w:tcPr>
            <w:tcW w:w="2985" w:type="dxa"/>
            <w:shd w:val="clear" w:color="auto" w:fill="E7E6E6"/>
          </w:tcPr>
          <w:p w14:paraId="31B6F29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2123" w:type="dxa"/>
          </w:tcPr>
          <w:p w14:paraId="52849C0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4462ECAC" w14:textId="77777777" w:rsidR="000729CF" w:rsidRPr="000729CF" w:rsidRDefault="000729CF" w:rsidP="000729CF">
            <w:pPr>
              <w:spacing w:after="120"/>
              <w:rPr>
                <w:rFonts w:ascii="Arial" w:eastAsia="Calibri" w:hAnsi="Arial" w:cs="Arial"/>
                <w:sz w:val="24"/>
                <w:szCs w:val="24"/>
              </w:rPr>
            </w:pPr>
          </w:p>
        </w:tc>
      </w:tr>
      <w:tr w:rsidR="000729CF" w:rsidRPr="000729CF" w14:paraId="3A153FF0" w14:textId="77777777" w:rsidTr="000729CF">
        <w:trPr>
          <w:trHeight w:val="20"/>
        </w:trPr>
        <w:tc>
          <w:tcPr>
            <w:tcW w:w="2985" w:type="dxa"/>
            <w:shd w:val="clear" w:color="auto" w:fill="E7E6E6"/>
          </w:tcPr>
          <w:p w14:paraId="7FDA441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Pregnancy, Maternity, Paternity, Adoption, Menopause, (In)fertility </w:t>
            </w:r>
            <w:r w:rsidRPr="000729CF">
              <w:rPr>
                <w:rFonts w:ascii="Arial" w:eastAsia="Calibri" w:hAnsi="Arial" w:cs="Arial"/>
                <w:color w:val="000000"/>
                <w:sz w:val="24"/>
                <w:szCs w:val="24"/>
              </w:rPr>
              <w:t>(across intersections and non-binary gender spectrum)</w:t>
            </w:r>
          </w:p>
        </w:tc>
        <w:tc>
          <w:tcPr>
            <w:tcW w:w="2123" w:type="dxa"/>
          </w:tcPr>
          <w:p w14:paraId="73722BD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7E08FE6B" w14:textId="77777777" w:rsidR="000729CF" w:rsidRPr="000729CF" w:rsidRDefault="000729CF" w:rsidP="000729CF">
            <w:pPr>
              <w:spacing w:after="120"/>
              <w:rPr>
                <w:rFonts w:ascii="Arial" w:eastAsia="Calibri" w:hAnsi="Arial" w:cs="Arial"/>
                <w:sz w:val="24"/>
                <w:szCs w:val="24"/>
              </w:rPr>
            </w:pPr>
          </w:p>
        </w:tc>
      </w:tr>
      <w:tr w:rsidR="000729CF" w:rsidRPr="000729CF" w14:paraId="1ACCE1E1" w14:textId="77777777" w:rsidTr="000729CF">
        <w:trPr>
          <w:trHeight w:val="20"/>
        </w:trPr>
        <w:tc>
          <w:tcPr>
            <w:tcW w:w="2985" w:type="dxa"/>
            <w:shd w:val="clear" w:color="auto" w:fill="E7E6E6"/>
          </w:tcPr>
          <w:p w14:paraId="5C42B7C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2123" w:type="dxa"/>
          </w:tcPr>
          <w:p w14:paraId="0690FBC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0316BFE8" w14:textId="77777777" w:rsidR="000729CF" w:rsidRPr="000729CF" w:rsidRDefault="000729CF" w:rsidP="000729CF">
            <w:pPr>
              <w:spacing w:after="120"/>
              <w:rPr>
                <w:rFonts w:ascii="Arial" w:eastAsia="Calibri" w:hAnsi="Arial" w:cs="Arial"/>
                <w:sz w:val="24"/>
                <w:szCs w:val="24"/>
              </w:rPr>
            </w:pPr>
          </w:p>
        </w:tc>
      </w:tr>
      <w:tr w:rsidR="000729CF" w:rsidRPr="000729CF" w14:paraId="0AF7DD93" w14:textId="77777777" w:rsidTr="000729CF">
        <w:trPr>
          <w:trHeight w:val="20"/>
        </w:trPr>
        <w:tc>
          <w:tcPr>
            <w:tcW w:w="2985" w:type="dxa"/>
            <w:shd w:val="clear" w:color="auto" w:fill="E7E6E6"/>
          </w:tcPr>
          <w:p w14:paraId="410229DD" w14:textId="77777777" w:rsidR="000729CF" w:rsidRPr="000729CF" w:rsidRDefault="000729CF" w:rsidP="000729CF">
            <w:pPr>
              <w:spacing w:after="120"/>
              <w:rPr>
                <w:rFonts w:ascii="Arial" w:eastAsia="Calibri" w:hAnsi="Arial" w:cs="Arial"/>
                <w:b/>
                <w:bCs/>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r w:rsidRPr="000729CF">
              <w:rPr>
                <w:rFonts w:ascii="Arial" w:hAnsi="Arial" w:cs="Arial"/>
                <w:color w:val="000000"/>
                <w:sz w:val="24"/>
                <w:szCs w:val="24"/>
              </w:rPr>
              <w:t>considering for age, language, and various intersections</w:t>
            </w:r>
          </w:p>
        </w:tc>
        <w:tc>
          <w:tcPr>
            <w:tcW w:w="2123" w:type="dxa"/>
          </w:tcPr>
          <w:p w14:paraId="0B0CEBD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09BF4CF4" w14:textId="77777777" w:rsidR="000729CF" w:rsidRPr="000729CF" w:rsidRDefault="000729CF" w:rsidP="000729CF">
            <w:pPr>
              <w:spacing w:after="120"/>
              <w:rPr>
                <w:rFonts w:ascii="Arial" w:eastAsia="Calibri" w:hAnsi="Arial" w:cs="Arial"/>
                <w:sz w:val="24"/>
                <w:szCs w:val="24"/>
              </w:rPr>
            </w:pPr>
          </w:p>
        </w:tc>
      </w:tr>
      <w:tr w:rsidR="000729CF" w:rsidRPr="000729CF" w14:paraId="5141BEA5" w14:textId="77777777" w:rsidTr="000729CF">
        <w:trPr>
          <w:trHeight w:val="20"/>
        </w:trPr>
        <w:tc>
          <w:tcPr>
            <w:tcW w:w="2985" w:type="dxa"/>
            <w:shd w:val="clear" w:color="auto" w:fill="E7E6E6"/>
          </w:tcPr>
          <w:p w14:paraId="61FBF4F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Carers </w:t>
            </w:r>
            <w:r w:rsidRPr="000729CF">
              <w:rPr>
                <w:rFonts w:ascii="Arial" w:hAnsi="Arial" w:cs="Arial"/>
                <w:color w:val="000000"/>
                <w:sz w:val="24"/>
                <w:szCs w:val="24"/>
              </w:rPr>
              <w:t>considering for age, language, and various intersections</w:t>
            </w:r>
          </w:p>
        </w:tc>
        <w:tc>
          <w:tcPr>
            <w:tcW w:w="2123" w:type="dxa"/>
          </w:tcPr>
          <w:p w14:paraId="19F19A2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64B3654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Changes in care arrangements for those accessing Community Support may impact carers.</w:t>
            </w:r>
          </w:p>
        </w:tc>
      </w:tr>
      <w:tr w:rsidR="000729CF" w:rsidRPr="000729CF" w14:paraId="491F822A" w14:textId="77777777" w:rsidTr="000729CF">
        <w:trPr>
          <w:trHeight w:val="20"/>
        </w:trPr>
        <w:tc>
          <w:tcPr>
            <w:tcW w:w="2985" w:type="dxa"/>
            <w:shd w:val="clear" w:color="auto" w:fill="E7E6E6"/>
          </w:tcPr>
          <w:p w14:paraId="623B95F5"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 xml:space="preserve">Looked after children, Care Leavers, Care and fostering experienced people </w:t>
            </w:r>
            <w:r w:rsidRPr="000729CF">
              <w:rPr>
                <w:rFonts w:ascii="Arial" w:hAnsi="Arial" w:cs="Arial"/>
                <w:color w:val="000000"/>
                <w:sz w:val="24"/>
                <w:szCs w:val="24"/>
              </w:rPr>
              <w:t>considering for age, language, and various intersections</w:t>
            </w:r>
          </w:p>
        </w:tc>
        <w:tc>
          <w:tcPr>
            <w:tcW w:w="2123" w:type="dxa"/>
          </w:tcPr>
          <w:p w14:paraId="22F4C5E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2359DA7C" w14:textId="77777777" w:rsidR="000729CF" w:rsidRPr="000729CF" w:rsidRDefault="000729CF" w:rsidP="000729CF">
            <w:pPr>
              <w:spacing w:after="120"/>
              <w:rPr>
                <w:rFonts w:ascii="Arial" w:eastAsia="Calibri" w:hAnsi="Arial" w:cs="Arial"/>
                <w:sz w:val="24"/>
                <w:szCs w:val="24"/>
              </w:rPr>
            </w:pPr>
          </w:p>
        </w:tc>
      </w:tr>
      <w:tr w:rsidR="000729CF" w:rsidRPr="000729CF" w14:paraId="45290FE2" w14:textId="77777777" w:rsidTr="000729CF">
        <w:trPr>
          <w:trHeight w:val="20"/>
        </w:trPr>
        <w:tc>
          <w:tcPr>
            <w:tcW w:w="2985" w:type="dxa"/>
            <w:shd w:val="clear" w:color="auto" w:fill="E7E6E6"/>
          </w:tcPr>
          <w:p w14:paraId="58D16B2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w:t>
            </w:r>
          </w:p>
        </w:tc>
        <w:tc>
          <w:tcPr>
            <w:tcW w:w="2123" w:type="dxa"/>
          </w:tcPr>
          <w:p w14:paraId="7508DEE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705D44E6" w14:textId="77777777" w:rsidR="000729CF" w:rsidRPr="000729CF" w:rsidRDefault="000729CF" w:rsidP="000729CF">
            <w:pPr>
              <w:spacing w:after="120"/>
              <w:rPr>
                <w:rFonts w:ascii="Arial" w:eastAsia="Calibri" w:hAnsi="Arial" w:cs="Arial"/>
                <w:sz w:val="24"/>
                <w:szCs w:val="24"/>
              </w:rPr>
            </w:pPr>
          </w:p>
        </w:tc>
      </w:tr>
      <w:tr w:rsidR="000729CF" w:rsidRPr="000729CF" w14:paraId="125F7105" w14:textId="77777777" w:rsidTr="000729CF">
        <w:trPr>
          <w:trHeight w:val="20"/>
        </w:trPr>
        <w:tc>
          <w:tcPr>
            <w:tcW w:w="2985" w:type="dxa"/>
            <w:shd w:val="clear" w:color="auto" w:fill="E7E6E6"/>
          </w:tcPr>
          <w:p w14:paraId="5353335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Socio-economic disadvantage </w:t>
            </w:r>
            <w:r w:rsidRPr="000729CF">
              <w:rPr>
                <w:rFonts w:ascii="Arial" w:eastAsia="Calibri" w:hAnsi="Arial" w:cs="Arial"/>
                <w:color w:val="000000"/>
                <w:sz w:val="24"/>
                <w:szCs w:val="24"/>
              </w:rPr>
              <w:t>considering for age, disability, D/deaf/ blind, ethnicity, expatriate background, and various intersections</w:t>
            </w:r>
          </w:p>
        </w:tc>
        <w:tc>
          <w:tcPr>
            <w:tcW w:w="2123" w:type="dxa"/>
          </w:tcPr>
          <w:p w14:paraId="39E522B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267284D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Cromwell Road and Community Support service provide support to people whose only source of income is welfare benefits.</w:t>
            </w:r>
          </w:p>
        </w:tc>
      </w:tr>
      <w:tr w:rsidR="000729CF" w:rsidRPr="000729CF" w14:paraId="4264794E" w14:textId="77777777" w:rsidTr="000729CF">
        <w:trPr>
          <w:trHeight w:val="20"/>
        </w:trPr>
        <w:tc>
          <w:tcPr>
            <w:tcW w:w="2985" w:type="dxa"/>
            <w:shd w:val="clear" w:color="auto" w:fill="E7E6E6"/>
          </w:tcPr>
          <w:p w14:paraId="727F8DC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Homeless and rough sleepers </w:t>
            </w:r>
            <w:r w:rsidRPr="000729CF">
              <w:rPr>
                <w:rFonts w:ascii="Arial" w:eastAsia="Calibri" w:hAnsi="Arial" w:cs="Arial"/>
                <w:color w:val="000000"/>
                <w:sz w:val="24"/>
                <w:szCs w:val="24"/>
              </w:rPr>
              <w:t>considering for age, veteran, ethnicity, language, and various intersections</w:t>
            </w:r>
          </w:p>
        </w:tc>
        <w:tc>
          <w:tcPr>
            <w:tcW w:w="2123" w:type="dxa"/>
          </w:tcPr>
          <w:p w14:paraId="226EF7A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161F1B3C" w14:textId="77777777" w:rsidR="000729CF" w:rsidRPr="000729CF" w:rsidRDefault="000729CF" w:rsidP="000729CF">
            <w:pPr>
              <w:spacing w:after="120"/>
              <w:rPr>
                <w:rFonts w:ascii="Arial" w:eastAsia="Calibri" w:hAnsi="Arial" w:cs="Arial"/>
                <w:sz w:val="24"/>
                <w:szCs w:val="24"/>
              </w:rPr>
            </w:pPr>
          </w:p>
        </w:tc>
      </w:tr>
      <w:tr w:rsidR="000729CF" w:rsidRPr="000729CF" w14:paraId="174EF488" w14:textId="77777777" w:rsidTr="000729CF">
        <w:trPr>
          <w:trHeight w:val="20"/>
        </w:trPr>
        <w:tc>
          <w:tcPr>
            <w:tcW w:w="2985" w:type="dxa"/>
            <w:shd w:val="clear" w:color="auto" w:fill="E7E6E6"/>
          </w:tcPr>
          <w:p w14:paraId="238E7B2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2123" w:type="dxa"/>
          </w:tcPr>
          <w:p w14:paraId="2C167A0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75534A1B" w14:textId="77777777" w:rsidR="000729CF" w:rsidRPr="000729CF" w:rsidRDefault="000729CF" w:rsidP="000729CF">
            <w:pPr>
              <w:spacing w:after="120"/>
              <w:rPr>
                <w:rFonts w:ascii="Arial" w:eastAsia="Calibri" w:hAnsi="Arial" w:cs="Arial"/>
                <w:sz w:val="24"/>
                <w:szCs w:val="24"/>
              </w:rPr>
            </w:pPr>
          </w:p>
        </w:tc>
      </w:tr>
      <w:tr w:rsidR="000729CF" w:rsidRPr="000729CF" w14:paraId="3AA9A5A8" w14:textId="77777777" w:rsidTr="000729CF">
        <w:trPr>
          <w:trHeight w:val="20"/>
        </w:trPr>
        <w:tc>
          <w:tcPr>
            <w:tcW w:w="2985" w:type="dxa"/>
            <w:shd w:val="clear" w:color="auto" w:fill="E7E6E6"/>
          </w:tcPr>
          <w:p w14:paraId="4B07CFA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 (please specify here and add additional rows as needed)</w:t>
            </w:r>
          </w:p>
        </w:tc>
        <w:tc>
          <w:tcPr>
            <w:tcW w:w="2123" w:type="dxa"/>
          </w:tcPr>
          <w:p w14:paraId="05B6607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409F4F15" w14:textId="77777777" w:rsidR="000729CF" w:rsidRPr="000729CF" w:rsidRDefault="000729CF" w:rsidP="000729CF">
            <w:pPr>
              <w:spacing w:after="120"/>
              <w:rPr>
                <w:rFonts w:ascii="Arial" w:eastAsia="Calibri" w:hAnsi="Arial" w:cs="Arial"/>
                <w:sz w:val="24"/>
                <w:szCs w:val="24"/>
              </w:rPr>
            </w:pPr>
          </w:p>
        </w:tc>
      </w:tr>
    </w:tbl>
    <w:p w14:paraId="1944ED62" w14:textId="77777777" w:rsidR="000729CF" w:rsidRPr="000729CF" w:rsidRDefault="000729CF" w:rsidP="000729CF">
      <w:pPr>
        <w:spacing w:after="160" w:line="259" w:lineRule="auto"/>
        <w:rPr>
          <w:rFonts w:ascii="Arial" w:eastAsia="Calibri" w:hAnsi="Arial" w:cs="Arial"/>
          <w:b/>
          <w:bCs/>
          <w:sz w:val="24"/>
          <w:szCs w:val="24"/>
          <w:lang w:val="en-GB"/>
        </w:rPr>
      </w:pPr>
    </w:p>
    <w:p w14:paraId="045389CB"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13D9E546"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293D6E92"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34C79D19"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68E29B8D"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58765766"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4F03C277"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5E4823F9"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1098F202"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5688F571"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5F3CCB29" w14:textId="77777777" w:rsidR="000729CF" w:rsidRPr="000729CF" w:rsidRDefault="000729CF" w:rsidP="000729CF">
      <w:pPr>
        <w:rPr>
          <w:rFonts w:ascii="Arial" w:eastAsia="Calibri" w:hAnsi="Arial" w:cs="Arial"/>
          <w:sz w:val="24"/>
          <w:szCs w:val="24"/>
          <w:lang w:val="en-GB"/>
        </w:rPr>
      </w:pPr>
    </w:p>
    <w:p w14:paraId="3A4ADF4D"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Cumulative impacts</w:t>
      </w:r>
    </w:p>
    <w:p w14:paraId="65656D07"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Are there other budget proposals from other service areas that might worsen or mitigate the impacts from your proposal? Please give a brief description including name of other service(s).</w:t>
      </w:r>
    </w:p>
    <w:tbl>
      <w:tblPr>
        <w:tblStyle w:val="TableGrid"/>
        <w:tblW w:w="0" w:type="auto"/>
        <w:tblLook w:val="04A0" w:firstRow="1" w:lastRow="0" w:firstColumn="1" w:lastColumn="0" w:noHBand="0" w:noVBand="1"/>
      </w:tblPr>
      <w:tblGrid>
        <w:gridCol w:w="10456"/>
      </w:tblGrid>
      <w:tr w:rsidR="000729CF" w:rsidRPr="000729CF" w14:paraId="18A8BE7F" w14:textId="77777777" w:rsidTr="00BC26AB">
        <w:tc>
          <w:tcPr>
            <w:tcW w:w="10456" w:type="dxa"/>
          </w:tcPr>
          <w:p w14:paraId="7F14A07F"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Any changes in Health Service provision in the city can impact particularly on those people impacted by this proposal. This will be closely monitored through the integrated health agenda and other joint planning mechanisms.</w:t>
            </w:r>
          </w:p>
          <w:p w14:paraId="555E2B1C" w14:textId="77777777" w:rsidR="000729CF" w:rsidRPr="000729CF" w:rsidRDefault="000729CF" w:rsidP="000729CF">
            <w:pPr>
              <w:rPr>
                <w:rFonts w:ascii="Arial" w:eastAsia="Calibri" w:hAnsi="Arial" w:cs="Arial"/>
                <w:sz w:val="24"/>
                <w:szCs w:val="24"/>
              </w:rPr>
            </w:pPr>
          </w:p>
        </w:tc>
      </w:tr>
    </w:tbl>
    <w:p w14:paraId="1CA0C224" w14:textId="77777777" w:rsidR="000729CF" w:rsidRPr="000729CF" w:rsidRDefault="000729CF" w:rsidP="000729CF">
      <w:pPr>
        <w:spacing w:after="160" w:line="259" w:lineRule="auto"/>
        <w:rPr>
          <w:rFonts w:ascii="Arial" w:eastAsia="Calibri" w:hAnsi="Arial" w:cs="Arial"/>
          <w:sz w:val="24"/>
          <w:szCs w:val="24"/>
          <w:lang w:val="en-GB"/>
        </w:rPr>
      </w:pPr>
    </w:p>
    <w:p w14:paraId="5E4494CD"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Action planning</w:t>
      </w:r>
    </w:p>
    <w:p w14:paraId="080D5F62"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SMART actions will be taken to mitigate the disproportionate impacts identified in section 3? If no mitigating action is possible, please state and explain why. Add additional rows as required. </w:t>
      </w:r>
    </w:p>
    <w:tbl>
      <w:tblPr>
        <w:tblStyle w:val="TableGrid"/>
        <w:tblW w:w="0" w:type="auto"/>
        <w:tblLook w:val="04A0" w:firstRow="1" w:lastRow="0" w:firstColumn="1" w:lastColumn="0" w:noHBand="0" w:noVBand="1"/>
      </w:tblPr>
      <w:tblGrid>
        <w:gridCol w:w="10456"/>
      </w:tblGrid>
      <w:tr w:rsidR="000729CF" w:rsidRPr="000729CF" w14:paraId="15FE6E76" w14:textId="77777777" w:rsidTr="00BC26AB">
        <w:trPr>
          <w:trHeight w:val="847"/>
        </w:trPr>
        <w:tc>
          <w:tcPr>
            <w:tcW w:w="10456" w:type="dxa"/>
          </w:tcPr>
          <w:p w14:paraId="0410DD1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SMART action 1: Engagement with those impacted will happen through the individual reviews</w:t>
            </w:r>
          </w:p>
        </w:tc>
      </w:tr>
      <w:tr w:rsidR="000729CF" w:rsidRPr="000729CF" w14:paraId="24F7C1A9" w14:textId="77777777" w:rsidTr="00BC26AB">
        <w:trPr>
          <w:trHeight w:val="847"/>
        </w:trPr>
        <w:tc>
          <w:tcPr>
            <w:tcW w:w="10456" w:type="dxa"/>
          </w:tcPr>
          <w:p w14:paraId="5CE053B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SMART action 2: Full EIA for Learning Disability services due to cease and wider engagement with the Learning Disability community at the Learning Disability Partnership Board</w:t>
            </w:r>
          </w:p>
        </w:tc>
      </w:tr>
    </w:tbl>
    <w:p w14:paraId="4FCD3CBF" w14:textId="77777777" w:rsidR="000729CF" w:rsidRPr="000729CF" w:rsidRDefault="000729CF" w:rsidP="000729CF">
      <w:pPr>
        <w:spacing w:after="160" w:line="259" w:lineRule="auto"/>
        <w:rPr>
          <w:rFonts w:ascii="Arial" w:eastAsia="Calibri" w:hAnsi="Arial" w:cs="Arial"/>
          <w:sz w:val="24"/>
          <w:szCs w:val="24"/>
          <w:lang w:val="en-GB"/>
        </w:rPr>
      </w:pPr>
    </w:p>
    <w:p w14:paraId="0FA048C0"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Outcome of your assessment</w:t>
      </w:r>
    </w:p>
    <w:p w14:paraId="1313ADAB"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Based on the information above give the proposal an impact score between 1 – 5. </w:t>
      </w:r>
    </w:p>
    <w:p w14:paraId="74FA2A45"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1= proposal has minimal impact and/or mitigating actions will significantly minimise the impact</w:t>
      </w:r>
    </w:p>
    <w:p w14:paraId="3C349F43"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3= proposal will have a significant negative impact; however, mitigation actions will reduce the impact considerably.</w:t>
      </w:r>
    </w:p>
    <w:p w14:paraId="49CEB378"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5= proposal has significant impact and mitigating actions will have limited effect on reducing impact.</w:t>
      </w:r>
    </w:p>
    <w:p w14:paraId="19C7CC2D" w14:textId="77777777" w:rsidR="000729CF" w:rsidRPr="000729CF" w:rsidRDefault="000729CF" w:rsidP="000729CF">
      <w:pPr>
        <w:rPr>
          <w:rFonts w:ascii="Arial" w:eastAsia="Calibri" w:hAnsi="Arial" w:cs="Arial"/>
          <w:sz w:val="24"/>
          <w:szCs w:val="24"/>
          <w:highlight w:val="yellow"/>
          <w:lang w:val="en-GB"/>
        </w:rPr>
      </w:pPr>
    </w:p>
    <w:tbl>
      <w:tblPr>
        <w:tblStyle w:val="TableGrid"/>
        <w:tblW w:w="0" w:type="auto"/>
        <w:tblLook w:val="04A0" w:firstRow="1" w:lastRow="0" w:firstColumn="1" w:lastColumn="0" w:noHBand="0" w:noVBand="1"/>
      </w:tblPr>
      <w:tblGrid>
        <w:gridCol w:w="3114"/>
        <w:gridCol w:w="7342"/>
      </w:tblGrid>
      <w:tr w:rsidR="000729CF" w:rsidRPr="000729CF" w14:paraId="131845C5" w14:textId="77777777" w:rsidTr="00BC26AB">
        <w:trPr>
          <w:trHeight w:val="152"/>
        </w:trPr>
        <w:tc>
          <w:tcPr>
            <w:tcW w:w="3114" w:type="dxa"/>
          </w:tcPr>
          <w:p w14:paraId="20F09C1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Proposal’s impact score:</w:t>
            </w:r>
          </w:p>
        </w:tc>
        <w:tc>
          <w:tcPr>
            <w:tcW w:w="7342" w:type="dxa"/>
          </w:tcPr>
          <w:p w14:paraId="499FD0C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2</w:t>
            </w:r>
          </w:p>
        </w:tc>
      </w:tr>
    </w:tbl>
    <w:p w14:paraId="25395F40" w14:textId="77777777" w:rsidR="000729CF" w:rsidRPr="000729CF" w:rsidRDefault="000729CF" w:rsidP="000729CF">
      <w:pPr>
        <w:spacing w:after="160" w:line="259" w:lineRule="auto"/>
        <w:rPr>
          <w:rFonts w:ascii="Arial" w:eastAsia="Calibri" w:hAnsi="Arial" w:cs="Arial"/>
          <w:sz w:val="24"/>
          <w:szCs w:val="24"/>
          <w:lang w:val="en-GB"/>
        </w:rPr>
      </w:pPr>
    </w:p>
    <w:p w14:paraId="2507D512"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Publication</w:t>
      </w:r>
    </w:p>
    <w:p w14:paraId="3885DD92"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All Equality Impact Assessments will be published. If you are recommending, and choosing not to publish your EIA, please provide a reason:</w:t>
      </w:r>
    </w:p>
    <w:tbl>
      <w:tblPr>
        <w:tblStyle w:val="TableGrid"/>
        <w:tblW w:w="0" w:type="auto"/>
        <w:tblLook w:val="04A0" w:firstRow="1" w:lastRow="0" w:firstColumn="1" w:lastColumn="0" w:noHBand="0" w:noVBand="1"/>
      </w:tblPr>
      <w:tblGrid>
        <w:gridCol w:w="10456"/>
      </w:tblGrid>
      <w:tr w:rsidR="000729CF" w:rsidRPr="000729CF" w14:paraId="3392441B" w14:textId="77777777" w:rsidTr="00BC26AB">
        <w:trPr>
          <w:trHeight w:val="803"/>
        </w:trPr>
        <w:tc>
          <w:tcPr>
            <w:tcW w:w="10456" w:type="dxa"/>
          </w:tcPr>
          <w:p w14:paraId="0291EF34" w14:textId="77777777" w:rsidR="000729CF" w:rsidRPr="000729CF" w:rsidRDefault="000729CF" w:rsidP="000729CF">
            <w:pPr>
              <w:spacing w:after="120"/>
              <w:rPr>
                <w:rFonts w:ascii="Arial" w:eastAsia="Calibri" w:hAnsi="Arial" w:cs="Arial"/>
                <w:sz w:val="24"/>
                <w:szCs w:val="24"/>
              </w:rPr>
            </w:pPr>
          </w:p>
        </w:tc>
      </w:tr>
    </w:tbl>
    <w:p w14:paraId="0D4B8BB7" w14:textId="77777777" w:rsidR="000729CF" w:rsidRPr="000729CF" w:rsidRDefault="000729CF" w:rsidP="000729CF">
      <w:pPr>
        <w:spacing w:after="160" w:line="259" w:lineRule="auto"/>
        <w:rPr>
          <w:rFonts w:ascii="Arial" w:eastAsia="Calibri" w:hAnsi="Arial" w:cs="Arial"/>
          <w:sz w:val="24"/>
          <w:szCs w:val="24"/>
          <w:lang w:val="en-GB"/>
        </w:rPr>
      </w:pPr>
    </w:p>
    <w:p w14:paraId="263BB609"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Directorate and Service Approval</w:t>
      </w:r>
    </w:p>
    <w:tbl>
      <w:tblPr>
        <w:tblStyle w:val="TableGrid"/>
        <w:tblW w:w="0" w:type="auto"/>
        <w:tblLook w:val="04A0" w:firstRow="1" w:lastRow="0" w:firstColumn="1" w:lastColumn="0" w:noHBand="0" w:noVBand="1"/>
      </w:tblPr>
      <w:tblGrid>
        <w:gridCol w:w="3681"/>
        <w:gridCol w:w="4394"/>
        <w:gridCol w:w="2381"/>
      </w:tblGrid>
      <w:tr w:rsidR="000729CF" w:rsidRPr="000729CF" w14:paraId="1E98C55F" w14:textId="77777777" w:rsidTr="000729CF">
        <w:trPr>
          <w:trHeight w:val="20"/>
        </w:trPr>
        <w:tc>
          <w:tcPr>
            <w:tcW w:w="3681" w:type="dxa"/>
            <w:tcBorders>
              <w:bottom w:val="single" w:sz="4" w:space="0" w:color="auto"/>
            </w:tcBorders>
            <w:shd w:val="clear" w:color="auto" w:fill="D9D9D9"/>
          </w:tcPr>
          <w:p w14:paraId="5BC346D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6D81A28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 and Job Title:</w:t>
            </w:r>
          </w:p>
        </w:tc>
        <w:tc>
          <w:tcPr>
            <w:tcW w:w="2381" w:type="dxa"/>
            <w:shd w:val="clear" w:color="auto" w:fill="D9D9D9"/>
          </w:tcPr>
          <w:p w14:paraId="21463CD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0599EE3E" w14:textId="77777777" w:rsidTr="000729CF">
        <w:trPr>
          <w:trHeight w:val="20"/>
        </w:trPr>
        <w:tc>
          <w:tcPr>
            <w:tcW w:w="3681" w:type="dxa"/>
            <w:shd w:val="clear" w:color="auto" w:fill="E7E6E6"/>
          </w:tcPr>
          <w:p w14:paraId="65D8890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Responsible Lead Officer:</w:t>
            </w:r>
          </w:p>
        </w:tc>
        <w:tc>
          <w:tcPr>
            <w:tcW w:w="4394" w:type="dxa"/>
          </w:tcPr>
          <w:p w14:paraId="3F0CCDB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Michelle Jenkins</w:t>
            </w:r>
          </w:p>
        </w:tc>
        <w:tc>
          <w:tcPr>
            <w:tcW w:w="2381" w:type="dxa"/>
          </w:tcPr>
          <w:p w14:paraId="693DDED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18/01/24</w:t>
            </w:r>
          </w:p>
        </w:tc>
      </w:tr>
      <w:tr w:rsidR="000729CF" w:rsidRPr="000729CF" w14:paraId="6790FBCD" w14:textId="77777777" w:rsidTr="000729CF">
        <w:trPr>
          <w:trHeight w:val="20"/>
        </w:trPr>
        <w:tc>
          <w:tcPr>
            <w:tcW w:w="3681" w:type="dxa"/>
            <w:shd w:val="clear" w:color="auto" w:fill="E7E6E6"/>
          </w:tcPr>
          <w:p w14:paraId="7D556CB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Accountable Manager:</w:t>
            </w:r>
          </w:p>
        </w:tc>
        <w:tc>
          <w:tcPr>
            <w:tcW w:w="4394" w:type="dxa"/>
          </w:tcPr>
          <w:p w14:paraId="5139223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Rob Persey</w:t>
            </w:r>
          </w:p>
        </w:tc>
        <w:tc>
          <w:tcPr>
            <w:tcW w:w="2381" w:type="dxa"/>
          </w:tcPr>
          <w:p w14:paraId="17E2818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18/01/24</w:t>
            </w:r>
          </w:p>
        </w:tc>
      </w:tr>
    </w:tbl>
    <w:p w14:paraId="4018D1CC" w14:textId="77777777" w:rsidR="000729CF" w:rsidRPr="000729CF" w:rsidRDefault="000729CF" w:rsidP="000729CF">
      <w:pPr>
        <w:spacing w:after="160" w:line="259" w:lineRule="auto"/>
        <w:rPr>
          <w:rFonts w:ascii="Arial" w:eastAsia="Calibri" w:hAnsi="Arial" w:cs="Arial"/>
          <w:sz w:val="24"/>
          <w:szCs w:val="24"/>
          <w:lang w:val="en-GB"/>
        </w:rPr>
      </w:pPr>
    </w:p>
    <w:p w14:paraId="13354F49" w14:textId="77777777" w:rsidR="000729CF" w:rsidRPr="000729CF" w:rsidRDefault="000729CF" w:rsidP="000729CF">
      <w:pPr>
        <w:spacing w:after="160" w:line="259" w:lineRule="auto"/>
        <w:rPr>
          <w:rFonts w:ascii="Arial" w:eastAsia="Calibri" w:hAnsi="Arial" w:cs="Arial"/>
          <w:b/>
          <w:bCs/>
          <w:sz w:val="24"/>
          <w:szCs w:val="24"/>
          <w:lang w:val="en-GB"/>
        </w:rPr>
      </w:pPr>
    </w:p>
    <w:p w14:paraId="7F2F64A1" w14:textId="77777777" w:rsidR="000729CF" w:rsidRPr="000729CF" w:rsidRDefault="000729CF" w:rsidP="000729CF">
      <w:pPr>
        <w:keepNext/>
        <w:keepLines/>
        <w:spacing w:before="40" w:after="160" w:line="259" w:lineRule="auto"/>
        <w:outlineLvl w:val="2"/>
        <w:rPr>
          <w:rFonts w:ascii="Arial" w:hAnsi="Arial" w:cs="Arial"/>
          <w:b/>
          <w:bCs/>
          <w:color w:val="000000"/>
          <w:sz w:val="28"/>
          <w:szCs w:val="28"/>
          <w:lang w:val="en-GB"/>
        </w:rPr>
      </w:pPr>
      <w:r w:rsidRPr="000729CF">
        <w:rPr>
          <w:rFonts w:ascii="Arial" w:hAnsi="Arial" w:cs="Arial"/>
          <w:b/>
          <w:bCs/>
          <w:color w:val="000000"/>
          <w:sz w:val="28"/>
          <w:szCs w:val="28"/>
          <w:lang w:val="en-GB"/>
        </w:rPr>
        <w:t>EDI Review and Approval:</w:t>
      </w:r>
    </w:p>
    <w:p w14:paraId="58346EC5" w14:textId="77777777" w:rsidR="000729CF" w:rsidRPr="000729CF" w:rsidRDefault="000729CF" w:rsidP="000729CF">
      <w:pPr>
        <w:spacing w:after="160" w:line="259" w:lineRule="auto"/>
        <w:rPr>
          <w:rFonts w:ascii="Arial" w:eastAsia="Calibri" w:hAnsi="Arial" w:cs="Arial"/>
          <w:sz w:val="24"/>
          <w:szCs w:val="24"/>
          <w:lang w:val="en-GB"/>
        </w:rPr>
      </w:pPr>
    </w:p>
    <w:p w14:paraId="6E8A6630" w14:textId="77777777" w:rsidR="000729CF" w:rsidRPr="000729CF" w:rsidRDefault="000729CF" w:rsidP="000729CF">
      <w:pPr>
        <w:keepNext/>
        <w:keepLines/>
        <w:spacing w:after="160" w:line="259" w:lineRule="auto"/>
        <w:ind w:left="283" w:hanging="283"/>
        <w:outlineLvl w:val="1"/>
        <w:rPr>
          <w:rFonts w:ascii="Arial" w:hAnsi="Arial" w:cs="Arial"/>
          <w:color w:val="2F5496"/>
          <w:sz w:val="24"/>
          <w:szCs w:val="24"/>
          <w:lang w:val="en-GB"/>
        </w:rPr>
      </w:pPr>
      <w:r w:rsidRPr="000729CF">
        <w:rPr>
          <w:rFonts w:ascii="Arial" w:hAnsi="Arial" w:cs="Arial"/>
          <w:color w:val="2F5496"/>
          <w:sz w:val="24"/>
          <w:szCs w:val="24"/>
          <w:lang w:val="en-GB"/>
        </w:rPr>
        <w:t>Equality Impact Assessment sign-off</w:t>
      </w:r>
    </w:p>
    <w:tbl>
      <w:tblPr>
        <w:tblStyle w:val="TableGrid"/>
        <w:tblW w:w="0" w:type="auto"/>
        <w:tblLook w:val="04A0" w:firstRow="1" w:lastRow="0" w:firstColumn="1" w:lastColumn="0" w:noHBand="0" w:noVBand="1"/>
      </w:tblPr>
      <w:tblGrid>
        <w:gridCol w:w="3681"/>
        <w:gridCol w:w="4394"/>
        <w:gridCol w:w="2381"/>
      </w:tblGrid>
      <w:tr w:rsidR="000729CF" w:rsidRPr="000729CF" w14:paraId="51EA2731" w14:textId="77777777" w:rsidTr="000729CF">
        <w:trPr>
          <w:trHeight w:val="20"/>
        </w:trPr>
        <w:tc>
          <w:tcPr>
            <w:tcW w:w="3681" w:type="dxa"/>
            <w:tcBorders>
              <w:bottom w:val="single" w:sz="4" w:space="0" w:color="auto"/>
            </w:tcBorders>
            <w:shd w:val="clear" w:color="auto" w:fill="D9D9D9"/>
          </w:tcPr>
          <w:p w14:paraId="4E7F2B7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7FB40B2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w:t>
            </w:r>
          </w:p>
        </w:tc>
        <w:tc>
          <w:tcPr>
            <w:tcW w:w="2381" w:type="dxa"/>
            <w:shd w:val="clear" w:color="auto" w:fill="D9D9D9"/>
          </w:tcPr>
          <w:p w14:paraId="391E13C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48F67C97" w14:textId="77777777" w:rsidTr="000729CF">
        <w:trPr>
          <w:trHeight w:val="20"/>
        </w:trPr>
        <w:tc>
          <w:tcPr>
            <w:tcW w:w="3681" w:type="dxa"/>
            <w:shd w:val="clear" w:color="auto" w:fill="E7E6E6"/>
          </w:tcPr>
          <w:p w14:paraId="1EEE517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Head of Communities, Equality, and Third Sector (CETS) Service:</w:t>
            </w:r>
          </w:p>
        </w:tc>
        <w:tc>
          <w:tcPr>
            <w:tcW w:w="4394" w:type="dxa"/>
          </w:tcPr>
          <w:p w14:paraId="37B8848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Emma McDermott</w:t>
            </w:r>
          </w:p>
        </w:tc>
        <w:tc>
          <w:tcPr>
            <w:tcW w:w="2381" w:type="dxa"/>
          </w:tcPr>
          <w:p w14:paraId="3CC0BBE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23-01-24</w:t>
            </w:r>
          </w:p>
        </w:tc>
      </w:tr>
    </w:tbl>
    <w:p w14:paraId="3316929C" w14:textId="77777777" w:rsidR="000729CF" w:rsidRPr="000729CF" w:rsidRDefault="000729CF" w:rsidP="000729CF">
      <w:pPr>
        <w:rPr>
          <w:rFonts w:ascii="Arial" w:eastAsia="Calibri" w:hAnsi="Arial" w:cs="Arial"/>
          <w:sz w:val="22"/>
          <w:szCs w:val="22"/>
          <w:lang w:val="en-GB"/>
        </w:rPr>
      </w:pPr>
    </w:p>
    <w:p w14:paraId="040337C7" w14:textId="77777777" w:rsidR="000729CF" w:rsidRPr="000729CF" w:rsidRDefault="000729CF" w:rsidP="000729CF">
      <w:pPr>
        <w:spacing w:after="160" w:line="259" w:lineRule="auto"/>
        <w:rPr>
          <w:rFonts w:ascii="Arial" w:eastAsia="Calibri" w:hAnsi="Arial" w:cs="Arial"/>
          <w:b/>
          <w:bCs/>
          <w:sz w:val="24"/>
          <w:szCs w:val="24"/>
          <w:lang w:val="en-GB"/>
        </w:rPr>
      </w:pPr>
    </w:p>
    <w:p w14:paraId="0A7F7D40"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br w:type="page"/>
      </w:r>
    </w:p>
    <w:p w14:paraId="57F4BD51" w14:textId="77777777" w:rsidR="000729CF" w:rsidRPr="000729CF" w:rsidRDefault="000729CF" w:rsidP="000729CF">
      <w:pPr>
        <w:spacing w:after="160" w:line="259" w:lineRule="auto"/>
        <w:rPr>
          <w:rFonts w:ascii="Arial" w:eastAsia="Calibri" w:hAnsi="Arial" w:cs="Arial"/>
          <w:sz w:val="24"/>
          <w:szCs w:val="24"/>
          <w:lang w:val="en-GB"/>
        </w:rPr>
      </w:pPr>
    </w:p>
    <w:p w14:paraId="630FA7B0" w14:textId="77777777" w:rsidR="000729CF" w:rsidRPr="000729CF" w:rsidRDefault="000729CF" w:rsidP="000729CF">
      <w:pPr>
        <w:keepNext/>
        <w:keepLines/>
        <w:spacing w:after="160" w:line="259" w:lineRule="auto"/>
        <w:outlineLvl w:val="0"/>
        <w:rPr>
          <w:rFonts w:ascii="Arial" w:hAnsi="Arial" w:cs="Arial"/>
          <w:b/>
          <w:bCs/>
          <w:color w:val="2F5496"/>
          <w:sz w:val="28"/>
          <w:szCs w:val="28"/>
          <w:lang w:val="en-GB"/>
        </w:rPr>
      </w:pPr>
      <w:r w:rsidRPr="000729CF">
        <w:rPr>
          <w:rFonts w:ascii="Arial" w:hAnsi="Arial" w:cs="Arial"/>
          <w:b/>
          <w:bCs/>
          <w:color w:val="2F5496"/>
          <w:sz w:val="28"/>
          <w:szCs w:val="28"/>
          <w:lang w:val="en-GB"/>
        </w:rPr>
        <w:t>Budget Equality Impact Assessment (EIA) 2024/25 – Service Users</w:t>
      </w:r>
    </w:p>
    <w:p w14:paraId="6AA0EDEA" w14:textId="77777777" w:rsidR="000729CF" w:rsidRPr="000729CF" w:rsidRDefault="000729CF" w:rsidP="000729CF">
      <w:pPr>
        <w:spacing w:after="160" w:line="259" w:lineRule="auto"/>
        <w:rPr>
          <w:rFonts w:ascii="Arial" w:eastAsia="Calibri" w:hAnsi="Arial" w:cs="Arial"/>
          <w:sz w:val="24"/>
          <w:szCs w:val="24"/>
          <w:lang w:val="en-GB"/>
        </w:rPr>
      </w:pPr>
    </w:p>
    <w:p w14:paraId="3AD42830" w14:textId="77777777" w:rsidR="000729CF" w:rsidRPr="000729CF" w:rsidRDefault="000729CF" w:rsidP="000729CF">
      <w:pPr>
        <w:keepNext/>
        <w:keepLines/>
        <w:spacing w:after="160" w:line="259" w:lineRule="auto"/>
        <w:ind w:left="720" w:hanging="360"/>
        <w:outlineLvl w:val="1"/>
        <w:rPr>
          <w:rFonts w:ascii="Arial" w:hAnsi="Arial" w:cs="Arial"/>
          <w:color w:val="2F5496"/>
          <w:sz w:val="24"/>
          <w:szCs w:val="24"/>
          <w:lang w:val="en-GB"/>
        </w:rPr>
      </w:pPr>
      <w:r w:rsidRPr="000729CF">
        <w:rPr>
          <w:rFonts w:ascii="Arial" w:hAnsi="Arial" w:cs="Arial"/>
          <w:color w:val="2F5496"/>
          <w:sz w:val="24"/>
          <w:szCs w:val="24"/>
          <w:lang w:val="en-GB"/>
        </w:rPr>
        <w:t xml:space="preserve">Budget Proposal </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6492"/>
      </w:tblGrid>
      <w:tr w:rsidR="000729CF" w:rsidRPr="000729CF" w14:paraId="36C1C955"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78168EC7"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Title of budget saving being assessed:</w:t>
            </w:r>
          </w:p>
        </w:tc>
        <w:tc>
          <w:tcPr>
            <w:tcW w:w="6492" w:type="dxa"/>
            <w:shd w:val="clear" w:color="auto" w:fill="auto"/>
          </w:tcPr>
          <w:p w14:paraId="1470643A" w14:textId="77777777" w:rsidR="000729CF" w:rsidRPr="000729CF" w:rsidRDefault="000729CF" w:rsidP="000729CF">
            <w:pPr>
              <w:spacing w:after="12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Grants</w:t>
            </w:r>
          </w:p>
        </w:tc>
      </w:tr>
      <w:tr w:rsidR="000729CF" w:rsidRPr="000729CF" w14:paraId="4E4D63C1"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43558790"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Name and title of officer responsible for this EIA: </w:t>
            </w:r>
          </w:p>
        </w:tc>
        <w:tc>
          <w:tcPr>
            <w:tcW w:w="6492" w:type="dxa"/>
            <w:shd w:val="clear" w:color="auto" w:fill="auto"/>
          </w:tcPr>
          <w:p w14:paraId="433E764E"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729CF">
              <w:rPr>
                <w:rFonts w:ascii="Arial" w:hAnsi="Arial" w:cs="Arial"/>
                <w:color w:val="000000"/>
                <w:sz w:val="24"/>
                <w:szCs w:val="24"/>
                <w:shd w:val="clear" w:color="auto" w:fill="FFFFFF"/>
              </w:rPr>
              <w:t>Andy Witham, Assistant Director of Commissioning &amp; Partnerships </w:t>
            </w:r>
          </w:p>
        </w:tc>
      </w:tr>
      <w:tr w:rsidR="000729CF" w:rsidRPr="000729CF" w14:paraId="0D93F085" w14:textId="77777777" w:rsidTr="000729CF">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09F8BFA7"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Directorate and Service Name: </w:t>
            </w:r>
          </w:p>
        </w:tc>
        <w:tc>
          <w:tcPr>
            <w:tcW w:w="6492" w:type="dxa"/>
            <w:shd w:val="clear" w:color="auto" w:fill="auto"/>
          </w:tcPr>
          <w:p w14:paraId="26DD29A9" w14:textId="77777777" w:rsidR="000729CF" w:rsidRPr="000729CF" w:rsidRDefault="000729CF" w:rsidP="000729CF">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color w:val="000000"/>
                <w:sz w:val="24"/>
                <w:szCs w:val="24"/>
                <w:shd w:val="clear" w:color="auto" w:fill="FFFFFF"/>
              </w:rPr>
              <w:t>Health and Adult Social Care, Commissioning &amp; Partnerships </w:t>
            </w:r>
          </w:p>
        </w:tc>
      </w:tr>
      <w:tr w:rsidR="000729CF" w:rsidRPr="000729CF" w14:paraId="539F7B9A"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7F7ED3A9"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Budget proposal no.</w:t>
            </w:r>
          </w:p>
        </w:tc>
        <w:tc>
          <w:tcPr>
            <w:tcW w:w="6492" w:type="dxa"/>
            <w:shd w:val="clear" w:color="auto" w:fill="auto"/>
          </w:tcPr>
          <w:p w14:paraId="3F8B072F"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729CF">
              <w:rPr>
                <w:rFonts w:ascii="Arial" w:hAnsi="Arial" w:cs="Arial"/>
                <w:sz w:val="24"/>
                <w:szCs w:val="24"/>
              </w:rPr>
              <w:t>12</w:t>
            </w:r>
          </w:p>
        </w:tc>
      </w:tr>
    </w:tbl>
    <w:p w14:paraId="2855A182" w14:textId="77777777" w:rsidR="000729CF" w:rsidRPr="000729CF" w:rsidRDefault="000729CF" w:rsidP="000729CF">
      <w:pPr>
        <w:spacing w:after="160" w:line="259" w:lineRule="auto"/>
        <w:rPr>
          <w:rFonts w:ascii="Arial" w:eastAsia="Calibri" w:hAnsi="Arial" w:cs="Arial"/>
          <w:sz w:val="24"/>
          <w:szCs w:val="24"/>
          <w:lang w:val="en-GB"/>
        </w:rPr>
      </w:pPr>
    </w:p>
    <w:p w14:paraId="7821B48A"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Briefly describe the budget saving proposal: (use the wording in the budget spreadsheet and more detail if needed)</w:t>
      </w:r>
    </w:p>
    <w:tbl>
      <w:tblPr>
        <w:tblStyle w:val="TableGrid"/>
        <w:tblW w:w="0" w:type="auto"/>
        <w:tblLook w:val="04A0" w:firstRow="1" w:lastRow="0" w:firstColumn="1" w:lastColumn="0" w:noHBand="0" w:noVBand="1"/>
      </w:tblPr>
      <w:tblGrid>
        <w:gridCol w:w="10456"/>
      </w:tblGrid>
      <w:tr w:rsidR="000729CF" w:rsidRPr="000729CF" w14:paraId="10E5880C" w14:textId="77777777" w:rsidTr="00BC26AB">
        <w:trPr>
          <w:trHeight w:val="851"/>
        </w:trPr>
        <w:tc>
          <w:tcPr>
            <w:tcW w:w="10456" w:type="dxa"/>
            <w:tcBorders>
              <w:bottom w:val="single" w:sz="4" w:space="0" w:color="auto"/>
            </w:tcBorders>
          </w:tcPr>
          <w:p w14:paraId="40181ACD" w14:textId="77777777" w:rsidR="000729CF" w:rsidRPr="000729CF" w:rsidRDefault="000729CF" w:rsidP="000729CF">
            <w:pPr>
              <w:rPr>
                <w:rFonts w:ascii="Arial" w:hAnsi="Arial" w:cs="Arial"/>
                <w:sz w:val="24"/>
                <w:szCs w:val="24"/>
                <w:lang w:eastAsia="en-GB"/>
              </w:rPr>
            </w:pPr>
            <w:r w:rsidRPr="000729CF">
              <w:rPr>
                <w:rFonts w:ascii="Arial" w:hAnsi="Arial" w:cs="Arial"/>
                <w:sz w:val="24"/>
                <w:szCs w:val="24"/>
                <w:lang w:eastAsia="en-GB"/>
              </w:rPr>
              <w:t>This proposal seeks to cease funding of the following grants with a total savings target of £87,060:</w:t>
            </w:r>
          </w:p>
          <w:p w14:paraId="77C9104C" w14:textId="77777777" w:rsidR="000729CF" w:rsidRPr="000729CF" w:rsidRDefault="000729CF" w:rsidP="00CE70A3">
            <w:pPr>
              <w:numPr>
                <w:ilvl w:val="0"/>
                <w:numId w:val="111"/>
              </w:numPr>
              <w:contextualSpacing/>
              <w:rPr>
                <w:rFonts w:ascii="Arial" w:hAnsi="Arial" w:cs="Arial"/>
                <w:sz w:val="24"/>
                <w:szCs w:val="24"/>
                <w:lang w:eastAsia="en-GB"/>
              </w:rPr>
            </w:pPr>
            <w:r w:rsidRPr="000729CF">
              <w:rPr>
                <w:rFonts w:ascii="Arial" w:hAnsi="Arial" w:cs="Arial"/>
                <w:sz w:val="24"/>
                <w:szCs w:val="24"/>
                <w:lang w:eastAsia="en-GB"/>
              </w:rPr>
              <w:t xml:space="preserve">Community Transport </w:t>
            </w:r>
            <w:proofErr w:type="spellStart"/>
            <w:r w:rsidRPr="000729CF">
              <w:rPr>
                <w:rFonts w:ascii="Arial" w:hAnsi="Arial" w:cs="Arial"/>
                <w:sz w:val="24"/>
                <w:szCs w:val="24"/>
                <w:lang w:eastAsia="en-GB"/>
              </w:rPr>
              <w:t>Easylink</w:t>
            </w:r>
            <w:proofErr w:type="spellEnd"/>
            <w:r w:rsidRPr="000729CF">
              <w:rPr>
                <w:rFonts w:ascii="Arial" w:hAnsi="Arial" w:cs="Arial"/>
                <w:sz w:val="24"/>
                <w:szCs w:val="24"/>
                <w:lang w:eastAsia="en-GB"/>
              </w:rPr>
              <w:t xml:space="preserve"> Shopping Service (£40,400)</w:t>
            </w:r>
          </w:p>
          <w:p w14:paraId="77832E0A" w14:textId="77777777" w:rsidR="000729CF" w:rsidRPr="000729CF" w:rsidRDefault="000729CF" w:rsidP="00CE70A3">
            <w:pPr>
              <w:numPr>
                <w:ilvl w:val="0"/>
                <w:numId w:val="111"/>
              </w:numPr>
              <w:contextualSpacing/>
              <w:rPr>
                <w:rFonts w:ascii="Arial" w:hAnsi="Arial" w:cs="Arial"/>
                <w:sz w:val="24"/>
                <w:szCs w:val="24"/>
              </w:rPr>
            </w:pPr>
            <w:r w:rsidRPr="000729CF">
              <w:rPr>
                <w:rFonts w:ascii="Arial" w:hAnsi="Arial" w:cs="Arial"/>
                <w:sz w:val="24"/>
                <w:szCs w:val="24"/>
              </w:rPr>
              <w:t>Shopmobility (£26,100)</w:t>
            </w:r>
          </w:p>
          <w:p w14:paraId="7E8A2E57" w14:textId="77777777" w:rsidR="000729CF" w:rsidRPr="000729CF" w:rsidRDefault="000729CF" w:rsidP="00CE70A3">
            <w:pPr>
              <w:numPr>
                <w:ilvl w:val="0"/>
                <w:numId w:val="111"/>
              </w:numPr>
              <w:contextualSpacing/>
              <w:rPr>
                <w:rFonts w:ascii="Arial" w:hAnsi="Arial" w:cs="Arial"/>
                <w:sz w:val="24"/>
                <w:szCs w:val="24"/>
              </w:rPr>
            </w:pPr>
            <w:r w:rsidRPr="000729CF">
              <w:rPr>
                <w:rFonts w:ascii="Arial" w:hAnsi="Arial" w:cs="Arial"/>
                <w:sz w:val="24"/>
                <w:szCs w:val="24"/>
              </w:rPr>
              <w:t>Disability Advice Centre (£20,560)</w:t>
            </w:r>
          </w:p>
          <w:p w14:paraId="1620B16D" w14:textId="77777777" w:rsidR="000729CF" w:rsidRPr="000729CF" w:rsidRDefault="000729CF" w:rsidP="000729CF">
            <w:pPr>
              <w:ind w:left="720"/>
              <w:contextualSpacing/>
              <w:rPr>
                <w:rFonts w:ascii="Arial" w:hAnsi="Arial" w:cs="Arial"/>
                <w:sz w:val="24"/>
                <w:szCs w:val="24"/>
              </w:rPr>
            </w:pPr>
          </w:p>
          <w:p w14:paraId="7F4352C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The </w:t>
            </w:r>
            <w:proofErr w:type="spellStart"/>
            <w:r w:rsidRPr="000729CF">
              <w:rPr>
                <w:rFonts w:ascii="Arial" w:eastAsia="Calibri" w:hAnsi="Arial" w:cs="Arial"/>
                <w:sz w:val="24"/>
                <w:szCs w:val="24"/>
              </w:rPr>
              <w:t>Easylink</w:t>
            </w:r>
            <w:proofErr w:type="spellEnd"/>
            <w:r w:rsidRPr="000729CF">
              <w:rPr>
                <w:rFonts w:ascii="Arial" w:eastAsia="Calibri" w:hAnsi="Arial" w:cs="Arial"/>
                <w:sz w:val="24"/>
                <w:szCs w:val="24"/>
              </w:rPr>
              <w:t xml:space="preserve"> Shopping service is a door-to-door transport service for people that find it difficult or not possible to use the city’s bus service Monday to Friday. This includes some wheelchair users and people who need to take a carer/companion. People pay a minimum £6 charge. Ceasing the funding grant to this service will impact running costs so the provider may need additional income to continue running the service as is.</w:t>
            </w:r>
          </w:p>
          <w:p w14:paraId="54CB6E43" w14:textId="77777777" w:rsidR="000729CF" w:rsidRPr="000729CF" w:rsidRDefault="000729CF" w:rsidP="000729CF">
            <w:pPr>
              <w:spacing w:after="120"/>
              <w:rPr>
                <w:rFonts w:ascii="Arial" w:eastAsia="Calibri" w:hAnsi="Arial" w:cs="Arial"/>
                <w:sz w:val="24"/>
                <w:szCs w:val="24"/>
              </w:rPr>
            </w:pPr>
          </w:p>
          <w:p w14:paraId="1B51F5C1" w14:textId="77777777" w:rsidR="000729CF" w:rsidRPr="000729CF" w:rsidRDefault="000729CF" w:rsidP="000729CF">
            <w:pPr>
              <w:ind w:left="-20" w:right="-20"/>
              <w:rPr>
                <w:rFonts w:ascii="Arial" w:hAnsi="Arial" w:cs="Arial"/>
                <w:sz w:val="24"/>
                <w:szCs w:val="24"/>
              </w:rPr>
            </w:pPr>
            <w:r w:rsidRPr="000729CF">
              <w:rPr>
                <w:rFonts w:ascii="Arial" w:eastAsia="Calibri" w:hAnsi="Arial" w:cs="Arial"/>
                <w:sz w:val="24"/>
                <w:szCs w:val="24"/>
              </w:rPr>
              <w:t xml:space="preserve">Shopmobility is a low-cost mobility scooter and wheelchair hire service operating in 3 areas of the city, Monday to Friday 10 am to 4 pm. Residents and non-residents can hire a scooter. </w:t>
            </w:r>
            <w:r w:rsidRPr="000729CF">
              <w:rPr>
                <w:rFonts w:ascii="Arial" w:hAnsi="Arial" w:cs="Arial"/>
                <w:sz w:val="24"/>
                <w:szCs w:val="24"/>
              </w:rPr>
              <w:t xml:space="preserve">The service traditionally has high satisfaction rates – in 2018 the percentage of people who would use the service again and recommend the service to someone they know was 89% whilst 91% of customers rated their overall experience of accessing the service good or excellent. The sum is a contribution towards the costs of running the service. People pay £5-£10. </w:t>
            </w:r>
            <w:r w:rsidRPr="000729CF">
              <w:rPr>
                <w:rFonts w:ascii="Arial" w:eastAsia="Calibri" w:hAnsi="Arial" w:cs="Arial"/>
                <w:sz w:val="24"/>
                <w:szCs w:val="24"/>
              </w:rPr>
              <w:t>Ceasing the funding grant to this service will impact running costs so the provider may need additional income to continue running the service as is.</w:t>
            </w:r>
          </w:p>
          <w:p w14:paraId="324DB8CB" w14:textId="77777777" w:rsidR="000729CF" w:rsidRPr="000729CF" w:rsidRDefault="000729CF" w:rsidP="000729CF">
            <w:pPr>
              <w:ind w:left="-20" w:right="-20"/>
              <w:rPr>
                <w:rFonts w:ascii="Arial" w:hAnsi="Arial" w:cs="Arial"/>
                <w:sz w:val="24"/>
                <w:szCs w:val="24"/>
              </w:rPr>
            </w:pPr>
          </w:p>
          <w:p w14:paraId="6AB708C1" w14:textId="77777777" w:rsidR="000729CF" w:rsidRPr="000729CF" w:rsidRDefault="000729CF" w:rsidP="000729CF">
            <w:pPr>
              <w:rPr>
                <w:rFonts w:ascii="Arial" w:hAnsi="Arial" w:cs="Arial"/>
                <w:sz w:val="24"/>
                <w:szCs w:val="24"/>
              </w:rPr>
            </w:pPr>
            <w:r w:rsidRPr="000729CF">
              <w:rPr>
                <w:rFonts w:ascii="Arial" w:eastAsia="Calibri" w:hAnsi="Arial" w:cs="Arial"/>
                <w:sz w:val="24"/>
                <w:szCs w:val="24"/>
              </w:rPr>
              <w:t xml:space="preserve">The Disability Advice Centre offers support and advice to disabled people, their families and carers. The sum is a contribution towards the costs of running the Centre which deals with approximately 4,500 enquiries per year (2023 figures is comparable to 2017). Since the introduction of </w:t>
            </w:r>
            <w:r w:rsidRPr="000729CF">
              <w:rPr>
                <w:rFonts w:ascii="Arial" w:eastAsia="Calibri" w:hAnsi="Arial" w:cs="Arial"/>
                <w:color w:val="000000"/>
                <w:sz w:val="25"/>
                <w:szCs w:val="25"/>
              </w:rPr>
              <w:t>Personal Independence Payment the majority of enquiries have involved disability benefits</w:t>
            </w:r>
            <w:r w:rsidRPr="000729CF">
              <w:rPr>
                <w:rFonts w:ascii="Arial" w:hAnsi="Arial" w:cs="Arial"/>
                <w:sz w:val="24"/>
                <w:szCs w:val="24"/>
              </w:rPr>
              <w:t>. Support is provided to complete paperwork and challenge decisions. This grant contributes to a small proportion of the running costs so c</w:t>
            </w:r>
            <w:r w:rsidRPr="000729CF">
              <w:rPr>
                <w:rFonts w:ascii="Arial" w:eastAsia="Calibri" w:hAnsi="Arial" w:cs="Arial"/>
                <w:sz w:val="24"/>
                <w:szCs w:val="24"/>
              </w:rPr>
              <w:t>easing the funding to this service may mean the provider needs additional income to continue running the service as is.</w:t>
            </w:r>
          </w:p>
          <w:p w14:paraId="0AD7B91F" w14:textId="77777777" w:rsidR="000729CF" w:rsidRPr="000729CF" w:rsidRDefault="000729CF" w:rsidP="000729CF">
            <w:pPr>
              <w:spacing w:after="120"/>
              <w:rPr>
                <w:rFonts w:ascii="Arial" w:hAnsi="Arial" w:cs="Arial"/>
                <w:sz w:val="24"/>
                <w:szCs w:val="24"/>
                <w:lang w:eastAsia="en-GB"/>
              </w:rPr>
            </w:pPr>
          </w:p>
        </w:tc>
      </w:tr>
      <w:tr w:rsidR="000729CF" w:rsidRPr="000729CF" w14:paraId="3583D8E2" w14:textId="77777777" w:rsidTr="00BC26AB">
        <w:trPr>
          <w:trHeight w:val="851"/>
        </w:trPr>
        <w:tc>
          <w:tcPr>
            <w:tcW w:w="10456" w:type="dxa"/>
            <w:tcBorders>
              <w:left w:val="nil"/>
              <w:right w:val="nil"/>
            </w:tcBorders>
          </w:tcPr>
          <w:p w14:paraId="50A0E729" w14:textId="77777777" w:rsidR="000729CF" w:rsidRPr="000729CF" w:rsidRDefault="000729CF" w:rsidP="000729CF">
            <w:pPr>
              <w:spacing w:after="120"/>
              <w:rPr>
                <w:rFonts w:ascii="Arial" w:eastAsia="Calibri" w:hAnsi="Arial" w:cs="Arial"/>
                <w:sz w:val="24"/>
                <w:szCs w:val="24"/>
              </w:rPr>
            </w:pPr>
          </w:p>
          <w:p w14:paraId="47D0EF9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Summarise the most significant impacts identified by this assessment including which groups will be disproportionally negatively affected drawing out intersectional impacts as applicable:</w:t>
            </w:r>
          </w:p>
        </w:tc>
      </w:tr>
      <w:tr w:rsidR="000729CF" w:rsidRPr="000729CF" w14:paraId="6E5ACAD4" w14:textId="77777777" w:rsidTr="00BC26AB">
        <w:trPr>
          <w:trHeight w:val="851"/>
        </w:trPr>
        <w:tc>
          <w:tcPr>
            <w:tcW w:w="10456" w:type="dxa"/>
          </w:tcPr>
          <w:p w14:paraId="1E2420F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All three savings proposals will disproportionately impact on disabled people as they are services provided specifically to support the access requirements of disabled people. </w:t>
            </w:r>
          </w:p>
          <w:p w14:paraId="6B111C1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The </w:t>
            </w:r>
            <w:proofErr w:type="spellStart"/>
            <w:r w:rsidRPr="000729CF">
              <w:rPr>
                <w:rFonts w:ascii="Arial" w:eastAsia="Calibri" w:hAnsi="Arial" w:cs="Arial"/>
                <w:sz w:val="24"/>
                <w:szCs w:val="24"/>
              </w:rPr>
              <w:t>Easylink</w:t>
            </w:r>
            <w:proofErr w:type="spellEnd"/>
            <w:r w:rsidRPr="000729CF">
              <w:rPr>
                <w:rFonts w:ascii="Arial" w:eastAsia="Calibri" w:hAnsi="Arial" w:cs="Arial"/>
                <w:sz w:val="24"/>
                <w:szCs w:val="24"/>
              </w:rPr>
              <w:t xml:space="preserve"> service will impact on older and female people. Data gathered for Budget EIA in 2017-18 revealed that all users of </w:t>
            </w:r>
            <w:proofErr w:type="spellStart"/>
            <w:r w:rsidRPr="000729CF">
              <w:rPr>
                <w:rFonts w:ascii="Arial" w:eastAsia="Calibri" w:hAnsi="Arial" w:cs="Arial"/>
                <w:sz w:val="24"/>
                <w:szCs w:val="24"/>
              </w:rPr>
              <w:t>Easylink</w:t>
            </w:r>
            <w:proofErr w:type="spellEnd"/>
            <w:r w:rsidRPr="000729CF">
              <w:rPr>
                <w:rFonts w:ascii="Arial" w:eastAsia="Calibri" w:hAnsi="Arial" w:cs="Arial"/>
                <w:sz w:val="24"/>
                <w:szCs w:val="24"/>
              </w:rPr>
              <w:t xml:space="preserve"> were over the age of 55, with 90% over the age of 70. 88% identified as female. At the current time it is not known if this still reflects the current user group as the service did not run during the pandemic (it delivered shopping instead).</w:t>
            </w:r>
          </w:p>
          <w:p w14:paraId="0A6F63F8" w14:textId="77777777" w:rsidR="000729CF" w:rsidRPr="000729CF" w:rsidRDefault="000729CF" w:rsidP="000729CF">
            <w:pPr>
              <w:spacing w:after="120"/>
              <w:rPr>
                <w:rFonts w:ascii="Arial" w:hAnsi="Arial" w:cs="Arial"/>
                <w:sz w:val="24"/>
                <w:szCs w:val="24"/>
              </w:rPr>
            </w:pPr>
            <w:r w:rsidRPr="000729CF">
              <w:rPr>
                <w:rFonts w:ascii="Arial" w:eastAsia="Calibri" w:hAnsi="Arial" w:cs="Arial"/>
                <w:sz w:val="24"/>
                <w:szCs w:val="24"/>
              </w:rPr>
              <w:t>Equality data is not requested in the grant agreements covering these saving proposals.</w:t>
            </w:r>
          </w:p>
        </w:tc>
      </w:tr>
    </w:tbl>
    <w:p w14:paraId="2C240786" w14:textId="77777777" w:rsidR="000729CF" w:rsidRPr="000729CF" w:rsidRDefault="000729CF" w:rsidP="000729CF">
      <w:pPr>
        <w:rPr>
          <w:rFonts w:ascii="Arial" w:eastAsia="Calibri" w:hAnsi="Arial" w:cs="Arial"/>
          <w:sz w:val="24"/>
          <w:szCs w:val="24"/>
          <w:lang w:val="en-GB"/>
        </w:rPr>
      </w:pPr>
    </w:p>
    <w:p w14:paraId="7D4177B8"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Consultation, engagement and supporting EIAs</w:t>
      </w:r>
    </w:p>
    <w:p w14:paraId="539AB817"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consultations or engagement activities are being used to inform this assessment? </w:t>
      </w:r>
    </w:p>
    <w:p w14:paraId="71953A12"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If consultation is planned or in process – state this and state when it will done/completed even if indicative. If no consultation completed or planned, state this, giving an explanation. </w:t>
      </w:r>
    </w:p>
    <w:tbl>
      <w:tblPr>
        <w:tblStyle w:val="TableGrid"/>
        <w:tblW w:w="0" w:type="auto"/>
        <w:tblLook w:val="04A0" w:firstRow="1" w:lastRow="0" w:firstColumn="1" w:lastColumn="0" w:noHBand="0" w:noVBand="1"/>
      </w:tblPr>
      <w:tblGrid>
        <w:gridCol w:w="10456"/>
      </w:tblGrid>
      <w:tr w:rsidR="000729CF" w:rsidRPr="000729CF" w14:paraId="02A53B88" w14:textId="77777777" w:rsidTr="00BC26AB">
        <w:trPr>
          <w:trHeight w:val="871"/>
        </w:trPr>
        <w:tc>
          <w:tcPr>
            <w:tcW w:w="10456" w:type="dxa"/>
          </w:tcPr>
          <w:p w14:paraId="04E1BE1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consultation or engagement has been carried out to inform this assessment. </w:t>
            </w:r>
          </w:p>
          <w:p w14:paraId="6345AA5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Discussions with current providers of these services prior to ceasing funding of these grants.</w:t>
            </w:r>
          </w:p>
        </w:tc>
      </w:tr>
    </w:tbl>
    <w:p w14:paraId="17E9750D" w14:textId="77777777" w:rsidR="000729CF" w:rsidRPr="000729CF" w:rsidRDefault="000729CF" w:rsidP="000729CF">
      <w:pPr>
        <w:spacing w:after="160" w:line="259" w:lineRule="auto"/>
        <w:rPr>
          <w:rFonts w:ascii="Arial" w:eastAsia="Calibri" w:hAnsi="Arial" w:cs="Arial"/>
          <w:sz w:val="24"/>
          <w:szCs w:val="24"/>
          <w:lang w:val="en-GB"/>
        </w:rPr>
      </w:pPr>
    </w:p>
    <w:p w14:paraId="723C2061"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other budget or service EIAs can assist/have been used to inform this assessment?</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0729CF" w:rsidRPr="000729CF" w14:paraId="7E77CF4F"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shd w:val="clear" w:color="auto" w:fill="FFFFFF"/>
          </w:tcPr>
          <w:p w14:paraId="07B323F9" w14:textId="77777777" w:rsidR="000729CF" w:rsidRPr="000729CF" w:rsidRDefault="000729CF" w:rsidP="000729CF">
            <w:pPr>
              <w:spacing w:after="120"/>
              <w:rPr>
                <w:rFonts w:ascii="Arial" w:hAnsi="Arial" w:cs="Arial"/>
                <w:color w:val="000000"/>
                <w:sz w:val="24"/>
                <w:szCs w:val="24"/>
              </w:rPr>
            </w:pPr>
            <w:r w:rsidRPr="000729CF">
              <w:rPr>
                <w:rFonts w:ascii="Arial" w:hAnsi="Arial" w:cs="Arial"/>
                <w:sz w:val="24"/>
                <w:szCs w:val="24"/>
              </w:rPr>
              <w:t>2017-18 EIA for Community Transport</w:t>
            </w:r>
          </w:p>
        </w:tc>
      </w:tr>
    </w:tbl>
    <w:p w14:paraId="55591152" w14:textId="77777777" w:rsidR="000729CF" w:rsidRPr="000729CF" w:rsidRDefault="000729CF" w:rsidP="000729CF">
      <w:pPr>
        <w:spacing w:after="160" w:line="259" w:lineRule="auto"/>
        <w:rPr>
          <w:rFonts w:ascii="Arial" w:eastAsia="Calibri" w:hAnsi="Arial" w:cs="Arial"/>
          <w:sz w:val="24"/>
          <w:szCs w:val="24"/>
          <w:lang w:val="en-GB"/>
        </w:rPr>
      </w:pPr>
    </w:p>
    <w:p w14:paraId="54FA47EF"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Current data and impact monitoring</w:t>
      </w:r>
    </w:p>
    <w:p w14:paraId="20A6912A"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Do you currently collect and analyse the following data to enable monitoring of the impact of this proposal? </w:t>
      </w:r>
    </w:p>
    <w:p w14:paraId="311BBCF8"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Consider all possible intersections (Delete and State Yes, No, Not Applicable)</w:t>
      </w:r>
    </w:p>
    <w:tbl>
      <w:tblPr>
        <w:tblStyle w:val="TableGrid"/>
        <w:tblW w:w="10485" w:type="dxa"/>
        <w:tblLook w:val="04A0" w:firstRow="1" w:lastRow="0" w:firstColumn="1" w:lastColumn="0" w:noHBand="0" w:noVBand="1"/>
      </w:tblPr>
      <w:tblGrid>
        <w:gridCol w:w="6658"/>
        <w:gridCol w:w="3827"/>
      </w:tblGrid>
      <w:tr w:rsidR="000729CF" w:rsidRPr="000729CF" w14:paraId="3C6684E9" w14:textId="77777777" w:rsidTr="000729CF">
        <w:trPr>
          <w:trHeight w:val="310"/>
        </w:trPr>
        <w:tc>
          <w:tcPr>
            <w:tcW w:w="6658" w:type="dxa"/>
            <w:shd w:val="clear" w:color="auto" w:fill="E7E6E6"/>
          </w:tcPr>
          <w:p w14:paraId="102D3F3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Age</w:t>
            </w:r>
          </w:p>
        </w:tc>
        <w:tc>
          <w:tcPr>
            <w:tcW w:w="3827" w:type="dxa"/>
          </w:tcPr>
          <w:p w14:paraId="32DF525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r>
      <w:tr w:rsidR="000729CF" w:rsidRPr="000729CF" w14:paraId="10603122" w14:textId="77777777" w:rsidTr="000729CF">
        <w:trPr>
          <w:trHeight w:val="20"/>
        </w:trPr>
        <w:tc>
          <w:tcPr>
            <w:tcW w:w="6658" w:type="dxa"/>
            <w:shd w:val="clear" w:color="auto" w:fill="E7E6E6"/>
          </w:tcPr>
          <w:p w14:paraId="4405A60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Disability and inclusive adjustments, coverage under equality act and not</w:t>
            </w:r>
          </w:p>
        </w:tc>
        <w:tc>
          <w:tcPr>
            <w:tcW w:w="3827" w:type="dxa"/>
          </w:tcPr>
          <w:p w14:paraId="27C01E8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582684D1" w14:textId="77777777" w:rsidTr="000729CF">
        <w:trPr>
          <w:trHeight w:val="20"/>
        </w:trPr>
        <w:tc>
          <w:tcPr>
            <w:tcW w:w="6658" w:type="dxa"/>
            <w:shd w:val="clear" w:color="auto" w:fill="E7E6E6"/>
          </w:tcPr>
          <w:p w14:paraId="5549A42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Ethnicity, ‘Race’, ethnic heritage (including Gypsy, Roma, Travellers)</w:t>
            </w:r>
          </w:p>
        </w:tc>
        <w:tc>
          <w:tcPr>
            <w:tcW w:w="3827" w:type="dxa"/>
          </w:tcPr>
          <w:p w14:paraId="052ADB2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r>
      <w:tr w:rsidR="000729CF" w:rsidRPr="000729CF" w14:paraId="47239825" w14:textId="77777777" w:rsidTr="000729CF">
        <w:trPr>
          <w:trHeight w:val="20"/>
        </w:trPr>
        <w:tc>
          <w:tcPr>
            <w:tcW w:w="6658" w:type="dxa"/>
            <w:shd w:val="clear" w:color="auto" w:fill="E7E6E6"/>
          </w:tcPr>
          <w:p w14:paraId="58C2265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Religion, Belief, Spirituality, Faith, or Atheism</w:t>
            </w:r>
          </w:p>
        </w:tc>
        <w:tc>
          <w:tcPr>
            <w:tcW w:w="3827" w:type="dxa"/>
          </w:tcPr>
          <w:p w14:paraId="2B46687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56C64D39" w14:textId="77777777" w:rsidTr="000729CF">
        <w:trPr>
          <w:trHeight w:val="20"/>
        </w:trPr>
        <w:tc>
          <w:tcPr>
            <w:tcW w:w="6658" w:type="dxa"/>
            <w:shd w:val="clear" w:color="auto" w:fill="E7E6E6"/>
          </w:tcPr>
          <w:p w14:paraId="3B908C4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Identity and Sex (including non-binary and Intersex people)</w:t>
            </w:r>
          </w:p>
        </w:tc>
        <w:tc>
          <w:tcPr>
            <w:tcW w:w="3827" w:type="dxa"/>
          </w:tcPr>
          <w:p w14:paraId="3362223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32011CE6" w14:textId="77777777" w:rsidTr="000729CF">
        <w:trPr>
          <w:trHeight w:val="20"/>
        </w:trPr>
        <w:tc>
          <w:tcPr>
            <w:tcW w:w="6658" w:type="dxa"/>
            <w:shd w:val="clear" w:color="auto" w:fill="E7E6E6"/>
          </w:tcPr>
          <w:p w14:paraId="108D6FF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3827" w:type="dxa"/>
          </w:tcPr>
          <w:p w14:paraId="1D0DB5B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345AAAAD" w14:textId="77777777" w:rsidTr="000729CF">
        <w:trPr>
          <w:trHeight w:val="20"/>
        </w:trPr>
        <w:tc>
          <w:tcPr>
            <w:tcW w:w="6658" w:type="dxa"/>
            <w:shd w:val="clear" w:color="auto" w:fill="E7E6E6"/>
          </w:tcPr>
          <w:p w14:paraId="6FBE813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3827" w:type="dxa"/>
          </w:tcPr>
          <w:p w14:paraId="7A6FF6C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726445D4" w14:textId="77777777" w:rsidTr="000729CF">
        <w:trPr>
          <w:trHeight w:val="20"/>
        </w:trPr>
        <w:tc>
          <w:tcPr>
            <w:tcW w:w="6658" w:type="dxa"/>
            <w:shd w:val="clear" w:color="auto" w:fill="E7E6E6"/>
          </w:tcPr>
          <w:p w14:paraId="155270D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3827" w:type="dxa"/>
          </w:tcPr>
          <w:p w14:paraId="16C082B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5FC4636F" w14:textId="77777777" w:rsidTr="000729CF">
        <w:trPr>
          <w:trHeight w:val="20"/>
        </w:trPr>
        <w:tc>
          <w:tcPr>
            <w:tcW w:w="6658" w:type="dxa"/>
            <w:shd w:val="clear" w:color="auto" w:fill="E7E6E6"/>
          </w:tcPr>
          <w:p w14:paraId="0BD7C69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Pregnant people, Maternity, Paternity, Adoption, Menopause, (In)fertility (across the gender spectrum)</w:t>
            </w:r>
          </w:p>
        </w:tc>
        <w:tc>
          <w:tcPr>
            <w:tcW w:w="3827" w:type="dxa"/>
          </w:tcPr>
          <w:p w14:paraId="6FE92F3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r>
      <w:tr w:rsidR="000729CF" w:rsidRPr="000729CF" w14:paraId="75E049EB" w14:textId="77777777" w:rsidTr="000729CF">
        <w:trPr>
          <w:trHeight w:val="20"/>
        </w:trPr>
        <w:tc>
          <w:tcPr>
            <w:tcW w:w="6658" w:type="dxa"/>
            <w:shd w:val="clear" w:color="auto" w:fill="E7E6E6"/>
          </w:tcPr>
          <w:p w14:paraId="0C27844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3827" w:type="dxa"/>
          </w:tcPr>
          <w:p w14:paraId="6309467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0214018F" w14:textId="77777777" w:rsidTr="000729CF">
        <w:trPr>
          <w:trHeight w:val="20"/>
        </w:trPr>
        <w:tc>
          <w:tcPr>
            <w:tcW w:w="6658" w:type="dxa"/>
            <w:shd w:val="clear" w:color="auto" w:fill="E7E6E6"/>
          </w:tcPr>
          <w:p w14:paraId="3880B9A7" w14:textId="77777777" w:rsidR="000729CF" w:rsidRPr="000729CF" w:rsidRDefault="000729CF" w:rsidP="000729CF">
            <w:pPr>
              <w:spacing w:after="120"/>
              <w:rPr>
                <w:rFonts w:ascii="Arial" w:hAnsi="Arial" w:cs="Arial"/>
                <w:b/>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p>
        </w:tc>
        <w:tc>
          <w:tcPr>
            <w:tcW w:w="3827" w:type="dxa"/>
          </w:tcPr>
          <w:p w14:paraId="3D5F0A1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2E5C62BF" w14:textId="77777777" w:rsidTr="000729CF">
        <w:trPr>
          <w:trHeight w:val="20"/>
        </w:trPr>
        <w:tc>
          <w:tcPr>
            <w:tcW w:w="6658" w:type="dxa"/>
            <w:shd w:val="clear" w:color="auto" w:fill="E7E6E6"/>
          </w:tcPr>
          <w:p w14:paraId="548C8A90" w14:textId="77777777" w:rsidR="000729CF" w:rsidRPr="000729CF" w:rsidRDefault="000729CF" w:rsidP="000729CF">
            <w:pPr>
              <w:spacing w:after="120"/>
              <w:rPr>
                <w:rFonts w:ascii="Arial" w:hAnsi="Arial" w:cs="Arial"/>
                <w:b/>
                <w:sz w:val="24"/>
                <w:szCs w:val="24"/>
              </w:rPr>
            </w:pPr>
            <w:r w:rsidRPr="000729CF">
              <w:rPr>
                <w:rFonts w:ascii="Arial" w:eastAsia="Calibri" w:hAnsi="Arial" w:cs="Arial"/>
                <w:b/>
                <w:bCs/>
                <w:color w:val="000000"/>
                <w:sz w:val="24"/>
                <w:szCs w:val="24"/>
              </w:rPr>
              <w:t>Carers</w:t>
            </w:r>
          </w:p>
        </w:tc>
        <w:tc>
          <w:tcPr>
            <w:tcW w:w="3827" w:type="dxa"/>
          </w:tcPr>
          <w:p w14:paraId="2EAC985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30959102" w14:textId="77777777" w:rsidTr="000729CF">
        <w:trPr>
          <w:trHeight w:val="20"/>
        </w:trPr>
        <w:tc>
          <w:tcPr>
            <w:tcW w:w="6658" w:type="dxa"/>
            <w:shd w:val="clear" w:color="auto" w:fill="E7E6E6"/>
          </w:tcPr>
          <w:p w14:paraId="294514E0"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Looked after children, Care Leavers, Care and fostering experienced people</w:t>
            </w:r>
          </w:p>
        </w:tc>
        <w:tc>
          <w:tcPr>
            <w:tcW w:w="3827" w:type="dxa"/>
          </w:tcPr>
          <w:p w14:paraId="5A3EA6E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50A319B7" w14:textId="77777777" w:rsidTr="000729CF">
        <w:trPr>
          <w:trHeight w:val="20"/>
        </w:trPr>
        <w:tc>
          <w:tcPr>
            <w:tcW w:w="6658" w:type="dxa"/>
            <w:shd w:val="clear" w:color="auto" w:fill="E7E6E6"/>
          </w:tcPr>
          <w:p w14:paraId="74E8D03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 and people in vulnerable situations (All aspects and intersections)</w:t>
            </w:r>
          </w:p>
        </w:tc>
        <w:tc>
          <w:tcPr>
            <w:tcW w:w="3827" w:type="dxa"/>
          </w:tcPr>
          <w:p w14:paraId="2287D92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7B26DBA7" w14:textId="77777777" w:rsidTr="000729CF">
        <w:trPr>
          <w:trHeight w:val="20"/>
        </w:trPr>
        <w:tc>
          <w:tcPr>
            <w:tcW w:w="6658" w:type="dxa"/>
            <w:shd w:val="clear" w:color="auto" w:fill="E7E6E6"/>
          </w:tcPr>
          <w:p w14:paraId="1C1E6C2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Socio-economic Disadvantage</w:t>
            </w:r>
          </w:p>
        </w:tc>
        <w:tc>
          <w:tcPr>
            <w:tcW w:w="3827" w:type="dxa"/>
          </w:tcPr>
          <w:p w14:paraId="5628ED5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362665BD" w14:textId="77777777" w:rsidTr="000729CF">
        <w:trPr>
          <w:trHeight w:val="20"/>
        </w:trPr>
        <w:tc>
          <w:tcPr>
            <w:tcW w:w="6658" w:type="dxa"/>
            <w:shd w:val="clear" w:color="auto" w:fill="E7E6E6"/>
          </w:tcPr>
          <w:p w14:paraId="1CC591D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Homelessness and associated risk and vulnerability</w:t>
            </w:r>
          </w:p>
        </w:tc>
        <w:tc>
          <w:tcPr>
            <w:tcW w:w="3827" w:type="dxa"/>
          </w:tcPr>
          <w:p w14:paraId="627824B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57F83306" w14:textId="77777777" w:rsidTr="000729CF">
        <w:trPr>
          <w:trHeight w:val="20"/>
        </w:trPr>
        <w:tc>
          <w:tcPr>
            <w:tcW w:w="6658" w:type="dxa"/>
            <w:shd w:val="clear" w:color="auto" w:fill="E7E6E6"/>
          </w:tcPr>
          <w:p w14:paraId="7A19DFE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3827" w:type="dxa"/>
          </w:tcPr>
          <w:p w14:paraId="4DAF450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065901EC" w14:textId="77777777" w:rsidTr="000729CF">
        <w:trPr>
          <w:trHeight w:val="20"/>
        </w:trPr>
        <w:tc>
          <w:tcPr>
            <w:tcW w:w="6658" w:type="dxa"/>
            <w:shd w:val="clear" w:color="auto" w:fill="E7E6E6"/>
          </w:tcPr>
          <w:p w14:paraId="67CA555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 (please specify here and add additional rows as needed)</w:t>
            </w:r>
          </w:p>
        </w:tc>
        <w:tc>
          <w:tcPr>
            <w:tcW w:w="3827" w:type="dxa"/>
          </w:tcPr>
          <w:p w14:paraId="583863C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bl>
    <w:p w14:paraId="1FAB5D6E" w14:textId="77777777" w:rsidR="000729CF" w:rsidRPr="000729CF" w:rsidRDefault="000729CF" w:rsidP="000729CF">
      <w:pPr>
        <w:rPr>
          <w:rFonts w:ascii="Arial" w:eastAsia="Calibri" w:hAnsi="Arial" w:cs="Arial"/>
          <w:sz w:val="24"/>
          <w:szCs w:val="24"/>
          <w:lang w:val="en-GB"/>
        </w:rPr>
      </w:pPr>
    </w:p>
    <w:p w14:paraId="0C2BFC43"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0E794BC4"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5E5C653C"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19A49022"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593A19F4"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250288EC"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6D4B930F"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075591AD"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78C24A9F"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50B5BF7B"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677FA620" w14:textId="77777777" w:rsidR="000729CF" w:rsidRPr="000729CF" w:rsidRDefault="000729CF" w:rsidP="000729CF">
      <w:pPr>
        <w:rPr>
          <w:rFonts w:ascii="Arial" w:eastAsia="Calibri" w:hAnsi="Arial" w:cs="Arial"/>
          <w:sz w:val="24"/>
          <w:szCs w:val="24"/>
          <w:lang w:val="en-GB"/>
        </w:rPr>
      </w:pPr>
    </w:p>
    <w:p w14:paraId="27150EAA"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If you answered “NO” to any of the above, how will you gather this data to enable improved monitoring of impact for this proposal?</w:t>
      </w:r>
    </w:p>
    <w:tbl>
      <w:tblPr>
        <w:tblStyle w:val="TableGrid"/>
        <w:tblW w:w="0" w:type="auto"/>
        <w:tblLook w:val="04A0" w:firstRow="1" w:lastRow="0" w:firstColumn="1" w:lastColumn="0" w:noHBand="0" w:noVBand="1"/>
      </w:tblPr>
      <w:tblGrid>
        <w:gridCol w:w="10456"/>
      </w:tblGrid>
      <w:tr w:rsidR="000729CF" w:rsidRPr="000729CF" w14:paraId="53A7B69E" w14:textId="77777777" w:rsidTr="00BC26AB">
        <w:trPr>
          <w:trHeight w:val="757"/>
        </w:trPr>
        <w:tc>
          <w:tcPr>
            <w:tcW w:w="10456" w:type="dxa"/>
          </w:tcPr>
          <w:p w14:paraId="6DE05EF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None of this data is requested in the grant agreement. Data can be requested from the service providers.</w:t>
            </w:r>
          </w:p>
        </w:tc>
      </w:tr>
    </w:tbl>
    <w:p w14:paraId="6415AE87" w14:textId="77777777" w:rsidR="000729CF" w:rsidRPr="000729CF" w:rsidRDefault="000729CF" w:rsidP="000729CF">
      <w:pPr>
        <w:rPr>
          <w:rFonts w:ascii="Arial" w:eastAsia="Calibri" w:hAnsi="Arial" w:cs="Arial"/>
          <w:sz w:val="24"/>
          <w:szCs w:val="24"/>
          <w:lang w:val="en-GB"/>
        </w:rPr>
      </w:pPr>
    </w:p>
    <w:p w14:paraId="2ED556CC"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are the arrangements for monitoring, and reviewing the impact of this proposal?</w:t>
      </w:r>
    </w:p>
    <w:tbl>
      <w:tblPr>
        <w:tblStyle w:val="TableGrid"/>
        <w:tblW w:w="0" w:type="auto"/>
        <w:tblLook w:val="04A0" w:firstRow="1" w:lastRow="0" w:firstColumn="1" w:lastColumn="0" w:noHBand="0" w:noVBand="1"/>
      </w:tblPr>
      <w:tblGrid>
        <w:gridCol w:w="10456"/>
      </w:tblGrid>
      <w:tr w:rsidR="000729CF" w:rsidRPr="000729CF" w14:paraId="59EEF6EF" w14:textId="77777777" w:rsidTr="00BC26AB">
        <w:trPr>
          <w:trHeight w:val="757"/>
        </w:trPr>
        <w:tc>
          <w:tcPr>
            <w:tcW w:w="10456" w:type="dxa"/>
          </w:tcPr>
          <w:p w14:paraId="496F9D3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Feedback will be requested from the service providers to understand the impact of the proposal.</w:t>
            </w:r>
          </w:p>
        </w:tc>
      </w:tr>
    </w:tbl>
    <w:p w14:paraId="3F841241"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Impacts</w:t>
      </w:r>
    </w:p>
    <w:p w14:paraId="48BD22E0"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Briefly state source of data or data analysis being used to describe the </w:t>
      </w:r>
      <w:r w:rsidRPr="000729CF">
        <w:rPr>
          <w:rFonts w:ascii="Arial" w:eastAsia="Calibri" w:hAnsi="Arial" w:cs="Arial"/>
          <w:color w:val="000000"/>
          <w:sz w:val="24"/>
          <w:szCs w:val="24"/>
          <w:bdr w:val="none" w:sz="0" w:space="0" w:color="auto" w:frame="1"/>
          <w:lang w:val="en-GB"/>
        </w:rPr>
        <w:t xml:space="preserve">disproportionate negative impacts. </w:t>
      </w:r>
      <w:r w:rsidRPr="000729CF">
        <w:rPr>
          <w:rFonts w:ascii="Arial" w:eastAsia="Calibri" w:hAnsi="Arial" w:cs="Arial"/>
          <w:sz w:val="24"/>
          <w:szCs w:val="24"/>
          <w:lang w:val="en-GB"/>
        </w:rPr>
        <w:t xml:space="preserve">Preferably provide link to data/ analysis if open data source. </w:t>
      </w:r>
    </w:p>
    <w:tbl>
      <w:tblPr>
        <w:tblStyle w:val="TableGrid"/>
        <w:tblW w:w="10485" w:type="dxa"/>
        <w:tblLook w:val="04A0" w:firstRow="1" w:lastRow="0" w:firstColumn="1" w:lastColumn="0" w:noHBand="0" w:noVBand="1"/>
      </w:tblPr>
      <w:tblGrid>
        <w:gridCol w:w="2985"/>
        <w:gridCol w:w="2280"/>
        <w:gridCol w:w="5220"/>
      </w:tblGrid>
      <w:tr w:rsidR="000729CF" w:rsidRPr="000729CF" w14:paraId="441093E8" w14:textId="77777777" w:rsidTr="000729CF">
        <w:trPr>
          <w:trHeight w:val="20"/>
        </w:trPr>
        <w:tc>
          <w:tcPr>
            <w:tcW w:w="2985" w:type="dxa"/>
            <w:shd w:val="clear" w:color="auto" w:fill="E7E6E6"/>
          </w:tcPr>
          <w:p w14:paraId="1AEFCE5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Assess impact for different population groups</w:t>
            </w:r>
          </w:p>
        </w:tc>
        <w:tc>
          <w:tcPr>
            <w:tcW w:w="2280" w:type="dxa"/>
            <w:shd w:val="clear" w:color="auto" w:fill="E7E6E6"/>
          </w:tcPr>
          <w:p w14:paraId="7CCC50D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Is there a possible disproportionate negative impact? </w:t>
            </w:r>
          </w:p>
          <w:p w14:paraId="454776B8" w14:textId="77777777" w:rsidR="000729CF" w:rsidRPr="000729CF" w:rsidRDefault="000729CF" w:rsidP="000729CF">
            <w:pPr>
              <w:spacing w:after="120"/>
              <w:rPr>
                <w:rFonts w:ascii="Arial" w:eastAsia="Calibri" w:hAnsi="Arial" w:cs="Arial"/>
                <w:b/>
                <w:bCs/>
                <w:sz w:val="24"/>
                <w:szCs w:val="24"/>
              </w:rPr>
            </w:pPr>
          </w:p>
          <w:p w14:paraId="61A2467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b/>
                <w:bCs/>
                <w:sz w:val="24"/>
                <w:szCs w:val="24"/>
              </w:rPr>
              <w:t>State Yes or No</w:t>
            </w:r>
          </w:p>
        </w:tc>
        <w:tc>
          <w:tcPr>
            <w:tcW w:w="5220" w:type="dxa"/>
            <w:shd w:val="clear" w:color="auto" w:fill="E7E6E6"/>
          </w:tcPr>
          <w:p w14:paraId="2976F47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Describe the potential negative impact, considering for differences within groups For example, different ethnic groups, and peoples intersecting identities e.g. disabled women of faith</w:t>
            </w:r>
          </w:p>
          <w:p w14:paraId="538E396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OR</w:t>
            </w:r>
          </w:p>
          <w:p w14:paraId="123CDDA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If no impact is identified, briefly state why.</w:t>
            </w:r>
          </w:p>
        </w:tc>
      </w:tr>
      <w:tr w:rsidR="000729CF" w:rsidRPr="000729CF" w14:paraId="52C49145" w14:textId="77777777" w:rsidTr="000729CF">
        <w:trPr>
          <w:trHeight w:val="20"/>
        </w:trPr>
        <w:tc>
          <w:tcPr>
            <w:tcW w:w="2985" w:type="dxa"/>
            <w:shd w:val="clear" w:color="auto" w:fill="E7E6E6"/>
          </w:tcPr>
          <w:p w14:paraId="4B06FA4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Age </w:t>
            </w:r>
          </w:p>
          <w:p w14:paraId="65BB7AA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sz w:val="24"/>
                <w:szCs w:val="24"/>
              </w:rPr>
              <w:t>including those under 16, young adults, multiple ethnicities, those with various intersections.</w:t>
            </w:r>
          </w:p>
        </w:tc>
        <w:tc>
          <w:tcPr>
            <w:tcW w:w="2280" w:type="dxa"/>
          </w:tcPr>
          <w:p w14:paraId="645E7B1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220" w:type="dxa"/>
          </w:tcPr>
          <w:p w14:paraId="17A41FC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Older people are a key demographic for the Community Transport services.</w:t>
            </w:r>
          </w:p>
          <w:p w14:paraId="0E64F981" w14:textId="77777777" w:rsidR="000729CF" w:rsidRPr="000729CF" w:rsidRDefault="000729CF" w:rsidP="000729CF">
            <w:pPr>
              <w:spacing w:after="120"/>
              <w:rPr>
                <w:rFonts w:ascii="Arial" w:eastAsia="Calibri" w:hAnsi="Arial" w:cs="Arial"/>
                <w:sz w:val="24"/>
                <w:szCs w:val="24"/>
              </w:rPr>
            </w:pPr>
          </w:p>
        </w:tc>
      </w:tr>
      <w:tr w:rsidR="000729CF" w:rsidRPr="000729CF" w14:paraId="3C9C9ED4" w14:textId="77777777" w:rsidTr="000729CF">
        <w:trPr>
          <w:trHeight w:val="20"/>
        </w:trPr>
        <w:tc>
          <w:tcPr>
            <w:tcW w:w="2985" w:type="dxa"/>
            <w:shd w:val="clear" w:color="auto" w:fill="E7E6E6"/>
          </w:tcPr>
          <w:p w14:paraId="5A05E1E0"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 xml:space="preserve">Disability </w:t>
            </w:r>
            <w:r w:rsidRPr="000729CF">
              <w:rPr>
                <w:rFonts w:ascii="Arial" w:eastAsia="Calibri" w:hAnsi="Arial" w:cs="Arial"/>
                <w:sz w:val="24"/>
                <w:szCs w:val="24"/>
              </w:rPr>
              <w:t>includes physical and sensory disabled, D/deaf, deafened, hard of hearing, blind, neurodiverse people, people with non-visible disabilities.</w:t>
            </w:r>
          </w:p>
        </w:tc>
        <w:tc>
          <w:tcPr>
            <w:tcW w:w="2280" w:type="dxa"/>
          </w:tcPr>
          <w:p w14:paraId="2EB7381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220" w:type="dxa"/>
          </w:tcPr>
          <w:p w14:paraId="45EFFC3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The </w:t>
            </w:r>
            <w:proofErr w:type="spellStart"/>
            <w:r w:rsidRPr="000729CF">
              <w:rPr>
                <w:rFonts w:ascii="Arial" w:eastAsia="Calibri" w:hAnsi="Arial" w:cs="Arial"/>
                <w:sz w:val="24"/>
                <w:szCs w:val="24"/>
              </w:rPr>
              <w:t>Easylink</w:t>
            </w:r>
            <w:proofErr w:type="spellEnd"/>
            <w:r w:rsidRPr="000729CF">
              <w:rPr>
                <w:rFonts w:ascii="Arial" w:eastAsia="Calibri" w:hAnsi="Arial" w:cs="Arial"/>
                <w:sz w:val="24"/>
                <w:szCs w:val="24"/>
              </w:rPr>
              <w:t xml:space="preserve"> Shopping service is set up as a door to door transport service for people that find it difficult or not possible to use the city’s bus service. Community Transport has a set of criteria for access to the service. </w:t>
            </w:r>
          </w:p>
          <w:p w14:paraId="22AC6BE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Shopmobility supports people who are less able to walk.</w:t>
            </w:r>
          </w:p>
          <w:p w14:paraId="4BB367A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Disability Advice Centre supports disabled people.</w:t>
            </w:r>
          </w:p>
        </w:tc>
      </w:tr>
      <w:tr w:rsidR="000729CF" w:rsidRPr="000729CF" w14:paraId="2A36C428" w14:textId="77777777" w:rsidTr="000729CF">
        <w:trPr>
          <w:trHeight w:val="20"/>
        </w:trPr>
        <w:tc>
          <w:tcPr>
            <w:tcW w:w="2985" w:type="dxa"/>
            <w:shd w:val="clear" w:color="auto" w:fill="E7E6E6"/>
          </w:tcPr>
          <w:p w14:paraId="5F85FC16" w14:textId="77777777" w:rsidR="000729CF" w:rsidRPr="000729CF" w:rsidRDefault="000729CF" w:rsidP="000729CF">
            <w:pPr>
              <w:keepNext/>
              <w:keepLines/>
              <w:spacing w:before="40"/>
              <w:outlineLvl w:val="2"/>
              <w:rPr>
                <w:rFonts w:ascii="Arial" w:hAnsi="Arial" w:cs="Arial"/>
                <w:color w:val="1F3763"/>
                <w:sz w:val="24"/>
                <w:szCs w:val="24"/>
              </w:rPr>
            </w:pPr>
            <w:r w:rsidRPr="000729CF">
              <w:rPr>
                <w:rFonts w:ascii="Arial" w:hAnsi="Arial" w:cs="Arial"/>
                <w:b/>
                <w:bCs/>
                <w:color w:val="000000"/>
                <w:sz w:val="24"/>
                <w:szCs w:val="24"/>
              </w:rPr>
              <w:t>Ethnicity, ‘</w:t>
            </w:r>
            <w:r w:rsidRPr="000729CF">
              <w:rPr>
                <w:rFonts w:ascii="Arial" w:hAnsi="Arial" w:cs="Arial"/>
                <w:color w:val="000000"/>
                <w:sz w:val="24"/>
                <w:szCs w:val="24"/>
              </w:rPr>
              <w:t>Race’, ethnic heritage including Gypsy, Roma, Travellers</w:t>
            </w:r>
          </w:p>
        </w:tc>
        <w:tc>
          <w:tcPr>
            <w:tcW w:w="2280" w:type="dxa"/>
          </w:tcPr>
          <w:p w14:paraId="3224C65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Unknow</w:t>
            </w:r>
          </w:p>
        </w:tc>
        <w:tc>
          <w:tcPr>
            <w:tcW w:w="5220" w:type="dxa"/>
          </w:tcPr>
          <w:p w14:paraId="47DAA69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Unknown </w:t>
            </w:r>
          </w:p>
        </w:tc>
      </w:tr>
      <w:tr w:rsidR="000729CF" w:rsidRPr="000729CF" w14:paraId="281A93D0" w14:textId="77777777" w:rsidTr="000729CF">
        <w:trPr>
          <w:trHeight w:val="20"/>
        </w:trPr>
        <w:tc>
          <w:tcPr>
            <w:tcW w:w="2985" w:type="dxa"/>
            <w:shd w:val="clear" w:color="auto" w:fill="E7E6E6"/>
          </w:tcPr>
          <w:p w14:paraId="120FF45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Religion, Spirituality, Faith, Atheism, and philosophical belief </w:t>
            </w:r>
          </w:p>
        </w:tc>
        <w:tc>
          <w:tcPr>
            <w:tcW w:w="2280" w:type="dxa"/>
          </w:tcPr>
          <w:p w14:paraId="091CB3B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p w14:paraId="2D269F90" w14:textId="77777777" w:rsidR="000729CF" w:rsidRPr="000729CF" w:rsidRDefault="000729CF" w:rsidP="000729CF">
            <w:pPr>
              <w:spacing w:after="120"/>
              <w:rPr>
                <w:rFonts w:ascii="Arial" w:eastAsia="Calibri" w:hAnsi="Arial" w:cs="Arial"/>
                <w:sz w:val="24"/>
                <w:szCs w:val="24"/>
              </w:rPr>
            </w:pPr>
          </w:p>
        </w:tc>
        <w:tc>
          <w:tcPr>
            <w:tcW w:w="5220" w:type="dxa"/>
          </w:tcPr>
          <w:p w14:paraId="3DC4205E" w14:textId="77777777" w:rsidR="000729CF" w:rsidRPr="000729CF" w:rsidRDefault="000729CF" w:rsidP="000729CF">
            <w:pPr>
              <w:spacing w:after="120"/>
              <w:rPr>
                <w:rFonts w:ascii="Arial" w:eastAsia="Calibri" w:hAnsi="Arial" w:cs="Arial"/>
                <w:sz w:val="24"/>
                <w:szCs w:val="24"/>
              </w:rPr>
            </w:pPr>
          </w:p>
        </w:tc>
      </w:tr>
      <w:tr w:rsidR="000729CF" w:rsidRPr="000729CF" w14:paraId="161D8F12" w14:textId="77777777" w:rsidTr="000729CF">
        <w:trPr>
          <w:trHeight w:val="20"/>
        </w:trPr>
        <w:tc>
          <w:tcPr>
            <w:tcW w:w="2985" w:type="dxa"/>
            <w:shd w:val="clear" w:color="auto" w:fill="E7E6E6"/>
          </w:tcPr>
          <w:p w14:paraId="1EA547F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Gender and Sex </w:t>
            </w:r>
            <w:r w:rsidRPr="000729CF">
              <w:rPr>
                <w:rFonts w:ascii="Arial" w:eastAsia="Calibri" w:hAnsi="Arial" w:cs="Arial"/>
                <w:sz w:val="24"/>
                <w:szCs w:val="24"/>
              </w:rPr>
              <w:t>including non-binary and intersex people</w:t>
            </w:r>
          </w:p>
        </w:tc>
        <w:tc>
          <w:tcPr>
            <w:tcW w:w="2280" w:type="dxa"/>
          </w:tcPr>
          <w:p w14:paraId="45C77BF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220" w:type="dxa"/>
          </w:tcPr>
          <w:p w14:paraId="10EAADE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Women were traditionally the majority of users of the </w:t>
            </w:r>
            <w:proofErr w:type="spellStart"/>
            <w:r w:rsidRPr="000729CF">
              <w:rPr>
                <w:rFonts w:ascii="Arial" w:eastAsia="Calibri" w:hAnsi="Arial" w:cs="Arial"/>
                <w:sz w:val="24"/>
                <w:szCs w:val="24"/>
              </w:rPr>
              <w:t>Easylink</w:t>
            </w:r>
            <w:proofErr w:type="spellEnd"/>
            <w:r w:rsidRPr="000729CF">
              <w:rPr>
                <w:rFonts w:ascii="Arial" w:eastAsia="Calibri" w:hAnsi="Arial" w:cs="Arial"/>
                <w:sz w:val="24"/>
                <w:szCs w:val="24"/>
              </w:rPr>
              <w:t xml:space="preserve"> Shopping service so would be more impacted assuming that is the current situation.</w:t>
            </w:r>
          </w:p>
        </w:tc>
      </w:tr>
      <w:tr w:rsidR="000729CF" w:rsidRPr="000729CF" w14:paraId="1CB3923B" w14:textId="77777777" w:rsidTr="000729CF">
        <w:trPr>
          <w:trHeight w:val="20"/>
        </w:trPr>
        <w:tc>
          <w:tcPr>
            <w:tcW w:w="2985" w:type="dxa"/>
            <w:shd w:val="clear" w:color="auto" w:fill="E7E6E6"/>
          </w:tcPr>
          <w:p w14:paraId="0706627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2280" w:type="dxa"/>
          </w:tcPr>
          <w:p w14:paraId="1AFBEFD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220" w:type="dxa"/>
          </w:tcPr>
          <w:p w14:paraId="4E2C833D" w14:textId="77777777" w:rsidR="000729CF" w:rsidRPr="000729CF" w:rsidRDefault="000729CF" w:rsidP="000729CF">
            <w:pPr>
              <w:spacing w:after="120"/>
              <w:rPr>
                <w:rFonts w:ascii="Arial" w:eastAsia="Calibri" w:hAnsi="Arial" w:cs="Arial"/>
                <w:sz w:val="24"/>
                <w:szCs w:val="24"/>
              </w:rPr>
            </w:pPr>
          </w:p>
        </w:tc>
      </w:tr>
      <w:tr w:rsidR="000729CF" w:rsidRPr="000729CF" w14:paraId="20413A78" w14:textId="77777777" w:rsidTr="000729CF">
        <w:trPr>
          <w:trHeight w:val="20"/>
        </w:trPr>
        <w:tc>
          <w:tcPr>
            <w:tcW w:w="2985" w:type="dxa"/>
            <w:shd w:val="clear" w:color="auto" w:fill="E7E6E6"/>
          </w:tcPr>
          <w:p w14:paraId="2FFD977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2280" w:type="dxa"/>
          </w:tcPr>
          <w:p w14:paraId="2EA83BE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p w14:paraId="070F8D1A" w14:textId="77777777" w:rsidR="000729CF" w:rsidRPr="000729CF" w:rsidRDefault="000729CF" w:rsidP="000729CF">
            <w:pPr>
              <w:spacing w:after="120"/>
              <w:rPr>
                <w:rFonts w:ascii="Arial" w:eastAsia="Calibri" w:hAnsi="Arial" w:cs="Arial"/>
                <w:sz w:val="24"/>
                <w:szCs w:val="24"/>
              </w:rPr>
            </w:pPr>
          </w:p>
        </w:tc>
        <w:tc>
          <w:tcPr>
            <w:tcW w:w="5220" w:type="dxa"/>
          </w:tcPr>
          <w:p w14:paraId="7AA4D30B" w14:textId="77777777" w:rsidR="000729CF" w:rsidRPr="000729CF" w:rsidRDefault="000729CF" w:rsidP="000729CF">
            <w:pPr>
              <w:spacing w:after="120"/>
              <w:rPr>
                <w:rFonts w:ascii="Arial" w:eastAsia="Calibri" w:hAnsi="Arial" w:cs="Arial"/>
                <w:sz w:val="24"/>
                <w:szCs w:val="24"/>
              </w:rPr>
            </w:pPr>
          </w:p>
        </w:tc>
      </w:tr>
      <w:tr w:rsidR="000729CF" w:rsidRPr="000729CF" w14:paraId="4DCDE3C0" w14:textId="77777777" w:rsidTr="000729CF">
        <w:trPr>
          <w:trHeight w:val="20"/>
        </w:trPr>
        <w:tc>
          <w:tcPr>
            <w:tcW w:w="2985" w:type="dxa"/>
            <w:shd w:val="clear" w:color="auto" w:fill="E7E6E6"/>
          </w:tcPr>
          <w:p w14:paraId="016CCF9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2280" w:type="dxa"/>
          </w:tcPr>
          <w:p w14:paraId="4665481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220" w:type="dxa"/>
          </w:tcPr>
          <w:p w14:paraId="368CACCC" w14:textId="77777777" w:rsidR="000729CF" w:rsidRPr="000729CF" w:rsidRDefault="000729CF" w:rsidP="000729CF">
            <w:pPr>
              <w:spacing w:after="120"/>
              <w:rPr>
                <w:rFonts w:ascii="Arial" w:eastAsia="Calibri" w:hAnsi="Arial" w:cs="Arial"/>
                <w:sz w:val="24"/>
                <w:szCs w:val="24"/>
              </w:rPr>
            </w:pPr>
          </w:p>
        </w:tc>
      </w:tr>
      <w:tr w:rsidR="000729CF" w:rsidRPr="000729CF" w14:paraId="4A75344B" w14:textId="77777777" w:rsidTr="000729CF">
        <w:trPr>
          <w:trHeight w:val="20"/>
        </w:trPr>
        <w:tc>
          <w:tcPr>
            <w:tcW w:w="2985" w:type="dxa"/>
            <w:shd w:val="clear" w:color="auto" w:fill="E7E6E6"/>
          </w:tcPr>
          <w:p w14:paraId="6EA72E3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Pregnancy, Maternity, Paternity, Adoption, Menopause, (In)fertility </w:t>
            </w:r>
            <w:r w:rsidRPr="000729CF">
              <w:rPr>
                <w:rFonts w:ascii="Arial" w:eastAsia="Calibri" w:hAnsi="Arial" w:cs="Arial"/>
                <w:color w:val="000000"/>
                <w:sz w:val="24"/>
                <w:szCs w:val="24"/>
              </w:rPr>
              <w:t>(across intersections and non-binary gender spectrum)</w:t>
            </w:r>
          </w:p>
        </w:tc>
        <w:tc>
          <w:tcPr>
            <w:tcW w:w="2280" w:type="dxa"/>
          </w:tcPr>
          <w:p w14:paraId="1EA3E7C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220" w:type="dxa"/>
          </w:tcPr>
          <w:p w14:paraId="11001012" w14:textId="77777777" w:rsidR="000729CF" w:rsidRPr="000729CF" w:rsidRDefault="000729CF" w:rsidP="000729CF">
            <w:pPr>
              <w:spacing w:after="120"/>
              <w:rPr>
                <w:rFonts w:ascii="Arial" w:eastAsia="Calibri" w:hAnsi="Arial" w:cs="Arial"/>
                <w:sz w:val="24"/>
                <w:szCs w:val="24"/>
              </w:rPr>
            </w:pPr>
          </w:p>
        </w:tc>
      </w:tr>
      <w:tr w:rsidR="000729CF" w:rsidRPr="000729CF" w14:paraId="1911E3DD" w14:textId="77777777" w:rsidTr="000729CF">
        <w:trPr>
          <w:trHeight w:val="20"/>
        </w:trPr>
        <w:tc>
          <w:tcPr>
            <w:tcW w:w="2985" w:type="dxa"/>
            <w:shd w:val="clear" w:color="auto" w:fill="E7E6E6"/>
          </w:tcPr>
          <w:p w14:paraId="0D63EC1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2280" w:type="dxa"/>
          </w:tcPr>
          <w:p w14:paraId="4D65668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Unknown</w:t>
            </w:r>
          </w:p>
          <w:p w14:paraId="461B3504" w14:textId="77777777" w:rsidR="000729CF" w:rsidRPr="000729CF" w:rsidRDefault="000729CF" w:rsidP="000729CF">
            <w:pPr>
              <w:spacing w:after="120"/>
              <w:rPr>
                <w:rFonts w:ascii="Arial" w:eastAsia="Calibri" w:hAnsi="Arial" w:cs="Arial"/>
                <w:sz w:val="24"/>
                <w:szCs w:val="24"/>
              </w:rPr>
            </w:pPr>
          </w:p>
        </w:tc>
        <w:tc>
          <w:tcPr>
            <w:tcW w:w="5220" w:type="dxa"/>
          </w:tcPr>
          <w:p w14:paraId="1CCDAA7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Unknown</w:t>
            </w:r>
          </w:p>
        </w:tc>
      </w:tr>
      <w:tr w:rsidR="000729CF" w:rsidRPr="000729CF" w14:paraId="11BF3F57" w14:textId="77777777" w:rsidTr="000729CF">
        <w:trPr>
          <w:trHeight w:val="20"/>
        </w:trPr>
        <w:tc>
          <w:tcPr>
            <w:tcW w:w="2985" w:type="dxa"/>
            <w:shd w:val="clear" w:color="auto" w:fill="E7E6E6"/>
          </w:tcPr>
          <w:p w14:paraId="5E5F4B15" w14:textId="77777777" w:rsidR="000729CF" w:rsidRPr="000729CF" w:rsidRDefault="000729CF" w:rsidP="000729CF">
            <w:pPr>
              <w:spacing w:after="120"/>
              <w:rPr>
                <w:rFonts w:ascii="Arial" w:eastAsia="Calibri" w:hAnsi="Arial" w:cs="Arial"/>
                <w:b/>
                <w:bCs/>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r w:rsidRPr="000729CF">
              <w:rPr>
                <w:rFonts w:ascii="Arial" w:hAnsi="Arial" w:cs="Arial"/>
                <w:color w:val="000000"/>
                <w:sz w:val="24"/>
                <w:szCs w:val="24"/>
              </w:rPr>
              <w:t>considering for age, language, and various intersections</w:t>
            </w:r>
          </w:p>
        </w:tc>
        <w:tc>
          <w:tcPr>
            <w:tcW w:w="2280" w:type="dxa"/>
          </w:tcPr>
          <w:p w14:paraId="08D04E8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Unknown</w:t>
            </w:r>
          </w:p>
          <w:p w14:paraId="3A607797" w14:textId="77777777" w:rsidR="000729CF" w:rsidRPr="000729CF" w:rsidRDefault="000729CF" w:rsidP="000729CF">
            <w:pPr>
              <w:spacing w:after="120"/>
              <w:rPr>
                <w:rFonts w:ascii="Arial" w:eastAsia="Calibri" w:hAnsi="Arial" w:cs="Arial"/>
                <w:sz w:val="24"/>
                <w:szCs w:val="24"/>
              </w:rPr>
            </w:pPr>
          </w:p>
        </w:tc>
        <w:tc>
          <w:tcPr>
            <w:tcW w:w="5220" w:type="dxa"/>
          </w:tcPr>
          <w:p w14:paraId="21D8B5B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Unknown </w:t>
            </w:r>
          </w:p>
        </w:tc>
      </w:tr>
      <w:tr w:rsidR="000729CF" w:rsidRPr="000729CF" w14:paraId="4B1766A1" w14:textId="77777777" w:rsidTr="000729CF">
        <w:trPr>
          <w:trHeight w:val="20"/>
        </w:trPr>
        <w:tc>
          <w:tcPr>
            <w:tcW w:w="2985" w:type="dxa"/>
            <w:shd w:val="clear" w:color="auto" w:fill="E7E6E6"/>
          </w:tcPr>
          <w:p w14:paraId="70ED9FA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Carers </w:t>
            </w:r>
            <w:r w:rsidRPr="000729CF">
              <w:rPr>
                <w:rFonts w:ascii="Arial" w:hAnsi="Arial" w:cs="Arial"/>
                <w:color w:val="000000"/>
                <w:sz w:val="24"/>
                <w:szCs w:val="24"/>
              </w:rPr>
              <w:t>considering for age, language, and various intersections</w:t>
            </w:r>
          </w:p>
        </w:tc>
        <w:tc>
          <w:tcPr>
            <w:tcW w:w="2280" w:type="dxa"/>
          </w:tcPr>
          <w:p w14:paraId="6711D81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220" w:type="dxa"/>
          </w:tcPr>
          <w:p w14:paraId="329B430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Disability Advice Centre supports families and carers of disabled people.</w:t>
            </w:r>
          </w:p>
          <w:p w14:paraId="0966E2CC" w14:textId="77777777" w:rsidR="000729CF" w:rsidRPr="000729CF" w:rsidRDefault="000729CF" w:rsidP="000729CF">
            <w:pPr>
              <w:spacing w:after="120"/>
              <w:rPr>
                <w:rFonts w:ascii="Arial" w:eastAsia="Calibri" w:hAnsi="Arial" w:cs="Arial"/>
                <w:sz w:val="24"/>
                <w:szCs w:val="24"/>
              </w:rPr>
            </w:pPr>
          </w:p>
        </w:tc>
      </w:tr>
      <w:tr w:rsidR="000729CF" w:rsidRPr="000729CF" w14:paraId="12ADC6D9" w14:textId="77777777" w:rsidTr="000729CF">
        <w:trPr>
          <w:trHeight w:val="20"/>
        </w:trPr>
        <w:tc>
          <w:tcPr>
            <w:tcW w:w="2985" w:type="dxa"/>
            <w:shd w:val="clear" w:color="auto" w:fill="E7E6E6"/>
          </w:tcPr>
          <w:p w14:paraId="5BC90302"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 xml:space="preserve">Looked after children, Care Leavers, Care and fostering experienced people </w:t>
            </w:r>
            <w:r w:rsidRPr="000729CF">
              <w:rPr>
                <w:rFonts w:ascii="Arial" w:hAnsi="Arial" w:cs="Arial"/>
                <w:color w:val="000000"/>
                <w:sz w:val="24"/>
                <w:szCs w:val="24"/>
              </w:rPr>
              <w:t>considering for age, language, and various intersections</w:t>
            </w:r>
          </w:p>
        </w:tc>
        <w:tc>
          <w:tcPr>
            <w:tcW w:w="2280" w:type="dxa"/>
          </w:tcPr>
          <w:p w14:paraId="4985395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220" w:type="dxa"/>
          </w:tcPr>
          <w:p w14:paraId="16F6BC98" w14:textId="77777777" w:rsidR="000729CF" w:rsidRPr="000729CF" w:rsidRDefault="000729CF" w:rsidP="000729CF">
            <w:pPr>
              <w:spacing w:after="120"/>
              <w:rPr>
                <w:rFonts w:ascii="Arial" w:eastAsia="Calibri" w:hAnsi="Arial" w:cs="Arial"/>
                <w:sz w:val="24"/>
                <w:szCs w:val="24"/>
              </w:rPr>
            </w:pPr>
          </w:p>
        </w:tc>
      </w:tr>
      <w:tr w:rsidR="000729CF" w:rsidRPr="000729CF" w14:paraId="37A6D2C2" w14:textId="77777777" w:rsidTr="000729CF">
        <w:trPr>
          <w:trHeight w:val="20"/>
        </w:trPr>
        <w:tc>
          <w:tcPr>
            <w:tcW w:w="2985" w:type="dxa"/>
            <w:shd w:val="clear" w:color="auto" w:fill="E7E6E6"/>
          </w:tcPr>
          <w:p w14:paraId="2FB22C1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w:t>
            </w:r>
          </w:p>
        </w:tc>
        <w:tc>
          <w:tcPr>
            <w:tcW w:w="2280" w:type="dxa"/>
          </w:tcPr>
          <w:p w14:paraId="6151CC6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220" w:type="dxa"/>
          </w:tcPr>
          <w:p w14:paraId="1A1BCD7C" w14:textId="77777777" w:rsidR="000729CF" w:rsidRPr="000729CF" w:rsidRDefault="000729CF" w:rsidP="000729CF">
            <w:pPr>
              <w:spacing w:after="120"/>
              <w:rPr>
                <w:rFonts w:ascii="Arial" w:eastAsia="Calibri" w:hAnsi="Arial" w:cs="Arial"/>
                <w:sz w:val="24"/>
                <w:szCs w:val="24"/>
              </w:rPr>
            </w:pPr>
          </w:p>
        </w:tc>
      </w:tr>
      <w:tr w:rsidR="000729CF" w:rsidRPr="000729CF" w14:paraId="7F9E51B9" w14:textId="77777777" w:rsidTr="000729CF">
        <w:trPr>
          <w:trHeight w:val="20"/>
        </w:trPr>
        <w:tc>
          <w:tcPr>
            <w:tcW w:w="2985" w:type="dxa"/>
            <w:shd w:val="clear" w:color="auto" w:fill="E7E6E6"/>
          </w:tcPr>
          <w:p w14:paraId="15F0259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Socio-economic disadvantage </w:t>
            </w:r>
            <w:r w:rsidRPr="000729CF">
              <w:rPr>
                <w:rFonts w:ascii="Arial" w:eastAsia="Calibri" w:hAnsi="Arial" w:cs="Arial"/>
                <w:color w:val="000000"/>
                <w:sz w:val="24"/>
                <w:szCs w:val="24"/>
              </w:rPr>
              <w:t>considering for age, disability, D/deaf/ blind, ethnicity, expatriate background, and various intersections</w:t>
            </w:r>
          </w:p>
        </w:tc>
        <w:tc>
          <w:tcPr>
            <w:tcW w:w="2280" w:type="dxa"/>
          </w:tcPr>
          <w:p w14:paraId="38DF8FF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Unknown</w:t>
            </w:r>
          </w:p>
        </w:tc>
        <w:tc>
          <w:tcPr>
            <w:tcW w:w="5220" w:type="dxa"/>
          </w:tcPr>
          <w:p w14:paraId="73A1C1D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Users must pay £6 (if booked) or £8 (on the day) to use the </w:t>
            </w:r>
            <w:proofErr w:type="spellStart"/>
            <w:r w:rsidRPr="000729CF">
              <w:rPr>
                <w:rFonts w:ascii="Arial" w:eastAsia="Calibri" w:hAnsi="Arial" w:cs="Arial"/>
                <w:sz w:val="24"/>
                <w:szCs w:val="24"/>
              </w:rPr>
              <w:t>Easylink</w:t>
            </w:r>
            <w:proofErr w:type="spellEnd"/>
            <w:r w:rsidRPr="000729CF">
              <w:rPr>
                <w:rFonts w:ascii="Arial" w:eastAsia="Calibri" w:hAnsi="Arial" w:cs="Arial"/>
                <w:sz w:val="24"/>
                <w:szCs w:val="24"/>
              </w:rPr>
              <w:t xml:space="preserve"> Shopping service.</w:t>
            </w:r>
          </w:p>
          <w:p w14:paraId="1F96B5F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Users must pay £5-10 to use Shopmobility scooters or wheelchairs.</w:t>
            </w:r>
          </w:p>
          <w:p w14:paraId="73CFA29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Disability Advice Centre provides advice on benefits and debt.</w:t>
            </w:r>
          </w:p>
        </w:tc>
      </w:tr>
      <w:tr w:rsidR="000729CF" w:rsidRPr="000729CF" w14:paraId="1A1C60E1" w14:textId="77777777" w:rsidTr="000729CF">
        <w:trPr>
          <w:trHeight w:val="20"/>
        </w:trPr>
        <w:tc>
          <w:tcPr>
            <w:tcW w:w="2985" w:type="dxa"/>
            <w:shd w:val="clear" w:color="auto" w:fill="E7E6E6"/>
          </w:tcPr>
          <w:p w14:paraId="77B22D9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Homeless and rough sleepers </w:t>
            </w:r>
            <w:r w:rsidRPr="000729CF">
              <w:rPr>
                <w:rFonts w:ascii="Arial" w:eastAsia="Calibri" w:hAnsi="Arial" w:cs="Arial"/>
                <w:color w:val="000000"/>
                <w:sz w:val="24"/>
                <w:szCs w:val="24"/>
              </w:rPr>
              <w:t>considering for age, veteran, ethnicity, language, and various intersections</w:t>
            </w:r>
          </w:p>
        </w:tc>
        <w:tc>
          <w:tcPr>
            <w:tcW w:w="2280" w:type="dxa"/>
          </w:tcPr>
          <w:p w14:paraId="098C4F7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220" w:type="dxa"/>
          </w:tcPr>
          <w:p w14:paraId="66D1CFC3" w14:textId="77777777" w:rsidR="000729CF" w:rsidRPr="000729CF" w:rsidRDefault="000729CF" w:rsidP="000729CF">
            <w:pPr>
              <w:spacing w:after="120"/>
              <w:rPr>
                <w:rFonts w:ascii="Arial" w:eastAsia="Calibri" w:hAnsi="Arial" w:cs="Arial"/>
                <w:sz w:val="24"/>
                <w:szCs w:val="24"/>
              </w:rPr>
            </w:pPr>
          </w:p>
        </w:tc>
      </w:tr>
      <w:tr w:rsidR="000729CF" w:rsidRPr="000729CF" w14:paraId="144396C7" w14:textId="77777777" w:rsidTr="000729CF">
        <w:trPr>
          <w:trHeight w:val="20"/>
        </w:trPr>
        <w:tc>
          <w:tcPr>
            <w:tcW w:w="2985" w:type="dxa"/>
            <w:shd w:val="clear" w:color="auto" w:fill="E7E6E6"/>
          </w:tcPr>
          <w:p w14:paraId="4DBD66F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2280" w:type="dxa"/>
          </w:tcPr>
          <w:p w14:paraId="7622DEC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220" w:type="dxa"/>
          </w:tcPr>
          <w:p w14:paraId="32CA419B" w14:textId="77777777" w:rsidR="000729CF" w:rsidRPr="000729CF" w:rsidRDefault="000729CF" w:rsidP="000729CF">
            <w:pPr>
              <w:spacing w:after="120"/>
              <w:rPr>
                <w:rFonts w:ascii="Arial" w:eastAsia="Calibri" w:hAnsi="Arial" w:cs="Arial"/>
                <w:sz w:val="24"/>
                <w:szCs w:val="24"/>
              </w:rPr>
            </w:pPr>
          </w:p>
        </w:tc>
      </w:tr>
      <w:tr w:rsidR="000729CF" w:rsidRPr="000729CF" w14:paraId="1278F6B6" w14:textId="77777777" w:rsidTr="000729CF">
        <w:trPr>
          <w:trHeight w:val="20"/>
        </w:trPr>
        <w:tc>
          <w:tcPr>
            <w:tcW w:w="2985" w:type="dxa"/>
            <w:shd w:val="clear" w:color="auto" w:fill="E7E6E6"/>
          </w:tcPr>
          <w:p w14:paraId="7FFBFDF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 (please specify here and add additional rows as needed)</w:t>
            </w:r>
          </w:p>
        </w:tc>
        <w:tc>
          <w:tcPr>
            <w:tcW w:w="2280" w:type="dxa"/>
          </w:tcPr>
          <w:p w14:paraId="014C183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220" w:type="dxa"/>
          </w:tcPr>
          <w:p w14:paraId="5F491A0B" w14:textId="77777777" w:rsidR="000729CF" w:rsidRPr="000729CF" w:rsidRDefault="000729CF" w:rsidP="000729CF">
            <w:pPr>
              <w:spacing w:after="120"/>
              <w:rPr>
                <w:rFonts w:ascii="Arial" w:eastAsia="Calibri" w:hAnsi="Arial" w:cs="Arial"/>
                <w:sz w:val="24"/>
                <w:szCs w:val="24"/>
              </w:rPr>
            </w:pPr>
          </w:p>
        </w:tc>
      </w:tr>
    </w:tbl>
    <w:p w14:paraId="459D5379"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3F981B01"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4950CB3B"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3B91766B"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5678B47F"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6FB14CDE"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7FDECD97"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21821E42"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17CF7BF5"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0DD31F67"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77686B23" w14:textId="77777777" w:rsidR="000729CF" w:rsidRPr="000729CF" w:rsidRDefault="000729CF" w:rsidP="000729CF">
      <w:pPr>
        <w:rPr>
          <w:rFonts w:ascii="Arial" w:eastAsia="Calibri" w:hAnsi="Arial" w:cs="Arial"/>
          <w:sz w:val="24"/>
          <w:szCs w:val="24"/>
          <w:lang w:val="en-GB"/>
        </w:rPr>
      </w:pPr>
    </w:p>
    <w:p w14:paraId="7BE30ACF"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Cumulative impacts</w:t>
      </w:r>
    </w:p>
    <w:p w14:paraId="50229305"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Are there other budget proposals from other service areas that might worsen or mitigate the impacts from your proposal? Please give a brief description including name of other service(s).</w:t>
      </w:r>
    </w:p>
    <w:tbl>
      <w:tblPr>
        <w:tblStyle w:val="TableGrid"/>
        <w:tblW w:w="0" w:type="auto"/>
        <w:tblLook w:val="04A0" w:firstRow="1" w:lastRow="0" w:firstColumn="1" w:lastColumn="0" w:noHBand="0" w:noVBand="1"/>
      </w:tblPr>
      <w:tblGrid>
        <w:gridCol w:w="10456"/>
      </w:tblGrid>
      <w:tr w:rsidR="000729CF" w:rsidRPr="000729CF" w14:paraId="34B92B5A" w14:textId="77777777" w:rsidTr="00BC26AB">
        <w:tc>
          <w:tcPr>
            <w:tcW w:w="10456" w:type="dxa"/>
          </w:tcPr>
          <w:p w14:paraId="596F0F57"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 xml:space="preserve">Budget savings across the council that impact disproportionately on disabled people are likely to worsen the impact of this proposal. </w:t>
            </w:r>
          </w:p>
          <w:p w14:paraId="14AC655C" w14:textId="77777777" w:rsidR="000729CF" w:rsidRPr="000729CF" w:rsidRDefault="000729CF" w:rsidP="000729CF">
            <w:pPr>
              <w:rPr>
                <w:rFonts w:ascii="Arial" w:eastAsia="Calibri" w:hAnsi="Arial" w:cs="Arial"/>
                <w:sz w:val="24"/>
                <w:szCs w:val="24"/>
              </w:rPr>
            </w:pPr>
          </w:p>
        </w:tc>
      </w:tr>
    </w:tbl>
    <w:p w14:paraId="3EC0E6A0" w14:textId="77777777" w:rsidR="000729CF" w:rsidRPr="000729CF" w:rsidRDefault="000729CF" w:rsidP="000729CF">
      <w:pPr>
        <w:spacing w:after="160" w:line="259" w:lineRule="auto"/>
        <w:rPr>
          <w:rFonts w:ascii="Arial" w:eastAsia="Calibri" w:hAnsi="Arial" w:cs="Arial"/>
          <w:sz w:val="24"/>
          <w:szCs w:val="24"/>
          <w:lang w:val="en-GB"/>
        </w:rPr>
      </w:pPr>
    </w:p>
    <w:p w14:paraId="095C542E"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Action planning</w:t>
      </w:r>
    </w:p>
    <w:p w14:paraId="36162A33"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SMART actions will be taken to mitigate the disproportionate impacts identified in section 3? If no mitigating action is possible, please state and explain why. Add additional rows as required. </w:t>
      </w:r>
    </w:p>
    <w:tbl>
      <w:tblPr>
        <w:tblStyle w:val="TableGrid"/>
        <w:tblW w:w="0" w:type="auto"/>
        <w:tblLook w:val="04A0" w:firstRow="1" w:lastRow="0" w:firstColumn="1" w:lastColumn="0" w:noHBand="0" w:noVBand="1"/>
      </w:tblPr>
      <w:tblGrid>
        <w:gridCol w:w="10456"/>
      </w:tblGrid>
      <w:tr w:rsidR="000729CF" w:rsidRPr="000729CF" w14:paraId="0EEFDE75" w14:textId="77777777" w:rsidTr="00BC26AB">
        <w:trPr>
          <w:trHeight w:val="847"/>
        </w:trPr>
        <w:tc>
          <w:tcPr>
            <w:tcW w:w="10456" w:type="dxa"/>
          </w:tcPr>
          <w:p w14:paraId="0B5DB6E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SMART action 1: Further engagement with current providers of these services to understand the impact of this proposal and explore potential mitigating actions. </w:t>
            </w:r>
          </w:p>
          <w:p w14:paraId="253F781E" w14:textId="77777777" w:rsidR="000729CF" w:rsidRPr="000729CF" w:rsidRDefault="000729CF" w:rsidP="000729CF">
            <w:pPr>
              <w:spacing w:after="120"/>
              <w:ind w:left="360"/>
              <w:rPr>
                <w:rFonts w:ascii="Arial" w:eastAsia="Calibri" w:hAnsi="Arial" w:cs="Arial"/>
                <w:sz w:val="24"/>
                <w:szCs w:val="24"/>
              </w:rPr>
            </w:pPr>
          </w:p>
        </w:tc>
      </w:tr>
    </w:tbl>
    <w:p w14:paraId="2335F3E4"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Outcome of your assessment</w:t>
      </w:r>
    </w:p>
    <w:p w14:paraId="67DA2CF2"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Based on the information above give the proposal an impact score between 1 – 5. </w:t>
      </w:r>
    </w:p>
    <w:p w14:paraId="37FB25D1"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1= proposal has minimal impact and/or mitigating actions will significantly minimise the impact</w:t>
      </w:r>
    </w:p>
    <w:p w14:paraId="38E69DF7"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3= proposal will have a significant negative impact; however, mitigation actions will reduce the impact considerably.</w:t>
      </w:r>
    </w:p>
    <w:p w14:paraId="0246DACF"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5= proposal has significant impact and mitigating actions will have limited effect on reducing impact.</w:t>
      </w:r>
    </w:p>
    <w:p w14:paraId="7344F503" w14:textId="77777777" w:rsidR="000729CF" w:rsidRPr="000729CF" w:rsidRDefault="000729CF" w:rsidP="000729CF">
      <w:pPr>
        <w:rPr>
          <w:rFonts w:ascii="Arial" w:eastAsia="Calibri" w:hAnsi="Arial" w:cs="Arial"/>
          <w:sz w:val="24"/>
          <w:szCs w:val="24"/>
          <w:highlight w:val="yellow"/>
          <w:lang w:val="en-GB"/>
        </w:rPr>
      </w:pPr>
    </w:p>
    <w:tbl>
      <w:tblPr>
        <w:tblStyle w:val="TableGrid"/>
        <w:tblW w:w="0" w:type="auto"/>
        <w:tblLook w:val="04A0" w:firstRow="1" w:lastRow="0" w:firstColumn="1" w:lastColumn="0" w:noHBand="0" w:noVBand="1"/>
      </w:tblPr>
      <w:tblGrid>
        <w:gridCol w:w="3114"/>
        <w:gridCol w:w="7342"/>
      </w:tblGrid>
      <w:tr w:rsidR="000729CF" w:rsidRPr="000729CF" w14:paraId="410C8D21" w14:textId="77777777" w:rsidTr="00BC26AB">
        <w:trPr>
          <w:trHeight w:val="152"/>
        </w:trPr>
        <w:tc>
          <w:tcPr>
            <w:tcW w:w="3114" w:type="dxa"/>
          </w:tcPr>
          <w:p w14:paraId="37786EA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Proposal’s impact score:</w:t>
            </w:r>
          </w:p>
        </w:tc>
        <w:tc>
          <w:tcPr>
            <w:tcW w:w="7342" w:type="dxa"/>
          </w:tcPr>
          <w:p w14:paraId="223AB3B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2</w:t>
            </w:r>
          </w:p>
        </w:tc>
      </w:tr>
    </w:tbl>
    <w:p w14:paraId="198F002F" w14:textId="77777777" w:rsidR="000729CF" w:rsidRPr="000729CF" w:rsidRDefault="000729CF" w:rsidP="000729CF">
      <w:pPr>
        <w:spacing w:after="160" w:line="259" w:lineRule="auto"/>
        <w:rPr>
          <w:rFonts w:ascii="Arial" w:eastAsia="Calibri" w:hAnsi="Arial" w:cs="Arial"/>
          <w:sz w:val="24"/>
          <w:szCs w:val="24"/>
          <w:lang w:val="en-GB"/>
        </w:rPr>
      </w:pPr>
    </w:p>
    <w:p w14:paraId="1E06D2B5"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Publication</w:t>
      </w:r>
    </w:p>
    <w:p w14:paraId="06CE361C"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All Equality Impact Assessments will be published. If you are recommending, and choosing not to publish your EIA, please provide a reason:</w:t>
      </w:r>
    </w:p>
    <w:tbl>
      <w:tblPr>
        <w:tblStyle w:val="TableGrid"/>
        <w:tblW w:w="0" w:type="auto"/>
        <w:tblLook w:val="04A0" w:firstRow="1" w:lastRow="0" w:firstColumn="1" w:lastColumn="0" w:noHBand="0" w:noVBand="1"/>
      </w:tblPr>
      <w:tblGrid>
        <w:gridCol w:w="10456"/>
      </w:tblGrid>
      <w:tr w:rsidR="000729CF" w:rsidRPr="000729CF" w14:paraId="529462E6" w14:textId="77777777" w:rsidTr="00BC26AB">
        <w:trPr>
          <w:trHeight w:val="803"/>
        </w:trPr>
        <w:tc>
          <w:tcPr>
            <w:tcW w:w="10456" w:type="dxa"/>
          </w:tcPr>
          <w:p w14:paraId="2FFE872C" w14:textId="77777777" w:rsidR="000729CF" w:rsidRPr="000729CF" w:rsidRDefault="000729CF" w:rsidP="000729CF">
            <w:pPr>
              <w:spacing w:after="120"/>
              <w:rPr>
                <w:rFonts w:ascii="Arial" w:eastAsia="Calibri" w:hAnsi="Arial" w:cs="Arial"/>
                <w:sz w:val="24"/>
                <w:szCs w:val="24"/>
              </w:rPr>
            </w:pPr>
          </w:p>
        </w:tc>
      </w:tr>
    </w:tbl>
    <w:p w14:paraId="21A2E913" w14:textId="77777777" w:rsidR="000729CF" w:rsidRPr="000729CF" w:rsidRDefault="000729CF" w:rsidP="000729CF">
      <w:pPr>
        <w:spacing w:after="160" w:line="259" w:lineRule="auto"/>
        <w:rPr>
          <w:rFonts w:ascii="Arial" w:eastAsia="Calibri" w:hAnsi="Arial" w:cs="Arial"/>
          <w:sz w:val="24"/>
          <w:szCs w:val="24"/>
          <w:lang w:val="en-GB"/>
        </w:rPr>
      </w:pPr>
    </w:p>
    <w:p w14:paraId="01D43760"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Directorate and Service Approval</w:t>
      </w:r>
    </w:p>
    <w:tbl>
      <w:tblPr>
        <w:tblStyle w:val="TableGrid"/>
        <w:tblW w:w="0" w:type="auto"/>
        <w:tblLook w:val="04A0" w:firstRow="1" w:lastRow="0" w:firstColumn="1" w:lastColumn="0" w:noHBand="0" w:noVBand="1"/>
      </w:tblPr>
      <w:tblGrid>
        <w:gridCol w:w="3681"/>
        <w:gridCol w:w="4394"/>
        <w:gridCol w:w="2381"/>
      </w:tblGrid>
      <w:tr w:rsidR="000729CF" w:rsidRPr="000729CF" w14:paraId="08C46BB6" w14:textId="77777777" w:rsidTr="000729CF">
        <w:trPr>
          <w:trHeight w:val="20"/>
        </w:trPr>
        <w:tc>
          <w:tcPr>
            <w:tcW w:w="3681" w:type="dxa"/>
            <w:tcBorders>
              <w:bottom w:val="single" w:sz="4" w:space="0" w:color="auto"/>
            </w:tcBorders>
            <w:shd w:val="clear" w:color="auto" w:fill="D9D9D9"/>
          </w:tcPr>
          <w:p w14:paraId="455D1D9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2044064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 and Job Title:</w:t>
            </w:r>
          </w:p>
        </w:tc>
        <w:tc>
          <w:tcPr>
            <w:tcW w:w="2381" w:type="dxa"/>
            <w:shd w:val="clear" w:color="auto" w:fill="D9D9D9"/>
          </w:tcPr>
          <w:p w14:paraId="6CB221B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7E2916AD" w14:textId="77777777" w:rsidTr="000729CF">
        <w:trPr>
          <w:trHeight w:val="20"/>
        </w:trPr>
        <w:tc>
          <w:tcPr>
            <w:tcW w:w="3681" w:type="dxa"/>
            <w:shd w:val="clear" w:color="auto" w:fill="E7E6E6"/>
          </w:tcPr>
          <w:p w14:paraId="7264CCE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Responsible Lead Officer:</w:t>
            </w:r>
          </w:p>
        </w:tc>
        <w:tc>
          <w:tcPr>
            <w:tcW w:w="4394" w:type="dxa"/>
          </w:tcPr>
          <w:p w14:paraId="2015A51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Andy Witham</w:t>
            </w:r>
          </w:p>
        </w:tc>
        <w:tc>
          <w:tcPr>
            <w:tcW w:w="2381" w:type="dxa"/>
          </w:tcPr>
          <w:p w14:paraId="796A4D6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18/01/24</w:t>
            </w:r>
          </w:p>
        </w:tc>
      </w:tr>
      <w:tr w:rsidR="000729CF" w:rsidRPr="000729CF" w14:paraId="472B09FB" w14:textId="77777777" w:rsidTr="000729CF">
        <w:trPr>
          <w:trHeight w:val="20"/>
        </w:trPr>
        <w:tc>
          <w:tcPr>
            <w:tcW w:w="3681" w:type="dxa"/>
            <w:shd w:val="clear" w:color="auto" w:fill="E7E6E6"/>
          </w:tcPr>
          <w:p w14:paraId="0957E12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Accountable Manager:</w:t>
            </w:r>
          </w:p>
        </w:tc>
        <w:tc>
          <w:tcPr>
            <w:tcW w:w="4394" w:type="dxa"/>
          </w:tcPr>
          <w:p w14:paraId="0B65B48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Rob Persey</w:t>
            </w:r>
          </w:p>
        </w:tc>
        <w:tc>
          <w:tcPr>
            <w:tcW w:w="2381" w:type="dxa"/>
          </w:tcPr>
          <w:p w14:paraId="57CBF96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18/01/24</w:t>
            </w:r>
          </w:p>
        </w:tc>
      </w:tr>
    </w:tbl>
    <w:p w14:paraId="592AB2CE" w14:textId="77777777" w:rsidR="000729CF" w:rsidRPr="000729CF" w:rsidRDefault="000729CF" w:rsidP="000729CF">
      <w:pPr>
        <w:spacing w:after="160" w:line="259" w:lineRule="auto"/>
        <w:rPr>
          <w:rFonts w:ascii="Arial" w:eastAsia="Calibri" w:hAnsi="Arial" w:cs="Arial"/>
          <w:sz w:val="18"/>
          <w:szCs w:val="18"/>
          <w:lang w:val="en-GB"/>
        </w:rPr>
      </w:pPr>
    </w:p>
    <w:p w14:paraId="561A73C2" w14:textId="77777777" w:rsidR="000729CF" w:rsidRPr="000729CF" w:rsidRDefault="000729CF" w:rsidP="000729CF">
      <w:pPr>
        <w:keepNext/>
        <w:keepLines/>
        <w:spacing w:before="40" w:after="160" w:line="259" w:lineRule="auto"/>
        <w:outlineLvl w:val="2"/>
        <w:rPr>
          <w:rFonts w:ascii="Arial" w:hAnsi="Arial" w:cs="Arial"/>
          <w:b/>
          <w:bCs/>
          <w:color w:val="000000"/>
          <w:sz w:val="28"/>
          <w:szCs w:val="28"/>
          <w:lang w:val="en-GB"/>
        </w:rPr>
      </w:pPr>
      <w:r w:rsidRPr="000729CF">
        <w:rPr>
          <w:rFonts w:ascii="Arial" w:hAnsi="Arial" w:cs="Arial"/>
          <w:b/>
          <w:bCs/>
          <w:color w:val="000000"/>
          <w:sz w:val="28"/>
          <w:szCs w:val="28"/>
          <w:lang w:val="en-GB"/>
        </w:rPr>
        <w:t>EDI Review and Approval:</w:t>
      </w:r>
    </w:p>
    <w:p w14:paraId="4FD7BB08" w14:textId="77777777" w:rsidR="000729CF" w:rsidRPr="000729CF" w:rsidRDefault="000729CF" w:rsidP="000729CF">
      <w:pPr>
        <w:spacing w:after="160" w:line="259" w:lineRule="auto"/>
        <w:rPr>
          <w:rFonts w:ascii="Arial" w:eastAsia="Calibri" w:hAnsi="Arial" w:cs="Arial"/>
          <w:sz w:val="24"/>
          <w:szCs w:val="24"/>
          <w:lang w:val="en-GB"/>
        </w:rPr>
      </w:pPr>
    </w:p>
    <w:p w14:paraId="222F0EC7" w14:textId="77777777" w:rsidR="000729CF" w:rsidRPr="000729CF" w:rsidRDefault="000729CF" w:rsidP="000729CF">
      <w:pPr>
        <w:keepNext/>
        <w:keepLines/>
        <w:spacing w:after="160" w:line="259" w:lineRule="auto"/>
        <w:ind w:left="283" w:hanging="283"/>
        <w:outlineLvl w:val="1"/>
        <w:rPr>
          <w:rFonts w:ascii="Arial" w:hAnsi="Arial" w:cs="Arial"/>
          <w:color w:val="2F5496"/>
          <w:sz w:val="24"/>
          <w:szCs w:val="24"/>
          <w:lang w:val="en-GB"/>
        </w:rPr>
      </w:pPr>
      <w:r w:rsidRPr="000729CF">
        <w:rPr>
          <w:rFonts w:ascii="Arial" w:hAnsi="Arial" w:cs="Arial"/>
          <w:color w:val="2F5496"/>
          <w:sz w:val="24"/>
          <w:szCs w:val="24"/>
          <w:lang w:val="en-GB"/>
        </w:rPr>
        <w:t>Equality Impact Assessment sign-off</w:t>
      </w:r>
    </w:p>
    <w:tbl>
      <w:tblPr>
        <w:tblStyle w:val="TableGrid"/>
        <w:tblW w:w="0" w:type="auto"/>
        <w:tblLook w:val="04A0" w:firstRow="1" w:lastRow="0" w:firstColumn="1" w:lastColumn="0" w:noHBand="0" w:noVBand="1"/>
      </w:tblPr>
      <w:tblGrid>
        <w:gridCol w:w="3681"/>
        <w:gridCol w:w="4394"/>
        <w:gridCol w:w="2381"/>
      </w:tblGrid>
      <w:tr w:rsidR="000729CF" w:rsidRPr="000729CF" w14:paraId="42EF755C" w14:textId="77777777" w:rsidTr="000729CF">
        <w:trPr>
          <w:trHeight w:val="20"/>
        </w:trPr>
        <w:tc>
          <w:tcPr>
            <w:tcW w:w="3681" w:type="dxa"/>
            <w:tcBorders>
              <w:bottom w:val="single" w:sz="4" w:space="0" w:color="auto"/>
            </w:tcBorders>
            <w:shd w:val="clear" w:color="auto" w:fill="D9D9D9"/>
          </w:tcPr>
          <w:p w14:paraId="0256BF3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54F2491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w:t>
            </w:r>
          </w:p>
        </w:tc>
        <w:tc>
          <w:tcPr>
            <w:tcW w:w="2381" w:type="dxa"/>
            <w:shd w:val="clear" w:color="auto" w:fill="D9D9D9"/>
          </w:tcPr>
          <w:p w14:paraId="6DE9F1D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577B4637" w14:textId="77777777" w:rsidTr="000729CF">
        <w:trPr>
          <w:trHeight w:val="20"/>
        </w:trPr>
        <w:tc>
          <w:tcPr>
            <w:tcW w:w="3681" w:type="dxa"/>
            <w:shd w:val="clear" w:color="auto" w:fill="E7E6E6"/>
          </w:tcPr>
          <w:p w14:paraId="7776235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Head of Communities, Equality, and Third Sector (CETS) Service:</w:t>
            </w:r>
          </w:p>
        </w:tc>
        <w:tc>
          <w:tcPr>
            <w:tcW w:w="4394" w:type="dxa"/>
          </w:tcPr>
          <w:p w14:paraId="0A37719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Emma McDermott</w:t>
            </w:r>
          </w:p>
        </w:tc>
        <w:tc>
          <w:tcPr>
            <w:tcW w:w="2381" w:type="dxa"/>
          </w:tcPr>
          <w:p w14:paraId="0C0C85F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23-01-24</w:t>
            </w:r>
          </w:p>
        </w:tc>
      </w:tr>
    </w:tbl>
    <w:p w14:paraId="2F4199C0" w14:textId="77777777" w:rsidR="000729CF" w:rsidRPr="000729CF" w:rsidRDefault="000729CF" w:rsidP="000729CF">
      <w:pPr>
        <w:rPr>
          <w:rFonts w:ascii="Arial" w:eastAsia="Calibri" w:hAnsi="Arial" w:cs="Arial"/>
          <w:sz w:val="22"/>
          <w:szCs w:val="22"/>
          <w:lang w:val="en-GB"/>
        </w:rPr>
      </w:pPr>
    </w:p>
    <w:p w14:paraId="02B43890" w14:textId="77777777" w:rsidR="000729CF" w:rsidRPr="000729CF" w:rsidRDefault="000729CF" w:rsidP="000729CF">
      <w:pPr>
        <w:spacing w:after="160" w:line="259" w:lineRule="auto"/>
        <w:rPr>
          <w:rFonts w:ascii="Arial" w:eastAsia="Calibri" w:hAnsi="Arial" w:cs="Arial"/>
          <w:b/>
          <w:bCs/>
          <w:sz w:val="24"/>
          <w:szCs w:val="24"/>
          <w:lang w:val="en-GB"/>
        </w:rPr>
      </w:pPr>
    </w:p>
    <w:p w14:paraId="56EAAFAC" w14:textId="77777777" w:rsidR="000729CF" w:rsidRPr="000729CF" w:rsidRDefault="000729CF" w:rsidP="000729CF">
      <w:pPr>
        <w:keepNext/>
        <w:keepLines/>
        <w:spacing w:after="160" w:line="259" w:lineRule="auto"/>
        <w:outlineLvl w:val="1"/>
        <w:rPr>
          <w:rFonts w:ascii="Arial" w:eastAsia="Calibri" w:hAnsi="Arial" w:cs="Arial"/>
          <w:sz w:val="24"/>
          <w:szCs w:val="24"/>
          <w:lang w:val="en-GB"/>
        </w:rPr>
      </w:pPr>
    </w:p>
    <w:p w14:paraId="04623EA5" w14:textId="77777777" w:rsidR="000729CF" w:rsidRPr="000729CF" w:rsidRDefault="000729CF" w:rsidP="000729CF">
      <w:pPr>
        <w:spacing w:after="160" w:line="259" w:lineRule="auto"/>
        <w:rPr>
          <w:rFonts w:ascii="Arial" w:eastAsia="Calibri" w:hAnsi="Arial" w:cs="Arial"/>
          <w:sz w:val="24"/>
          <w:szCs w:val="24"/>
          <w:lang w:val="en-GB"/>
        </w:rPr>
      </w:pPr>
    </w:p>
    <w:p w14:paraId="4809EC4C"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br w:type="page"/>
      </w:r>
    </w:p>
    <w:p w14:paraId="3FBB0DD4" w14:textId="77777777" w:rsidR="000729CF" w:rsidRPr="000729CF" w:rsidRDefault="000729CF" w:rsidP="000729CF">
      <w:pPr>
        <w:keepNext/>
        <w:keepLines/>
        <w:spacing w:after="160" w:line="259" w:lineRule="auto"/>
        <w:outlineLvl w:val="0"/>
        <w:rPr>
          <w:rFonts w:ascii="Arial" w:hAnsi="Arial" w:cs="Arial"/>
          <w:b/>
          <w:bCs/>
          <w:color w:val="2F5496"/>
          <w:sz w:val="28"/>
          <w:szCs w:val="28"/>
          <w:lang w:val="en-GB"/>
        </w:rPr>
      </w:pPr>
      <w:r w:rsidRPr="000729CF">
        <w:rPr>
          <w:rFonts w:ascii="Arial" w:hAnsi="Arial" w:cs="Arial"/>
          <w:b/>
          <w:bCs/>
          <w:color w:val="2F5496"/>
          <w:sz w:val="28"/>
          <w:szCs w:val="28"/>
          <w:lang w:val="en-GB"/>
        </w:rPr>
        <w:t>Budget Equality Impact Assessment (EIA) 2024/25 – Service Users</w:t>
      </w:r>
    </w:p>
    <w:p w14:paraId="060E5F47" w14:textId="77777777" w:rsidR="000729CF" w:rsidRPr="000729CF" w:rsidRDefault="000729CF" w:rsidP="000729CF">
      <w:pPr>
        <w:spacing w:after="160" w:line="259" w:lineRule="auto"/>
        <w:rPr>
          <w:rFonts w:ascii="Arial" w:eastAsia="Calibri" w:hAnsi="Arial" w:cs="Arial"/>
          <w:sz w:val="24"/>
          <w:szCs w:val="24"/>
          <w:lang w:val="en-GB"/>
        </w:rPr>
      </w:pPr>
    </w:p>
    <w:p w14:paraId="7069D16D" w14:textId="77777777" w:rsidR="000729CF" w:rsidRPr="000729CF" w:rsidRDefault="000729CF" w:rsidP="000729CF">
      <w:pPr>
        <w:keepNext/>
        <w:keepLines/>
        <w:spacing w:after="160" w:line="259" w:lineRule="auto"/>
        <w:ind w:left="720" w:hanging="360"/>
        <w:outlineLvl w:val="1"/>
        <w:rPr>
          <w:rFonts w:ascii="Arial" w:hAnsi="Arial" w:cs="Arial"/>
          <w:color w:val="2F5496"/>
          <w:sz w:val="24"/>
          <w:szCs w:val="24"/>
          <w:lang w:val="en-GB"/>
        </w:rPr>
      </w:pPr>
      <w:r w:rsidRPr="000729CF">
        <w:rPr>
          <w:rFonts w:ascii="Arial" w:hAnsi="Arial" w:cs="Arial"/>
          <w:color w:val="2F5496"/>
          <w:sz w:val="24"/>
          <w:szCs w:val="24"/>
          <w:lang w:val="en-GB"/>
        </w:rPr>
        <w:t xml:space="preserve">Budget Proposal </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6492"/>
      </w:tblGrid>
      <w:tr w:rsidR="000729CF" w:rsidRPr="000729CF" w14:paraId="58766F05"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26942A00"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Title of budget saving being assessed:</w:t>
            </w:r>
          </w:p>
        </w:tc>
        <w:tc>
          <w:tcPr>
            <w:tcW w:w="6492" w:type="dxa"/>
            <w:shd w:val="clear" w:color="auto" w:fill="auto"/>
          </w:tcPr>
          <w:p w14:paraId="1D1C0EF4" w14:textId="77777777" w:rsidR="000729CF" w:rsidRPr="000729CF" w:rsidRDefault="000729CF" w:rsidP="000729CF">
            <w:pPr>
              <w:spacing w:after="12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Commissioning – Support with Confidence funding</w:t>
            </w:r>
          </w:p>
        </w:tc>
      </w:tr>
      <w:tr w:rsidR="000729CF" w:rsidRPr="000729CF" w14:paraId="4DC9D6C2"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528DFE7D"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Name and title of officer responsible for this EIA: </w:t>
            </w:r>
          </w:p>
        </w:tc>
        <w:tc>
          <w:tcPr>
            <w:tcW w:w="6492" w:type="dxa"/>
            <w:shd w:val="clear" w:color="auto" w:fill="auto"/>
          </w:tcPr>
          <w:p w14:paraId="2C68DBED"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729CF">
              <w:rPr>
                <w:rFonts w:ascii="Arial" w:hAnsi="Arial" w:cs="Arial"/>
                <w:sz w:val="24"/>
                <w:szCs w:val="24"/>
              </w:rPr>
              <w:t>Andy Witham, Assistant Director of Commissioning &amp; Partnerships</w:t>
            </w:r>
          </w:p>
        </w:tc>
      </w:tr>
      <w:tr w:rsidR="000729CF" w:rsidRPr="000729CF" w14:paraId="55CDA045" w14:textId="77777777" w:rsidTr="000729CF">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5340AB24"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Directorate and Service Name: </w:t>
            </w:r>
          </w:p>
        </w:tc>
        <w:tc>
          <w:tcPr>
            <w:tcW w:w="6492" w:type="dxa"/>
            <w:shd w:val="clear" w:color="auto" w:fill="auto"/>
          </w:tcPr>
          <w:p w14:paraId="72F255AC" w14:textId="77777777" w:rsidR="000729CF" w:rsidRPr="000729CF" w:rsidRDefault="000729CF" w:rsidP="000729CF">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Health and Adult Social Care, Commissioning &amp; Partnerships</w:t>
            </w:r>
          </w:p>
        </w:tc>
      </w:tr>
      <w:tr w:rsidR="000729CF" w:rsidRPr="000729CF" w14:paraId="5DBFFDF6"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4C8A496A"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Budget proposal no.</w:t>
            </w:r>
          </w:p>
        </w:tc>
        <w:tc>
          <w:tcPr>
            <w:tcW w:w="6492" w:type="dxa"/>
            <w:shd w:val="clear" w:color="auto" w:fill="auto"/>
          </w:tcPr>
          <w:p w14:paraId="702F32E2"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729CF">
              <w:rPr>
                <w:rFonts w:ascii="Arial" w:hAnsi="Arial" w:cs="Arial"/>
                <w:sz w:val="24"/>
                <w:szCs w:val="24"/>
              </w:rPr>
              <w:t>13</w:t>
            </w:r>
          </w:p>
        </w:tc>
      </w:tr>
    </w:tbl>
    <w:p w14:paraId="297EBBEE" w14:textId="77777777" w:rsidR="000729CF" w:rsidRPr="000729CF" w:rsidRDefault="000729CF" w:rsidP="000729CF">
      <w:pPr>
        <w:spacing w:after="160" w:line="259" w:lineRule="auto"/>
        <w:rPr>
          <w:rFonts w:ascii="Arial" w:eastAsia="Calibri" w:hAnsi="Arial" w:cs="Arial"/>
          <w:sz w:val="24"/>
          <w:szCs w:val="24"/>
          <w:lang w:val="en-GB"/>
        </w:rPr>
      </w:pPr>
    </w:p>
    <w:p w14:paraId="7DFC7312"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Briefly describe the budget saving proposal: (use the wording in the budget spreadsheet and more detail if needed)</w:t>
      </w:r>
    </w:p>
    <w:tbl>
      <w:tblPr>
        <w:tblStyle w:val="TableGrid"/>
        <w:tblW w:w="0" w:type="auto"/>
        <w:tblLook w:val="04A0" w:firstRow="1" w:lastRow="0" w:firstColumn="1" w:lastColumn="0" w:noHBand="0" w:noVBand="1"/>
      </w:tblPr>
      <w:tblGrid>
        <w:gridCol w:w="10456"/>
      </w:tblGrid>
      <w:tr w:rsidR="000729CF" w:rsidRPr="000729CF" w14:paraId="3FB1212A" w14:textId="77777777" w:rsidTr="00BC26AB">
        <w:trPr>
          <w:trHeight w:val="851"/>
        </w:trPr>
        <w:tc>
          <w:tcPr>
            <w:tcW w:w="10456" w:type="dxa"/>
            <w:tcBorders>
              <w:bottom w:val="single" w:sz="4" w:space="0" w:color="auto"/>
            </w:tcBorders>
          </w:tcPr>
          <w:p w14:paraId="58D78308" w14:textId="77777777" w:rsidR="000729CF" w:rsidRPr="000729CF" w:rsidRDefault="000729CF" w:rsidP="000729CF">
            <w:pPr>
              <w:rPr>
                <w:rFonts w:ascii="Arial" w:hAnsi="Arial" w:cs="Arial"/>
                <w:bCs/>
                <w:sz w:val="24"/>
                <w:szCs w:val="24"/>
                <w:lang w:eastAsia="en-GB"/>
              </w:rPr>
            </w:pPr>
            <w:r w:rsidRPr="000729CF">
              <w:rPr>
                <w:rFonts w:ascii="Arial" w:hAnsi="Arial" w:cs="Arial"/>
                <w:bCs/>
                <w:sz w:val="24"/>
                <w:szCs w:val="24"/>
                <w:lang w:eastAsia="en-GB"/>
              </w:rPr>
              <w:t>Ceasing Support with Confidence contract (£10,000)</w:t>
            </w:r>
          </w:p>
          <w:p w14:paraId="5ECAAFBB" w14:textId="77777777" w:rsidR="000729CF" w:rsidRPr="000729CF" w:rsidRDefault="000729CF" w:rsidP="000729CF">
            <w:pPr>
              <w:spacing w:after="120"/>
              <w:rPr>
                <w:rFonts w:ascii="Arial" w:eastAsia="Calibri" w:hAnsi="Arial" w:cs="Arial"/>
                <w:sz w:val="24"/>
                <w:szCs w:val="24"/>
              </w:rPr>
            </w:pPr>
          </w:p>
          <w:p w14:paraId="20C4935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Support with Confidence is a joint scheme between Health &amp; Adult Social Care and Trading Standards to help people register to become approved Personal Assistants. Personal assistants (PAs) help people that need care and support. They can help with things like shopping, cleaning, food preparation, social activities, and personal care. </w:t>
            </w:r>
          </w:p>
          <w:p w14:paraId="30564F5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scheme offers the following support:</w:t>
            </w:r>
          </w:p>
          <w:p w14:paraId="7A2EC6C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w:t>
            </w:r>
            <w:r w:rsidRPr="000729CF">
              <w:rPr>
                <w:rFonts w:ascii="Arial" w:eastAsia="Calibri" w:hAnsi="Arial" w:cs="Arial"/>
                <w:sz w:val="24"/>
                <w:szCs w:val="24"/>
              </w:rPr>
              <w:tab/>
              <w:t>free training</w:t>
            </w:r>
          </w:p>
          <w:p w14:paraId="6F8C71A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w:t>
            </w:r>
            <w:r w:rsidRPr="000729CF">
              <w:rPr>
                <w:rFonts w:ascii="Arial" w:eastAsia="Calibri" w:hAnsi="Arial" w:cs="Arial"/>
                <w:sz w:val="24"/>
                <w:szCs w:val="24"/>
              </w:rPr>
              <w:tab/>
              <w:t>free background checks</w:t>
            </w:r>
          </w:p>
          <w:p w14:paraId="79F1A1E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w:t>
            </w:r>
            <w:r w:rsidRPr="000729CF">
              <w:rPr>
                <w:rFonts w:ascii="Arial" w:eastAsia="Calibri" w:hAnsi="Arial" w:cs="Arial"/>
                <w:sz w:val="24"/>
                <w:szCs w:val="24"/>
              </w:rPr>
              <w:tab/>
              <w:t>reference checks</w:t>
            </w:r>
          </w:p>
          <w:p w14:paraId="45DE2E8E" w14:textId="77777777" w:rsidR="000729CF" w:rsidRPr="000729CF" w:rsidRDefault="000729CF" w:rsidP="000729CF">
            <w:pPr>
              <w:spacing w:after="120"/>
              <w:rPr>
                <w:rFonts w:ascii="Arial" w:eastAsia="Calibri" w:hAnsi="Arial" w:cs="Arial"/>
                <w:sz w:val="24"/>
                <w:szCs w:val="24"/>
              </w:rPr>
            </w:pPr>
          </w:p>
          <w:p w14:paraId="77ACEA9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Trading Standards no longer have the resource to administer non-statutory trader approved schemes on behalf of Adult Social Care. There is also a wider review of support for Personal Assistants and support for people using Direct Payments who employ Personal Assistants.</w:t>
            </w:r>
          </w:p>
        </w:tc>
      </w:tr>
      <w:tr w:rsidR="000729CF" w:rsidRPr="000729CF" w14:paraId="38A13BEE" w14:textId="77777777" w:rsidTr="00BC26AB">
        <w:trPr>
          <w:trHeight w:val="851"/>
        </w:trPr>
        <w:tc>
          <w:tcPr>
            <w:tcW w:w="10456" w:type="dxa"/>
            <w:tcBorders>
              <w:left w:val="nil"/>
              <w:right w:val="nil"/>
            </w:tcBorders>
          </w:tcPr>
          <w:p w14:paraId="09520E9F" w14:textId="77777777" w:rsidR="000729CF" w:rsidRPr="000729CF" w:rsidRDefault="000729CF" w:rsidP="000729CF">
            <w:pPr>
              <w:spacing w:after="120"/>
              <w:rPr>
                <w:rFonts w:ascii="Arial" w:eastAsia="Calibri" w:hAnsi="Arial" w:cs="Arial"/>
                <w:sz w:val="24"/>
                <w:szCs w:val="24"/>
              </w:rPr>
            </w:pPr>
          </w:p>
          <w:p w14:paraId="2C078C6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Summarise the most significant impacts identified by this assessment including which groups will be disproportionally negatively affected drawing out intersectional impacts as applicable:</w:t>
            </w:r>
          </w:p>
        </w:tc>
      </w:tr>
      <w:tr w:rsidR="000729CF" w:rsidRPr="000729CF" w14:paraId="345F782C" w14:textId="77777777" w:rsidTr="00BC26AB">
        <w:trPr>
          <w:trHeight w:val="851"/>
        </w:trPr>
        <w:tc>
          <w:tcPr>
            <w:tcW w:w="10456" w:type="dxa"/>
          </w:tcPr>
          <w:p w14:paraId="1C84F95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significant impacts on an equality groups as last personal assistant sign up to this scheme was in 2022.</w:t>
            </w:r>
          </w:p>
        </w:tc>
      </w:tr>
    </w:tbl>
    <w:p w14:paraId="4D91EE79" w14:textId="77777777" w:rsidR="000729CF" w:rsidRPr="000729CF" w:rsidRDefault="000729CF" w:rsidP="000729CF">
      <w:pPr>
        <w:rPr>
          <w:rFonts w:ascii="Arial" w:eastAsia="Calibri" w:hAnsi="Arial" w:cs="Arial"/>
          <w:sz w:val="24"/>
          <w:szCs w:val="24"/>
          <w:lang w:val="en-GB"/>
        </w:rPr>
      </w:pPr>
    </w:p>
    <w:p w14:paraId="72768486" w14:textId="77777777" w:rsidR="000729CF" w:rsidRPr="000729CF" w:rsidRDefault="000729CF" w:rsidP="000729CF">
      <w:pPr>
        <w:spacing w:after="160" w:line="259" w:lineRule="auto"/>
        <w:rPr>
          <w:rFonts w:ascii="Arial" w:eastAsia="Calibri" w:hAnsi="Arial" w:cs="Arial"/>
          <w:sz w:val="24"/>
          <w:szCs w:val="24"/>
          <w:lang w:val="en-GB"/>
        </w:rPr>
      </w:pPr>
    </w:p>
    <w:p w14:paraId="47C71073"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Consultation, engagement and supporting EIAs</w:t>
      </w:r>
    </w:p>
    <w:p w14:paraId="3ACEEAB6"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consultations or engagement activities are being used to inform this assessment? </w:t>
      </w:r>
    </w:p>
    <w:p w14:paraId="2F0F2747"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If consultation is planned or in process – state this and state when it will done/completed even if indicative. If no consultation completed or planned, state this, giving an explanation. </w:t>
      </w:r>
    </w:p>
    <w:tbl>
      <w:tblPr>
        <w:tblStyle w:val="TableGrid"/>
        <w:tblW w:w="0" w:type="auto"/>
        <w:tblLook w:val="04A0" w:firstRow="1" w:lastRow="0" w:firstColumn="1" w:lastColumn="0" w:noHBand="0" w:noVBand="1"/>
      </w:tblPr>
      <w:tblGrid>
        <w:gridCol w:w="10456"/>
      </w:tblGrid>
      <w:tr w:rsidR="000729CF" w:rsidRPr="000729CF" w14:paraId="291A757A" w14:textId="77777777" w:rsidTr="00BC26AB">
        <w:trPr>
          <w:trHeight w:val="871"/>
        </w:trPr>
        <w:tc>
          <w:tcPr>
            <w:tcW w:w="10456" w:type="dxa"/>
          </w:tcPr>
          <w:p w14:paraId="73629C7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There has been no consultation or engagement in relation to this assessment. </w:t>
            </w:r>
          </w:p>
        </w:tc>
      </w:tr>
    </w:tbl>
    <w:p w14:paraId="77198BC7" w14:textId="77777777" w:rsidR="000729CF" w:rsidRPr="000729CF" w:rsidRDefault="000729CF" w:rsidP="000729CF">
      <w:pPr>
        <w:spacing w:after="160" w:line="259" w:lineRule="auto"/>
        <w:rPr>
          <w:rFonts w:ascii="Arial" w:eastAsia="Calibri" w:hAnsi="Arial" w:cs="Arial"/>
          <w:sz w:val="24"/>
          <w:szCs w:val="24"/>
          <w:lang w:val="en-GB"/>
        </w:rPr>
      </w:pPr>
    </w:p>
    <w:p w14:paraId="2A1455EB"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other budget or service EIAs can assist/have been used to inform this assessment?</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0729CF" w:rsidRPr="000729CF" w14:paraId="470E5AD3"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shd w:val="clear" w:color="auto" w:fill="FFFFFF"/>
          </w:tcPr>
          <w:p w14:paraId="6930DF53"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n/a</w:t>
            </w:r>
          </w:p>
          <w:p w14:paraId="12F473E2" w14:textId="77777777" w:rsidR="000729CF" w:rsidRPr="000729CF" w:rsidRDefault="000729CF" w:rsidP="000729CF">
            <w:pPr>
              <w:spacing w:after="120"/>
              <w:rPr>
                <w:rFonts w:ascii="Arial" w:hAnsi="Arial" w:cs="Arial"/>
                <w:sz w:val="24"/>
                <w:szCs w:val="24"/>
              </w:rPr>
            </w:pPr>
          </w:p>
        </w:tc>
      </w:tr>
    </w:tbl>
    <w:p w14:paraId="0CBF3390" w14:textId="77777777" w:rsidR="000729CF" w:rsidRPr="000729CF" w:rsidRDefault="000729CF" w:rsidP="000729CF">
      <w:pPr>
        <w:spacing w:after="160" w:line="259" w:lineRule="auto"/>
        <w:rPr>
          <w:rFonts w:ascii="Arial" w:eastAsia="Calibri" w:hAnsi="Arial" w:cs="Arial"/>
          <w:sz w:val="24"/>
          <w:szCs w:val="24"/>
          <w:lang w:val="en-GB"/>
        </w:rPr>
      </w:pPr>
    </w:p>
    <w:p w14:paraId="1E29C5CD"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Current data and impact monitoring</w:t>
      </w:r>
    </w:p>
    <w:p w14:paraId="4395FC93"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Do you currently collect and analyse the following data to enable monitoring of the impact of this proposal? </w:t>
      </w:r>
    </w:p>
    <w:p w14:paraId="6C076898"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Consider all possible intersections (Delete and State Yes, No, Not Applicable)</w:t>
      </w:r>
    </w:p>
    <w:tbl>
      <w:tblPr>
        <w:tblStyle w:val="TableGrid"/>
        <w:tblW w:w="10485" w:type="dxa"/>
        <w:tblLook w:val="04A0" w:firstRow="1" w:lastRow="0" w:firstColumn="1" w:lastColumn="0" w:noHBand="0" w:noVBand="1"/>
      </w:tblPr>
      <w:tblGrid>
        <w:gridCol w:w="6658"/>
        <w:gridCol w:w="3827"/>
      </w:tblGrid>
      <w:tr w:rsidR="000729CF" w:rsidRPr="000729CF" w14:paraId="65496150" w14:textId="77777777" w:rsidTr="000729CF">
        <w:trPr>
          <w:trHeight w:val="310"/>
        </w:trPr>
        <w:tc>
          <w:tcPr>
            <w:tcW w:w="6658" w:type="dxa"/>
            <w:shd w:val="clear" w:color="auto" w:fill="E7E6E6"/>
          </w:tcPr>
          <w:p w14:paraId="73447D3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Age</w:t>
            </w:r>
          </w:p>
        </w:tc>
        <w:tc>
          <w:tcPr>
            <w:tcW w:w="3827" w:type="dxa"/>
          </w:tcPr>
          <w:p w14:paraId="2584735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r>
      <w:tr w:rsidR="000729CF" w:rsidRPr="000729CF" w14:paraId="1ECAD9EE" w14:textId="77777777" w:rsidTr="000729CF">
        <w:trPr>
          <w:trHeight w:val="20"/>
        </w:trPr>
        <w:tc>
          <w:tcPr>
            <w:tcW w:w="6658" w:type="dxa"/>
            <w:shd w:val="clear" w:color="auto" w:fill="E7E6E6"/>
          </w:tcPr>
          <w:p w14:paraId="4B27274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Disability and inclusive adjustments, coverage under equality act and not</w:t>
            </w:r>
          </w:p>
        </w:tc>
        <w:tc>
          <w:tcPr>
            <w:tcW w:w="3827" w:type="dxa"/>
          </w:tcPr>
          <w:p w14:paraId="381BD51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r>
      <w:tr w:rsidR="000729CF" w:rsidRPr="000729CF" w14:paraId="109EB6A2" w14:textId="77777777" w:rsidTr="000729CF">
        <w:trPr>
          <w:trHeight w:val="20"/>
        </w:trPr>
        <w:tc>
          <w:tcPr>
            <w:tcW w:w="6658" w:type="dxa"/>
            <w:shd w:val="clear" w:color="auto" w:fill="E7E6E6"/>
          </w:tcPr>
          <w:p w14:paraId="67173BA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Ethnicity, ‘Race’, ethnic heritage (including Gypsy, Roma, Travellers)</w:t>
            </w:r>
          </w:p>
        </w:tc>
        <w:tc>
          <w:tcPr>
            <w:tcW w:w="3827" w:type="dxa"/>
          </w:tcPr>
          <w:p w14:paraId="015763D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r>
      <w:tr w:rsidR="000729CF" w:rsidRPr="000729CF" w14:paraId="366DEA7D" w14:textId="77777777" w:rsidTr="000729CF">
        <w:trPr>
          <w:trHeight w:val="20"/>
        </w:trPr>
        <w:tc>
          <w:tcPr>
            <w:tcW w:w="6658" w:type="dxa"/>
            <w:shd w:val="clear" w:color="auto" w:fill="E7E6E6"/>
          </w:tcPr>
          <w:p w14:paraId="33D111D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Religion, Belief, Spirituality, Faith, or Atheism</w:t>
            </w:r>
          </w:p>
        </w:tc>
        <w:tc>
          <w:tcPr>
            <w:tcW w:w="3827" w:type="dxa"/>
          </w:tcPr>
          <w:p w14:paraId="76A516F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r>
      <w:tr w:rsidR="000729CF" w:rsidRPr="000729CF" w14:paraId="56B8C5FF" w14:textId="77777777" w:rsidTr="000729CF">
        <w:trPr>
          <w:trHeight w:val="20"/>
        </w:trPr>
        <w:tc>
          <w:tcPr>
            <w:tcW w:w="6658" w:type="dxa"/>
            <w:shd w:val="clear" w:color="auto" w:fill="E7E6E6"/>
          </w:tcPr>
          <w:p w14:paraId="31C991D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Identity and Sex (including non-binary and Intersex people)</w:t>
            </w:r>
          </w:p>
        </w:tc>
        <w:tc>
          <w:tcPr>
            <w:tcW w:w="3827" w:type="dxa"/>
          </w:tcPr>
          <w:p w14:paraId="1CED4D3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r>
      <w:tr w:rsidR="000729CF" w:rsidRPr="000729CF" w14:paraId="30CD29FE" w14:textId="77777777" w:rsidTr="000729CF">
        <w:trPr>
          <w:trHeight w:val="20"/>
        </w:trPr>
        <w:tc>
          <w:tcPr>
            <w:tcW w:w="6658" w:type="dxa"/>
            <w:shd w:val="clear" w:color="auto" w:fill="E7E6E6"/>
          </w:tcPr>
          <w:p w14:paraId="0990A14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3827" w:type="dxa"/>
          </w:tcPr>
          <w:p w14:paraId="0C86F76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5090423B" w14:textId="77777777" w:rsidTr="000729CF">
        <w:trPr>
          <w:trHeight w:val="20"/>
        </w:trPr>
        <w:tc>
          <w:tcPr>
            <w:tcW w:w="6658" w:type="dxa"/>
            <w:shd w:val="clear" w:color="auto" w:fill="E7E6E6"/>
          </w:tcPr>
          <w:p w14:paraId="49D0C26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3827" w:type="dxa"/>
          </w:tcPr>
          <w:p w14:paraId="68BDB33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1A9290C3" w14:textId="77777777" w:rsidTr="000729CF">
        <w:trPr>
          <w:trHeight w:val="20"/>
        </w:trPr>
        <w:tc>
          <w:tcPr>
            <w:tcW w:w="6658" w:type="dxa"/>
            <w:shd w:val="clear" w:color="auto" w:fill="E7E6E6"/>
          </w:tcPr>
          <w:p w14:paraId="4949ACB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3827" w:type="dxa"/>
          </w:tcPr>
          <w:p w14:paraId="2A730BA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r>
      <w:tr w:rsidR="000729CF" w:rsidRPr="000729CF" w14:paraId="5F81E408" w14:textId="77777777" w:rsidTr="000729CF">
        <w:trPr>
          <w:trHeight w:val="20"/>
        </w:trPr>
        <w:tc>
          <w:tcPr>
            <w:tcW w:w="6658" w:type="dxa"/>
            <w:shd w:val="clear" w:color="auto" w:fill="E7E6E6"/>
          </w:tcPr>
          <w:p w14:paraId="03C837D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Pregnant people, Maternity, Paternity, Adoption, Menopause, (In)fertility (across the gender spectrum)</w:t>
            </w:r>
          </w:p>
        </w:tc>
        <w:tc>
          <w:tcPr>
            <w:tcW w:w="3827" w:type="dxa"/>
          </w:tcPr>
          <w:p w14:paraId="331248D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r>
      <w:tr w:rsidR="000729CF" w:rsidRPr="000729CF" w14:paraId="021D999C" w14:textId="77777777" w:rsidTr="000729CF">
        <w:trPr>
          <w:trHeight w:val="20"/>
        </w:trPr>
        <w:tc>
          <w:tcPr>
            <w:tcW w:w="6658" w:type="dxa"/>
            <w:shd w:val="clear" w:color="auto" w:fill="E7E6E6"/>
          </w:tcPr>
          <w:p w14:paraId="1515E50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3827" w:type="dxa"/>
          </w:tcPr>
          <w:p w14:paraId="03FFA9B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r>
      <w:tr w:rsidR="000729CF" w:rsidRPr="000729CF" w14:paraId="53404680" w14:textId="77777777" w:rsidTr="000729CF">
        <w:trPr>
          <w:trHeight w:val="20"/>
        </w:trPr>
        <w:tc>
          <w:tcPr>
            <w:tcW w:w="6658" w:type="dxa"/>
            <w:shd w:val="clear" w:color="auto" w:fill="E7E6E6"/>
          </w:tcPr>
          <w:p w14:paraId="449AB2E3" w14:textId="77777777" w:rsidR="000729CF" w:rsidRPr="000729CF" w:rsidRDefault="000729CF" w:rsidP="000729CF">
            <w:pPr>
              <w:spacing w:after="120"/>
              <w:rPr>
                <w:rFonts w:ascii="Arial" w:hAnsi="Arial" w:cs="Arial"/>
                <w:b/>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p>
        </w:tc>
        <w:tc>
          <w:tcPr>
            <w:tcW w:w="3827" w:type="dxa"/>
          </w:tcPr>
          <w:p w14:paraId="7DCD97A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r>
      <w:tr w:rsidR="000729CF" w:rsidRPr="000729CF" w14:paraId="2795710E" w14:textId="77777777" w:rsidTr="000729CF">
        <w:trPr>
          <w:trHeight w:val="20"/>
        </w:trPr>
        <w:tc>
          <w:tcPr>
            <w:tcW w:w="6658" w:type="dxa"/>
            <w:shd w:val="clear" w:color="auto" w:fill="E7E6E6"/>
          </w:tcPr>
          <w:p w14:paraId="63DD6C26" w14:textId="77777777" w:rsidR="000729CF" w:rsidRPr="000729CF" w:rsidRDefault="000729CF" w:rsidP="000729CF">
            <w:pPr>
              <w:spacing w:after="120"/>
              <w:rPr>
                <w:rFonts w:ascii="Arial" w:hAnsi="Arial" w:cs="Arial"/>
                <w:b/>
                <w:sz w:val="24"/>
                <w:szCs w:val="24"/>
              </w:rPr>
            </w:pPr>
            <w:r w:rsidRPr="000729CF">
              <w:rPr>
                <w:rFonts w:ascii="Arial" w:eastAsia="Calibri" w:hAnsi="Arial" w:cs="Arial"/>
                <w:b/>
                <w:bCs/>
                <w:color w:val="000000"/>
                <w:sz w:val="24"/>
                <w:szCs w:val="24"/>
              </w:rPr>
              <w:t>Carers</w:t>
            </w:r>
          </w:p>
        </w:tc>
        <w:tc>
          <w:tcPr>
            <w:tcW w:w="3827" w:type="dxa"/>
          </w:tcPr>
          <w:p w14:paraId="408ACAD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r>
      <w:tr w:rsidR="000729CF" w:rsidRPr="000729CF" w14:paraId="0418DC47" w14:textId="77777777" w:rsidTr="000729CF">
        <w:trPr>
          <w:trHeight w:val="20"/>
        </w:trPr>
        <w:tc>
          <w:tcPr>
            <w:tcW w:w="6658" w:type="dxa"/>
            <w:shd w:val="clear" w:color="auto" w:fill="E7E6E6"/>
          </w:tcPr>
          <w:p w14:paraId="2B1EE7BA"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Looked after children, Care Leavers, Care and fostering experienced people</w:t>
            </w:r>
          </w:p>
        </w:tc>
        <w:tc>
          <w:tcPr>
            <w:tcW w:w="3827" w:type="dxa"/>
          </w:tcPr>
          <w:p w14:paraId="5BAC828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r>
      <w:tr w:rsidR="000729CF" w:rsidRPr="000729CF" w14:paraId="541084A2" w14:textId="77777777" w:rsidTr="000729CF">
        <w:trPr>
          <w:trHeight w:val="20"/>
        </w:trPr>
        <w:tc>
          <w:tcPr>
            <w:tcW w:w="6658" w:type="dxa"/>
            <w:shd w:val="clear" w:color="auto" w:fill="E7E6E6"/>
          </w:tcPr>
          <w:p w14:paraId="48C731B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 and people in vulnerable situations (All aspects and intersections)</w:t>
            </w:r>
          </w:p>
        </w:tc>
        <w:tc>
          <w:tcPr>
            <w:tcW w:w="3827" w:type="dxa"/>
          </w:tcPr>
          <w:p w14:paraId="1CCBDE0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r>
      <w:tr w:rsidR="000729CF" w:rsidRPr="000729CF" w14:paraId="23A8BFC7" w14:textId="77777777" w:rsidTr="000729CF">
        <w:trPr>
          <w:trHeight w:val="20"/>
        </w:trPr>
        <w:tc>
          <w:tcPr>
            <w:tcW w:w="6658" w:type="dxa"/>
            <w:shd w:val="clear" w:color="auto" w:fill="E7E6E6"/>
          </w:tcPr>
          <w:p w14:paraId="18BD248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Socio-economic Disadvantage</w:t>
            </w:r>
          </w:p>
        </w:tc>
        <w:tc>
          <w:tcPr>
            <w:tcW w:w="3827" w:type="dxa"/>
          </w:tcPr>
          <w:p w14:paraId="2B2E20B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4D313E20" w14:textId="77777777" w:rsidTr="000729CF">
        <w:trPr>
          <w:trHeight w:val="20"/>
        </w:trPr>
        <w:tc>
          <w:tcPr>
            <w:tcW w:w="6658" w:type="dxa"/>
            <w:shd w:val="clear" w:color="auto" w:fill="E7E6E6"/>
          </w:tcPr>
          <w:p w14:paraId="1BD205D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Homelessness and associated risk and vulnerability</w:t>
            </w:r>
          </w:p>
        </w:tc>
        <w:tc>
          <w:tcPr>
            <w:tcW w:w="3827" w:type="dxa"/>
          </w:tcPr>
          <w:p w14:paraId="6336ED0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r>
      <w:tr w:rsidR="000729CF" w:rsidRPr="000729CF" w14:paraId="3B848728" w14:textId="77777777" w:rsidTr="000729CF">
        <w:trPr>
          <w:trHeight w:val="20"/>
        </w:trPr>
        <w:tc>
          <w:tcPr>
            <w:tcW w:w="6658" w:type="dxa"/>
            <w:shd w:val="clear" w:color="auto" w:fill="E7E6E6"/>
          </w:tcPr>
          <w:p w14:paraId="75293E1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3827" w:type="dxa"/>
          </w:tcPr>
          <w:p w14:paraId="4A4105B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4109FA14" w14:textId="77777777" w:rsidTr="000729CF">
        <w:trPr>
          <w:trHeight w:val="20"/>
        </w:trPr>
        <w:tc>
          <w:tcPr>
            <w:tcW w:w="6658" w:type="dxa"/>
            <w:shd w:val="clear" w:color="auto" w:fill="E7E6E6"/>
          </w:tcPr>
          <w:p w14:paraId="6641EF4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 (please specify here and add additional rows as needed)</w:t>
            </w:r>
          </w:p>
        </w:tc>
        <w:tc>
          <w:tcPr>
            <w:tcW w:w="3827" w:type="dxa"/>
          </w:tcPr>
          <w:p w14:paraId="0A8590A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bl>
    <w:p w14:paraId="36CBB4B2" w14:textId="77777777" w:rsidR="000729CF" w:rsidRPr="000729CF" w:rsidRDefault="000729CF" w:rsidP="000729CF">
      <w:pPr>
        <w:rPr>
          <w:rFonts w:ascii="Arial" w:eastAsia="Calibri" w:hAnsi="Arial" w:cs="Arial"/>
          <w:sz w:val="24"/>
          <w:szCs w:val="24"/>
          <w:lang w:val="en-GB"/>
        </w:rPr>
      </w:pPr>
    </w:p>
    <w:p w14:paraId="3FDFEBED"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0C6AC615"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773DC514"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17BE8BFA"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040CA51B"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7426A185"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090F6BAC"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2FA25ECE"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031BDCF5"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5EF8477E"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75DB9838" w14:textId="77777777" w:rsidR="000729CF" w:rsidRPr="000729CF" w:rsidRDefault="000729CF" w:rsidP="000729CF">
      <w:pPr>
        <w:rPr>
          <w:rFonts w:ascii="Arial" w:eastAsia="Calibri" w:hAnsi="Arial" w:cs="Arial"/>
          <w:sz w:val="24"/>
          <w:szCs w:val="24"/>
          <w:lang w:val="en-GB"/>
        </w:rPr>
      </w:pPr>
    </w:p>
    <w:p w14:paraId="046B9F53"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If you answered “NO” to any of the above, how will you gather this data to enable improved monitoring of impact for this proposal?</w:t>
      </w:r>
    </w:p>
    <w:tbl>
      <w:tblPr>
        <w:tblStyle w:val="TableGrid"/>
        <w:tblW w:w="0" w:type="auto"/>
        <w:tblLook w:val="04A0" w:firstRow="1" w:lastRow="0" w:firstColumn="1" w:lastColumn="0" w:noHBand="0" w:noVBand="1"/>
      </w:tblPr>
      <w:tblGrid>
        <w:gridCol w:w="10456"/>
      </w:tblGrid>
      <w:tr w:rsidR="000729CF" w:rsidRPr="000729CF" w14:paraId="398720C0" w14:textId="77777777" w:rsidTr="00BC26AB">
        <w:trPr>
          <w:trHeight w:val="757"/>
        </w:trPr>
        <w:tc>
          <w:tcPr>
            <w:tcW w:w="10456" w:type="dxa"/>
          </w:tcPr>
          <w:p w14:paraId="2FCBD3B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As the scheme will be ending and hasn’t been active since 2022 there is no plan or feasible way to monitor the impact of the scheme.</w:t>
            </w:r>
          </w:p>
        </w:tc>
      </w:tr>
    </w:tbl>
    <w:p w14:paraId="100041D7" w14:textId="77777777" w:rsidR="000729CF" w:rsidRPr="000729CF" w:rsidRDefault="000729CF" w:rsidP="000729CF">
      <w:pPr>
        <w:rPr>
          <w:rFonts w:ascii="Arial" w:eastAsia="Calibri" w:hAnsi="Arial" w:cs="Arial"/>
          <w:sz w:val="24"/>
          <w:szCs w:val="24"/>
          <w:lang w:val="en-GB"/>
        </w:rPr>
      </w:pPr>
    </w:p>
    <w:p w14:paraId="74EA91A5" w14:textId="77777777" w:rsidR="000729CF" w:rsidRPr="000729CF" w:rsidRDefault="000729CF" w:rsidP="000729CF">
      <w:pPr>
        <w:rPr>
          <w:rFonts w:ascii="Arial" w:eastAsia="Calibri" w:hAnsi="Arial" w:cs="Arial"/>
          <w:sz w:val="24"/>
          <w:szCs w:val="24"/>
          <w:lang w:val="en-GB"/>
        </w:rPr>
      </w:pPr>
    </w:p>
    <w:p w14:paraId="65E25E26"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are the arrangements for monitoring, and reviewing the impact of this proposal?</w:t>
      </w:r>
    </w:p>
    <w:tbl>
      <w:tblPr>
        <w:tblStyle w:val="TableGrid"/>
        <w:tblW w:w="0" w:type="auto"/>
        <w:tblLook w:val="04A0" w:firstRow="1" w:lastRow="0" w:firstColumn="1" w:lastColumn="0" w:noHBand="0" w:noVBand="1"/>
      </w:tblPr>
      <w:tblGrid>
        <w:gridCol w:w="10456"/>
      </w:tblGrid>
      <w:tr w:rsidR="000729CF" w:rsidRPr="000729CF" w14:paraId="775A16EA" w14:textId="77777777" w:rsidTr="00BC26AB">
        <w:trPr>
          <w:trHeight w:val="757"/>
        </w:trPr>
        <w:tc>
          <w:tcPr>
            <w:tcW w:w="10456" w:type="dxa"/>
          </w:tcPr>
          <w:p w14:paraId="3842D7B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As the scheme will be ending and hasn’t been active since 2022 there is no plan or feasible way to monitor the impact of the scheme.</w:t>
            </w:r>
          </w:p>
        </w:tc>
      </w:tr>
    </w:tbl>
    <w:p w14:paraId="562DF8E1" w14:textId="77777777" w:rsidR="000729CF" w:rsidRPr="000729CF" w:rsidRDefault="000729CF" w:rsidP="000729CF">
      <w:pPr>
        <w:rPr>
          <w:rFonts w:ascii="Arial" w:eastAsia="Calibri" w:hAnsi="Arial" w:cs="Arial"/>
          <w:sz w:val="24"/>
          <w:szCs w:val="24"/>
          <w:lang w:val="en-GB"/>
        </w:rPr>
      </w:pPr>
    </w:p>
    <w:p w14:paraId="3CB1C2E7" w14:textId="77777777" w:rsidR="000729CF" w:rsidRPr="000729CF" w:rsidRDefault="000729CF" w:rsidP="000729CF">
      <w:pPr>
        <w:rPr>
          <w:rFonts w:ascii="Arial" w:eastAsia="Calibri" w:hAnsi="Arial" w:cs="Arial"/>
          <w:sz w:val="24"/>
          <w:szCs w:val="24"/>
          <w:lang w:val="en-GB"/>
        </w:rPr>
      </w:pPr>
    </w:p>
    <w:p w14:paraId="0A8EF8BB"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Impacts</w:t>
      </w:r>
    </w:p>
    <w:p w14:paraId="29E8C51F"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Briefly state source of data or data analysis being used to describe the </w:t>
      </w:r>
      <w:r w:rsidRPr="000729CF">
        <w:rPr>
          <w:rFonts w:ascii="Arial" w:eastAsia="Calibri" w:hAnsi="Arial" w:cs="Arial"/>
          <w:color w:val="000000"/>
          <w:sz w:val="24"/>
          <w:szCs w:val="24"/>
          <w:bdr w:val="none" w:sz="0" w:space="0" w:color="auto" w:frame="1"/>
          <w:lang w:val="en-GB"/>
        </w:rPr>
        <w:t xml:space="preserve">disproportionate negative impacts. </w:t>
      </w:r>
      <w:r w:rsidRPr="000729CF">
        <w:rPr>
          <w:rFonts w:ascii="Arial" w:eastAsia="Calibri" w:hAnsi="Arial" w:cs="Arial"/>
          <w:sz w:val="24"/>
          <w:szCs w:val="24"/>
          <w:lang w:val="en-GB"/>
        </w:rPr>
        <w:t xml:space="preserve">Preferably provide link to data/ analysis if open data source. </w:t>
      </w:r>
    </w:p>
    <w:p w14:paraId="61DF1006" w14:textId="77777777" w:rsidR="000729CF" w:rsidRPr="000729CF" w:rsidRDefault="000729CF" w:rsidP="000729CF">
      <w:pPr>
        <w:spacing w:after="160" w:line="259" w:lineRule="auto"/>
        <w:rPr>
          <w:rFonts w:ascii="Arial" w:eastAsia="Calibri" w:hAnsi="Arial" w:cs="Arial"/>
          <w:color w:val="000000"/>
          <w:sz w:val="24"/>
          <w:szCs w:val="24"/>
          <w:shd w:val="clear" w:color="auto" w:fill="FFFFFF"/>
          <w:lang w:val="en-GB"/>
        </w:rPr>
      </w:pPr>
    </w:p>
    <w:tbl>
      <w:tblPr>
        <w:tblStyle w:val="TableGrid"/>
        <w:tblW w:w="10485" w:type="dxa"/>
        <w:tblLook w:val="04A0" w:firstRow="1" w:lastRow="0" w:firstColumn="1" w:lastColumn="0" w:noHBand="0" w:noVBand="1"/>
      </w:tblPr>
      <w:tblGrid>
        <w:gridCol w:w="2985"/>
        <w:gridCol w:w="2123"/>
        <w:gridCol w:w="5377"/>
      </w:tblGrid>
      <w:tr w:rsidR="000729CF" w:rsidRPr="000729CF" w14:paraId="6184168D" w14:textId="77777777" w:rsidTr="000729CF">
        <w:trPr>
          <w:trHeight w:val="20"/>
        </w:trPr>
        <w:tc>
          <w:tcPr>
            <w:tcW w:w="2985" w:type="dxa"/>
            <w:shd w:val="clear" w:color="auto" w:fill="E7E6E6"/>
          </w:tcPr>
          <w:p w14:paraId="4576A73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Assess impact for different population groups</w:t>
            </w:r>
          </w:p>
        </w:tc>
        <w:tc>
          <w:tcPr>
            <w:tcW w:w="2123" w:type="dxa"/>
            <w:shd w:val="clear" w:color="auto" w:fill="E7E6E6"/>
          </w:tcPr>
          <w:p w14:paraId="73FAF96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Is there a possible disproportionate negative impact? </w:t>
            </w:r>
          </w:p>
          <w:p w14:paraId="7E3E8BE7" w14:textId="77777777" w:rsidR="000729CF" w:rsidRPr="000729CF" w:rsidRDefault="000729CF" w:rsidP="000729CF">
            <w:pPr>
              <w:spacing w:after="120"/>
              <w:rPr>
                <w:rFonts w:ascii="Arial" w:eastAsia="Calibri" w:hAnsi="Arial" w:cs="Arial"/>
                <w:b/>
                <w:bCs/>
                <w:sz w:val="24"/>
                <w:szCs w:val="24"/>
              </w:rPr>
            </w:pPr>
          </w:p>
          <w:p w14:paraId="408A12A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b/>
                <w:bCs/>
                <w:sz w:val="24"/>
                <w:szCs w:val="24"/>
              </w:rPr>
              <w:t>State Yes or No</w:t>
            </w:r>
          </w:p>
        </w:tc>
        <w:tc>
          <w:tcPr>
            <w:tcW w:w="5377" w:type="dxa"/>
            <w:shd w:val="clear" w:color="auto" w:fill="E7E6E6"/>
          </w:tcPr>
          <w:p w14:paraId="0BF9921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Describe the potential negative impact, considering for differences within groups For example, different ethnic groups, and peoples intersecting identities e.g. disabled women of faith</w:t>
            </w:r>
          </w:p>
          <w:p w14:paraId="0067446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OR</w:t>
            </w:r>
          </w:p>
          <w:p w14:paraId="14B792B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If no impact is identified, briefly state why.</w:t>
            </w:r>
          </w:p>
        </w:tc>
      </w:tr>
      <w:tr w:rsidR="000729CF" w:rsidRPr="000729CF" w14:paraId="05637894" w14:textId="77777777" w:rsidTr="000729CF">
        <w:trPr>
          <w:trHeight w:val="20"/>
        </w:trPr>
        <w:tc>
          <w:tcPr>
            <w:tcW w:w="2985" w:type="dxa"/>
            <w:shd w:val="clear" w:color="auto" w:fill="E7E6E6"/>
          </w:tcPr>
          <w:p w14:paraId="2361FD8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Age </w:t>
            </w:r>
          </w:p>
          <w:p w14:paraId="01486CC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sz w:val="24"/>
                <w:szCs w:val="24"/>
              </w:rPr>
              <w:t>including those under 16, young adults, multiple ethnicities, those with various intersections.</w:t>
            </w:r>
          </w:p>
        </w:tc>
        <w:tc>
          <w:tcPr>
            <w:tcW w:w="2123" w:type="dxa"/>
          </w:tcPr>
          <w:p w14:paraId="5281D95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5A7CEB80" w14:textId="77777777" w:rsidR="000729CF" w:rsidRPr="000729CF" w:rsidRDefault="000729CF" w:rsidP="000729CF">
            <w:pPr>
              <w:spacing w:after="120"/>
              <w:rPr>
                <w:rFonts w:ascii="Arial" w:eastAsia="Calibri" w:hAnsi="Arial" w:cs="Arial"/>
                <w:sz w:val="24"/>
                <w:szCs w:val="24"/>
              </w:rPr>
            </w:pPr>
          </w:p>
        </w:tc>
      </w:tr>
      <w:tr w:rsidR="000729CF" w:rsidRPr="000729CF" w14:paraId="3A48A108" w14:textId="77777777" w:rsidTr="000729CF">
        <w:trPr>
          <w:trHeight w:val="20"/>
        </w:trPr>
        <w:tc>
          <w:tcPr>
            <w:tcW w:w="2985" w:type="dxa"/>
            <w:shd w:val="clear" w:color="auto" w:fill="E7E6E6"/>
          </w:tcPr>
          <w:p w14:paraId="54156888"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 xml:space="preserve">Disability </w:t>
            </w:r>
            <w:r w:rsidRPr="000729CF">
              <w:rPr>
                <w:rFonts w:ascii="Arial" w:eastAsia="Calibri" w:hAnsi="Arial" w:cs="Arial"/>
                <w:sz w:val="24"/>
                <w:szCs w:val="24"/>
              </w:rPr>
              <w:t>includes physical and sensory disabled, D/deaf, deafened, hard of hearing, blind, neurodiverse people, people with non-visible disabilities.</w:t>
            </w:r>
          </w:p>
        </w:tc>
        <w:tc>
          <w:tcPr>
            <w:tcW w:w="2123" w:type="dxa"/>
          </w:tcPr>
          <w:p w14:paraId="54580E0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p w14:paraId="511F46EF" w14:textId="77777777" w:rsidR="000729CF" w:rsidRPr="000729CF" w:rsidRDefault="000729CF" w:rsidP="000729CF">
            <w:pPr>
              <w:spacing w:after="120"/>
              <w:rPr>
                <w:rFonts w:ascii="Arial" w:eastAsia="Calibri" w:hAnsi="Arial" w:cs="Arial"/>
                <w:sz w:val="24"/>
                <w:szCs w:val="24"/>
              </w:rPr>
            </w:pPr>
          </w:p>
        </w:tc>
        <w:tc>
          <w:tcPr>
            <w:tcW w:w="5377" w:type="dxa"/>
          </w:tcPr>
          <w:p w14:paraId="37F12C98" w14:textId="77777777" w:rsidR="000729CF" w:rsidRPr="000729CF" w:rsidRDefault="000729CF" w:rsidP="000729CF">
            <w:pPr>
              <w:spacing w:after="120"/>
              <w:rPr>
                <w:rFonts w:ascii="Arial" w:eastAsia="Calibri" w:hAnsi="Arial" w:cs="Arial"/>
                <w:sz w:val="24"/>
                <w:szCs w:val="24"/>
              </w:rPr>
            </w:pPr>
          </w:p>
        </w:tc>
      </w:tr>
      <w:tr w:rsidR="000729CF" w:rsidRPr="000729CF" w14:paraId="324A50ED" w14:textId="77777777" w:rsidTr="000729CF">
        <w:trPr>
          <w:trHeight w:val="20"/>
        </w:trPr>
        <w:tc>
          <w:tcPr>
            <w:tcW w:w="2985" w:type="dxa"/>
            <w:shd w:val="clear" w:color="auto" w:fill="E7E6E6"/>
          </w:tcPr>
          <w:p w14:paraId="0F567345" w14:textId="77777777" w:rsidR="000729CF" w:rsidRPr="000729CF" w:rsidRDefault="000729CF" w:rsidP="000729CF">
            <w:pPr>
              <w:keepNext/>
              <w:keepLines/>
              <w:spacing w:before="40"/>
              <w:outlineLvl w:val="2"/>
              <w:rPr>
                <w:rFonts w:ascii="Arial" w:hAnsi="Arial" w:cs="Arial"/>
                <w:color w:val="1F3763"/>
                <w:sz w:val="24"/>
                <w:szCs w:val="24"/>
              </w:rPr>
            </w:pPr>
            <w:r w:rsidRPr="000729CF">
              <w:rPr>
                <w:rFonts w:ascii="Arial" w:hAnsi="Arial" w:cs="Arial"/>
                <w:b/>
                <w:bCs/>
                <w:color w:val="000000"/>
                <w:sz w:val="24"/>
                <w:szCs w:val="24"/>
              </w:rPr>
              <w:t>Ethnicity, ‘</w:t>
            </w:r>
            <w:r w:rsidRPr="000729CF">
              <w:rPr>
                <w:rFonts w:ascii="Arial" w:hAnsi="Arial" w:cs="Arial"/>
                <w:color w:val="000000"/>
                <w:sz w:val="24"/>
                <w:szCs w:val="24"/>
              </w:rPr>
              <w:t>Race’, ethnic heritage including Gypsy, Roma, Travellers</w:t>
            </w:r>
          </w:p>
        </w:tc>
        <w:tc>
          <w:tcPr>
            <w:tcW w:w="2123" w:type="dxa"/>
          </w:tcPr>
          <w:p w14:paraId="0290DCD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p w14:paraId="0A759FA5" w14:textId="77777777" w:rsidR="000729CF" w:rsidRPr="000729CF" w:rsidRDefault="000729CF" w:rsidP="000729CF">
            <w:pPr>
              <w:spacing w:after="120"/>
              <w:rPr>
                <w:rFonts w:ascii="Arial" w:eastAsia="Calibri" w:hAnsi="Arial" w:cs="Arial"/>
                <w:sz w:val="24"/>
                <w:szCs w:val="24"/>
              </w:rPr>
            </w:pPr>
          </w:p>
        </w:tc>
        <w:tc>
          <w:tcPr>
            <w:tcW w:w="5377" w:type="dxa"/>
          </w:tcPr>
          <w:p w14:paraId="5D7A2780" w14:textId="77777777" w:rsidR="000729CF" w:rsidRPr="000729CF" w:rsidRDefault="000729CF" w:rsidP="000729CF">
            <w:pPr>
              <w:spacing w:after="120"/>
              <w:rPr>
                <w:rFonts w:ascii="Arial" w:eastAsia="Calibri" w:hAnsi="Arial" w:cs="Arial"/>
                <w:sz w:val="24"/>
                <w:szCs w:val="24"/>
              </w:rPr>
            </w:pPr>
          </w:p>
        </w:tc>
      </w:tr>
      <w:tr w:rsidR="000729CF" w:rsidRPr="000729CF" w14:paraId="50238377" w14:textId="77777777" w:rsidTr="000729CF">
        <w:trPr>
          <w:trHeight w:val="20"/>
        </w:trPr>
        <w:tc>
          <w:tcPr>
            <w:tcW w:w="2985" w:type="dxa"/>
            <w:shd w:val="clear" w:color="auto" w:fill="E7E6E6"/>
          </w:tcPr>
          <w:p w14:paraId="680F732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Religion, Spirituality, Faith, Atheism, and philosophical belief </w:t>
            </w:r>
          </w:p>
        </w:tc>
        <w:tc>
          <w:tcPr>
            <w:tcW w:w="2123" w:type="dxa"/>
          </w:tcPr>
          <w:p w14:paraId="33C298C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p w14:paraId="4B6D02A8" w14:textId="77777777" w:rsidR="000729CF" w:rsidRPr="000729CF" w:rsidRDefault="000729CF" w:rsidP="000729CF">
            <w:pPr>
              <w:spacing w:after="120"/>
              <w:rPr>
                <w:rFonts w:ascii="Arial" w:eastAsia="Calibri" w:hAnsi="Arial" w:cs="Arial"/>
                <w:sz w:val="24"/>
                <w:szCs w:val="24"/>
              </w:rPr>
            </w:pPr>
          </w:p>
        </w:tc>
        <w:tc>
          <w:tcPr>
            <w:tcW w:w="5377" w:type="dxa"/>
          </w:tcPr>
          <w:p w14:paraId="300BCF7C" w14:textId="77777777" w:rsidR="000729CF" w:rsidRPr="000729CF" w:rsidRDefault="000729CF" w:rsidP="000729CF">
            <w:pPr>
              <w:spacing w:after="120"/>
              <w:rPr>
                <w:rFonts w:ascii="Arial" w:eastAsia="Calibri" w:hAnsi="Arial" w:cs="Arial"/>
                <w:sz w:val="24"/>
                <w:szCs w:val="24"/>
              </w:rPr>
            </w:pPr>
          </w:p>
        </w:tc>
      </w:tr>
      <w:tr w:rsidR="000729CF" w:rsidRPr="000729CF" w14:paraId="009DD609" w14:textId="77777777" w:rsidTr="000729CF">
        <w:trPr>
          <w:trHeight w:val="20"/>
        </w:trPr>
        <w:tc>
          <w:tcPr>
            <w:tcW w:w="2985" w:type="dxa"/>
            <w:shd w:val="clear" w:color="auto" w:fill="E7E6E6"/>
          </w:tcPr>
          <w:p w14:paraId="7D7747A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Gender and Sex </w:t>
            </w:r>
            <w:r w:rsidRPr="000729CF">
              <w:rPr>
                <w:rFonts w:ascii="Arial" w:eastAsia="Calibri" w:hAnsi="Arial" w:cs="Arial"/>
                <w:sz w:val="24"/>
                <w:szCs w:val="24"/>
              </w:rPr>
              <w:t>including non-binary and intersex people</w:t>
            </w:r>
          </w:p>
        </w:tc>
        <w:tc>
          <w:tcPr>
            <w:tcW w:w="2123" w:type="dxa"/>
          </w:tcPr>
          <w:p w14:paraId="64044F7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p w14:paraId="146A8ACA" w14:textId="77777777" w:rsidR="000729CF" w:rsidRPr="000729CF" w:rsidRDefault="000729CF" w:rsidP="000729CF">
            <w:pPr>
              <w:spacing w:after="120"/>
              <w:rPr>
                <w:rFonts w:ascii="Arial" w:eastAsia="Calibri" w:hAnsi="Arial" w:cs="Arial"/>
                <w:sz w:val="24"/>
                <w:szCs w:val="24"/>
              </w:rPr>
            </w:pPr>
          </w:p>
        </w:tc>
        <w:tc>
          <w:tcPr>
            <w:tcW w:w="5377" w:type="dxa"/>
          </w:tcPr>
          <w:p w14:paraId="565B1E14" w14:textId="77777777" w:rsidR="000729CF" w:rsidRPr="000729CF" w:rsidRDefault="000729CF" w:rsidP="000729CF">
            <w:pPr>
              <w:spacing w:after="120"/>
              <w:rPr>
                <w:rFonts w:ascii="Arial" w:eastAsia="Calibri" w:hAnsi="Arial" w:cs="Arial"/>
                <w:sz w:val="24"/>
                <w:szCs w:val="24"/>
              </w:rPr>
            </w:pPr>
          </w:p>
        </w:tc>
      </w:tr>
      <w:tr w:rsidR="000729CF" w:rsidRPr="000729CF" w14:paraId="7968F7A4" w14:textId="77777777" w:rsidTr="000729CF">
        <w:trPr>
          <w:trHeight w:val="20"/>
        </w:trPr>
        <w:tc>
          <w:tcPr>
            <w:tcW w:w="2985" w:type="dxa"/>
            <w:shd w:val="clear" w:color="auto" w:fill="E7E6E6"/>
          </w:tcPr>
          <w:p w14:paraId="4228D8E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2123" w:type="dxa"/>
          </w:tcPr>
          <w:p w14:paraId="34161A9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p w14:paraId="4F07F8A3" w14:textId="77777777" w:rsidR="000729CF" w:rsidRPr="000729CF" w:rsidRDefault="000729CF" w:rsidP="000729CF">
            <w:pPr>
              <w:spacing w:after="120"/>
              <w:rPr>
                <w:rFonts w:ascii="Arial" w:eastAsia="Calibri" w:hAnsi="Arial" w:cs="Arial"/>
                <w:sz w:val="24"/>
                <w:szCs w:val="24"/>
              </w:rPr>
            </w:pPr>
          </w:p>
        </w:tc>
        <w:tc>
          <w:tcPr>
            <w:tcW w:w="5377" w:type="dxa"/>
          </w:tcPr>
          <w:p w14:paraId="7FDA6BDD" w14:textId="77777777" w:rsidR="000729CF" w:rsidRPr="000729CF" w:rsidRDefault="000729CF" w:rsidP="000729CF">
            <w:pPr>
              <w:spacing w:after="120"/>
              <w:rPr>
                <w:rFonts w:ascii="Arial" w:eastAsia="Calibri" w:hAnsi="Arial" w:cs="Arial"/>
                <w:sz w:val="24"/>
                <w:szCs w:val="24"/>
              </w:rPr>
            </w:pPr>
          </w:p>
        </w:tc>
      </w:tr>
      <w:tr w:rsidR="000729CF" w:rsidRPr="000729CF" w14:paraId="607132AC" w14:textId="77777777" w:rsidTr="000729CF">
        <w:trPr>
          <w:trHeight w:val="20"/>
        </w:trPr>
        <w:tc>
          <w:tcPr>
            <w:tcW w:w="2985" w:type="dxa"/>
            <w:shd w:val="clear" w:color="auto" w:fill="E7E6E6"/>
          </w:tcPr>
          <w:p w14:paraId="4AF1403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2123" w:type="dxa"/>
          </w:tcPr>
          <w:p w14:paraId="243A797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p w14:paraId="7253B0FC" w14:textId="77777777" w:rsidR="000729CF" w:rsidRPr="000729CF" w:rsidRDefault="000729CF" w:rsidP="000729CF">
            <w:pPr>
              <w:spacing w:after="120"/>
              <w:rPr>
                <w:rFonts w:ascii="Arial" w:eastAsia="Calibri" w:hAnsi="Arial" w:cs="Arial"/>
                <w:sz w:val="24"/>
                <w:szCs w:val="24"/>
              </w:rPr>
            </w:pPr>
          </w:p>
        </w:tc>
        <w:tc>
          <w:tcPr>
            <w:tcW w:w="5377" w:type="dxa"/>
          </w:tcPr>
          <w:p w14:paraId="0FB9A810" w14:textId="77777777" w:rsidR="000729CF" w:rsidRPr="000729CF" w:rsidRDefault="000729CF" w:rsidP="000729CF">
            <w:pPr>
              <w:spacing w:after="120"/>
              <w:rPr>
                <w:rFonts w:ascii="Arial" w:eastAsia="Calibri" w:hAnsi="Arial" w:cs="Arial"/>
                <w:sz w:val="24"/>
                <w:szCs w:val="24"/>
              </w:rPr>
            </w:pPr>
          </w:p>
        </w:tc>
      </w:tr>
      <w:tr w:rsidR="000729CF" w:rsidRPr="000729CF" w14:paraId="2FC92AB3" w14:textId="77777777" w:rsidTr="000729CF">
        <w:trPr>
          <w:trHeight w:val="20"/>
        </w:trPr>
        <w:tc>
          <w:tcPr>
            <w:tcW w:w="2985" w:type="dxa"/>
            <w:shd w:val="clear" w:color="auto" w:fill="E7E6E6"/>
          </w:tcPr>
          <w:p w14:paraId="71B1C78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2123" w:type="dxa"/>
          </w:tcPr>
          <w:p w14:paraId="4C41489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p w14:paraId="7F8B6129" w14:textId="77777777" w:rsidR="000729CF" w:rsidRPr="000729CF" w:rsidRDefault="000729CF" w:rsidP="000729CF">
            <w:pPr>
              <w:spacing w:after="120"/>
              <w:rPr>
                <w:rFonts w:ascii="Arial" w:eastAsia="Calibri" w:hAnsi="Arial" w:cs="Arial"/>
                <w:sz w:val="24"/>
                <w:szCs w:val="24"/>
              </w:rPr>
            </w:pPr>
          </w:p>
        </w:tc>
        <w:tc>
          <w:tcPr>
            <w:tcW w:w="5377" w:type="dxa"/>
          </w:tcPr>
          <w:p w14:paraId="211B4F97" w14:textId="77777777" w:rsidR="000729CF" w:rsidRPr="000729CF" w:rsidRDefault="000729CF" w:rsidP="000729CF">
            <w:pPr>
              <w:spacing w:after="120"/>
              <w:rPr>
                <w:rFonts w:ascii="Arial" w:eastAsia="Calibri" w:hAnsi="Arial" w:cs="Arial"/>
                <w:sz w:val="24"/>
                <w:szCs w:val="24"/>
              </w:rPr>
            </w:pPr>
          </w:p>
        </w:tc>
      </w:tr>
      <w:tr w:rsidR="000729CF" w:rsidRPr="000729CF" w14:paraId="492B869C" w14:textId="77777777" w:rsidTr="000729CF">
        <w:trPr>
          <w:trHeight w:val="20"/>
        </w:trPr>
        <w:tc>
          <w:tcPr>
            <w:tcW w:w="2985" w:type="dxa"/>
            <w:shd w:val="clear" w:color="auto" w:fill="E7E6E6"/>
          </w:tcPr>
          <w:p w14:paraId="5377DC8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Pregnancy, Maternity, Paternity, Adoption, Menopause, (In)fertility </w:t>
            </w:r>
            <w:r w:rsidRPr="000729CF">
              <w:rPr>
                <w:rFonts w:ascii="Arial" w:eastAsia="Calibri" w:hAnsi="Arial" w:cs="Arial"/>
                <w:color w:val="000000"/>
                <w:sz w:val="24"/>
                <w:szCs w:val="24"/>
              </w:rPr>
              <w:t>(across intersections and non-binary gender spectrum)</w:t>
            </w:r>
          </w:p>
        </w:tc>
        <w:tc>
          <w:tcPr>
            <w:tcW w:w="2123" w:type="dxa"/>
          </w:tcPr>
          <w:p w14:paraId="38534C0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p w14:paraId="6E97A7F7" w14:textId="77777777" w:rsidR="000729CF" w:rsidRPr="000729CF" w:rsidRDefault="000729CF" w:rsidP="000729CF">
            <w:pPr>
              <w:spacing w:after="120"/>
              <w:rPr>
                <w:rFonts w:ascii="Arial" w:eastAsia="Calibri" w:hAnsi="Arial" w:cs="Arial"/>
                <w:sz w:val="24"/>
                <w:szCs w:val="24"/>
              </w:rPr>
            </w:pPr>
          </w:p>
        </w:tc>
        <w:tc>
          <w:tcPr>
            <w:tcW w:w="5377" w:type="dxa"/>
          </w:tcPr>
          <w:p w14:paraId="4B139442" w14:textId="77777777" w:rsidR="000729CF" w:rsidRPr="000729CF" w:rsidRDefault="000729CF" w:rsidP="000729CF">
            <w:pPr>
              <w:spacing w:after="120"/>
              <w:rPr>
                <w:rFonts w:ascii="Arial" w:eastAsia="Calibri" w:hAnsi="Arial" w:cs="Arial"/>
                <w:sz w:val="24"/>
                <w:szCs w:val="24"/>
              </w:rPr>
            </w:pPr>
          </w:p>
        </w:tc>
      </w:tr>
      <w:tr w:rsidR="000729CF" w:rsidRPr="000729CF" w14:paraId="74975981" w14:textId="77777777" w:rsidTr="000729CF">
        <w:trPr>
          <w:trHeight w:val="20"/>
        </w:trPr>
        <w:tc>
          <w:tcPr>
            <w:tcW w:w="2985" w:type="dxa"/>
            <w:shd w:val="clear" w:color="auto" w:fill="E7E6E6"/>
          </w:tcPr>
          <w:p w14:paraId="25D7F85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2123" w:type="dxa"/>
          </w:tcPr>
          <w:p w14:paraId="695E3FF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p w14:paraId="5FC919A8" w14:textId="77777777" w:rsidR="000729CF" w:rsidRPr="000729CF" w:rsidRDefault="000729CF" w:rsidP="000729CF">
            <w:pPr>
              <w:spacing w:after="120"/>
              <w:rPr>
                <w:rFonts w:ascii="Arial" w:eastAsia="Calibri" w:hAnsi="Arial" w:cs="Arial"/>
                <w:sz w:val="24"/>
                <w:szCs w:val="24"/>
              </w:rPr>
            </w:pPr>
          </w:p>
        </w:tc>
        <w:tc>
          <w:tcPr>
            <w:tcW w:w="5377" w:type="dxa"/>
          </w:tcPr>
          <w:p w14:paraId="40EA38F1" w14:textId="77777777" w:rsidR="000729CF" w:rsidRPr="000729CF" w:rsidRDefault="000729CF" w:rsidP="000729CF">
            <w:pPr>
              <w:spacing w:after="120"/>
              <w:rPr>
                <w:rFonts w:ascii="Arial" w:eastAsia="Calibri" w:hAnsi="Arial" w:cs="Arial"/>
                <w:sz w:val="24"/>
                <w:szCs w:val="24"/>
              </w:rPr>
            </w:pPr>
          </w:p>
        </w:tc>
      </w:tr>
      <w:tr w:rsidR="000729CF" w:rsidRPr="000729CF" w14:paraId="6538C6EA" w14:textId="77777777" w:rsidTr="000729CF">
        <w:trPr>
          <w:trHeight w:val="20"/>
        </w:trPr>
        <w:tc>
          <w:tcPr>
            <w:tcW w:w="2985" w:type="dxa"/>
            <w:shd w:val="clear" w:color="auto" w:fill="E7E6E6"/>
          </w:tcPr>
          <w:p w14:paraId="6D518F8A" w14:textId="77777777" w:rsidR="000729CF" w:rsidRPr="000729CF" w:rsidRDefault="000729CF" w:rsidP="000729CF">
            <w:pPr>
              <w:spacing w:after="120"/>
              <w:rPr>
                <w:rFonts w:ascii="Arial" w:eastAsia="Calibri" w:hAnsi="Arial" w:cs="Arial"/>
                <w:b/>
                <w:bCs/>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r w:rsidRPr="000729CF">
              <w:rPr>
                <w:rFonts w:ascii="Arial" w:hAnsi="Arial" w:cs="Arial"/>
                <w:color w:val="000000"/>
                <w:sz w:val="24"/>
                <w:szCs w:val="24"/>
              </w:rPr>
              <w:t>considering for age, language, and various intersections</w:t>
            </w:r>
          </w:p>
        </w:tc>
        <w:tc>
          <w:tcPr>
            <w:tcW w:w="2123" w:type="dxa"/>
          </w:tcPr>
          <w:p w14:paraId="6CFC8DB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p w14:paraId="2FD513E0" w14:textId="77777777" w:rsidR="000729CF" w:rsidRPr="000729CF" w:rsidRDefault="000729CF" w:rsidP="000729CF">
            <w:pPr>
              <w:spacing w:after="120"/>
              <w:rPr>
                <w:rFonts w:ascii="Arial" w:eastAsia="Calibri" w:hAnsi="Arial" w:cs="Arial"/>
                <w:sz w:val="24"/>
                <w:szCs w:val="24"/>
              </w:rPr>
            </w:pPr>
          </w:p>
        </w:tc>
        <w:tc>
          <w:tcPr>
            <w:tcW w:w="5377" w:type="dxa"/>
          </w:tcPr>
          <w:p w14:paraId="1C6837FE" w14:textId="77777777" w:rsidR="000729CF" w:rsidRPr="000729CF" w:rsidRDefault="000729CF" w:rsidP="000729CF">
            <w:pPr>
              <w:spacing w:after="120"/>
              <w:rPr>
                <w:rFonts w:ascii="Arial" w:eastAsia="Calibri" w:hAnsi="Arial" w:cs="Arial"/>
                <w:sz w:val="24"/>
                <w:szCs w:val="24"/>
              </w:rPr>
            </w:pPr>
          </w:p>
        </w:tc>
      </w:tr>
      <w:tr w:rsidR="000729CF" w:rsidRPr="000729CF" w14:paraId="7904098E" w14:textId="77777777" w:rsidTr="000729CF">
        <w:trPr>
          <w:trHeight w:val="20"/>
        </w:trPr>
        <w:tc>
          <w:tcPr>
            <w:tcW w:w="2985" w:type="dxa"/>
            <w:shd w:val="clear" w:color="auto" w:fill="E7E6E6"/>
          </w:tcPr>
          <w:p w14:paraId="4E33EF5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Carers </w:t>
            </w:r>
            <w:r w:rsidRPr="000729CF">
              <w:rPr>
                <w:rFonts w:ascii="Arial" w:hAnsi="Arial" w:cs="Arial"/>
                <w:color w:val="000000"/>
                <w:sz w:val="24"/>
                <w:szCs w:val="24"/>
              </w:rPr>
              <w:t>considering for age, language, and various intersections</w:t>
            </w:r>
          </w:p>
        </w:tc>
        <w:tc>
          <w:tcPr>
            <w:tcW w:w="2123" w:type="dxa"/>
          </w:tcPr>
          <w:p w14:paraId="397127B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p w14:paraId="450D1B74" w14:textId="77777777" w:rsidR="000729CF" w:rsidRPr="000729CF" w:rsidRDefault="000729CF" w:rsidP="000729CF">
            <w:pPr>
              <w:spacing w:after="120"/>
              <w:rPr>
                <w:rFonts w:ascii="Arial" w:eastAsia="Calibri" w:hAnsi="Arial" w:cs="Arial"/>
                <w:sz w:val="24"/>
                <w:szCs w:val="24"/>
              </w:rPr>
            </w:pPr>
          </w:p>
        </w:tc>
        <w:tc>
          <w:tcPr>
            <w:tcW w:w="5377" w:type="dxa"/>
          </w:tcPr>
          <w:p w14:paraId="22E2FCAC" w14:textId="77777777" w:rsidR="000729CF" w:rsidRPr="000729CF" w:rsidRDefault="000729CF" w:rsidP="000729CF">
            <w:pPr>
              <w:spacing w:after="120"/>
              <w:rPr>
                <w:rFonts w:ascii="Arial" w:eastAsia="Calibri" w:hAnsi="Arial" w:cs="Arial"/>
                <w:sz w:val="24"/>
                <w:szCs w:val="24"/>
              </w:rPr>
            </w:pPr>
          </w:p>
        </w:tc>
      </w:tr>
      <w:tr w:rsidR="000729CF" w:rsidRPr="000729CF" w14:paraId="776F4DA9" w14:textId="77777777" w:rsidTr="000729CF">
        <w:trPr>
          <w:trHeight w:val="20"/>
        </w:trPr>
        <w:tc>
          <w:tcPr>
            <w:tcW w:w="2985" w:type="dxa"/>
            <w:shd w:val="clear" w:color="auto" w:fill="E7E6E6"/>
          </w:tcPr>
          <w:p w14:paraId="2AEF79D5"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 xml:space="preserve">Looked after children, Care Leavers, Care and fostering experienced people </w:t>
            </w:r>
            <w:r w:rsidRPr="000729CF">
              <w:rPr>
                <w:rFonts w:ascii="Arial" w:hAnsi="Arial" w:cs="Arial"/>
                <w:color w:val="000000"/>
                <w:sz w:val="24"/>
                <w:szCs w:val="24"/>
              </w:rPr>
              <w:t>considering for age, language, and various intersections</w:t>
            </w:r>
          </w:p>
        </w:tc>
        <w:tc>
          <w:tcPr>
            <w:tcW w:w="2123" w:type="dxa"/>
          </w:tcPr>
          <w:p w14:paraId="4021B3E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p w14:paraId="680052E0" w14:textId="77777777" w:rsidR="000729CF" w:rsidRPr="000729CF" w:rsidRDefault="000729CF" w:rsidP="000729CF">
            <w:pPr>
              <w:spacing w:after="120"/>
              <w:rPr>
                <w:rFonts w:ascii="Arial" w:eastAsia="Calibri" w:hAnsi="Arial" w:cs="Arial"/>
                <w:sz w:val="24"/>
                <w:szCs w:val="24"/>
              </w:rPr>
            </w:pPr>
          </w:p>
        </w:tc>
        <w:tc>
          <w:tcPr>
            <w:tcW w:w="5377" w:type="dxa"/>
          </w:tcPr>
          <w:p w14:paraId="6F785C06" w14:textId="77777777" w:rsidR="000729CF" w:rsidRPr="000729CF" w:rsidRDefault="000729CF" w:rsidP="000729CF">
            <w:pPr>
              <w:spacing w:after="120"/>
              <w:rPr>
                <w:rFonts w:ascii="Arial" w:eastAsia="Calibri" w:hAnsi="Arial" w:cs="Arial"/>
                <w:sz w:val="24"/>
                <w:szCs w:val="24"/>
              </w:rPr>
            </w:pPr>
          </w:p>
        </w:tc>
      </w:tr>
      <w:tr w:rsidR="000729CF" w:rsidRPr="000729CF" w14:paraId="42A90AD4" w14:textId="77777777" w:rsidTr="000729CF">
        <w:trPr>
          <w:trHeight w:val="20"/>
        </w:trPr>
        <w:tc>
          <w:tcPr>
            <w:tcW w:w="2985" w:type="dxa"/>
            <w:shd w:val="clear" w:color="auto" w:fill="E7E6E6"/>
          </w:tcPr>
          <w:p w14:paraId="0403336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w:t>
            </w:r>
          </w:p>
        </w:tc>
        <w:tc>
          <w:tcPr>
            <w:tcW w:w="2123" w:type="dxa"/>
          </w:tcPr>
          <w:p w14:paraId="09D886C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p w14:paraId="52B78A9C" w14:textId="77777777" w:rsidR="000729CF" w:rsidRPr="000729CF" w:rsidRDefault="000729CF" w:rsidP="000729CF">
            <w:pPr>
              <w:spacing w:after="120"/>
              <w:rPr>
                <w:rFonts w:ascii="Arial" w:eastAsia="Calibri" w:hAnsi="Arial" w:cs="Arial"/>
                <w:sz w:val="24"/>
                <w:szCs w:val="24"/>
              </w:rPr>
            </w:pPr>
          </w:p>
        </w:tc>
        <w:tc>
          <w:tcPr>
            <w:tcW w:w="5377" w:type="dxa"/>
          </w:tcPr>
          <w:p w14:paraId="664D6859" w14:textId="77777777" w:rsidR="000729CF" w:rsidRPr="000729CF" w:rsidRDefault="000729CF" w:rsidP="000729CF">
            <w:pPr>
              <w:spacing w:after="120"/>
              <w:rPr>
                <w:rFonts w:ascii="Arial" w:eastAsia="Calibri" w:hAnsi="Arial" w:cs="Arial"/>
                <w:sz w:val="24"/>
                <w:szCs w:val="24"/>
              </w:rPr>
            </w:pPr>
          </w:p>
        </w:tc>
      </w:tr>
      <w:tr w:rsidR="000729CF" w:rsidRPr="000729CF" w14:paraId="6F691971" w14:textId="77777777" w:rsidTr="000729CF">
        <w:trPr>
          <w:trHeight w:val="20"/>
        </w:trPr>
        <w:tc>
          <w:tcPr>
            <w:tcW w:w="2985" w:type="dxa"/>
            <w:shd w:val="clear" w:color="auto" w:fill="E7E6E6"/>
          </w:tcPr>
          <w:p w14:paraId="6A11417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Socio-economic disadvantage </w:t>
            </w:r>
            <w:r w:rsidRPr="000729CF">
              <w:rPr>
                <w:rFonts w:ascii="Arial" w:eastAsia="Calibri" w:hAnsi="Arial" w:cs="Arial"/>
                <w:color w:val="000000"/>
                <w:sz w:val="24"/>
                <w:szCs w:val="24"/>
              </w:rPr>
              <w:t>considering for age, disability, D/deaf/ blind, ethnicity, expatriate background, and various intersections</w:t>
            </w:r>
          </w:p>
        </w:tc>
        <w:tc>
          <w:tcPr>
            <w:tcW w:w="2123" w:type="dxa"/>
          </w:tcPr>
          <w:p w14:paraId="3308E23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p w14:paraId="76DA76F2" w14:textId="77777777" w:rsidR="000729CF" w:rsidRPr="000729CF" w:rsidRDefault="000729CF" w:rsidP="000729CF">
            <w:pPr>
              <w:spacing w:after="120"/>
              <w:rPr>
                <w:rFonts w:ascii="Arial" w:eastAsia="Calibri" w:hAnsi="Arial" w:cs="Arial"/>
                <w:sz w:val="24"/>
                <w:szCs w:val="24"/>
              </w:rPr>
            </w:pPr>
          </w:p>
        </w:tc>
        <w:tc>
          <w:tcPr>
            <w:tcW w:w="5377" w:type="dxa"/>
          </w:tcPr>
          <w:p w14:paraId="36121980" w14:textId="77777777" w:rsidR="000729CF" w:rsidRPr="000729CF" w:rsidRDefault="000729CF" w:rsidP="000729CF">
            <w:pPr>
              <w:spacing w:after="120"/>
              <w:rPr>
                <w:rFonts w:ascii="Arial" w:eastAsia="Calibri" w:hAnsi="Arial" w:cs="Arial"/>
                <w:sz w:val="24"/>
                <w:szCs w:val="24"/>
              </w:rPr>
            </w:pPr>
          </w:p>
        </w:tc>
      </w:tr>
      <w:tr w:rsidR="000729CF" w:rsidRPr="000729CF" w14:paraId="0D2D0BD2" w14:textId="77777777" w:rsidTr="000729CF">
        <w:trPr>
          <w:trHeight w:val="20"/>
        </w:trPr>
        <w:tc>
          <w:tcPr>
            <w:tcW w:w="2985" w:type="dxa"/>
            <w:shd w:val="clear" w:color="auto" w:fill="E7E6E6"/>
          </w:tcPr>
          <w:p w14:paraId="2E01EB0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Homeless and rough sleepers </w:t>
            </w:r>
            <w:r w:rsidRPr="000729CF">
              <w:rPr>
                <w:rFonts w:ascii="Arial" w:eastAsia="Calibri" w:hAnsi="Arial" w:cs="Arial"/>
                <w:color w:val="000000"/>
                <w:sz w:val="24"/>
                <w:szCs w:val="24"/>
              </w:rPr>
              <w:t>considering for age, veteran, ethnicity, language, and various intersections</w:t>
            </w:r>
          </w:p>
        </w:tc>
        <w:tc>
          <w:tcPr>
            <w:tcW w:w="2123" w:type="dxa"/>
          </w:tcPr>
          <w:p w14:paraId="1AA14F0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p w14:paraId="39613B7F" w14:textId="77777777" w:rsidR="000729CF" w:rsidRPr="000729CF" w:rsidRDefault="000729CF" w:rsidP="000729CF">
            <w:pPr>
              <w:spacing w:after="120"/>
              <w:rPr>
                <w:rFonts w:ascii="Arial" w:eastAsia="Calibri" w:hAnsi="Arial" w:cs="Arial"/>
                <w:sz w:val="24"/>
                <w:szCs w:val="24"/>
              </w:rPr>
            </w:pPr>
          </w:p>
        </w:tc>
        <w:tc>
          <w:tcPr>
            <w:tcW w:w="5377" w:type="dxa"/>
          </w:tcPr>
          <w:p w14:paraId="62345851" w14:textId="77777777" w:rsidR="000729CF" w:rsidRPr="000729CF" w:rsidRDefault="000729CF" w:rsidP="000729CF">
            <w:pPr>
              <w:spacing w:after="120"/>
              <w:rPr>
                <w:rFonts w:ascii="Arial" w:eastAsia="Calibri" w:hAnsi="Arial" w:cs="Arial"/>
                <w:sz w:val="24"/>
                <w:szCs w:val="24"/>
              </w:rPr>
            </w:pPr>
          </w:p>
        </w:tc>
      </w:tr>
      <w:tr w:rsidR="000729CF" w:rsidRPr="000729CF" w14:paraId="2C8D9FCC" w14:textId="77777777" w:rsidTr="000729CF">
        <w:trPr>
          <w:trHeight w:val="20"/>
        </w:trPr>
        <w:tc>
          <w:tcPr>
            <w:tcW w:w="2985" w:type="dxa"/>
            <w:shd w:val="clear" w:color="auto" w:fill="E7E6E6"/>
          </w:tcPr>
          <w:p w14:paraId="142B3C7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2123" w:type="dxa"/>
          </w:tcPr>
          <w:p w14:paraId="59BAD45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p w14:paraId="6F7172F5" w14:textId="77777777" w:rsidR="000729CF" w:rsidRPr="000729CF" w:rsidRDefault="000729CF" w:rsidP="000729CF">
            <w:pPr>
              <w:spacing w:after="120"/>
              <w:rPr>
                <w:rFonts w:ascii="Arial" w:eastAsia="Calibri" w:hAnsi="Arial" w:cs="Arial"/>
                <w:sz w:val="24"/>
                <w:szCs w:val="24"/>
              </w:rPr>
            </w:pPr>
          </w:p>
        </w:tc>
        <w:tc>
          <w:tcPr>
            <w:tcW w:w="5377" w:type="dxa"/>
          </w:tcPr>
          <w:p w14:paraId="6E542147" w14:textId="77777777" w:rsidR="000729CF" w:rsidRPr="000729CF" w:rsidRDefault="000729CF" w:rsidP="000729CF">
            <w:pPr>
              <w:spacing w:after="120"/>
              <w:rPr>
                <w:rFonts w:ascii="Arial" w:eastAsia="Calibri" w:hAnsi="Arial" w:cs="Arial"/>
                <w:sz w:val="24"/>
                <w:szCs w:val="24"/>
              </w:rPr>
            </w:pPr>
          </w:p>
        </w:tc>
      </w:tr>
      <w:tr w:rsidR="000729CF" w:rsidRPr="000729CF" w14:paraId="4B43EDF2" w14:textId="77777777" w:rsidTr="000729CF">
        <w:trPr>
          <w:trHeight w:val="20"/>
        </w:trPr>
        <w:tc>
          <w:tcPr>
            <w:tcW w:w="2985" w:type="dxa"/>
            <w:shd w:val="clear" w:color="auto" w:fill="E7E6E6"/>
          </w:tcPr>
          <w:p w14:paraId="50382A7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 (please specify here and add additional rows as needed)</w:t>
            </w:r>
          </w:p>
        </w:tc>
        <w:tc>
          <w:tcPr>
            <w:tcW w:w="2123" w:type="dxa"/>
          </w:tcPr>
          <w:p w14:paraId="15C179B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p w14:paraId="3A66FF3A" w14:textId="77777777" w:rsidR="000729CF" w:rsidRPr="000729CF" w:rsidRDefault="000729CF" w:rsidP="000729CF">
            <w:pPr>
              <w:spacing w:after="120"/>
              <w:rPr>
                <w:rFonts w:ascii="Arial" w:eastAsia="Calibri" w:hAnsi="Arial" w:cs="Arial"/>
                <w:sz w:val="24"/>
                <w:szCs w:val="24"/>
              </w:rPr>
            </w:pPr>
          </w:p>
        </w:tc>
        <w:tc>
          <w:tcPr>
            <w:tcW w:w="5377" w:type="dxa"/>
          </w:tcPr>
          <w:p w14:paraId="1C5A322F" w14:textId="77777777" w:rsidR="000729CF" w:rsidRPr="000729CF" w:rsidRDefault="000729CF" w:rsidP="000729CF">
            <w:pPr>
              <w:spacing w:after="120"/>
              <w:rPr>
                <w:rFonts w:ascii="Arial" w:eastAsia="Calibri" w:hAnsi="Arial" w:cs="Arial"/>
                <w:sz w:val="24"/>
                <w:szCs w:val="24"/>
              </w:rPr>
            </w:pPr>
          </w:p>
        </w:tc>
      </w:tr>
    </w:tbl>
    <w:p w14:paraId="080C3196" w14:textId="77777777" w:rsidR="000729CF" w:rsidRPr="000729CF" w:rsidRDefault="000729CF" w:rsidP="000729CF">
      <w:pPr>
        <w:spacing w:after="160" w:line="259" w:lineRule="auto"/>
        <w:rPr>
          <w:rFonts w:ascii="Arial" w:eastAsia="Calibri" w:hAnsi="Arial" w:cs="Arial"/>
          <w:b/>
          <w:bCs/>
          <w:sz w:val="24"/>
          <w:szCs w:val="24"/>
          <w:lang w:val="en-GB"/>
        </w:rPr>
      </w:pPr>
    </w:p>
    <w:p w14:paraId="56D704B5"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11DC7CF5"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52B27761"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239A9CCE"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7D7E5922"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732E666F"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561C9E8B"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22FB1BD4"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16676BFC"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18A65F77"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41A9258F" w14:textId="77777777" w:rsidR="000729CF" w:rsidRPr="000729CF" w:rsidRDefault="000729CF" w:rsidP="000729CF">
      <w:pPr>
        <w:rPr>
          <w:rFonts w:ascii="Arial" w:eastAsia="Calibri" w:hAnsi="Arial" w:cs="Arial"/>
          <w:sz w:val="24"/>
          <w:szCs w:val="24"/>
          <w:lang w:val="en-GB"/>
        </w:rPr>
      </w:pPr>
    </w:p>
    <w:p w14:paraId="1112A3D0"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Cumulative impacts</w:t>
      </w:r>
    </w:p>
    <w:p w14:paraId="13231345"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Are there other budget proposals from other service areas that might worsen or mitigate the impacts from your proposal? Please give a brief description including name of other service(s).</w:t>
      </w:r>
    </w:p>
    <w:tbl>
      <w:tblPr>
        <w:tblStyle w:val="TableGrid"/>
        <w:tblW w:w="0" w:type="auto"/>
        <w:tblLook w:val="04A0" w:firstRow="1" w:lastRow="0" w:firstColumn="1" w:lastColumn="0" w:noHBand="0" w:noVBand="1"/>
      </w:tblPr>
      <w:tblGrid>
        <w:gridCol w:w="10456"/>
      </w:tblGrid>
      <w:tr w:rsidR="000729CF" w:rsidRPr="000729CF" w14:paraId="474AE24B" w14:textId="77777777" w:rsidTr="00BC26AB">
        <w:tc>
          <w:tcPr>
            <w:tcW w:w="10456" w:type="dxa"/>
          </w:tcPr>
          <w:p w14:paraId="43A6F417"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None</w:t>
            </w:r>
          </w:p>
          <w:p w14:paraId="76EEEEC5" w14:textId="77777777" w:rsidR="000729CF" w:rsidRPr="000729CF" w:rsidRDefault="000729CF" w:rsidP="000729CF">
            <w:pPr>
              <w:rPr>
                <w:rFonts w:ascii="Arial" w:eastAsia="Calibri" w:hAnsi="Arial" w:cs="Arial"/>
                <w:sz w:val="24"/>
                <w:szCs w:val="24"/>
              </w:rPr>
            </w:pPr>
          </w:p>
        </w:tc>
      </w:tr>
    </w:tbl>
    <w:p w14:paraId="1ED83249" w14:textId="77777777" w:rsidR="000729CF" w:rsidRPr="000729CF" w:rsidRDefault="000729CF" w:rsidP="000729CF">
      <w:pPr>
        <w:spacing w:after="160" w:line="259" w:lineRule="auto"/>
        <w:rPr>
          <w:rFonts w:ascii="Arial" w:eastAsia="Calibri" w:hAnsi="Arial" w:cs="Arial"/>
          <w:sz w:val="24"/>
          <w:szCs w:val="24"/>
          <w:lang w:val="en-GB"/>
        </w:rPr>
      </w:pPr>
    </w:p>
    <w:p w14:paraId="670DE898"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Action planning</w:t>
      </w:r>
    </w:p>
    <w:p w14:paraId="1BA0F367"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SMART actions will be taken to mitigate the disproportionate impacts identified in section 3? If no mitigating action is possible, please state and explain why. Add additional rows as required. </w:t>
      </w:r>
    </w:p>
    <w:tbl>
      <w:tblPr>
        <w:tblStyle w:val="TableGrid"/>
        <w:tblW w:w="0" w:type="auto"/>
        <w:tblLook w:val="04A0" w:firstRow="1" w:lastRow="0" w:firstColumn="1" w:lastColumn="0" w:noHBand="0" w:noVBand="1"/>
      </w:tblPr>
      <w:tblGrid>
        <w:gridCol w:w="10456"/>
      </w:tblGrid>
      <w:tr w:rsidR="000729CF" w:rsidRPr="000729CF" w14:paraId="7261B18F" w14:textId="77777777" w:rsidTr="00BC26AB">
        <w:trPr>
          <w:trHeight w:val="847"/>
        </w:trPr>
        <w:tc>
          <w:tcPr>
            <w:tcW w:w="10456" w:type="dxa"/>
          </w:tcPr>
          <w:p w14:paraId="08A6644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mitigation actions are available due to: no disproportionate impacts identified</w:t>
            </w:r>
          </w:p>
        </w:tc>
      </w:tr>
    </w:tbl>
    <w:p w14:paraId="28E5BCE0" w14:textId="77777777" w:rsidR="000729CF" w:rsidRPr="000729CF" w:rsidRDefault="000729CF" w:rsidP="000729CF">
      <w:pPr>
        <w:spacing w:after="160" w:line="259" w:lineRule="auto"/>
        <w:rPr>
          <w:rFonts w:ascii="Arial" w:eastAsia="Calibri" w:hAnsi="Arial" w:cs="Arial"/>
          <w:sz w:val="24"/>
          <w:szCs w:val="24"/>
          <w:lang w:val="en-GB"/>
        </w:rPr>
      </w:pPr>
    </w:p>
    <w:p w14:paraId="108BB605"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Outcome of your assessment</w:t>
      </w:r>
    </w:p>
    <w:p w14:paraId="5AD28CB8"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Based on the information above give the proposal an impact score between 1 – 5. </w:t>
      </w:r>
    </w:p>
    <w:p w14:paraId="5A6D63CE"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1= proposal has minimal impact and/or mitigating actions will significantly minimise the impact</w:t>
      </w:r>
    </w:p>
    <w:p w14:paraId="319AC46E"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3= proposal will have a significant negative impact; however, mitigation actions will reduce the impact considerably.</w:t>
      </w:r>
    </w:p>
    <w:p w14:paraId="196E8DB3"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5= proposal has significant impact and mitigating actions will have limited effect on reducing impact.</w:t>
      </w:r>
    </w:p>
    <w:p w14:paraId="413EC86B" w14:textId="77777777" w:rsidR="000729CF" w:rsidRPr="000729CF" w:rsidRDefault="000729CF" w:rsidP="000729CF">
      <w:pPr>
        <w:rPr>
          <w:rFonts w:ascii="Arial" w:eastAsia="Calibri" w:hAnsi="Arial" w:cs="Arial"/>
          <w:sz w:val="24"/>
          <w:szCs w:val="24"/>
          <w:highlight w:val="yellow"/>
          <w:lang w:val="en-GB"/>
        </w:rPr>
      </w:pPr>
    </w:p>
    <w:tbl>
      <w:tblPr>
        <w:tblStyle w:val="TableGrid"/>
        <w:tblW w:w="0" w:type="auto"/>
        <w:tblLook w:val="04A0" w:firstRow="1" w:lastRow="0" w:firstColumn="1" w:lastColumn="0" w:noHBand="0" w:noVBand="1"/>
      </w:tblPr>
      <w:tblGrid>
        <w:gridCol w:w="3114"/>
        <w:gridCol w:w="7342"/>
      </w:tblGrid>
      <w:tr w:rsidR="000729CF" w:rsidRPr="000729CF" w14:paraId="0DD00941" w14:textId="77777777" w:rsidTr="00BC26AB">
        <w:trPr>
          <w:trHeight w:val="152"/>
        </w:trPr>
        <w:tc>
          <w:tcPr>
            <w:tcW w:w="3114" w:type="dxa"/>
          </w:tcPr>
          <w:p w14:paraId="209B9A2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Proposal’s impact score:</w:t>
            </w:r>
          </w:p>
        </w:tc>
        <w:tc>
          <w:tcPr>
            <w:tcW w:w="7342" w:type="dxa"/>
          </w:tcPr>
          <w:p w14:paraId="0C755F2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1</w:t>
            </w:r>
          </w:p>
        </w:tc>
      </w:tr>
    </w:tbl>
    <w:p w14:paraId="00FFAAEE" w14:textId="77777777" w:rsidR="000729CF" w:rsidRPr="000729CF" w:rsidRDefault="000729CF" w:rsidP="000729CF">
      <w:pPr>
        <w:spacing w:after="160" w:line="259" w:lineRule="auto"/>
        <w:rPr>
          <w:rFonts w:ascii="Arial" w:eastAsia="Calibri" w:hAnsi="Arial" w:cs="Arial"/>
          <w:sz w:val="24"/>
          <w:szCs w:val="24"/>
          <w:lang w:val="en-GB"/>
        </w:rPr>
      </w:pPr>
    </w:p>
    <w:p w14:paraId="6B4D154B"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Publication</w:t>
      </w:r>
    </w:p>
    <w:p w14:paraId="0736DE3B"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All Equality Impact Assessments will be published. If you are recommending, and choosing not to publish your EIA, please provide a reason:</w:t>
      </w:r>
    </w:p>
    <w:tbl>
      <w:tblPr>
        <w:tblStyle w:val="TableGrid"/>
        <w:tblW w:w="0" w:type="auto"/>
        <w:tblLook w:val="04A0" w:firstRow="1" w:lastRow="0" w:firstColumn="1" w:lastColumn="0" w:noHBand="0" w:noVBand="1"/>
      </w:tblPr>
      <w:tblGrid>
        <w:gridCol w:w="10456"/>
      </w:tblGrid>
      <w:tr w:rsidR="000729CF" w:rsidRPr="000729CF" w14:paraId="6FD88A93" w14:textId="77777777" w:rsidTr="00BC26AB">
        <w:trPr>
          <w:trHeight w:val="803"/>
        </w:trPr>
        <w:tc>
          <w:tcPr>
            <w:tcW w:w="10456" w:type="dxa"/>
          </w:tcPr>
          <w:p w14:paraId="5EF81F60" w14:textId="77777777" w:rsidR="000729CF" w:rsidRPr="000729CF" w:rsidRDefault="000729CF" w:rsidP="000729CF">
            <w:pPr>
              <w:spacing w:after="120"/>
              <w:rPr>
                <w:rFonts w:ascii="Arial" w:eastAsia="Calibri" w:hAnsi="Arial" w:cs="Arial"/>
                <w:sz w:val="24"/>
                <w:szCs w:val="24"/>
              </w:rPr>
            </w:pPr>
          </w:p>
        </w:tc>
      </w:tr>
    </w:tbl>
    <w:p w14:paraId="61492E66" w14:textId="77777777" w:rsidR="000729CF" w:rsidRPr="000729CF" w:rsidRDefault="000729CF" w:rsidP="000729CF">
      <w:pPr>
        <w:spacing w:after="160" w:line="259" w:lineRule="auto"/>
        <w:rPr>
          <w:rFonts w:ascii="Arial" w:eastAsia="Calibri" w:hAnsi="Arial" w:cs="Arial"/>
          <w:sz w:val="24"/>
          <w:szCs w:val="24"/>
          <w:lang w:val="en-GB"/>
        </w:rPr>
      </w:pPr>
    </w:p>
    <w:p w14:paraId="4F85E8C7"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Directorate and Service Approval</w:t>
      </w:r>
    </w:p>
    <w:tbl>
      <w:tblPr>
        <w:tblStyle w:val="TableGrid"/>
        <w:tblW w:w="0" w:type="auto"/>
        <w:tblLook w:val="04A0" w:firstRow="1" w:lastRow="0" w:firstColumn="1" w:lastColumn="0" w:noHBand="0" w:noVBand="1"/>
      </w:tblPr>
      <w:tblGrid>
        <w:gridCol w:w="3681"/>
        <w:gridCol w:w="4394"/>
        <w:gridCol w:w="2381"/>
      </w:tblGrid>
      <w:tr w:rsidR="000729CF" w:rsidRPr="000729CF" w14:paraId="6B30DEE1" w14:textId="77777777" w:rsidTr="000729CF">
        <w:trPr>
          <w:trHeight w:val="20"/>
        </w:trPr>
        <w:tc>
          <w:tcPr>
            <w:tcW w:w="3681" w:type="dxa"/>
            <w:tcBorders>
              <w:bottom w:val="single" w:sz="4" w:space="0" w:color="auto"/>
            </w:tcBorders>
            <w:shd w:val="clear" w:color="auto" w:fill="D9D9D9"/>
          </w:tcPr>
          <w:p w14:paraId="5F3FFF7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35379A7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 and Job Title:</w:t>
            </w:r>
          </w:p>
        </w:tc>
        <w:tc>
          <w:tcPr>
            <w:tcW w:w="2381" w:type="dxa"/>
            <w:shd w:val="clear" w:color="auto" w:fill="D9D9D9"/>
          </w:tcPr>
          <w:p w14:paraId="312ECB0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0C51855E" w14:textId="77777777" w:rsidTr="000729CF">
        <w:trPr>
          <w:trHeight w:val="20"/>
        </w:trPr>
        <w:tc>
          <w:tcPr>
            <w:tcW w:w="3681" w:type="dxa"/>
            <w:shd w:val="clear" w:color="auto" w:fill="E7E6E6"/>
          </w:tcPr>
          <w:p w14:paraId="4CE3552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Responsible Lead Officer:</w:t>
            </w:r>
          </w:p>
        </w:tc>
        <w:tc>
          <w:tcPr>
            <w:tcW w:w="4394" w:type="dxa"/>
          </w:tcPr>
          <w:p w14:paraId="4847678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Andy Witham</w:t>
            </w:r>
          </w:p>
        </w:tc>
        <w:tc>
          <w:tcPr>
            <w:tcW w:w="2381" w:type="dxa"/>
          </w:tcPr>
          <w:p w14:paraId="765A96A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18/01/2024</w:t>
            </w:r>
          </w:p>
        </w:tc>
      </w:tr>
      <w:tr w:rsidR="000729CF" w:rsidRPr="000729CF" w14:paraId="0F6009B0" w14:textId="77777777" w:rsidTr="000729CF">
        <w:trPr>
          <w:trHeight w:val="20"/>
        </w:trPr>
        <w:tc>
          <w:tcPr>
            <w:tcW w:w="3681" w:type="dxa"/>
            <w:shd w:val="clear" w:color="auto" w:fill="E7E6E6"/>
          </w:tcPr>
          <w:p w14:paraId="2E7629C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Accountable Manager:</w:t>
            </w:r>
          </w:p>
        </w:tc>
        <w:tc>
          <w:tcPr>
            <w:tcW w:w="4394" w:type="dxa"/>
          </w:tcPr>
          <w:p w14:paraId="062CE3A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Rob Persey</w:t>
            </w:r>
          </w:p>
        </w:tc>
        <w:tc>
          <w:tcPr>
            <w:tcW w:w="2381" w:type="dxa"/>
          </w:tcPr>
          <w:p w14:paraId="0327226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18/01/2024</w:t>
            </w:r>
          </w:p>
        </w:tc>
      </w:tr>
    </w:tbl>
    <w:p w14:paraId="72605BDC" w14:textId="77777777" w:rsidR="000729CF" w:rsidRPr="000729CF" w:rsidRDefault="000729CF" w:rsidP="000729CF">
      <w:pPr>
        <w:spacing w:after="160" w:line="259" w:lineRule="auto"/>
        <w:rPr>
          <w:rFonts w:ascii="Arial" w:eastAsia="Calibri" w:hAnsi="Arial" w:cs="Arial"/>
          <w:sz w:val="24"/>
          <w:szCs w:val="24"/>
          <w:lang w:val="en-GB"/>
        </w:rPr>
      </w:pPr>
    </w:p>
    <w:p w14:paraId="75B0FD3B" w14:textId="77777777" w:rsidR="000729CF" w:rsidRPr="000729CF" w:rsidRDefault="000729CF" w:rsidP="000729CF">
      <w:pPr>
        <w:keepNext/>
        <w:keepLines/>
        <w:spacing w:before="40" w:after="160" w:line="259" w:lineRule="auto"/>
        <w:outlineLvl w:val="2"/>
        <w:rPr>
          <w:rFonts w:ascii="Arial" w:hAnsi="Arial" w:cs="Arial"/>
          <w:b/>
          <w:bCs/>
          <w:color w:val="000000"/>
          <w:sz w:val="28"/>
          <w:szCs w:val="28"/>
          <w:lang w:val="en-GB"/>
        </w:rPr>
      </w:pPr>
      <w:r w:rsidRPr="000729CF">
        <w:rPr>
          <w:rFonts w:ascii="Arial" w:hAnsi="Arial" w:cs="Arial"/>
          <w:b/>
          <w:bCs/>
          <w:color w:val="000000"/>
          <w:sz w:val="28"/>
          <w:szCs w:val="28"/>
          <w:lang w:val="en-GB"/>
        </w:rPr>
        <w:t>EDI Review and Approval:</w:t>
      </w:r>
    </w:p>
    <w:p w14:paraId="21EFB972" w14:textId="77777777" w:rsidR="000729CF" w:rsidRPr="000729CF" w:rsidRDefault="000729CF" w:rsidP="000729CF">
      <w:pPr>
        <w:spacing w:after="160" w:line="259" w:lineRule="auto"/>
        <w:rPr>
          <w:rFonts w:ascii="Arial" w:eastAsia="Calibri" w:hAnsi="Arial" w:cs="Arial"/>
          <w:sz w:val="24"/>
          <w:szCs w:val="24"/>
          <w:lang w:val="en-GB"/>
        </w:rPr>
      </w:pPr>
    </w:p>
    <w:p w14:paraId="04AA0B61" w14:textId="77777777" w:rsidR="000729CF" w:rsidRPr="000729CF" w:rsidRDefault="000729CF" w:rsidP="000729CF">
      <w:pPr>
        <w:keepNext/>
        <w:keepLines/>
        <w:spacing w:after="160" w:line="259" w:lineRule="auto"/>
        <w:ind w:left="283" w:hanging="283"/>
        <w:outlineLvl w:val="1"/>
        <w:rPr>
          <w:rFonts w:ascii="Arial" w:hAnsi="Arial" w:cs="Arial"/>
          <w:color w:val="2F5496"/>
          <w:sz w:val="24"/>
          <w:szCs w:val="24"/>
          <w:lang w:val="en-GB"/>
        </w:rPr>
      </w:pPr>
      <w:r w:rsidRPr="000729CF">
        <w:rPr>
          <w:rFonts w:ascii="Arial" w:hAnsi="Arial" w:cs="Arial"/>
          <w:color w:val="2F5496"/>
          <w:sz w:val="24"/>
          <w:szCs w:val="24"/>
          <w:lang w:val="en-GB"/>
        </w:rPr>
        <w:t>Equality Impact Assessment sign-off</w:t>
      </w:r>
    </w:p>
    <w:tbl>
      <w:tblPr>
        <w:tblStyle w:val="TableGrid"/>
        <w:tblW w:w="0" w:type="auto"/>
        <w:tblLook w:val="04A0" w:firstRow="1" w:lastRow="0" w:firstColumn="1" w:lastColumn="0" w:noHBand="0" w:noVBand="1"/>
      </w:tblPr>
      <w:tblGrid>
        <w:gridCol w:w="3681"/>
        <w:gridCol w:w="4394"/>
        <w:gridCol w:w="2381"/>
      </w:tblGrid>
      <w:tr w:rsidR="000729CF" w:rsidRPr="000729CF" w14:paraId="0BDAC043" w14:textId="77777777" w:rsidTr="000729CF">
        <w:trPr>
          <w:trHeight w:val="20"/>
        </w:trPr>
        <w:tc>
          <w:tcPr>
            <w:tcW w:w="3681" w:type="dxa"/>
            <w:tcBorders>
              <w:bottom w:val="single" w:sz="4" w:space="0" w:color="auto"/>
            </w:tcBorders>
            <w:shd w:val="clear" w:color="auto" w:fill="D9D9D9"/>
          </w:tcPr>
          <w:p w14:paraId="0A834E3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6A5CAD3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w:t>
            </w:r>
          </w:p>
        </w:tc>
        <w:tc>
          <w:tcPr>
            <w:tcW w:w="2381" w:type="dxa"/>
            <w:shd w:val="clear" w:color="auto" w:fill="D9D9D9"/>
          </w:tcPr>
          <w:p w14:paraId="006DB58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6BFB5293" w14:textId="77777777" w:rsidTr="000729CF">
        <w:trPr>
          <w:trHeight w:val="20"/>
        </w:trPr>
        <w:tc>
          <w:tcPr>
            <w:tcW w:w="3681" w:type="dxa"/>
            <w:shd w:val="clear" w:color="auto" w:fill="E7E6E6"/>
          </w:tcPr>
          <w:p w14:paraId="620E7C3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Head of Communities, Equality, and Third Sector (CETS) Service:</w:t>
            </w:r>
          </w:p>
        </w:tc>
        <w:tc>
          <w:tcPr>
            <w:tcW w:w="4394" w:type="dxa"/>
          </w:tcPr>
          <w:p w14:paraId="60C13AD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Emma McDermott</w:t>
            </w:r>
          </w:p>
        </w:tc>
        <w:tc>
          <w:tcPr>
            <w:tcW w:w="2381" w:type="dxa"/>
          </w:tcPr>
          <w:p w14:paraId="6FFA2F7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23-01-24</w:t>
            </w:r>
          </w:p>
        </w:tc>
      </w:tr>
    </w:tbl>
    <w:p w14:paraId="239BBEBA" w14:textId="77777777" w:rsidR="000729CF" w:rsidRPr="000729CF" w:rsidRDefault="000729CF" w:rsidP="000729CF">
      <w:pPr>
        <w:rPr>
          <w:rFonts w:ascii="Arial" w:eastAsia="Calibri" w:hAnsi="Arial" w:cs="Arial"/>
          <w:sz w:val="22"/>
          <w:szCs w:val="22"/>
          <w:lang w:val="en-GB"/>
        </w:rPr>
      </w:pPr>
    </w:p>
    <w:p w14:paraId="28F099A6" w14:textId="77777777" w:rsidR="000729CF" w:rsidRPr="000729CF" w:rsidRDefault="000729CF" w:rsidP="000729CF">
      <w:pPr>
        <w:spacing w:after="160" w:line="259" w:lineRule="auto"/>
        <w:rPr>
          <w:rFonts w:ascii="Arial" w:eastAsia="Calibri" w:hAnsi="Arial" w:cs="Arial"/>
          <w:b/>
          <w:bCs/>
          <w:sz w:val="24"/>
          <w:szCs w:val="24"/>
          <w:lang w:val="en-GB"/>
        </w:rPr>
      </w:pPr>
    </w:p>
    <w:p w14:paraId="314331FF" w14:textId="77777777" w:rsidR="000729CF" w:rsidRPr="000729CF" w:rsidRDefault="000729CF" w:rsidP="000729CF">
      <w:pPr>
        <w:keepNext/>
        <w:keepLines/>
        <w:spacing w:after="160" w:line="259" w:lineRule="auto"/>
        <w:outlineLvl w:val="1"/>
        <w:rPr>
          <w:rFonts w:ascii="Arial" w:eastAsia="Calibri" w:hAnsi="Arial" w:cs="Arial"/>
          <w:sz w:val="24"/>
          <w:szCs w:val="24"/>
          <w:lang w:val="en-GB"/>
        </w:rPr>
      </w:pPr>
    </w:p>
    <w:p w14:paraId="79E1E26B" w14:textId="77777777" w:rsidR="000729CF" w:rsidRPr="000729CF" w:rsidRDefault="000729CF" w:rsidP="000729CF">
      <w:pPr>
        <w:spacing w:after="160" w:line="259" w:lineRule="auto"/>
        <w:rPr>
          <w:rFonts w:ascii="Arial" w:eastAsia="Calibri" w:hAnsi="Arial" w:cs="Arial"/>
          <w:sz w:val="24"/>
          <w:szCs w:val="24"/>
          <w:lang w:val="en-GB"/>
        </w:rPr>
      </w:pPr>
    </w:p>
    <w:p w14:paraId="69B81A74"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br w:type="page"/>
      </w:r>
    </w:p>
    <w:p w14:paraId="56DBD072" w14:textId="77777777" w:rsidR="000729CF" w:rsidRPr="000729CF" w:rsidRDefault="000729CF" w:rsidP="000729CF">
      <w:pPr>
        <w:keepNext/>
        <w:keepLines/>
        <w:spacing w:after="160" w:line="259" w:lineRule="auto"/>
        <w:outlineLvl w:val="0"/>
        <w:rPr>
          <w:rFonts w:ascii="Arial" w:hAnsi="Arial" w:cs="Arial"/>
          <w:b/>
          <w:bCs/>
          <w:color w:val="2F5496"/>
          <w:sz w:val="28"/>
          <w:szCs w:val="28"/>
          <w:lang w:val="en-GB"/>
        </w:rPr>
      </w:pPr>
      <w:r w:rsidRPr="000729CF">
        <w:rPr>
          <w:rFonts w:ascii="Arial" w:hAnsi="Arial" w:cs="Arial"/>
          <w:b/>
          <w:bCs/>
          <w:color w:val="2F5496"/>
          <w:sz w:val="28"/>
          <w:szCs w:val="28"/>
          <w:lang w:val="en-GB"/>
        </w:rPr>
        <w:t>Budget Equality Impact Assessment (EIA) 2024/25 – Service Users</w:t>
      </w:r>
    </w:p>
    <w:p w14:paraId="49D88C5E" w14:textId="77777777" w:rsidR="000729CF" w:rsidRPr="000729CF" w:rsidRDefault="000729CF" w:rsidP="000729CF">
      <w:pPr>
        <w:spacing w:after="160" w:line="259" w:lineRule="auto"/>
        <w:rPr>
          <w:rFonts w:ascii="Arial" w:eastAsia="Calibri" w:hAnsi="Arial" w:cs="Arial"/>
          <w:sz w:val="24"/>
          <w:szCs w:val="24"/>
          <w:lang w:val="en-GB"/>
        </w:rPr>
      </w:pPr>
    </w:p>
    <w:p w14:paraId="138DBBA8" w14:textId="77777777" w:rsidR="000729CF" w:rsidRPr="000729CF" w:rsidRDefault="000729CF" w:rsidP="000729CF">
      <w:pPr>
        <w:keepNext/>
        <w:keepLines/>
        <w:spacing w:after="160" w:line="259" w:lineRule="auto"/>
        <w:ind w:left="720" w:hanging="360"/>
        <w:outlineLvl w:val="1"/>
        <w:rPr>
          <w:rFonts w:ascii="Arial" w:hAnsi="Arial" w:cs="Arial"/>
          <w:color w:val="2F5496"/>
          <w:sz w:val="24"/>
          <w:szCs w:val="24"/>
          <w:lang w:val="en-GB"/>
        </w:rPr>
      </w:pPr>
      <w:r w:rsidRPr="000729CF">
        <w:rPr>
          <w:rFonts w:ascii="Arial" w:hAnsi="Arial" w:cs="Arial"/>
          <w:color w:val="2F5496"/>
          <w:sz w:val="24"/>
          <w:szCs w:val="24"/>
          <w:lang w:val="en-GB"/>
        </w:rPr>
        <w:t xml:space="preserve">Budget Proposal </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6492"/>
      </w:tblGrid>
      <w:tr w:rsidR="000729CF" w:rsidRPr="000729CF" w14:paraId="2DDA9357"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3F64D6C7"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Title of budget saving being assessed:</w:t>
            </w:r>
          </w:p>
        </w:tc>
        <w:tc>
          <w:tcPr>
            <w:tcW w:w="6492" w:type="dxa"/>
            <w:shd w:val="clear" w:color="auto" w:fill="auto"/>
          </w:tcPr>
          <w:p w14:paraId="1A90535B" w14:textId="77777777" w:rsidR="000729CF" w:rsidRPr="000729CF" w:rsidRDefault="000729CF" w:rsidP="000729CF">
            <w:pPr>
              <w:spacing w:after="12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 xml:space="preserve">Sensory contracts </w:t>
            </w:r>
          </w:p>
        </w:tc>
      </w:tr>
      <w:tr w:rsidR="000729CF" w:rsidRPr="000729CF" w14:paraId="112EE249"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35533CCF"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Name and title of officer responsible for this EIA: </w:t>
            </w:r>
          </w:p>
        </w:tc>
        <w:tc>
          <w:tcPr>
            <w:tcW w:w="6492" w:type="dxa"/>
            <w:shd w:val="clear" w:color="auto" w:fill="auto"/>
          </w:tcPr>
          <w:p w14:paraId="5550A09F"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729CF">
              <w:rPr>
                <w:rFonts w:ascii="Arial" w:hAnsi="Arial" w:cs="Arial"/>
                <w:sz w:val="24"/>
                <w:szCs w:val="24"/>
              </w:rPr>
              <w:t>Andy Witham, Assistant Director of Commissioning &amp; Partnerships</w:t>
            </w:r>
          </w:p>
        </w:tc>
      </w:tr>
      <w:tr w:rsidR="000729CF" w:rsidRPr="000729CF" w14:paraId="78EC0791" w14:textId="77777777" w:rsidTr="000729CF">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4EABBAEC"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Directorate and Service Name: </w:t>
            </w:r>
          </w:p>
        </w:tc>
        <w:tc>
          <w:tcPr>
            <w:tcW w:w="6492" w:type="dxa"/>
            <w:shd w:val="clear" w:color="auto" w:fill="auto"/>
          </w:tcPr>
          <w:p w14:paraId="2D2ED69D" w14:textId="77777777" w:rsidR="000729CF" w:rsidRPr="000729CF" w:rsidRDefault="000729CF" w:rsidP="000729CF">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Health and Adult Social Care, Commissioning &amp; Partnerships</w:t>
            </w:r>
          </w:p>
        </w:tc>
      </w:tr>
      <w:tr w:rsidR="000729CF" w:rsidRPr="000729CF" w14:paraId="1BD646CA"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11EB5145"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Budget proposal no.</w:t>
            </w:r>
          </w:p>
        </w:tc>
        <w:tc>
          <w:tcPr>
            <w:tcW w:w="6492" w:type="dxa"/>
            <w:shd w:val="clear" w:color="auto" w:fill="auto"/>
          </w:tcPr>
          <w:p w14:paraId="0B9986D5"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729CF">
              <w:rPr>
                <w:rFonts w:ascii="Arial" w:hAnsi="Arial" w:cs="Arial"/>
                <w:sz w:val="24"/>
                <w:szCs w:val="24"/>
              </w:rPr>
              <w:t>14</w:t>
            </w:r>
          </w:p>
        </w:tc>
      </w:tr>
    </w:tbl>
    <w:p w14:paraId="066669B6" w14:textId="77777777" w:rsidR="000729CF" w:rsidRPr="000729CF" w:rsidRDefault="000729CF" w:rsidP="000729CF">
      <w:pPr>
        <w:spacing w:after="160" w:line="259" w:lineRule="auto"/>
        <w:rPr>
          <w:rFonts w:ascii="Arial" w:eastAsia="Calibri" w:hAnsi="Arial" w:cs="Arial"/>
          <w:sz w:val="24"/>
          <w:szCs w:val="24"/>
          <w:lang w:val="en-GB"/>
        </w:rPr>
      </w:pPr>
    </w:p>
    <w:p w14:paraId="21F212AE"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Briefly describe the budget saving proposal: (use the wording in the budget spreadsheet and more detail if needed)</w:t>
      </w:r>
    </w:p>
    <w:tbl>
      <w:tblPr>
        <w:tblStyle w:val="TableGrid"/>
        <w:tblW w:w="0" w:type="auto"/>
        <w:tblLook w:val="04A0" w:firstRow="1" w:lastRow="0" w:firstColumn="1" w:lastColumn="0" w:noHBand="0" w:noVBand="1"/>
      </w:tblPr>
      <w:tblGrid>
        <w:gridCol w:w="10456"/>
      </w:tblGrid>
      <w:tr w:rsidR="000729CF" w:rsidRPr="000729CF" w14:paraId="5F814818" w14:textId="77777777" w:rsidTr="00BC26AB">
        <w:trPr>
          <w:trHeight w:val="851"/>
        </w:trPr>
        <w:tc>
          <w:tcPr>
            <w:tcW w:w="10456" w:type="dxa"/>
            <w:tcBorders>
              <w:bottom w:val="single" w:sz="4" w:space="0" w:color="auto"/>
            </w:tcBorders>
          </w:tcPr>
          <w:p w14:paraId="5EC3737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The overall budget for the sensory services is £67,785 with a savings target of </w:t>
            </w:r>
            <w:r w:rsidRPr="000729CF">
              <w:rPr>
                <w:rFonts w:ascii="Arial" w:eastAsia="Calibri" w:hAnsi="Arial" w:cs="Arial"/>
                <w:b/>
                <w:bCs/>
                <w:sz w:val="24"/>
                <w:szCs w:val="24"/>
              </w:rPr>
              <w:t>£41,000</w:t>
            </w:r>
            <w:r w:rsidRPr="000729CF">
              <w:rPr>
                <w:rFonts w:ascii="Arial" w:eastAsia="Calibri" w:hAnsi="Arial" w:cs="Arial"/>
                <w:sz w:val="24"/>
                <w:szCs w:val="24"/>
              </w:rPr>
              <w:t>. The sensory contracts provide preventative services to people with hearing or visual loss with the goal of providing support to prevent or delay the need for more costly statutory social care services.</w:t>
            </w:r>
          </w:p>
          <w:p w14:paraId="0B31059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savings target will result in savings of:</w:t>
            </w:r>
          </w:p>
          <w:p w14:paraId="72B0C454" w14:textId="77777777" w:rsidR="000729CF" w:rsidRPr="000729CF" w:rsidRDefault="000729CF" w:rsidP="00CE70A3">
            <w:pPr>
              <w:numPr>
                <w:ilvl w:val="0"/>
                <w:numId w:val="112"/>
              </w:numPr>
              <w:spacing w:after="120"/>
              <w:rPr>
                <w:rFonts w:ascii="Arial" w:eastAsia="Calibri" w:hAnsi="Arial" w:cs="Arial"/>
                <w:sz w:val="24"/>
                <w:szCs w:val="24"/>
              </w:rPr>
            </w:pPr>
            <w:r w:rsidRPr="000729CF">
              <w:rPr>
                <w:rFonts w:ascii="Arial" w:eastAsia="Calibri" w:hAnsi="Arial" w:cs="Arial"/>
                <w:sz w:val="24"/>
                <w:szCs w:val="24"/>
              </w:rPr>
              <w:t xml:space="preserve">100% of the funding to the </w:t>
            </w:r>
            <w:r w:rsidRPr="000729CF">
              <w:rPr>
                <w:rFonts w:ascii="Arial" w:eastAsia="Calibri" w:hAnsi="Arial" w:cs="Arial"/>
                <w:b/>
                <w:bCs/>
                <w:sz w:val="24"/>
                <w:szCs w:val="24"/>
              </w:rPr>
              <w:t>Achieve Together Tuesday Group</w:t>
            </w:r>
            <w:r w:rsidRPr="000729CF">
              <w:rPr>
                <w:rFonts w:ascii="Arial" w:eastAsia="Calibri" w:hAnsi="Arial" w:cs="Arial"/>
                <w:sz w:val="24"/>
                <w:szCs w:val="24"/>
              </w:rPr>
              <w:t xml:space="preserve"> (saving of </w:t>
            </w:r>
            <w:r w:rsidRPr="000729CF">
              <w:rPr>
                <w:rFonts w:ascii="Arial" w:eastAsia="Calibri" w:hAnsi="Arial" w:cs="Arial"/>
                <w:b/>
                <w:bCs/>
                <w:sz w:val="24"/>
                <w:szCs w:val="24"/>
              </w:rPr>
              <w:t>£6,842</w:t>
            </w:r>
            <w:r w:rsidRPr="000729CF">
              <w:rPr>
                <w:rFonts w:ascii="Arial" w:eastAsia="Calibri" w:hAnsi="Arial" w:cs="Arial"/>
                <w:sz w:val="24"/>
                <w:szCs w:val="24"/>
              </w:rPr>
              <w:t>)</w:t>
            </w:r>
          </w:p>
          <w:p w14:paraId="0268AD20" w14:textId="77777777" w:rsidR="000729CF" w:rsidRPr="000729CF" w:rsidRDefault="000729CF" w:rsidP="00CE70A3">
            <w:pPr>
              <w:numPr>
                <w:ilvl w:val="0"/>
                <w:numId w:val="112"/>
              </w:numPr>
              <w:spacing w:after="120"/>
              <w:rPr>
                <w:rFonts w:ascii="Arial" w:eastAsia="Calibri" w:hAnsi="Arial" w:cs="Arial"/>
                <w:sz w:val="24"/>
                <w:szCs w:val="24"/>
              </w:rPr>
            </w:pPr>
            <w:r w:rsidRPr="000729CF">
              <w:rPr>
                <w:rFonts w:ascii="Arial" w:eastAsia="Calibri" w:hAnsi="Arial" w:cs="Arial"/>
                <w:sz w:val="24"/>
                <w:szCs w:val="24"/>
              </w:rPr>
              <w:t xml:space="preserve">100% of the funding to the </w:t>
            </w:r>
            <w:r w:rsidRPr="000729CF">
              <w:rPr>
                <w:rFonts w:ascii="Arial" w:eastAsia="Calibri" w:hAnsi="Arial" w:cs="Arial"/>
                <w:b/>
                <w:bCs/>
                <w:sz w:val="24"/>
                <w:szCs w:val="24"/>
              </w:rPr>
              <w:t>Royal National Association of the Blind (RNIB) Eye Clinic Liaison Officer</w:t>
            </w:r>
            <w:r w:rsidRPr="000729CF">
              <w:rPr>
                <w:rFonts w:ascii="Arial" w:eastAsia="Calibri" w:hAnsi="Arial" w:cs="Arial"/>
                <w:sz w:val="24"/>
                <w:szCs w:val="24"/>
              </w:rPr>
              <w:t xml:space="preserve"> (saving of </w:t>
            </w:r>
            <w:r w:rsidRPr="000729CF">
              <w:rPr>
                <w:rFonts w:ascii="Arial" w:eastAsia="Calibri" w:hAnsi="Arial" w:cs="Arial"/>
                <w:b/>
                <w:bCs/>
                <w:sz w:val="24"/>
                <w:szCs w:val="24"/>
              </w:rPr>
              <w:t>£19,590</w:t>
            </w:r>
            <w:r w:rsidRPr="000729CF">
              <w:rPr>
                <w:rFonts w:ascii="Arial" w:eastAsia="Calibri" w:hAnsi="Arial" w:cs="Arial"/>
                <w:sz w:val="24"/>
                <w:szCs w:val="24"/>
              </w:rPr>
              <w:t>)</w:t>
            </w:r>
          </w:p>
          <w:p w14:paraId="04C6599A" w14:textId="77777777" w:rsidR="000729CF" w:rsidRPr="000729CF" w:rsidRDefault="000729CF" w:rsidP="00CE70A3">
            <w:pPr>
              <w:numPr>
                <w:ilvl w:val="0"/>
                <w:numId w:val="112"/>
              </w:numPr>
              <w:spacing w:after="120"/>
              <w:rPr>
                <w:rFonts w:ascii="Arial" w:eastAsia="Calibri" w:hAnsi="Arial" w:cs="Arial"/>
                <w:sz w:val="24"/>
                <w:szCs w:val="24"/>
              </w:rPr>
            </w:pPr>
            <w:r w:rsidRPr="000729CF">
              <w:rPr>
                <w:rFonts w:ascii="Arial" w:eastAsia="Calibri" w:hAnsi="Arial" w:cs="Arial"/>
                <w:sz w:val="24"/>
                <w:szCs w:val="24"/>
              </w:rPr>
              <w:t xml:space="preserve">35% of the funding to the </w:t>
            </w:r>
            <w:r w:rsidRPr="000729CF">
              <w:rPr>
                <w:rFonts w:ascii="Arial" w:eastAsia="Calibri" w:hAnsi="Arial" w:cs="Arial"/>
                <w:b/>
                <w:bCs/>
                <w:sz w:val="24"/>
                <w:szCs w:val="24"/>
              </w:rPr>
              <w:t>East Sussex Vision Support</w:t>
            </w:r>
            <w:r w:rsidRPr="000729CF">
              <w:rPr>
                <w:rFonts w:ascii="Arial" w:eastAsia="Calibri" w:hAnsi="Arial" w:cs="Arial"/>
                <w:sz w:val="24"/>
                <w:szCs w:val="24"/>
              </w:rPr>
              <w:t xml:space="preserve"> service (current funding is £41,353 = saving of </w:t>
            </w:r>
            <w:r w:rsidRPr="000729CF">
              <w:rPr>
                <w:rFonts w:ascii="Arial" w:eastAsia="Calibri" w:hAnsi="Arial" w:cs="Arial"/>
                <w:b/>
                <w:bCs/>
                <w:sz w:val="24"/>
                <w:szCs w:val="24"/>
              </w:rPr>
              <w:t>£14,568</w:t>
            </w:r>
            <w:r w:rsidRPr="000729CF">
              <w:rPr>
                <w:rFonts w:ascii="Arial" w:eastAsia="Calibri" w:hAnsi="Arial" w:cs="Arial"/>
                <w:sz w:val="24"/>
                <w:szCs w:val="24"/>
              </w:rPr>
              <w:t xml:space="preserve">) </w:t>
            </w:r>
          </w:p>
          <w:p w14:paraId="48682C88" w14:textId="77777777" w:rsidR="000729CF" w:rsidRPr="000729CF" w:rsidRDefault="000729CF" w:rsidP="000729CF">
            <w:pPr>
              <w:spacing w:after="120"/>
              <w:rPr>
                <w:rFonts w:ascii="Arial" w:eastAsia="Calibri" w:hAnsi="Arial" w:cs="Arial"/>
                <w:sz w:val="24"/>
                <w:szCs w:val="24"/>
              </w:rPr>
            </w:pPr>
          </w:p>
        </w:tc>
      </w:tr>
      <w:tr w:rsidR="000729CF" w:rsidRPr="000729CF" w14:paraId="101813DF" w14:textId="77777777" w:rsidTr="00BC26AB">
        <w:trPr>
          <w:trHeight w:val="851"/>
        </w:trPr>
        <w:tc>
          <w:tcPr>
            <w:tcW w:w="10456" w:type="dxa"/>
            <w:tcBorders>
              <w:left w:val="nil"/>
              <w:right w:val="nil"/>
            </w:tcBorders>
          </w:tcPr>
          <w:p w14:paraId="7DB7A472" w14:textId="77777777" w:rsidR="000729CF" w:rsidRPr="000729CF" w:rsidRDefault="000729CF" w:rsidP="000729CF">
            <w:pPr>
              <w:spacing w:after="120"/>
              <w:rPr>
                <w:rFonts w:ascii="Arial" w:eastAsia="Calibri" w:hAnsi="Arial" w:cs="Arial"/>
                <w:sz w:val="24"/>
                <w:szCs w:val="24"/>
              </w:rPr>
            </w:pPr>
          </w:p>
          <w:p w14:paraId="092CA08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Summarise the most significant impacts identified by this assessment including which groups will be disproportionally negatively affected drawing out intersectional impacts as applicable:</w:t>
            </w:r>
          </w:p>
        </w:tc>
      </w:tr>
      <w:tr w:rsidR="000729CF" w:rsidRPr="000729CF" w14:paraId="4613ABCC" w14:textId="77777777" w:rsidTr="00BC26AB">
        <w:trPr>
          <w:trHeight w:val="851"/>
        </w:trPr>
        <w:tc>
          <w:tcPr>
            <w:tcW w:w="10456" w:type="dxa"/>
          </w:tcPr>
          <w:p w14:paraId="06BF12E7" w14:textId="77777777" w:rsidR="000729CF" w:rsidRPr="000729CF" w:rsidRDefault="000729CF" w:rsidP="00CE70A3">
            <w:pPr>
              <w:numPr>
                <w:ilvl w:val="0"/>
                <w:numId w:val="113"/>
              </w:numPr>
              <w:spacing w:after="120"/>
              <w:rPr>
                <w:rFonts w:ascii="Arial" w:eastAsia="Calibri" w:hAnsi="Arial" w:cs="Arial"/>
                <w:sz w:val="24"/>
                <w:szCs w:val="24"/>
              </w:rPr>
            </w:pPr>
            <w:r w:rsidRPr="000729CF">
              <w:rPr>
                <w:rFonts w:ascii="Arial" w:eastAsia="Calibri" w:hAnsi="Arial" w:cs="Arial"/>
                <w:color w:val="000000"/>
                <w:sz w:val="24"/>
                <w:szCs w:val="24"/>
              </w:rPr>
              <w:t xml:space="preserve">Tuesday Group: Achieve Together hold a fortnightly group attended by approximately 10 D/deaf people who use British Sign Language (BSL) to meet to socialise, gain peer support and receive information and advice about any social care or health issues. It is run by staff trained in BSL. The loss </w:t>
            </w:r>
            <w:r w:rsidRPr="000729CF">
              <w:rPr>
                <w:rFonts w:ascii="Arial" w:eastAsia="Calibri" w:hAnsi="Arial" w:cs="Arial"/>
                <w:sz w:val="24"/>
                <w:szCs w:val="24"/>
              </w:rPr>
              <w:t>of this service will negatively impact a small number of people who are D/deaf and have additional social care needs. We do not hold intersectional data for these participants.</w:t>
            </w:r>
            <w:r w:rsidRPr="000729CF">
              <w:rPr>
                <w:rFonts w:ascii="Arial" w:eastAsia="Calibri" w:hAnsi="Arial" w:cs="Arial"/>
                <w:color w:val="FF0000"/>
                <w:sz w:val="24"/>
                <w:szCs w:val="24"/>
              </w:rPr>
              <w:t xml:space="preserve"> </w:t>
            </w:r>
            <w:r w:rsidRPr="000729CF">
              <w:rPr>
                <w:rFonts w:ascii="Arial" w:eastAsia="Calibri" w:hAnsi="Arial" w:cs="Arial"/>
                <w:sz w:val="24"/>
                <w:szCs w:val="24"/>
              </w:rPr>
              <w:t xml:space="preserve">All of these people also receive HASC funded services from Achieve Together either from their community support service or their residential care home so the removal of the service should not put them at risk of harm but does remove an opportunity to reduce social isolation and promote wellbeing. </w:t>
            </w:r>
          </w:p>
          <w:p w14:paraId="6B44E6EE" w14:textId="77777777" w:rsidR="000729CF" w:rsidRPr="000729CF" w:rsidRDefault="000729CF" w:rsidP="00CE70A3">
            <w:pPr>
              <w:numPr>
                <w:ilvl w:val="0"/>
                <w:numId w:val="113"/>
              </w:numPr>
              <w:spacing w:after="120"/>
              <w:rPr>
                <w:rFonts w:ascii="Arial" w:eastAsia="Calibri" w:hAnsi="Arial" w:cs="Arial"/>
                <w:sz w:val="24"/>
                <w:szCs w:val="24"/>
              </w:rPr>
            </w:pPr>
            <w:r w:rsidRPr="000729CF">
              <w:rPr>
                <w:rFonts w:ascii="Arial" w:eastAsia="Calibri" w:hAnsi="Arial" w:cs="Arial"/>
                <w:sz w:val="24"/>
                <w:szCs w:val="24"/>
              </w:rPr>
              <w:t>The RNIB Eye Clinic Liaison Officer (ECLO) service assisted over 1,000 people with information and practical and emotional support in 2022/23. The ECLO is based at the Sussex Eye Hospital in Brighton and supports people at the point of diagnosis or a deterioration of an eye condition. They provide information, support people to register for their Certificate of Visual Impairment and refer or signpost onto other organisations that can support people. The Council fund 50% of the service and RNIB fund the other 50%. In East &amp; West Sussex, East Sussex Healthcare Trust and University Hospital Sussex Trust have arrangements with RNIB that they jointly fund the ECLO and it is recommended that this approach is taken in Brighton &amp; Hove. If this is not achieved it may not be possible for RNIB to continue to provide the role and this would have an impact on people with sight loss as well as clinicians at the hospital (RNIB report that 76% of clinicians agreed that the ECLO Service reduces the amount of time clinic staff would otherwise need to spend with patients, and 87% agreed that the ECLO support for family and carers increases the capacity of the clinic team).</w:t>
            </w:r>
          </w:p>
          <w:p w14:paraId="4D5C2F72" w14:textId="77777777" w:rsidR="000729CF" w:rsidRPr="000729CF" w:rsidRDefault="000729CF" w:rsidP="00CE70A3">
            <w:pPr>
              <w:numPr>
                <w:ilvl w:val="0"/>
                <w:numId w:val="113"/>
              </w:numPr>
              <w:spacing w:after="120"/>
              <w:rPr>
                <w:rFonts w:ascii="Arial" w:eastAsia="Calibri" w:hAnsi="Arial" w:cs="Arial"/>
                <w:sz w:val="24"/>
                <w:szCs w:val="24"/>
              </w:rPr>
            </w:pPr>
            <w:r w:rsidRPr="000729CF">
              <w:rPr>
                <w:rFonts w:ascii="Arial" w:eastAsia="Calibri" w:hAnsi="Arial" w:cs="Arial"/>
                <w:sz w:val="24"/>
                <w:szCs w:val="24"/>
              </w:rPr>
              <w:t>East Sussex Vision Support (ESVS) support people who are blind, partially sighted and deaf &amp; blind. In 2022/23 they received 128 referrals for people needing support. They support people by recruiting and training volunteers who visit people at home and provide telephone contact. They also have social groups and activities to help alleviate social isolation and promote wellbeing, including blind tennis. ESVS also provide an important role in engaging with people with sight loss on behalf of the Council and contribute to needs assessments, falls prevention and promote public health initiatives. A 35% reduction in funding would have an impact on staffing within the service and affect their ability to recruit and manage volunteers and provide support, advice and the social groups. In addition to being blind or partially sighted, 71% of people using the service are over 65, 16% have a long standing illness, 9% a mental health condition and 12% a physical impairment.  The reduction in provision of practical support, information and advice and social groups for older people with sight loss via ESVS may lead to an increase in social isolation, a reduction in wellbeing and in increase in falls. People who use ESVS report, amongst other outcomes, feeling more useful, more able to deal with problems, more relaxed and closer to people.</w:t>
            </w:r>
          </w:p>
          <w:p w14:paraId="6495135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 </w:t>
            </w:r>
          </w:p>
        </w:tc>
      </w:tr>
    </w:tbl>
    <w:p w14:paraId="7BB29DFA" w14:textId="77777777" w:rsidR="000729CF" w:rsidRPr="000729CF" w:rsidRDefault="000729CF" w:rsidP="000729CF">
      <w:pPr>
        <w:rPr>
          <w:rFonts w:ascii="Arial" w:eastAsia="Calibri" w:hAnsi="Arial" w:cs="Arial"/>
          <w:sz w:val="24"/>
          <w:szCs w:val="24"/>
          <w:lang w:val="en-GB"/>
        </w:rPr>
      </w:pPr>
    </w:p>
    <w:p w14:paraId="0E637D1B" w14:textId="77777777" w:rsidR="000729CF" w:rsidRPr="000729CF" w:rsidRDefault="000729CF" w:rsidP="000729CF">
      <w:pPr>
        <w:spacing w:after="160" w:line="259" w:lineRule="auto"/>
        <w:rPr>
          <w:rFonts w:ascii="Arial" w:eastAsia="Calibri" w:hAnsi="Arial" w:cs="Arial"/>
          <w:sz w:val="24"/>
          <w:szCs w:val="24"/>
          <w:lang w:val="en-GB"/>
        </w:rPr>
      </w:pPr>
    </w:p>
    <w:p w14:paraId="19C31CE6"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Consultation, engagement and supporting EIAs</w:t>
      </w:r>
    </w:p>
    <w:p w14:paraId="6D385DD9"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consultations or engagement activities are being used to inform this assessment? </w:t>
      </w:r>
    </w:p>
    <w:p w14:paraId="267533D0"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If consultation is planned or in process – state this and state when it will done/completed even if indicative. If no consultation completed or planned, state this, giving an explanation. </w:t>
      </w:r>
    </w:p>
    <w:tbl>
      <w:tblPr>
        <w:tblStyle w:val="TableGrid"/>
        <w:tblW w:w="0" w:type="auto"/>
        <w:tblLook w:val="04A0" w:firstRow="1" w:lastRow="0" w:firstColumn="1" w:lastColumn="0" w:noHBand="0" w:noVBand="1"/>
      </w:tblPr>
      <w:tblGrid>
        <w:gridCol w:w="10456"/>
      </w:tblGrid>
      <w:tr w:rsidR="000729CF" w:rsidRPr="000729CF" w14:paraId="49848019" w14:textId="77777777" w:rsidTr="00BC26AB">
        <w:trPr>
          <w:trHeight w:val="871"/>
        </w:trPr>
        <w:tc>
          <w:tcPr>
            <w:tcW w:w="10456" w:type="dxa"/>
          </w:tcPr>
          <w:p w14:paraId="79516E4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consultation or engagement has yet taken place. Information has been taken from performance indicators and contract monitoring information.</w:t>
            </w:r>
          </w:p>
          <w:p w14:paraId="44009114" w14:textId="77777777" w:rsidR="000729CF" w:rsidRPr="000729CF" w:rsidRDefault="000729CF" w:rsidP="000729CF">
            <w:pPr>
              <w:spacing w:after="120"/>
              <w:rPr>
                <w:rFonts w:ascii="Arial" w:eastAsia="Calibri" w:hAnsi="Arial" w:cs="Arial"/>
                <w:sz w:val="24"/>
                <w:szCs w:val="24"/>
              </w:rPr>
            </w:pPr>
          </w:p>
          <w:p w14:paraId="64CA8CB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If these savings recommendations are agreed engagement will take place with the 3 providers to discuss how to mitigate against any potential negative impacts set out in this report. </w:t>
            </w:r>
          </w:p>
        </w:tc>
      </w:tr>
    </w:tbl>
    <w:p w14:paraId="7B332D73"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other budget or service EIAs can assist/have been used to inform this assessment?</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0729CF" w:rsidRPr="000729CF" w14:paraId="4BD6EFD8"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shd w:val="clear" w:color="auto" w:fill="FFFFFF"/>
          </w:tcPr>
          <w:p w14:paraId="756383F8"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N/A</w:t>
            </w:r>
          </w:p>
          <w:p w14:paraId="05CAB037" w14:textId="77777777" w:rsidR="000729CF" w:rsidRPr="000729CF" w:rsidRDefault="000729CF" w:rsidP="000729CF">
            <w:pPr>
              <w:spacing w:after="120"/>
              <w:rPr>
                <w:rFonts w:ascii="Arial" w:hAnsi="Arial" w:cs="Arial"/>
                <w:sz w:val="24"/>
                <w:szCs w:val="24"/>
              </w:rPr>
            </w:pPr>
          </w:p>
        </w:tc>
      </w:tr>
    </w:tbl>
    <w:p w14:paraId="0FBBFE59" w14:textId="77777777" w:rsidR="000729CF" w:rsidRPr="000729CF" w:rsidRDefault="000729CF" w:rsidP="000729CF">
      <w:pPr>
        <w:spacing w:after="160" w:line="259" w:lineRule="auto"/>
        <w:rPr>
          <w:rFonts w:ascii="Arial" w:eastAsia="Calibri" w:hAnsi="Arial" w:cs="Arial"/>
          <w:sz w:val="24"/>
          <w:szCs w:val="24"/>
          <w:lang w:val="en-GB"/>
        </w:rPr>
      </w:pPr>
    </w:p>
    <w:p w14:paraId="3A195DBF"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Current data and impact monitoring</w:t>
      </w:r>
    </w:p>
    <w:p w14:paraId="7A2E31D0"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Do you currently collect and analyse the following data to enable monitoring of the impact of this proposal? </w:t>
      </w:r>
    </w:p>
    <w:p w14:paraId="5939F910"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Consider all possible intersections (Delete and State Yes, No, Not Applicable)</w:t>
      </w:r>
    </w:p>
    <w:tbl>
      <w:tblPr>
        <w:tblStyle w:val="TableGrid"/>
        <w:tblW w:w="10485" w:type="dxa"/>
        <w:tblLook w:val="04A0" w:firstRow="1" w:lastRow="0" w:firstColumn="1" w:lastColumn="0" w:noHBand="0" w:noVBand="1"/>
      </w:tblPr>
      <w:tblGrid>
        <w:gridCol w:w="6658"/>
        <w:gridCol w:w="3827"/>
      </w:tblGrid>
      <w:tr w:rsidR="000729CF" w:rsidRPr="000729CF" w14:paraId="13ABE222" w14:textId="77777777" w:rsidTr="000729CF">
        <w:trPr>
          <w:trHeight w:val="310"/>
        </w:trPr>
        <w:tc>
          <w:tcPr>
            <w:tcW w:w="6658" w:type="dxa"/>
            <w:shd w:val="clear" w:color="auto" w:fill="E7E6E6"/>
          </w:tcPr>
          <w:p w14:paraId="2014C86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Age</w:t>
            </w:r>
          </w:p>
        </w:tc>
        <w:tc>
          <w:tcPr>
            <w:tcW w:w="3827" w:type="dxa"/>
          </w:tcPr>
          <w:p w14:paraId="585A1A3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 for 2 and 3</w:t>
            </w:r>
          </w:p>
        </w:tc>
      </w:tr>
      <w:tr w:rsidR="000729CF" w:rsidRPr="000729CF" w14:paraId="1F28D6EA" w14:textId="77777777" w:rsidTr="000729CF">
        <w:trPr>
          <w:trHeight w:val="20"/>
        </w:trPr>
        <w:tc>
          <w:tcPr>
            <w:tcW w:w="6658" w:type="dxa"/>
            <w:shd w:val="clear" w:color="auto" w:fill="E7E6E6"/>
          </w:tcPr>
          <w:p w14:paraId="440EF06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Disability and inclusive adjustments, coverage under equality act and not</w:t>
            </w:r>
          </w:p>
        </w:tc>
        <w:tc>
          <w:tcPr>
            <w:tcW w:w="3827" w:type="dxa"/>
          </w:tcPr>
          <w:p w14:paraId="0C29157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 for 3</w:t>
            </w:r>
          </w:p>
        </w:tc>
      </w:tr>
      <w:tr w:rsidR="000729CF" w:rsidRPr="000729CF" w14:paraId="3A594414" w14:textId="77777777" w:rsidTr="000729CF">
        <w:trPr>
          <w:trHeight w:val="20"/>
        </w:trPr>
        <w:tc>
          <w:tcPr>
            <w:tcW w:w="6658" w:type="dxa"/>
            <w:shd w:val="clear" w:color="auto" w:fill="E7E6E6"/>
          </w:tcPr>
          <w:p w14:paraId="7CC9855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Ethnicity, ‘Race’, ethnic heritage (including Gypsy, Roma, Travellers)</w:t>
            </w:r>
          </w:p>
        </w:tc>
        <w:tc>
          <w:tcPr>
            <w:tcW w:w="3827" w:type="dxa"/>
          </w:tcPr>
          <w:p w14:paraId="5A0CDBC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 for 2 and 3</w:t>
            </w:r>
          </w:p>
        </w:tc>
      </w:tr>
      <w:tr w:rsidR="000729CF" w:rsidRPr="000729CF" w14:paraId="4B32C03F" w14:textId="77777777" w:rsidTr="000729CF">
        <w:trPr>
          <w:trHeight w:val="20"/>
        </w:trPr>
        <w:tc>
          <w:tcPr>
            <w:tcW w:w="6658" w:type="dxa"/>
            <w:shd w:val="clear" w:color="auto" w:fill="E7E6E6"/>
          </w:tcPr>
          <w:p w14:paraId="0D958FB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Religion, Belief, Spirituality, Faith, or Atheism</w:t>
            </w:r>
          </w:p>
        </w:tc>
        <w:tc>
          <w:tcPr>
            <w:tcW w:w="3827" w:type="dxa"/>
          </w:tcPr>
          <w:p w14:paraId="3DB7B1F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 for 3</w:t>
            </w:r>
          </w:p>
        </w:tc>
      </w:tr>
      <w:tr w:rsidR="000729CF" w:rsidRPr="000729CF" w14:paraId="6DC490E0" w14:textId="77777777" w:rsidTr="000729CF">
        <w:trPr>
          <w:trHeight w:val="20"/>
        </w:trPr>
        <w:tc>
          <w:tcPr>
            <w:tcW w:w="6658" w:type="dxa"/>
            <w:shd w:val="clear" w:color="auto" w:fill="E7E6E6"/>
          </w:tcPr>
          <w:p w14:paraId="75060C3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Identity and Sex (including non-binary and Intersex people)</w:t>
            </w:r>
          </w:p>
        </w:tc>
        <w:tc>
          <w:tcPr>
            <w:tcW w:w="3827" w:type="dxa"/>
          </w:tcPr>
          <w:p w14:paraId="040FD0A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 for 3</w:t>
            </w:r>
          </w:p>
        </w:tc>
      </w:tr>
      <w:tr w:rsidR="000729CF" w:rsidRPr="000729CF" w14:paraId="56DC1579" w14:textId="77777777" w:rsidTr="000729CF">
        <w:trPr>
          <w:trHeight w:val="20"/>
        </w:trPr>
        <w:tc>
          <w:tcPr>
            <w:tcW w:w="6658" w:type="dxa"/>
            <w:shd w:val="clear" w:color="auto" w:fill="E7E6E6"/>
          </w:tcPr>
          <w:p w14:paraId="28F6C50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3827" w:type="dxa"/>
          </w:tcPr>
          <w:p w14:paraId="1DF18DD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 for 3</w:t>
            </w:r>
          </w:p>
        </w:tc>
      </w:tr>
      <w:tr w:rsidR="000729CF" w:rsidRPr="000729CF" w14:paraId="4B3B9667" w14:textId="77777777" w:rsidTr="000729CF">
        <w:trPr>
          <w:trHeight w:val="20"/>
        </w:trPr>
        <w:tc>
          <w:tcPr>
            <w:tcW w:w="6658" w:type="dxa"/>
            <w:shd w:val="clear" w:color="auto" w:fill="E7E6E6"/>
          </w:tcPr>
          <w:p w14:paraId="5430BA0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3827" w:type="dxa"/>
          </w:tcPr>
          <w:p w14:paraId="6C5D1D5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 for 3</w:t>
            </w:r>
          </w:p>
        </w:tc>
      </w:tr>
      <w:tr w:rsidR="000729CF" w:rsidRPr="000729CF" w14:paraId="1A3B4545" w14:textId="77777777" w:rsidTr="000729CF">
        <w:trPr>
          <w:trHeight w:val="20"/>
        </w:trPr>
        <w:tc>
          <w:tcPr>
            <w:tcW w:w="6658" w:type="dxa"/>
            <w:shd w:val="clear" w:color="auto" w:fill="E7E6E6"/>
          </w:tcPr>
          <w:p w14:paraId="4805DAB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3827" w:type="dxa"/>
          </w:tcPr>
          <w:p w14:paraId="23A55F0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01C1D8DC" w14:textId="77777777" w:rsidTr="000729CF">
        <w:trPr>
          <w:trHeight w:val="20"/>
        </w:trPr>
        <w:tc>
          <w:tcPr>
            <w:tcW w:w="6658" w:type="dxa"/>
            <w:shd w:val="clear" w:color="auto" w:fill="E7E6E6"/>
          </w:tcPr>
          <w:p w14:paraId="6EDD249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Pregnant people, Maternity, Paternity, Adoption, Menopause, (In)fertility (across the gender spectrum)</w:t>
            </w:r>
          </w:p>
        </w:tc>
        <w:tc>
          <w:tcPr>
            <w:tcW w:w="3827" w:type="dxa"/>
          </w:tcPr>
          <w:p w14:paraId="34D2458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1F648F91" w14:textId="77777777" w:rsidTr="000729CF">
        <w:trPr>
          <w:trHeight w:val="20"/>
        </w:trPr>
        <w:tc>
          <w:tcPr>
            <w:tcW w:w="6658" w:type="dxa"/>
            <w:shd w:val="clear" w:color="auto" w:fill="E7E6E6"/>
          </w:tcPr>
          <w:p w14:paraId="04A925B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3827" w:type="dxa"/>
          </w:tcPr>
          <w:p w14:paraId="6818EDB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 for 3</w:t>
            </w:r>
          </w:p>
        </w:tc>
      </w:tr>
      <w:tr w:rsidR="000729CF" w:rsidRPr="000729CF" w14:paraId="1866F920" w14:textId="77777777" w:rsidTr="000729CF">
        <w:trPr>
          <w:trHeight w:val="20"/>
        </w:trPr>
        <w:tc>
          <w:tcPr>
            <w:tcW w:w="6658" w:type="dxa"/>
            <w:shd w:val="clear" w:color="auto" w:fill="E7E6E6"/>
          </w:tcPr>
          <w:p w14:paraId="6FE46F29" w14:textId="77777777" w:rsidR="000729CF" w:rsidRPr="000729CF" w:rsidRDefault="000729CF" w:rsidP="000729CF">
            <w:pPr>
              <w:spacing w:after="120"/>
              <w:rPr>
                <w:rFonts w:ascii="Arial" w:hAnsi="Arial" w:cs="Arial"/>
                <w:b/>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p>
        </w:tc>
        <w:tc>
          <w:tcPr>
            <w:tcW w:w="3827" w:type="dxa"/>
          </w:tcPr>
          <w:p w14:paraId="29896EA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 for 3</w:t>
            </w:r>
          </w:p>
        </w:tc>
      </w:tr>
      <w:tr w:rsidR="000729CF" w:rsidRPr="000729CF" w14:paraId="00A3B9D2" w14:textId="77777777" w:rsidTr="000729CF">
        <w:trPr>
          <w:trHeight w:val="20"/>
        </w:trPr>
        <w:tc>
          <w:tcPr>
            <w:tcW w:w="6658" w:type="dxa"/>
            <w:shd w:val="clear" w:color="auto" w:fill="E7E6E6"/>
          </w:tcPr>
          <w:p w14:paraId="41700F26" w14:textId="77777777" w:rsidR="000729CF" w:rsidRPr="000729CF" w:rsidRDefault="000729CF" w:rsidP="000729CF">
            <w:pPr>
              <w:spacing w:after="120"/>
              <w:rPr>
                <w:rFonts w:ascii="Arial" w:hAnsi="Arial" w:cs="Arial"/>
                <w:b/>
                <w:sz w:val="24"/>
                <w:szCs w:val="24"/>
              </w:rPr>
            </w:pPr>
            <w:r w:rsidRPr="000729CF">
              <w:rPr>
                <w:rFonts w:ascii="Arial" w:eastAsia="Calibri" w:hAnsi="Arial" w:cs="Arial"/>
                <w:b/>
                <w:bCs/>
                <w:color w:val="000000"/>
                <w:sz w:val="24"/>
                <w:szCs w:val="24"/>
              </w:rPr>
              <w:t>Carers</w:t>
            </w:r>
          </w:p>
        </w:tc>
        <w:tc>
          <w:tcPr>
            <w:tcW w:w="3827" w:type="dxa"/>
          </w:tcPr>
          <w:p w14:paraId="03020C6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 for 3</w:t>
            </w:r>
          </w:p>
        </w:tc>
      </w:tr>
      <w:tr w:rsidR="000729CF" w:rsidRPr="000729CF" w14:paraId="4896A117" w14:textId="77777777" w:rsidTr="000729CF">
        <w:trPr>
          <w:trHeight w:val="20"/>
        </w:trPr>
        <w:tc>
          <w:tcPr>
            <w:tcW w:w="6658" w:type="dxa"/>
            <w:shd w:val="clear" w:color="auto" w:fill="E7E6E6"/>
          </w:tcPr>
          <w:p w14:paraId="241C6950"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Looked after children, Care Leavers, Care and fostering experienced people</w:t>
            </w:r>
          </w:p>
        </w:tc>
        <w:tc>
          <w:tcPr>
            <w:tcW w:w="3827" w:type="dxa"/>
          </w:tcPr>
          <w:p w14:paraId="7100D92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5E74B749" w14:textId="77777777" w:rsidTr="000729CF">
        <w:trPr>
          <w:trHeight w:val="20"/>
        </w:trPr>
        <w:tc>
          <w:tcPr>
            <w:tcW w:w="6658" w:type="dxa"/>
            <w:shd w:val="clear" w:color="auto" w:fill="E7E6E6"/>
          </w:tcPr>
          <w:p w14:paraId="55AEC65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 and people in vulnerable situations (All aspects and intersections)</w:t>
            </w:r>
          </w:p>
        </w:tc>
        <w:tc>
          <w:tcPr>
            <w:tcW w:w="3827" w:type="dxa"/>
          </w:tcPr>
          <w:p w14:paraId="2CFC19C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3EBB01D9" w14:textId="77777777" w:rsidTr="000729CF">
        <w:trPr>
          <w:trHeight w:val="573"/>
        </w:trPr>
        <w:tc>
          <w:tcPr>
            <w:tcW w:w="6658" w:type="dxa"/>
            <w:shd w:val="clear" w:color="auto" w:fill="E7E6E6"/>
          </w:tcPr>
          <w:p w14:paraId="3EA851D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Socio-economic Disadvantage</w:t>
            </w:r>
          </w:p>
        </w:tc>
        <w:tc>
          <w:tcPr>
            <w:tcW w:w="3827" w:type="dxa"/>
          </w:tcPr>
          <w:p w14:paraId="5A59B67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2D51608E" w14:textId="77777777" w:rsidTr="000729CF">
        <w:trPr>
          <w:trHeight w:val="20"/>
        </w:trPr>
        <w:tc>
          <w:tcPr>
            <w:tcW w:w="6658" w:type="dxa"/>
            <w:shd w:val="clear" w:color="auto" w:fill="E7E6E6"/>
          </w:tcPr>
          <w:p w14:paraId="2742C84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Homelessness and associated risk and vulnerability</w:t>
            </w:r>
          </w:p>
        </w:tc>
        <w:tc>
          <w:tcPr>
            <w:tcW w:w="3827" w:type="dxa"/>
          </w:tcPr>
          <w:p w14:paraId="4809716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75F9EB85" w14:textId="77777777" w:rsidTr="000729CF">
        <w:trPr>
          <w:trHeight w:val="20"/>
        </w:trPr>
        <w:tc>
          <w:tcPr>
            <w:tcW w:w="6658" w:type="dxa"/>
            <w:shd w:val="clear" w:color="auto" w:fill="E7E6E6"/>
          </w:tcPr>
          <w:p w14:paraId="25F1E80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3827" w:type="dxa"/>
          </w:tcPr>
          <w:p w14:paraId="4C5F101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7D219980" w14:textId="77777777" w:rsidTr="000729CF">
        <w:trPr>
          <w:trHeight w:val="20"/>
        </w:trPr>
        <w:tc>
          <w:tcPr>
            <w:tcW w:w="6658" w:type="dxa"/>
            <w:shd w:val="clear" w:color="auto" w:fill="E7E6E6"/>
          </w:tcPr>
          <w:p w14:paraId="0FCD35F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 (please specify here and add additional rows as needed)</w:t>
            </w:r>
          </w:p>
        </w:tc>
        <w:tc>
          <w:tcPr>
            <w:tcW w:w="3827" w:type="dxa"/>
          </w:tcPr>
          <w:p w14:paraId="4E9D21A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bl>
    <w:p w14:paraId="0D0AB16C" w14:textId="77777777" w:rsidR="000729CF" w:rsidRPr="000729CF" w:rsidRDefault="000729CF" w:rsidP="000729CF">
      <w:pPr>
        <w:rPr>
          <w:rFonts w:ascii="Arial" w:eastAsia="Calibri" w:hAnsi="Arial" w:cs="Arial"/>
          <w:sz w:val="24"/>
          <w:szCs w:val="24"/>
          <w:lang w:val="en-GB"/>
        </w:rPr>
      </w:pPr>
    </w:p>
    <w:p w14:paraId="6E4541B1"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71F60BC0"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072DA6AF"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7D604AA2"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721C187E"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3AE48C7D"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6CEE74D8"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13056FB8"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529B9306"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35643B53"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6144B970" w14:textId="77777777" w:rsidR="000729CF" w:rsidRPr="000729CF" w:rsidRDefault="000729CF" w:rsidP="000729CF">
      <w:pPr>
        <w:rPr>
          <w:rFonts w:ascii="Arial" w:eastAsia="Calibri" w:hAnsi="Arial" w:cs="Arial"/>
          <w:sz w:val="24"/>
          <w:szCs w:val="24"/>
          <w:lang w:val="en-GB"/>
        </w:rPr>
      </w:pPr>
    </w:p>
    <w:p w14:paraId="248AF92C"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If you answered “NO” to any of the above, how will you gather this data to enable improved monitoring of impact for this proposal?</w:t>
      </w:r>
    </w:p>
    <w:tbl>
      <w:tblPr>
        <w:tblStyle w:val="TableGrid"/>
        <w:tblW w:w="0" w:type="auto"/>
        <w:tblLook w:val="04A0" w:firstRow="1" w:lastRow="0" w:firstColumn="1" w:lastColumn="0" w:noHBand="0" w:noVBand="1"/>
      </w:tblPr>
      <w:tblGrid>
        <w:gridCol w:w="10456"/>
      </w:tblGrid>
      <w:tr w:rsidR="000729CF" w:rsidRPr="000729CF" w14:paraId="622F29C7" w14:textId="77777777" w:rsidTr="00BC26AB">
        <w:trPr>
          <w:trHeight w:val="757"/>
        </w:trPr>
        <w:tc>
          <w:tcPr>
            <w:tcW w:w="10456" w:type="dxa"/>
          </w:tcPr>
          <w:p w14:paraId="0285CDA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n/a</w:t>
            </w:r>
          </w:p>
        </w:tc>
      </w:tr>
    </w:tbl>
    <w:p w14:paraId="46629448" w14:textId="77777777" w:rsidR="000729CF" w:rsidRPr="000729CF" w:rsidRDefault="000729CF" w:rsidP="000729CF">
      <w:pPr>
        <w:rPr>
          <w:rFonts w:ascii="Arial" w:eastAsia="Calibri" w:hAnsi="Arial" w:cs="Arial"/>
          <w:sz w:val="24"/>
          <w:szCs w:val="24"/>
          <w:lang w:val="en-GB"/>
        </w:rPr>
      </w:pPr>
    </w:p>
    <w:p w14:paraId="4EDF6898" w14:textId="77777777" w:rsidR="000729CF" w:rsidRPr="000729CF" w:rsidRDefault="000729CF" w:rsidP="000729CF">
      <w:pPr>
        <w:rPr>
          <w:rFonts w:ascii="Arial" w:eastAsia="Calibri" w:hAnsi="Arial" w:cs="Arial"/>
          <w:sz w:val="24"/>
          <w:szCs w:val="24"/>
          <w:lang w:val="en-GB"/>
        </w:rPr>
      </w:pPr>
    </w:p>
    <w:p w14:paraId="6BBC7246"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are the arrangements for monitoring, and reviewing the impact of this proposal?</w:t>
      </w:r>
    </w:p>
    <w:tbl>
      <w:tblPr>
        <w:tblStyle w:val="TableGrid"/>
        <w:tblW w:w="0" w:type="auto"/>
        <w:tblLook w:val="04A0" w:firstRow="1" w:lastRow="0" w:firstColumn="1" w:lastColumn="0" w:noHBand="0" w:noVBand="1"/>
      </w:tblPr>
      <w:tblGrid>
        <w:gridCol w:w="10456"/>
      </w:tblGrid>
      <w:tr w:rsidR="000729CF" w:rsidRPr="000729CF" w14:paraId="2F58FD47" w14:textId="77777777" w:rsidTr="00BC26AB">
        <w:trPr>
          <w:trHeight w:val="757"/>
        </w:trPr>
        <w:tc>
          <w:tcPr>
            <w:tcW w:w="10456" w:type="dxa"/>
          </w:tcPr>
          <w:p w14:paraId="3778C63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Meetings will take place with the 3 organisations to discuss the impact and actions set out below. </w:t>
            </w:r>
          </w:p>
        </w:tc>
      </w:tr>
    </w:tbl>
    <w:p w14:paraId="03F969B5" w14:textId="77777777" w:rsidR="000729CF" w:rsidRPr="000729CF" w:rsidRDefault="000729CF" w:rsidP="000729CF">
      <w:pPr>
        <w:rPr>
          <w:rFonts w:ascii="Arial" w:eastAsia="Calibri" w:hAnsi="Arial" w:cs="Arial"/>
          <w:sz w:val="24"/>
          <w:szCs w:val="24"/>
          <w:lang w:val="en-GB"/>
        </w:rPr>
      </w:pPr>
    </w:p>
    <w:p w14:paraId="12590139" w14:textId="77777777" w:rsidR="000729CF" w:rsidRPr="000729CF" w:rsidRDefault="000729CF" w:rsidP="000729CF">
      <w:pPr>
        <w:rPr>
          <w:rFonts w:ascii="Arial" w:eastAsia="Calibri" w:hAnsi="Arial" w:cs="Arial"/>
          <w:sz w:val="24"/>
          <w:szCs w:val="24"/>
          <w:lang w:val="en-GB"/>
        </w:rPr>
      </w:pPr>
    </w:p>
    <w:p w14:paraId="7B90B195"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Impacts</w:t>
      </w:r>
    </w:p>
    <w:p w14:paraId="78F9A513"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Briefly state source of data or data analysis being used to describe the </w:t>
      </w:r>
      <w:r w:rsidRPr="000729CF">
        <w:rPr>
          <w:rFonts w:ascii="Arial" w:eastAsia="Calibri" w:hAnsi="Arial" w:cs="Arial"/>
          <w:color w:val="000000"/>
          <w:sz w:val="24"/>
          <w:szCs w:val="24"/>
          <w:bdr w:val="none" w:sz="0" w:space="0" w:color="auto" w:frame="1"/>
          <w:lang w:val="en-GB"/>
        </w:rPr>
        <w:t xml:space="preserve">disproportionate negative impacts. </w:t>
      </w:r>
      <w:r w:rsidRPr="000729CF">
        <w:rPr>
          <w:rFonts w:ascii="Arial" w:eastAsia="Calibri" w:hAnsi="Arial" w:cs="Arial"/>
          <w:sz w:val="24"/>
          <w:szCs w:val="24"/>
          <w:lang w:val="en-GB"/>
        </w:rPr>
        <w:t xml:space="preserve">Preferably provide link to data/ analysis if open data source. </w:t>
      </w:r>
    </w:p>
    <w:p w14:paraId="1C3EC529" w14:textId="77777777" w:rsidR="000729CF" w:rsidRPr="000729CF" w:rsidRDefault="000729CF" w:rsidP="000729CF">
      <w:pPr>
        <w:spacing w:after="160" w:line="259" w:lineRule="auto"/>
        <w:rPr>
          <w:rFonts w:ascii="Arial" w:eastAsia="Calibri" w:hAnsi="Arial" w:cs="Arial"/>
          <w:color w:val="000000"/>
          <w:sz w:val="24"/>
          <w:szCs w:val="24"/>
          <w:shd w:val="clear" w:color="auto" w:fill="FFFFFF"/>
          <w:lang w:val="en-GB"/>
        </w:rPr>
      </w:pPr>
    </w:p>
    <w:tbl>
      <w:tblPr>
        <w:tblStyle w:val="TableGrid"/>
        <w:tblW w:w="10485" w:type="dxa"/>
        <w:tblLook w:val="04A0" w:firstRow="1" w:lastRow="0" w:firstColumn="1" w:lastColumn="0" w:noHBand="0" w:noVBand="1"/>
      </w:tblPr>
      <w:tblGrid>
        <w:gridCol w:w="2985"/>
        <w:gridCol w:w="2123"/>
        <w:gridCol w:w="5377"/>
      </w:tblGrid>
      <w:tr w:rsidR="000729CF" w:rsidRPr="000729CF" w14:paraId="378E15AD" w14:textId="77777777" w:rsidTr="000729CF">
        <w:trPr>
          <w:trHeight w:val="20"/>
        </w:trPr>
        <w:tc>
          <w:tcPr>
            <w:tcW w:w="2985" w:type="dxa"/>
            <w:shd w:val="clear" w:color="auto" w:fill="E7E6E6"/>
          </w:tcPr>
          <w:p w14:paraId="2F1E881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Assess impact for different population groups</w:t>
            </w:r>
          </w:p>
        </w:tc>
        <w:tc>
          <w:tcPr>
            <w:tcW w:w="2123" w:type="dxa"/>
            <w:shd w:val="clear" w:color="auto" w:fill="E7E6E6"/>
          </w:tcPr>
          <w:p w14:paraId="4157BE2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Is there a possible disproportionate negative impact? </w:t>
            </w:r>
          </w:p>
          <w:p w14:paraId="5E2702A2" w14:textId="77777777" w:rsidR="000729CF" w:rsidRPr="000729CF" w:rsidRDefault="000729CF" w:rsidP="000729CF">
            <w:pPr>
              <w:spacing w:after="120"/>
              <w:rPr>
                <w:rFonts w:ascii="Arial" w:eastAsia="Calibri" w:hAnsi="Arial" w:cs="Arial"/>
                <w:b/>
                <w:bCs/>
                <w:sz w:val="24"/>
                <w:szCs w:val="24"/>
              </w:rPr>
            </w:pPr>
          </w:p>
          <w:p w14:paraId="199CF59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b/>
                <w:bCs/>
                <w:sz w:val="24"/>
                <w:szCs w:val="24"/>
              </w:rPr>
              <w:t>State Yes or No</w:t>
            </w:r>
          </w:p>
        </w:tc>
        <w:tc>
          <w:tcPr>
            <w:tcW w:w="5377" w:type="dxa"/>
            <w:shd w:val="clear" w:color="auto" w:fill="E7E6E6"/>
          </w:tcPr>
          <w:p w14:paraId="35867B8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Describe the potential negative impact, considering for differences within groups For example, different ethnic groups, and peoples intersecting identities e.g. disabled women of faith</w:t>
            </w:r>
          </w:p>
          <w:p w14:paraId="033E6D9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OR</w:t>
            </w:r>
          </w:p>
          <w:p w14:paraId="0CFF41D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If no impact is identified, briefly state why.</w:t>
            </w:r>
          </w:p>
        </w:tc>
      </w:tr>
      <w:tr w:rsidR="000729CF" w:rsidRPr="000729CF" w14:paraId="2A93753A" w14:textId="77777777" w:rsidTr="000729CF">
        <w:trPr>
          <w:trHeight w:val="20"/>
        </w:trPr>
        <w:tc>
          <w:tcPr>
            <w:tcW w:w="2985" w:type="dxa"/>
            <w:shd w:val="clear" w:color="auto" w:fill="E7E6E6"/>
          </w:tcPr>
          <w:p w14:paraId="60E2514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Age </w:t>
            </w:r>
          </w:p>
          <w:p w14:paraId="6554C74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sz w:val="24"/>
                <w:szCs w:val="24"/>
              </w:rPr>
              <w:t>including those under 16, young adults, multiple ethnicities, those with various intersections.</w:t>
            </w:r>
          </w:p>
        </w:tc>
        <w:tc>
          <w:tcPr>
            <w:tcW w:w="2123" w:type="dxa"/>
          </w:tcPr>
          <w:p w14:paraId="006D579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7DC523A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The majority of people using these services are over 65.  </w:t>
            </w:r>
          </w:p>
          <w:p w14:paraId="0EF6811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Brighton &amp; Hove has an increasing population of older people with the largest increases in ages 65-69 (36%) and 80-84 (33%). The rates of age-related macular degeneration (preventable sight loss) will therefore increase locally and reflect the national average of 82 in every 100,000 65+ year olds.</w:t>
            </w:r>
          </w:p>
          <w:p w14:paraId="21C2005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The intersection of aging and hearing and sight loss can increase the risk of depression, falls and hip fractures, loss of independence and isolation. </w:t>
            </w:r>
          </w:p>
        </w:tc>
      </w:tr>
      <w:tr w:rsidR="000729CF" w:rsidRPr="000729CF" w14:paraId="3471109D" w14:textId="77777777" w:rsidTr="000729CF">
        <w:trPr>
          <w:trHeight w:val="20"/>
        </w:trPr>
        <w:tc>
          <w:tcPr>
            <w:tcW w:w="2985" w:type="dxa"/>
            <w:shd w:val="clear" w:color="auto" w:fill="E7E6E6"/>
          </w:tcPr>
          <w:p w14:paraId="7604FC52"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 xml:space="preserve">Disability </w:t>
            </w:r>
            <w:r w:rsidRPr="000729CF">
              <w:rPr>
                <w:rFonts w:ascii="Arial" w:eastAsia="Calibri" w:hAnsi="Arial" w:cs="Arial"/>
                <w:sz w:val="24"/>
                <w:szCs w:val="24"/>
              </w:rPr>
              <w:t>includes physical and sensory disabled, D/deaf, deafened, hard of hearing, blind, neurodiverse people, people with non-visible disabilities.</w:t>
            </w:r>
          </w:p>
        </w:tc>
        <w:tc>
          <w:tcPr>
            <w:tcW w:w="2123" w:type="dxa"/>
          </w:tcPr>
          <w:p w14:paraId="3850D63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c>
          <w:tcPr>
            <w:tcW w:w="5377" w:type="dxa"/>
          </w:tcPr>
          <w:p w14:paraId="1036E2B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All of the people in receipt of these services are deaf, hard of hearing, blind, partially sighted or deaf/blind. In addition, some of the people have a physical health and/or a mental health condition. </w:t>
            </w:r>
          </w:p>
          <w:p w14:paraId="24A414B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numbers of people with sight loss are predicted to increase due to increasing levels of obesity, associated diabetes and related vision difficulties. Risk of sight loss is heavily influenced by health inequalities, including ethnicity, deprivation and age.</w:t>
            </w:r>
          </w:p>
          <w:p w14:paraId="45BB9DF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In Brighton and Hove, it is estimated that there were 124 people aged 18-64 with a serious visual impairment in 2014. This is expected to be 134 people in 2030. It is estimated that in 2020, there were 1,283 people aged 18-70 with severe hearing loss. This is predicted to be 1,494 in 2030.</w:t>
            </w:r>
          </w:p>
          <w:p w14:paraId="49A75B94" w14:textId="77777777" w:rsidR="000729CF" w:rsidRPr="000729CF" w:rsidRDefault="000729CF" w:rsidP="000729CF">
            <w:pPr>
              <w:spacing w:after="120"/>
              <w:rPr>
                <w:rFonts w:ascii="Arial" w:eastAsia="Calibri" w:hAnsi="Arial" w:cs="Arial"/>
                <w:sz w:val="24"/>
                <w:szCs w:val="24"/>
              </w:rPr>
            </w:pPr>
          </w:p>
        </w:tc>
      </w:tr>
      <w:tr w:rsidR="000729CF" w:rsidRPr="000729CF" w14:paraId="075FB2AC" w14:textId="77777777" w:rsidTr="000729CF">
        <w:trPr>
          <w:trHeight w:val="20"/>
        </w:trPr>
        <w:tc>
          <w:tcPr>
            <w:tcW w:w="2985" w:type="dxa"/>
            <w:shd w:val="clear" w:color="auto" w:fill="E7E6E6"/>
          </w:tcPr>
          <w:p w14:paraId="70971453" w14:textId="77777777" w:rsidR="000729CF" w:rsidRPr="000729CF" w:rsidRDefault="000729CF" w:rsidP="000729CF">
            <w:pPr>
              <w:keepNext/>
              <w:keepLines/>
              <w:spacing w:before="40"/>
              <w:outlineLvl w:val="2"/>
              <w:rPr>
                <w:rFonts w:ascii="Arial" w:hAnsi="Arial" w:cs="Arial"/>
                <w:color w:val="1F3763"/>
                <w:sz w:val="24"/>
                <w:szCs w:val="24"/>
              </w:rPr>
            </w:pPr>
            <w:r w:rsidRPr="000729CF">
              <w:rPr>
                <w:rFonts w:ascii="Arial" w:hAnsi="Arial" w:cs="Arial"/>
                <w:b/>
                <w:bCs/>
                <w:color w:val="000000"/>
                <w:sz w:val="24"/>
                <w:szCs w:val="24"/>
              </w:rPr>
              <w:t>Ethnicity, ‘</w:t>
            </w:r>
            <w:r w:rsidRPr="000729CF">
              <w:rPr>
                <w:rFonts w:ascii="Arial" w:hAnsi="Arial" w:cs="Arial"/>
                <w:color w:val="000000"/>
                <w:sz w:val="24"/>
                <w:szCs w:val="24"/>
              </w:rPr>
              <w:t>Race’, ethnic heritage including Gypsy, Roma, Travellers</w:t>
            </w:r>
          </w:p>
        </w:tc>
        <w:tc>
          <w:tcPr>
            <w:tcW w:w="2123" w:type="dxa"/>
          </w:tcPr>
          <w:p w14:paraId="6EF3A45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c>
          <w:tcPr>
            <w:tcW w:w="5377" w:type="dxa"/>
          </w:tcPr>
          <w:p w14:paraId="13F3B47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People that use these services are predominantly White British (87% using the ECLO service and 91% White British or White Other using the ESVS service).</w:t>
            </w:r>
          </w:p>
        </w:tc>
      </w:tr>
      <w:tr w:rsidR="000729CF" w:rsidRPr="000729CF" w14:paraId="2721EE4D" w14:textId="77777777" w:rsidTr="000729CF">
        <w:trPr>
          <w:trHeight w:val="20"/>
        </w:trPr>
        <w:tc>
          <w:tcPr>
            <w:tcW w:w="2985" w:type="dxa"/>
            <w:shd w:val="clear" w:color="auto" w:fill="E7E6E6"/>
          </w:tcPr>
          <w:p w14:paraId="7D5617B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Religion, Spirituality, Faith, Atheism, and philosophical belief </w:t>
            </w:r>
          </w:p>
        </w:tc>
        <w:tc>
          <w:tcPr>
            <w:tcW w:w="2123" w:type="dxa"/>
          </w:tcPr>
          <w:p w14:paraId="6AD9DB1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42B7FAEB" w14:textId="77777777" w:rsidR="000729CF" w:rsidRPr="000729CF" w:rsidRDefault="000729CF" w:rsidP="000729CF">
            <w:pPr>
              <w:spacing w:after="120"/>
              <w:rPr>
                <w:rFonts w:ascii="Arial" w:eastAsia="Calibri" w:hAnsi="Arial" w:cs="Arial"/>
                <w:sz w:val="24"/>
                <w:szCs w:val="24"/>
              </w:rPr>
            </w:pPr>
          </w:p>
        </w:tc>
      </w:tr>
      <w:tr w:rsidR="000729CF" w:rsidRPr="000729CF" w14:paraId="1C260A66" w14:textId="77777777" w:rsidTr="000729CF">
        <w:trPr>
          <w:trHeight w:val="20"/>
        </w:trPr>
        <w:tc>
          <w:tcPr>
            <w:tcW w:w="2985" w:type="dxa"/>
            <w:shd w:val="clear" w:color="auto" w:fill="E7E6E6"/>
          </w:tcPr>
          <w:p w14:paraId="5BBFCD2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Gender and Sex </w:t>
            </w:r>
            <w:r w:rsidRPr="000729CF">
              <w:rPr>
                <w:rFonts w:ascii="Arial" w:eastAsia="Calibri" w:hAnsi="Arial" w:cs="Arial"/>
                <w:sz w:val="24"/>
                <w:szCs w:val="24"/>
              </w:rPr>
              <w:t>including non-binary and intersex people</w:t>
            </w:r>
          </w:p>
        </w:tc>
        <w:tc>
          <w:tcPr>
            <w:tcW w:w="2123" w:type="dxa"/>
          </w:tcPr>
          <w:p w14:paraId="682E081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48F939A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Within the ECLO service there is over representation, so slightly disproportionate, impact on men (61%) but this is the opposite within the ESVS service with a slightly disproportionate impact on women (63%).  </w:t>
            </w:r>
          </w:p>
        </w:tc>
      </w:tr>
      <w:tr w:rsidR="000729CF" w:rsidRPr="000729CF" w14:paraId="3F8DF356" w14:textId="77777777" w:rsidTr="000729CF">
        <w:trPr>
          <w:trHeight w:val="20"/>
        </w:trPr>
        <w:tc>
          <w:tcPr>
            <w:tcW w:w="2985" w:type="dxa"/>
            <w:shd w:val="clear" w:color="auto" w:fill="E7E6E6"/>
          </w:tcPr>
          <w:p w14:paraId="7A69A42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2123" w:type="dxa"/>
          </w:tcPr>
          <w:p w14:paraId="41CB2F6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2AE57388" w14:textId="77777777" w:rsidR="000729CF" w:rsidRPr="000729CF" w:rsidRDefault="000729CF" w:rsidP="000729CF">
            <w:pPr>
              <w:spacing w:after="120"/>
              <w:rPr>
                <w:rFonts w:ascii="Arial" w:eastAsia="Calibri" w:hAnsi="Arial" w:cs="Arial"/>
                <w:sz w:val="24"/>
                <w:szCs w:val="24"/>
              </w:rPr>
            </w:pPr>
          </w:p>
        </w:tc>
      </w:tr>
      <w:tr w:rsidR="000729CF" w:rsidRPr="000729CF" w14:paraId="4E8412B3" w14:textId="77777777" w:rsidTr="000729CF">
        <w:trPr>
          <w:trHeight w:val="20"/>
        </w:trPr>
        <w:tc>
          <w:tcPr>
            <w:tcW w:w="2985" w:type="dxa"/>
            <w:shd w:val="clear" w:color="auto" w:fill="E7E6E6"/>
          </w:tcPr>
          <w:p w14:paraId="43BCF64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2123" w:type="dxa"/>
          </w:tcPr>
          <w:p w14:paraId="4341831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434F267B" w14:textId="77777777" w:rsidR="000729CF" w:rsidRPr="000729CF" w:rsidRDefault="000729CF" w:rsidP="000729CF">
            <w:pPr>
              <w:spacing w:after="120"/>
              <w:rPr>
                <w:rFonts w:ascii="Arial" w:eastAsia="Calibri" w:hAnsi="Arial" w:cs="Arial"/>
                <w:sz w:val="24"/>
                <w:szCs w:val="24"/>
              </w:rPr>
            </w:pPr>
          </w:p>
        </w:tc>
      </w:tr>
      <w:tr w:rsidR="000729CF" w:rsidRPr="000729CF" w14:paraId="30EFB45B" w14:textId="77777777" w:rsidTr="000729CF">
        <w:trPr>
          <w:trHeight w:val="20"/>
        </w:trPr>
        <w:tc>
          <w:tcPr>
            <w:tcW w:w="2985" w:type="dxa"/>
            <w:shd w:val="clear" w:color="auto" w:fill="E7E6E6"/>
          </w:tcPr>
          <w:p w14:paraId="3BCE4AF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2123" w:type="dxa"/>
          </w:tcPr>
          <w:p w14:paraId="741E11A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409861E0" w14:textId="77777777" w:rsidR="000729CF" w:rsidRPr="000729CF" w:rsidRDefault="000729CF" w:rsidP="000729CF">
            <w:pPr>
              <w:spacing w:after="120"/>
              <w:rPr>
                <w:rFonts w:ascii="Arial" w:eastAsia="Calibri" w:hAnsi="Arial" w:cs="Arial"/>
                <w:sz w:val="24"/>
                <w:szCs w:val="24"/>
              </w:rPr>
            </w:pPr>
          </w:p>
        </w:tc>
      </w:tr>
      <w:tr w:rsidR="000729CF" w:rsidRPr="000729CF" w14:paraId="7CD5EE3F" w14:textId="77777777" w:rsidTr="000729CF">
        <w:trPr>
          <w:trHeight w:val="20"/>
        </w:trPr>
        <w:tc>
          <w:tcPr>
            <w:tcW w:w="2985" w:type="dxa"/>
            <w:shd w:val="clear" w:color="auto" w:fill="E7E6E6"/>
          </w:tcPr>
          <w:p w14:paraId="76E6C2B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Pregnancy, Maternity, Paternity, Adoption, Menopause, (In)fertility </w:t>
            </w:r>
            <w:r w:rsidRPr="000729CF">
              <w:rPr>
                <w:rFonts w:ascii="Arial" w:eastAsia="Calibri" w:hAnsi="Arial" w:cs="Arial"/>
                <w:color w:val="000000"/>
                <w:sz w:val="24"/>
                <w:szCs w:val="24"/>
              </w:rPr>
              <w:t>(across intersections and non-binary gender spectrum)</w:t>
            </w:r>
          </w:p>
        </w:tc>
        <w:tc>
          <w:tcPr>
            <w:tcW w:w="2123" w:type="dxa"/>
          </w:tcPr>
          <w:p w14:paraId="0DC83D5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55E63D99" w14:textId="77777777" w:rsidR="000729CF" w:rsidRPr="000729CF" w:rsidRDefault="000729CF" w:rsidP="000729CF">
            <w:pPr>
              <w:spacing w:after="120"/>
              <w:rPr>
                <w:rFonts w:ascii="Arial" w:eastAsia="Calibri" w:hAnsi="Arial" w:cs="Arial"/>
                <w:sz w:val="24"/>
                <w:szCs w:val="24"/>
              </w:rPr>
            </w:pPr>
          </w:p>
        </w:tc>
      </w:tr>
      <w:tr w:rsidR="000729CF" w:rsidRPr="000729CF" w14:paraId="30470F10" w14:textId="77777777" w:rsidTr="000729CF">
        <w:trPr>
          <w:trHeight w:val="20"/>
        </w:trPr>
        <w:tc>
          <w:tcPr>
            <w:tcW w:w="2985" w:type="dxa"/>
            <w:shd w:val="clear" w:color="auto" w:fill="E7E6E6"/>
          </w:tcPr>
          <w:p w14:paraId="3621D4A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2123" w:type="dxa"/>
          </w:tcPr>
          <w:p w14:paraId="4AE80EE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439117B3" w14:textId="77777777" w:rsidR="000729CF" w:rsidRPr="000729CF" w:rsidRDefault="000729CF" w:rsidP="000729CF">
            <w:pPr>
              <w:spacing w:after="120"/>
              <w:rPr>
                <w:rFonts w:ascii="Arial" w:eastAsia="Calibri" w:hAnsi="Arial" w:cs="Arial"/>
                <w:sz w:val="24"/>
                <w:szCs w:val="24"/>
              </w:rPr>
            </w:pPr>
          </w:p>
        </w:tc>
      </w:tr>
      <w:tr w:rsidR="000729CF" w:rsidRPr="000729CF" w14:paraId="558CD05D" w14:textId="77777777" w:rsidTr="000729CF">
        <w:trPr>
          <w:trHeight w:val="20"/>
        </w:trPr>
        <w:tc>
          <w:tcPr>
            <w:tcW w:w="2985" w:type="dxa"/>
            <w:shd w:val="clear" w:color="auto" w:fill="E7E6E6"/>
          </w:tcPr>
          <w:p w14:paraId="311994E8" w14:textId="77777777" w:rsidR="000729CF" w:rsidRPr="000729CF" w:rsidRDefault="000729CF" w:rsidP="000729CF">
            <w:pPr>
              <w:spacing w:after="120"/>
              <w:rPr>
                <w:rFonts w:ascii="Arial" w:eastAsia="Calibri" w:hAnsi="Arial" w:cs="Arial"/>
                <w:b/>
                <w:bCs/>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r w:rsidRPr="000729CF">
              <w:rPr>
                <w:rFonts w:ascii="Arial" w:hAnsi="Arial" w:cs="Arial"/>
                <w:color w:val="000000"/>
                <w:sz w:val="24"/>
                <w:szCs w:val="24"/>
              </w:rPr>
              <w:t>considering for age, language, and various intersections</w:t>
            </w:r>
          </w:p>
        </w:tc>
        <w:tc>
          <w:tcPr>
            <w:tcW w:w="2123" w:type="dxa"/>
          </w:tcPr>
          <w:p w14:paraId="3D7255A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664DE666" w14:textId="77777777" w:rsidR="000729CF" w:rsidRPr="000729CF" w:rsidRDefault="000729CF" w:rsidP="000729CF">
            <w:pPr>
              <w:spacing w:after="120"/>
              <w:rPr>
                <w:rFonts w:ascii="Arial" w:eastAsia="Calibri" w:hAnsi="Arial" w:cs="Arial"/>
                <w:sz w:val="24"/>
                <w:szCs w:val="24"/>
              </w:rPr>
            </w:pPr>
          </w:p>
        </w:tc>
      </w:tr>
      <w:tr w:rsidR="000729CF" w:rsidRPr="000729CF" w14:paraId="7A5E33A1" w14:textId="77777777" w:rsidTr="000729CF">
        <w:trPr>
          <w:trHeight w:val="20"/>
        </w:trPr>
        <w:tc>
          <w:tcPr>
            <w:tcW w:w="2985" w:type="dxa"/>
            <w:shd w:val="clear" w:color="auto" w:fill="E7E6E6"/>
          </w:tcPr>
          <w:p w14:paraId="16225C8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Carers </w:t>
            </w:r>
            <w:r w:rsidRPr="000729CF">
              <w:rPr>
                <w:rFonts w:ascii="Arial" w:hAnsi="Arial" w:cs="Arial"/>
                <w:color w:val="000000"/>
                <w:sz w:val="24"/>
                <w:szCs w:val="24"/>
              </w:rPr>
              <w:t>considering for age, language, and various intersections</w:t>
            </w:r>
          </w:p>
        </w:tc>
        <w:tc>
          <w:tcPr>
            <w:tcW w:w="2123" w:type="dxa"/>
          </w:tcPr>
          <w:p w14:paraId="3F453BC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5E122D3C" w14:textId="77777777" w:rsidR="000729CF" w:rsidRPr="000729CF" w:rsidRDefault="000729CF" w:rsidP="000729CF">
            <w:pPr>
              <w:spacing w:after="120"/>
              <w:rPr>
                <w:rFonts w:ascii="Arial" w:eastAsia="Calibri" w:hAnsi="Arial" w:cs="Arial"/>
                <w:sz w:val="24"/>
                <w:szCs w:val="24"/>
              </w:rPr>
            </w:pPr>
          </w:p>
        </w:tc>
      </w:tr>
      <w:tr w:rsidR="000729CF" w:rsidRPr="000729CF" w14:paraId="005A1351" w14:textId="77777777" w:rsidTr="000729CF">
        <w:trPr>
          <w:trHeight w:val="20"/>
        </w:trPr>
        <w:tc>
          <w:tcPr>
            <w:tcW w:w="2985" w:type="dxa"/>
            <w:shd w:val="clear" w:color="auto" w:fill="E7E6E6"/>
          </w:tcPr>
          <w:p w14:paraId="0AEFA9B8"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 xml:space="preserve">Looked after children, Care Leavers, Care and fostering experienced people </w:t>
            </w:r>
            <w:r w:rsidRPr="000729CF">
              <w:rPr>
                <w:rFonts w:ascii="Arial" w:hAnsi="Arial" w:cs="Arial"/>
                <w:color w:val="000000"/>
                <w:sz w:val="24"/>
                <w:szCs w:val="24"/>
              </w:rPr>
              <w:t>considering for age, language, and various intersections</w:t>
            </w:r>
          </w:p>
        </w:tc>
        <w:tc>
          <w:tcPr>
            <w:tcW w:w="2123" w:type="dxa"/>
          </w:tcPr>
          <w:p w14:paraId="274E9FA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0E4ECEA4" w14:textId="77777777" w:rsidR="000729CF" w:rsidRPr="000729CF" w:rsidRDefault="000729CF" w:rsidP="000729CF">
            <w:pPr>
              <w:spacing w:after="120"/>
              <w:rPr>
                <w:rFonts w:ascii="Arial" w:eastAsia="Calibri" w:hAnsi="Arial" w:cs="Arial"/>
                <w:sz w:val="24"/>
                <w:szCs w:val="24"/>
              </w:rPr>
            </w:pPr>
          </w:p>
        </w:tc>
      </w:tr>
      <w:tr w:rsidR="000729CF" w:rsidRPr="000729CF" w14:paraId="48D07A5C" w14:textId="77777777" w:rsidTr="000729CF">
        <w:trPr>
          <w:trHeight w:val="20"/>
        </w:trPr>
        <w:tc>
          <w:tcPr>
            <w:tcW w:w="2985" w:type="dxa"/>
            <w:shd w:val="clear" w:color="auto" w:fill="E7E6E6"/>
          </w:tcPr>
          <w:p w14:paraId="1AA3C49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w:t>
            </w:r>
          </w:p>
        </w:tc>
        <w:tc>
          <w:tcPr>
            <w:tcW w:w="2123" w:type="dxa"/>
          </w:tcPr>
          <w:p w14:paraId="17B8ED1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2C6C10E2" w14:textId="77777777" w:rsidR="000729CF" w:rsidRPr="000729CF" w:rsidRDefault="000729CF" w:rsidP="000729CF">
            <w:pPr>
              <w:spacing w:after="120"/>
              <w:rPr>
                <w:rFonts w:ascii="Arial" w:eastAsia="Calibri" w:hAnsi="Arial" w:cs="Arial"/>
                <w:sz w:val="24"/>
                <w:szCs w:val="24"/>
              </w:rPr>
            </w:pPr>
          </w:p>
        </w:tc>
      </w:tr>
      <w:tr w:rsidR="000729CF" w:rsidRPr="000729CF" w14:paraId="3757E55F" w14:textId="77777777" w:rsidTr="000729CF">
        <w:trPr>
          <w:trHeight w:val="20"/>
        </w:trPr>
        <w:tc>
          <w:tcPr>
            <w:tcW w:w="2985" w:type="dxa"/>
            <w:shd w:val="clear" w:color="auto" w:fill="E7E6E6"/>
          </w:tcPr>
          <w:p w14:paraId="00F2F9B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Socio-economic disadvantage </w:t>
            </w:r>
            <w:r w:rsidRPr="000729CF">
              <w:rPr>
                <w:rFonts w:ascii="Arial" w:eastAsia="Calibri" w:hAnsi="Arial" w:cs="Arial"/>
                <w:color w:val="000000"/>
                <w:sz w:val="24"/>
                <w:szCs w:val="24"/>
              </w:rPr>
              <w:t>considering for age, disability, D/deaf/ blind, ethnicity, expatriate background, and various intersections</w:t>
            </w:r>
          </w:p>
        </w:tc>
        <w:tc>
          <w:tcPr>
            <w:tcW w:w="2123" w:type="dxa"/>
          </w:tcPr>
          <w:p w14:paraId="0461756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29E0FD08" w14:textId="77777777" w:rsidR="000729CF" w:rsidRPr="000729CF" w:rsidRDefault="000729CF" w:rsidP="000729CF">
            <w:pPr>
              <w:spacing w:after="120"/>
              <w:rPr>
                <w:rFonts w:ascii="Arial" w:eastAsia="Calibri" w:hAnsi="Arial" w:cs="Arial"/>
                <w:sz w:val="24"/>
                <w:szCs w:val="24"/>
              </w:rPr>
            </w:pPr>
          </w:p>
        </w:tc>
      </w:tr>
      <w:tr w:rsidR="000729CF" w:rsidRPr="000729CF" w14:paraId="69F0650F" w14:textId="77777777" w:rsidTr="000729CF">
        <w:trPr>
          <w:trHeight w:val="20"/>
        </w:trPr>
        <w:tc>
          <w:tcPr>
            <w:tcW w:w="2985" w:type="dxa"/>
            <w:shd w:val="clear" w:color="auto" w:fill="E7E6E6"/>
          </w:tcPr>
          <w:p w14:paraId="4207304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Homeless and rough sleepers </w:t>
            </w:r>
            <w:r w:rsidRPr="000729CF">
              <w:rPr>
                <w:rFonts w:ascii="Arial" w:eastAsia="Calibri" w:hAnsi="Arial" w:cs="Arial"/>
                <w:color w:val="000000"/>
                <w:sz w:val="24"/>
                <w:szCs w:val="24"/>
              </w:rPr>
              <w:t>considering for age, veteran, ethnicity, language, and various intersections</w:t>
            </w:r>
          </w:p>
        </w:tc>
        <w:tc>
          <w:tcPr>
            <w:tcW w:w="2123" w:type="dxa"/>
          </w:tcPr>
          <w:p w14:paraId="28D5311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15C9633A" w14:textId="77777777" w:rsidR="000729CF" w:rsidRPr="000729CF" w:rsidRDefault="000729CF" w:rsidP="000729CF">
            <w:pPr>
              <w:spacing w:after="120"/>
              <w:rPr>
                <w:rFonts w:ascii="Arial" w:eastAsia="Calibri" w:hAnsi="Arial" w:cs="Arial"/>
                <w:sz w:val="24"/>
                <w:szCs w:val="24"/>
              </w:rPr>
            </w:pPr>
          </w:p>
        </w:tc>
      </w:tr>
      <w:tr w:rsidR="000729CF" w:rsidRPr="000729CF" w14:paraId="73AF37DB" w14:textId="77777777" w:rsidTr="000729CF">
        <w:trPr>
          <w:trHeight w:val="20"/>
        </w:trPr>
        <w:tc>
          <w:tcPr>
            <w:tcW w:w="2985" w:type="dxa"/>
            <w:shd w:val="clear" w:color="auto" w:fill="E7E6E6"/>
          </w:tcPr>
          <w:p w14:paraId="4661EB1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2123" w:type="dxa"/>
          </w:tcPr>
          <w:p w14:paraId="358551E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56A42F16" w14:textId="77777777" w:rsidR="000729CF" w:rsidRPr="000729CF" w:rsidRDefault="000729CF" w:rsidP="000729CF">
            <w:pPr>
              <w:spacing w:after="120"/>
              <w:rPr>
                <w:rFonts w:ascii="Arial" w:eastAsia="Calibri" w:hAnsi="Arial" w:cs="Arial"/>
                <w:sz w:val="24"/>
                <w:szCs w:val="24"/>
              </w:rPr>
            </w:pPr>
          </w:p>
        </w:tc>
      </w:tr>
      <w:tr w:rsidR="000729CF" w:rsidRPr="000729CF" w14:paraId="277AE1B0" w14:textId="77777777" w:rsidTr="000729CF">
        <w:trPr>
          <w:trHeight w:val="20"/>
        </w:trPr>
        <w:tc>
          <w:tcPr>
            <w:tcW w:w="2985" w:type="dxa"/>
            <w:shd w:val="clear" w:color="auto" w:fill="E7E6E6"/>
          </w:tcPr>
          <w:p w14:paraId="23FEB6B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 (please specify here and add additional rows as needed)</w:t>
            </w:r>
          </w:p>
        </w:tc>
        <w:tc>
          <w:tcPr>
            <w:tcW w:w="2123" w:type="dxa"/>
          </w:tcPr>
          <w:p w14:paraId="7DB50C9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25B18CFF" w14:textId="77777777" w:rsidR="000729CF" w:rsidRPr="000729CF" w:rsidRDefault="000729CF" w:rsidP="000729CF">
            <w:pPr>
              <w:spacing w:after="120"/>
              <w:rPr>
                <w:rFonts w:ascii="Arial" w:eastAsia="Calibri" w:hAnsi="Arial" w:cs="Arial"/>
                <w:sz w:val="24"/>
                <w:szCs w:val="24"/>
              </w:rPr>
            </w:pPr>
          </w:p>
        </w:tc>
      </w:tr>
    </w:tbl>
    <w:p w14:paraId="3030E89E" w14:textId="77777777" w:rsidR="000729CF" w:rsidRPr="000729CF" w:rsidRDefault="000729CF" w:rsidP="000729CF">
      <w:pPr>
        <w:spacing w:after="160" w:line="259" w:lineRule="auto"/>
        <w:rPr>
          <w:rFonts w:ascii="Arial" w:eastAsia="Calibri" w:hAnsi="Arial" w:cs="Arial"/>
          <w:b/>
          <w:bCs/>
          <w:sz w:val="24"/>
          <w:szCs w:val="24"/>
          <w:lang w:val="en-GB"/>
        </w:rPr>
      </w:pPr>
    </w:p>
    <w:p w14:paraId="5F58BA68"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69F40CC8"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529B4F2A"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2B38D76D"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3EAD29EB"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142DF47D"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42092A44"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74A737C9"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4E1405FE"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7136B15E"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5A3F6A05" w14:textId="77777777" w:rsidR="000729CF" w:rsidRPr="000729CF" w:rsidRDefault="000729CF" w:rsidP="000729CF">
      <w:pPr>
        <w:rPr>
          <w:rFonts w:ascii="Arial" w:eastAsia="Calibri" w:hAnsi="Arial" w:cs="Arial"/>
          <w:sz w:val="24"/>
          <w:szCs w:val="24"/>
          <w:lang w:val="en-GB"/>
        </w:rPr>
      </w:pPr>
    </w:p>
    <w:p w14:paraId="4DD319DB"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Cumulative impacts</w:t>
      </w:r>
    </w:p>
    <w:p w14:paraId="3693D0CF"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Are there other budget proposals from other service areas that might worsen or mitigate the impacts from your proposal? Please give a brief description including name of other service(s).</w:t>
      </w:r>
    </w:p>
    <w:tbl>
      <w:tblPr>
        <w:tblStyle w:val="TableGrid"/>
        <w:tblW w:w="0" w:type="auto"/>
        <w:tblLook w:val="04A0" w:firstRow="1" w:lastRow="0" w:firstColumn="1" w:lastColumn="0" w:noHBand="0" w:noVBand="1"/>
      </w:tblPr>
      <w:tblGrid>
        <w:gridCol w:w="10456"/>
      </w:tblGrid>
      <w:tr w:rsidR="000729CF" w:rsidRPr="000729CF" w14:paraId="003F37F3" w14:textId="77777777" w:rsidTr="00BC26AB">
        <w:tc>
          <w:tcPr>
            <w:tcW w:w="10456" w:type="dxa"/>
          </w:tcPr>
          <w:p w14:paraId="5FBE5E67"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 xml:space="preserve">The removal of funding from the Disability Advice Centre could also impact on people with sensory impairments as they also provide information, advice and signposting. </w:t>
            </w:r>
          </w:p>
          <w:p w14:paraId="25388104" w14:textId="77777777" w:rsidR="000729CF" w:rsidRPr="000729CF" w:rsidRDefault="000729CF" w:rsidP="000729CF">
            <w:pPr>
              <w:rPr>
                <w:rFonts w:ascii="Arial" w:eastAsia="Calibri" w:hAnsi="Arial" w:cs="Arial"/>
                <w:sz w:val="24"/>
                <w:szCs w:val="24"/>
              </w:rPr>
            </w:pPr>
          </w:p>
          <w:p w14:paraId="03BA4A01" w14:textId="77777777" w:rsidR="000729CF" w:rsidRPr="000729CF" w:rsidRDefault="000729CF" w:rsidP="000729CF">
            <w:pPr>
              <w:spacing w:line="259" w:lineRule="auto"/>
              <w:rPr>
                <w:rFonts w:ascii="Arial" w:hAnsi="Arial" w:cs="Arial"/>
                <w:sz w:val="24"/>
                <w:szCs w:val="24"/>
              </w:rPr>
            </w:pPr>
            <w:r w:rsidRPr="000729CF">
              <w:rPr>
                <w:rFonts w:ascii="Arial" w:hAnsi="Arial" w:cs="Arial"/>
                <w:color w:val="000000"/>
                <w:sz w:val="24"/>
                <w:szCs w:val="24"/>
              </w:rPr>
              <w:t>Any changes in Health Service provision in the city can impact particularly on those people impacted by this proposal. This will be closely monitored through the integrated health agenda and other joint planning mechanisms.</w:t>
            </w:r>
          </w:p>
          <w:p w14:paraId="1CB5A9C9" w14:textId="77777777" w:rsidR="000729CF" w:rsidRPr="000729CF" w:rsidRDefault="000729CF" w:rsidP="000729CF">
            <w:pPr>
              <w:rPr>
                <w:rFonts w:ascii="Arial" w:eastAsia="Calibri" w:hAnsi="Arial" w:cs="Arial"/>
                <w:sz w:val="24"/>
                <w:szCs w:val="24"/>
              </w:rPr>
            </w:pPr>
          </w:p>
        </w:tc>
      </w:tr>
    </w:tbl>
    <w:p w14:paraId="14521409" w14:textId="77777777" w:rsidR="000729CF" w:rsidRPr="000729CF" w:rsidRDefault="000729CF" w:rsidP="000729CF">
      <w:pPr>
        <w:spacing w:after="160" w:line="259" w:lineRule="auto"/>
        <w:rPr>
          <w:rFonts w:ascii="Arial" w:eastAsia="Calibri" w:hAnsi="Arial" w:cs="Arial"/>
          <w:sz w:val="24"/>
          <w:szCs w:val="24"/>
          <w:lang w:val="en-GB"/>
        </w:rPr>
      </w:pPr>
    </w:p>
    <w:p w14:paraId="2BD75DF0"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Action planning</w:t>
      </w:r>
    </w:p>
    <w:p w14:paraId="003B78AB"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SMART actions will be taken to mitigate the disproportionate impacts identified in section 3? If no mitigating action is possible, please state and explain why. Add additional rows as required. </w:t>
      </w:r>
    </w:p>
    <w:tbl>
      <w:tblPr>
        <w:tblStyle w:val="TableGrid"/>
        <w:tblW w:w="0" w:type="auto"/>
        <w:tblLook w:val="04A0" w:firstRow="1" w:lastRow="0" w:firstColumn="1" w:lastColumn="0" w:noHBand="0" w:noVBand="1"/>
      </w:tblPr>
      <w:tblGrid>
        <w:gridCol w:w="10456"/>
      </w:tblGrid>
      <w:tr w:rsidR="000729CF" w:rsidRPr="000729CF" w14:paraId="4799B385" w14:textId="77777777" w:rsidTr="00BC26AB">
        <w:trPr>
          <w:trHeight w:val="847"/>
        </w:trPr>
        <w:tc>
          <w:tcPr>
            <w:tcW w:w="10456" w:type="dxa"/>
          </w:tcPr>
          <w:p w14:paraId="0490F1D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Work with Achieve Together to identify any people that attend the Tuesday Group that have no other support and identify whether they require an Adult Social Care assessment for support services or signposting to other support services such as Ageing Well.</w:t>
            </w:r>
          </w:p>
        </w:tc>
      </w:tr>
      <w:tr w:rsidR="000729CF" w:rsidRPr="000729CF" w14:paraId="1411BBA6" w14:textId="77777777" w:rsidTr="00BC26AB">
        <w:trPr>
          <w:trHeight w:val="847"/>
        </w:trPr>
        <w:tc>
          <w:tcPr>
            <w:tcW w:w="10456" w:type="dxa"/>
          </w:tcPr>
          <w:p w14:paraId="6E88E04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Work with the ICB and University Hospitals Sussex Trust to ensure that there is alternative funding for the Eye Clinic Liaison Officer to reflect the arrangements across the rest of Sussex.</w:t>
            </w:r>
          </w:p>
        </w:tc>
      </w:tr>
      <w:tr w:rsidR="000729CF" w:rsidRPr="000729CF" w14:paraId="699284D8" w14:textId="77777777" w:rsidTr="00BC26AB">
        <w:trPr>
          <w:trHeight w:val="847"/>
        </w:trPr>
        <w:tc>
          <w:tcPr>
            <w:tcW w:w="10456" w:type="dxa"/>
          </w:tcPr>
          <w:p w14:paraId="0758827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Work with East Sussex Vision Support to minimise the impact of a reduced service, for example charging for some services, linking them in with the Ageing Well service and applying to join the Community Support approved provider list.  </w:t>
            </w:r>
          </w:p>
        </w:tc>
      </w:tr>
    </w:tbl>
    <w:p w14:paraId="34FF3C58" w14:textId="77777777" w:rsidR="000729CF" w:rsidRPr="000729CF" w:rsidRDefault="000729CF" w:rsidP="000729CF">
      <w:pPr>
        <w:spacing w:after="160" w:line="259" w:lineRule="auto"/>
        <w:rPr>
          <w:rFonts w:ascii="Arial" w:eastAsia="Calibri" w:hAnsi="Arial" w:cs="Arial"/>
          <w:sz w:val="24"/>
          <w:szCs w:val="24"/>
          <w:lang w:val="en-GB"/>
        </w:rPr>
      </w:pPr>
    </w:p>
    <w:p w14:paraId="3EBAC8B2"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Outcome of your assessment</w:t>
      </w:r>
    </w:p>
    <w:p w14:paraId="1EB22E81"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Based on the information above give the proposal an impact score between 1 – 5. </w:t>
      </w:r>
    </w:p>
    <w:p w14:paraId="34AEDC89"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1= proposal has minimal impact and/or mitigating actions will significantly minimise the impact</w:t>
      </w:r>
    </w:p>
    <w:p w14:paraId="334F4D29"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3= proposal will have a significant negative impact; however, mitigation actions will reduce the impact considerably.</w:t>
      </w:r>
    </w:p>
    <w:p w14:paraId="044FEC20"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5= proposal has significant impact and mitigating actions will have limited effect on reducing impact.</w:t>
      </w:r>
    </w:p>
    <w:p w14:paraId="09222D05" w14:textId="77777777" w:rsidR="000729CF" w:rsidRPr="000729CF" w:rsidRDefault="000729CF" w:rsidP="000729CF">
      <w:pPr>
        <w:rPr>
          <w:rFonts w:ascii="Arial" w:eastAsia="Calibri" w:hAnsi="Arial" w:cs="Arial"/>
          <w:sz w:val="24"/>
          <w:szCs w:val="24"/>
          <w:highlight w:val="yellow"/>
          <w:lang w:val="en-GB"/>
        </w:rPr>
      </w:pPr>
    </w:p>
    <w:tbl>
      <w:tblPr>
        <w:tblStyle w:val="TableGrid"/>
        <w:tblW w:w="0" w:type="auto"/>
        <w:tblLook w:val="04A0" w:firstRow="1" w:lastRow="0" w:firstColumn="1" w:lastColumn="0" w:noHBand="0" w:noVBand="1"/>
      </w:tblPr>
      <w:tblGrid>
        <w:gridCol w:w="3114"/>
        <w:gridCol w:w="7342"/>
      </w:tblGrid>
      <w:tr w:rsidR="000729CF" w:rsidRPr="000729CF" w14:paraId="4467CD10" w14:textId="77777777" w:rsidTr="00BC26AB">
        <w:trPr>
          <w:trHeight w:val="152"/>
        </w:trPr>
        <w:tc>
          <w:tcPr>
            <w:tcW w:w="3114" w:type="dxa"/>
          </w:tcPr>
          <w:p w14:paraId="7F25BE6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Proposal’s impact score:</w:t>
            </w:r>
          </w:p>
        </w:tc>
        <w:tc>
          <w:tcPr>
            <w:tcW w:w="7342" w:type="dxa"/>
          </w:tcPr>
          <w:p w14:paraId="660762D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3</w:t>
            </w:r>
          </w:p>
        </w:tc>
      </w:tr>
    </w:tbl>
    <w:p w14:paraId="5D32BB6C" w14:textId="77777777" w:rsidR="000729CF" w:rsidRPr="000729CF" w:rsidRDefault="000729CF" w:rsidP="000729CF">
      <w:pPr>
        <w:spacing w:after="160" w:line="259" w:lineRule="auto"/>
        <w:rPr>
          <w:rFonts w:ascii="Arial" w:eastAsia="Calibri" w:hAnsi="Arial" w:cs="Arial"/>
          <w:sz w:val="24"/>
          <w:szCs w:val="24"/>
          <w:lang w:val="en-GB"/>
        </w:rPr>
      </w:pPr>
    </w:p>
    <w:p w14:paraId="7E4D0B8D"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Publication</w:t>
      </w:r>
    </w:p>
    <w:p w14:paraId="6CC120F2"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All Equality Impact Assessments will be published. If you are recommending, and choosing not to publish your EIA, please provide a reason:</w:t>
      </w:r>
    </w:p>
    <w:tbl>
      <w:tblPr>
        <w:tblStyle w:val="TableGrid"/>
        <w:tblW w:w="0" w:type="auto"/>
        <w:tblLook w:val="04A0" w:firstRow="1" w:lastRow="0" w:firstColumn="1" w:lastColumn="0" w:noHBand="0" w:noVBand="1"/>
      </w:tblPr>
      <w:tblGrid>
        <w:gridCol w:w="10456"/>
      </w:tblGrid>
      <w:tr w:rsidR="000729CF" w:rsidRPr="000729CF" w14:paraId="24AD2082" w14:textId="77777777" w:rsidTr="00BC26AB">
        <w:trPr>
          <w:trHeight w:val="803"/>
        </w:trPr>
        <w:tc>
          <w:tcPr>
            <w:tcW w:w="10456" w:type="dxa"/>
          </w:tcPr>
          <w:p w14:paraId="4819E684" w14:textId="77777777" w:rsidR="000729CF" w:rsidRPr="000729CF" w:rsidRDefault="000729CF" w:rsidP="000729CF">
            <w:pPr>
              <w:spacing w:after="120"/>
              <w:rPr>
                <w:rFonts w:ascii="Arial" w:eastAsia="Calibri" w:hAnsi="Arial" w:cs="Arial"/>
                <w:sz w:val="24"/>
                <w:szCs w:val="24"/>
              </w:rPr>
            </w:pPr>
          </w:p>
        </w:tc>
      </w:tr>
    </w:tbl>
    <w:p w14:paraId="20C4EACD" w14:textId="77777777" w:rsidR="000729CF" w:rsidRPr="000729CF" w:rsidRDefault="000729CF" w:rsidP="000729CF">
      <w:pPr>
        <w:spacing w:after="160" w:line="259" w:lineRule="auto"/>
        <w:rPr>
          <w:rFonts w:ascii="Arial" w:eastAsia="Calibri" w:hAnsi="Arial" w:cs="Arial"/>
          <w:sz w:val="24"/>
          <w:szCs w:val="24"/>
          <w:lang w:val="en-GB"/>
        </w:rPr>
      </w:pPr>
    </w:p>
    <w:p w14:paraId="3D709091"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Directorate and Service Approval</w:t>
      </w:r>
    </w:p>
    <w:tbl>
      <w:tblPr>
        <w:tblStyle w:val="TableGrid"/>
        <w:tblW w:w="0" w:type="auto"/>
        <w:tblLook w:val="04A0" w:firstRow="1" w:lastRow="0" w:firstColumn="1" w:lastColumn="0" w:noHBand="0" w:noVBand="1"/>
      </w:tblPr>
      <w:tblGrid>
        <w:gridCol w:w="3681"/>
        <w:gridCol w:w="4394"/>
        <w:gridCol w:w="2381"/>
      </w:tblGrid>
      <w:tr w:rsidR="000729CF" w:rsidRPr="000729CF" w14:paraId="7B7F838F" w14:textId="77777777" w:rsidTr="000729CF">
        <w:trPr>
          <w:trHeight w:val="20"/>
        </w:trPr>
        <w:tc>
          <w:tcPr>
            <w:tcW w:w="3681" w:type="dxa"/>
            <w:tcBorders>
              <w:bottom w:val="single" w:sz="4" w:space="0" w:color="auto"/>
            </w:tcBorders>
            <w:shd w:val="clear" w:color="auto" w:fill="D9D9D9"/>
          </w:tcPr>
          <w:p w14:paraId="2266D93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5EA7612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 and Job Title:</w:t>
            </w:r>
          </w:p>
        </w:tc>
        <w:tc>
          <w:tcPr>
            <w:tcW w:w="2381" w:type="dxa"/>
            <w:shd w:val="clear" w:color="auto" w:fill="D9D9D9"/>
          </w:tcPr>
          <w:p w14:paraId="5646F70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0CA6A8D9" w14:textId="77777777" w:rsidTr="000729CF">
        <w:trPr>
          <w:trHeight w:val="20"/>
        </w:trPr>
        <w:tc>
          <w:tcPr>
            <w:tcW w:w="3681" w:type="dxa"/>
            <w:shd w:val="clear" w:color="auto" w:fill="E7E6E6"/>
          </w:tcPr>
          <w:p w14:paraId="65E6F1B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Responsible Lead Officer:</w:t>
            </w:r>
          </w:p>
        </w:tc>
        <w:tc>
          <w:tcPr>
            <w:tcW w:w="4394" w:type="dxa"/>
          </w:tcPr>
          <w:p w14:paraId="67D4FC5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Andy Witham</w:t>
            </w:r>
          </w:p>
        </w:tc>
        <w:tc>
          <w:tcPr>
            <w:tcW w:w="2381" w:type="dxa"/>
          </w:tcPr>
          <w:p w14:paraId="70E141C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18/01/24</w:t>
            </w:r>
          </w:p>
        </w:tc>
      </w:tr>
      <w:tr w:rsidR="000729CF" w:rsidRPr="000729CF" w14:paraId="656AFFB9" w14:textId="77777777" w:rsidTr="000729CF">
        <w:trPr>
          <w:trHeight w:val="20"/>
        </w:trPr>
        <w:tc>
          <w:tcPr>
            <w:tcW w:w="3681" w:type="dxa"/>
            <w:shd w:val="clear" w:color="auto" w:fill="E7E6E6"/>
          </w:tcPr>
          <w:p w14:paraId="70A8500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Accountable Manager:</w:t>
            </w:r>
          </w:p>
        </w:tc>
        <w:tc>
          <w:tcPr>
            <w:tcW w:w="4394" w:type="dxa"/>
          </w:tcPr>
          <w:p w14:paraId="04138D3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Rob Persey</w:t>
            </w:r>
          </w:p>
        </w:tc>
        <w:tc>
          <w:tcPr>
            <w:tcW w:w="2381" w:type="dxa"/>
          </w:tcPr>
          <w:p w14:paraId="7D1D3AF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18/01/24</w:t>
            </w:r>
          </w:p>
        </w:tc>
      </w:tr>
    </w:tbl>
    <w:p w14:paraId="54E143D5" w14:textId="77777777" w:rsidR="000729CF" w:rsidRPr="000729CF" w:rsidRDefault="000729CF" w:rsidP="000729CF">
      <w:pPr>
        <w:spacing w:after="160" w:line="259" w:lineRule="auto"/>
        <w:rPr>
          <w:rFonts w:ascii="Arial" w:eastAsia="Calibri" w:hAnsi="Arial" w:cs="Arial"/>
          <w:sz w:val="24"/>
          <w:szCs w:val="24"/>
          <w:lang w:val="en-GB"/>
        </w:rPr>
      </w:pPr>
    </w:p>
    <w:p w14:paraId="60F4243C" w14:textId="77777777" w:rsidR="000729CF" w:rsidRPr="000729CF" w:rsidRDefault="000729CF" w:rsidP="000729CF">
      <w:pPr>
        <w:keepNext/>
        <w:keepLines/>
        <w:spacing w:before="40" w:after="160" w:line="259" w:lineRule="auto"/>
        <w:outlineLvl w:val="2"/>
        <w:rPr>
          <w:rFonts w:ascii="Arial" w:hAnsi="Arial" w:cs="Arial"/>
          <w:b/>
          <w:bCs/>
          <w:color w:val="000000"/>
          <w:sz w:val="28"/>
          <w:szCs w:val="28"/>
          <w:lang w:val="en-GB"/>
        </w:rPr>
      </w:pPr>
      <w:r w:rsidRPr="000729CF">
        <w:rPr>
          <w:rFonts w:ascii="Arial" w:hAnsi="Arial" w:cs="Arial"/>
          <w:b/>
          <w:bCs/>
          <w:color w:val="000000"/>
          <w:sz w:val="28"/>
          <w:szCs w:val="28"/>
          <w:lang w:val="en-GB"/>
        </w:rPr>
        <w:t>EDI Review and Approval:</w:t>
      </w:r>
    </w:p>
    <w:p w14:paraId="111EF42E" w14:textId="77777777" w:rsidR="000729CF" w:rsidRPr="000729CF" w:rsidRDefault="000729CF" w:rsidP="000729CF">
      <w:pPr>
        <w:spacing w:after="160" w:line="259" w:lineRule="auto"/>
        <w:rPr>
          <w:rFonts w:ascii="Arial" w:eastAsia="Calibri" w:hAnsi="Arial" w:cs="Arial"/>
          <w:sz w:val="24"/>
          <w:szCs w:val="24"/>
          <w:lang w:val="en-GB"/>
        </w:rPr>
      </w:pPr>
    </w:p>
    <w:p w14:paraId="6B8A4F24" w14:textId="77777777" w:rsidR="000729CF" w:rsidRPr="000729CF" w:rsidRDefault="000729CF" w:rsidP="000729CF">
      <w:pPr>
        <w:keepNext/>
        <w:keepLines/>
        <w:spacing w:after="160" w:line="259" w:lineRule="auto"/>
        <w:ind w:left="283" w:hanging="283"/>
        <w:outlineLvl w:val="1"/>
        <w:rPr>
          <w:rFonts w:ascii="Arial" w:hAnsi="Arial" w:cs="Arial"/>
          <w:color w:val="2F5496"/>
          <w:sz w:val="24"/>
          <w:szCs w:val="24"/>
          <w:lang w:val="en-GB"/>
        </w:rPr>
      </w:pPr>
      <w:r w:rsidRPr="000729CF">
        <w:rPr>
          <w:rFonts w:ascii="Arial" w:hAnsi="Arial" w:cs="Arial"/>
          <w:color w:val="2F5496"/>
          <w:sz w:val="24"/>
          <w:szCs w:val="24"/>
          <w:lang w:val="en-GB"/>
        </w:rPr>
        <w:t>Equality Impact Assessment sign-off</w:t>
      </w:r>
    </w:p>
    <w:tbl>
      <w:tblPr>
        <w:tblStyle w:val="TableGrid"/>
        <w:tblW w:w="0" w:type="auto"/>
        <w:tblLook w:val="04A0" w:firstRow="1" w:lastRow="0" w:firstColumn="1" w:lastColumn="0" w:noHBand="0" w:noVBand="1"/>
      </w:tblPr>
      <w:tblGrid>
        <w:gridCol w:w="3681"/>
        <w:gridCol w:w="4394"/>
        <w:gridCol w:w="2381"/>
      </w:tblGrid>
      <w:tr w:rsidR="000729CF" w:rsidRPr="000729CF" w14:paraId="23A20422" w14:textId="77777777" w:rsidTr="000729CF">
        <w:trPr>
          <w:trHeight w:val="20"/>
        </w:trPr>
        <w:tc>
          <w:tcPr>
            <w:tcW w:w="3681" w:type="dxa"/>
            <w:tcBorders>
              <w:bottom w:val="single" w:sz="4" w:space="0" w:color="auto"/>
            </w:tcBorders>
            <w:shd w:val="clear" w:color="auto" w:fill="D9D9D9"/>
          </w:tcPr>
          <w:p w14:paraId="340B0E6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2733E4F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w:t>
            </w:r>
          </w:p>
        </w:tc>
        <w:tc>
          <w:tcPr>
            <w:tcW w:w="2381" w:type="dxa"/>
            <w:shd w:val="clear" w:color="auto" w:fill="D9D9D9"/>
          </w:tcPr>
          <w:p w14:paraId="0CE40BB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7E56F99D" w14:textId="77777777" w:rsidTr="000729CF">
        <w:trPr>
          <w:trHeight w:val="20"/>
        </w:trPr>
        <w:tc>
          <w:tcPr>
            <w:tcW w:w="3681" w:type="dxa"/>
            <w:shd w:val="clear" w:color="auto" w:fill="E7E6E6"/>
          </w:tcPr>
          <w:p w14:paraId="19855CF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Head of Communities, Equality, and Third Sector (CETS) Service:</w:t>
            </w:r>
          </w:p>
        </w:tc>
        <w:tc>
          <w:tcPr>
            <w:tcW w:w="4394" w:type="dxa"/>
          </w:tcPr>
          <w:p w14:paraId="2C4CA76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Emma McDermott</w:t>
            </w:r>
          </w:p>
        </w:tc>
        <w:tc>
          <w:tcPr>
            <w:tcW w:w="2381" w:type="dxa"/>
          </w:tcPr>
          <w:p w14:paraId="13BE15C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25-01-24</w:t>
            </w:r>
          </w:p>
        </w:tc>
      </w:tr>
    </w:tbl>
    <w:p w14:paraId="69B2F950" w14:textId="77777777" w:rsidR="000729CF" w:rsidRPr="000729CF" w:rsidRDefault="000729CF" w:rsidP="000729CF">
      <w:pPr>
        <w:rPr>
          <w:rFonts w:ascii="Arial" w:eastAsia="Calibri" w:hAnsi="Arial" w:cs="Arial"/>
          <w:sz w:val="22"/>
          <w:szCs w:val="22"/>
          <w:lang w:val="en-GB"/>
        </w:rPr>
      </w:pPr>
    </w:p>
    <w:p w14:paraId="121366E1" w14:textId="77777777" w:rsidR="000729CF" w:rsidRPr="000729CF" w:rsidRDefault="000729CF" w:rsidP="000729CF">
      <w:pPr>
        <w:spacing w:after="160" w:line="259" w:lineRule="auto"/>
        <w:rPr>
          <w:rFonts w:ascii="Arial" w:eastAsia="Calibri" w:hAnsi="Arial" w:cs="Arial"/>
          <w:b/>
          <w:bCs/>
          <w:sz w:val="24"/>
          <w:szCs w:val="24"/>
          <w:lang w:val="en-GB"/>
        </w:rPr>
      </w:pPr>
    </w:p>
    <w:p w14:paraId="0D5E8009" w14:textId="77777777" w:rsidR="000729CF" w:rsidRPr="000729CF" w:rsidRDefault="000729CF" w:rsidP="000729CF">
      <w:pPr>
        <w:keepNext/>
        <w:keepLines/>
        <w:spacing w:after="160" w:line="259" w:lineRule="auto"/>
        <w:outlineLvl w:val="1"/>
        <w:rPr>
          <w:rFonts w:ascii="Arial" w:eastAsia="Calibri" w:hAnsi="Arial" w:cs="Arial"/>
          <w:sz w:val="24"/>
          <w:szCs w:val="24"/>
          <w:lang w:val="en-GB"/>
        </w:rPr>
      </w:pPr>
    </w:p>
    <w:p w14:paraId="7D6298E1" w14:textId="77777777" w:rsidR="000729CF" w:rsidRPr="000729CF" w:rsidRDefault="000729CF" w:rsidP="000729CF">
      <w:pPr>
        <w:spacing w:after="160" w:line="259" w:lineRule="auto"/>
        <w:rPr>
          <w:rFonts w:ascii="Arial" w:eastAsia="Calibri" w:hAnsi="Arial" w:cs="Arial"/>
          <w:sz w:val="24"/>
          <w:szCs w:val="24"/>
          <w:lang w:val="en-GB"/>
        </w:rPr>
      </w:pPr>
    </w:p>
    <w:p w14:paraId="4A8FF81C"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br w:type="page"/>
      </w:r>
    </w:p>
    <w:p w14:paraId="102E1421" w14:textId="77777777" w:rsidR="000729CF" w:rsidRPr="000729CF" w:rsidRDefault="000729CF" w:rsidP="000729CF">
      <w:pPr>
        <w:keepNext/>
        <w:keepLines/>
        <w:spacing w:after="160" w:line="259" w:lineRule="auto"/>
        <w:outlineLvl w:val="0"/>
        <w:rPr>
          <w:rFonts w:ascii="Arial" w:hAnsi="Arial" w:cs="Arial"/>
          <w:b/>
          <w:bCs/>
          <w:color w:val="2F5496"/>
          <w:sz w:val="28"/>
          <w:szCs w:val="28"/>
          <w:lang w:val="en-GB"/>
        </w:rPr>
      </w:pPr>
      <w:r w:rsidRPr="000729CF">
        <w:rPr>
          <w:rFonts w:ascii="Arial" w:hAnsi="Arial" w:cs="Arial"/>
          <w:b/>
          <w:bCs/>
          <w:color w:val="2F5496"/>
          <w:sz w:val="28"/>
          <w:szCs w:val="28"/>
          <w:lang w:val="en-GB"/>
        </w:rPr>
        <w:t>Budget Equality Impact Assessment (EIA) 2024/25 – Service Users</w:t>
      </w:r>
    </w:p>
    <w:p w14:paraId="52C6F42E" w14:textId="77777777" w:rsidR="000729CF" w:rsidRPr="000729CF" w:rsidRDefault="000729CF" w:rsidP="000729CF">
      <w:pPr>
        <w:spacing w:after="160" w:line="259" w:lineRule="auto"/>
        <w:rPr>
          <w:rFonts w:ascii="Arial" w:eastAsia="Calibri" w:hAnsi="Arial" w:cs="Arial"/>
          <w:sz w:val="24"/>
          <w:szCs w:val="24"/>
          <w:lang w:val="en-GB"/>
        </w:rPr>
      </w:pPr>
    </w:p>
    <w:p w14:paraId="35925969" w14:textId="77777777" w:rsidR="000729CF" w:rsidRPr="000729CF" w:rsidRDefault="000729CF" w:rsidP="000729CF">
      <w:pPr>
        <w:keepNext/>
        <w:keepLines/>
        <w:spacing w:after="160" w:line="259" w:lineRule="auto"/>
        <w:ind w:left="720" w:hanging="360"/>
        <w:outlineLvl w:val="1"/>
        <w:rPr>
          <w:rFonts w:ascii="Arial" w:hAnsi="Arial" w:cs="Arial"/>
          <w:color w:val="2F5496"/>
          <w:sz w:val="24"/>
          <w:szCs w:val="24"/>
          <w:lang w:val="en-GB"/>
        </w:rPr>
      </w:pPr>
      <w:r w:rsidRPr="000729CF">
        <w:rPr>
          <w:rFonts w:ascii="Arial" w:hAnsi="Arial" w:cs="Arial"/>
          <w:color w:val="2F5496"/>
          <w:sz w:val="24"/>
          <w:szCs w:val="24"/>
          <w:lang w:val="en-GB"/>
        </w:rPr>
        <w:t xml:space="preserve">Budget Proposal </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6492"/>
      </w:tblGrid>
      <w:tr w:rsidR="000729CF" w:rsidRPr="000729CF" w14:paraId="02E0179F"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4A7CDCAC"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Title of budget saving being assessed:</w:t>
            </w:r>
          </w:p>
        </w:tc>
        <w:tc>
          <w:tcPr>
            <w:tcW w:w="6492" w:type="dxa"/>
            <w:shd w:val="clear" w:color="auto" w:fill="auto"/>
          </w:tcPr>
          <w:p w14:paraId="332A8FEC" w14:textId="77777777" w:rsidR="000729CF" w:rsidRPr="000729CF" w:rsidRDefault="000729CF" w:rsidP="000729CF">
            <w:pPr>
              <w:spacing w:after="12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Bus subsidy for services 77 &amp; 79 (Breeze)</w:t>
            </w:r>
          </w:p>
        </w:tc>
      </w:tr>
      <w:tr w:rsidR="000729CF" w:rsidRPr="000729CF" w14:paraId="3E8EBC2D"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69F6DBCB"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Name and title of officer responsible for this EIA: </w:t>
            </w:r>
          </w:p>
        </w:tc>
        <w:tc>
          <w:tcPr>
            <w:tcW w:w="6492" w:type="dxa"/>
            <w:shd w:val="clear" w:color="auto" w:fill="auto"/>
          </w:tcPr>
          <w:p w14:paraId="3E5ADAF5"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729CF">
              <w:rPr>
                <w:rFonts w:ascii="Arial" w:hAnsi="Arial" w:cs="Arial"/>
                <w:sz w:val="24"/>
                <w:szCs w:val="24"/>
              </w:rPr>
              <w:t>Owen McElroy, National Bus Strategy Programme Manager</w:t>
            </w:r>
          </w:p>
        </w:tc>
      </w:tr>
      <w:tr w:rsidR="000729CF" w:rsidRPr="000729CF" w14:paraId="29AFE7C6" w14:textId="77777777" w:rsidTr="000729CF">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04D5D5A8"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Directorate and Service Name: </w:t>
            </w:r>
          </w:p>
        </w:tc>
        <w:tc>
          <w:tcPr>
            <w:tcW w:w="6492" w:type="dxa"/>
            <w:shd w:val="clear" w:color="auto" w:fill="auto"/>
          </w:tcPr>
          <w:p w14:paraId="1A723034" w14:textId="77777777" w:rsidR="000729CF" w:rsidRPr="000729CF" w:rsidRDefault="000729CF" w:rsidP="000729CF">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Economy, Environment &amp; Culture, City Transport</w:t>
            </w:r>
          </w:p>
        </w:tc>
      </w:tr>
      <w:tr w:rsidR="000729CF" w:rsidRPr="000729CF" w14:paraId="5614C197"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5C5B6933"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Budget proposal no.</w:t>
            </w:r>
          </w:p>
        </w:tc>
        <w:tc>
          <w:tcPr>
            <w:tcW w:w="6492" w:type="dxa"/>
            <w:shd w:val="clear" w:color="auto" w:fill="auto"/>
          </w:tcPr>
          <w:p w14:paraId="39DFB44D"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i/>
                <w:iCs/>
                <w:sz w:val="24"/>
                <w:szCs w:val="24"/>
              </w:rPr>
            </w:pPr>
            <w:r w:rsidRPr="000729CF">
              <w:rPr>
                <w:rFonts w:ascii="Arial" w:hAnsi="Arial" w:cs="Arial"/>
                <w:i/>
                <w:iCs/>
                <w:sz w:val="24"/>
                <w:szCs w:val="24"/>
              </w:rPr>
              <w:t>15</w:t>
            </w:r>
          </w:p>
        </w:tc>
      </w:tr>
    </w:tbl>
    <w:p w14:paraId="7553B2F7" w14:textId="77777777" w:rsidR="000729CF" w:rsidRPr="000729CF" w:rsidRDefault="000729CF" w:rsidP="000729CF">
      <w:pPr>
        <w:spacing w:after="160" w:line="259" w:lineRule="auto"/>
        <w:rPr>
          <w:rFonts w:ascii="Arial" w:eastAsia="Calibri" w:hAnsi="Arial" w:cs="Arial"/>
          <w:sz w:val="24"/>
          <w:szCs w:val="24"/>
          <w:lang w:val="en-GB"/>
        </w:rPr>
      </w:pPr>
    </w:p>
    <w:p w14:paraId="2705AA43"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Briefly describe the budget saving proposal: (use the wording in the budget spreadsheet and more detail if needed)</w:t>
      </w:r>
    </w:p>
    <w:tbl>
      <w:tblPr>
        <w:tblStyle w:val="TableGrid"/>
        <w:tblW w:w="0" w:type="auto"/>
        <w:tblLook w:val="04A0" w:firstRow="1" w:lastRow="0" w:firstColumn="1" w:lastColumn="0" w:noHBand="0" w:noVBand="1"/>
      </w:tblPr>
      <w:tblGrid>
        <w:gridCol w:w="10456"/>
      </w:tblGrid>
      <w:tr w:rsidR="000729CF" w:rsidRPr="000729CF" w14:paraId="5ABD1595" w14:textId="77777777" w:rsidTr="00BC26AB">
        <w:trPr>
          <w:trHeight w:val="1259"/>
        </w:trPr>
        <w:tc>
          <w:tcPr>
            <w:tcW w:w="10456" w:type="dxa"/>
            <w:tcBorders>
              <w:bottom w:val="single" w:sz="4" w:space="0" w:color="auto"/>
            </w:tcBorders>
          </w:tcPr>
          <w:p w14:paraId="1F61A1F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Remove the subsidy that enhances the weekend and public holiday route 77 Devils Dyke bus route between Easter and mid-June.</w:t>
            </w:r>
          </w:p>
          <w:p w14:paraId="7F900B9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Remove the subsidy to the 79 Ditchling Beacon bus route which runs at weekends and bank holidays all year round</w:t>
            </w:r>
          </w:p>
          <w:p w14:paraId="541AD31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subsidy is £29,000 for each route, total £58,000 at current figures. Contract prices are subject to a 10% uplift on 24</w:t>
            </w:r>
            <w:r w:rsidRPr="000729CF">
              <w:rPr>
                <w:rFonts w:ascii="Arial" w:eastAsia="Calibri" w:hAnsi="Arial" w:cs="Arial"/>
                <w:sz w:val="24"/>
                <w:szCs w:val="24"/>
                <w:vertAlign w:val="superscript"/>
              </w:rPr>
              <w:t>th</w:t>
            </w:r>
            <w:r w:rsidRPr="000729CF">
              <w:rPr>
                <w:rFonts w:ascii="Arial" w:eastAsia="Calibri" w:hAnsi="Arial" w:cs="Arial"/>
                <w:sz w:val="24"/>
                <w:szCs w:val="24"/>
              </w:rPr>
              <w:t xml:space="preserve"> September 2024. </w:t>
            </w:r>
          </w:p>
          <w:p w14:paraId="2421DF3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budget saving will remove the enhancement to the weekend and public holiday operation of the 77 Devils dyke bus between Easter and mid-June reducing it from two buses an hour to one bus an hour. The service does not run at all between September and Easter.</w:t>
            </w:r>
          </w:p>
          <w:p w14:paraId="427D3F7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The budget saving will remove the entire subsidy to the route 79 Ditchling Beacon resulting in the complete withdrawal of the service. </w:t>
            </w:r>
          </w:p>
          <w:p w14:paraId="59F85CB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Breeze services 77&amp; 79 provide access to the South Downs National Park in conjunction with the route 78 to Stanmer Village. The Department of Transport Bus Service Improvement Plan (BSIP) funds the Monday to Friday operation of the 78 Stanmer village and the Council funds the weekend operation of the service 78. The summer services of the 77 &amp; 79 are operated commercially by B&amp;H buses. All supported operations from part of the same contract with B&amp;H Buses.</w:t>
            </w:r>
          </w:p>
          <w:p w14:paraId="2809EA4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They are an interlinked recreational access network where people travel to one destination and walk or cycle to another node. They also serve communities and facilities on their route. The service 78 is the only bus to serve Stanmer village and the Stanmer Park agricultural college (Plumpton extension). </w:t>
            </w:r>
          </w:p>
          <w:p w14:paraId="1F6E04D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Cuts to one route are therefore likely to weaken patronage on another route.</w:t>
            </w:r>
          </w:p>
        </w:tc>
      </w:tr>
      <w:tr w:rsidR="000729CF" w:rsidRPr="000729CF" w14:paraId="556B7E07" w14:textId="77777777" w:rsidTr="00BC26AB">
        <w:trPr>
          <w:trHeight w:val="851"/>
        </w:trPr>
        <w:tc>
          <w:tcPr>
            <w:tcW w:w="10456" w:type="dxa"/>
            <w:tcBorders>
              <w:left w:val="nil"/>
              <w:right w:val="nil"/>
            </w:tcBorders>
          </w:tcPr>
          <w:p w14:paraId="22F1CEAC" w14:textId="77777777" w:rsidR="000729CF" w:rsidRPr="000729CF" w:rsidRDefault="000729CF" w:rsidP="000729CF">
            <w:pPr>
              <w:spacing w:after="120"/>
              <w:rPr>
                <w:rFonts w:ascii="Arial" w:eastAsia="Calibri" w:hAnsi="Arial" w:cs="Arial"/>
                <w:sz w:val="24"/>
                <w:szCs w:val="24"/>
              </w:rPr>
            </w:pPr>
          </w:p>
          <w:p w14:paraId="3192524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Summarise the most significant impacts identified by this assessment including which groups will be disproportionally negatively affected drawing out intersectional impacts as applicable:</w:t>
            </w:r>
          </w:p>
        </w:tc>
      </w:tr>
      <w:tr w:rsidR="000729CF" w:rsidRPr="000729CF" w14:paraId="54FAE145" w14:textId="77777777" w:rsidTr="00BC26AB">
        <w:trPr>
          <w:trHeight w:val="851"/>
        </w:trPr>
        <w:tc>
          <w:tcPr>
            <w:tcW w:w="10456" w:type="dxa"/>
          </w:tcPr>
          <w:p w14:paraId="17CEC5A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Impacts identified on the following groups: Age (older and younger), Gender (women), Disability, Race, Religion/Belief.</w:t>
            </w:r>
          </w:p>
          <w:p w14:paraId="7280B1B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Supported Bus routes are provided for geographically further out areas of the city where there are likely to be less services and higher car usage. These areas are poorly served by commercially funded bus services.</w:t>
            </w:r>
          </w:p>
          <w:p w14:paraId="4E2DA4F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Reductions to services will affect those with fewer transport choices. Evidence for this EQIA (Equality Impact Assessment) is based on:</w:t>
            </w:r>
          </w:p>
          <w:p w14:paraId="481EBDF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w:t>
            </w:r>
            <w:r w:rsidRPr="000729CF">
              <w:rPr>
                <w:rFonts w:ascii="Arial" w:eastAsia="Calibri" w:hAnsi="Arial" w:cs="Arial"/>
                <w:sz w:val="24"/>
                <w:szCs w:val="24"/>
              </w:rPr>
              <w:tab/>
              <w:t xml:space="preserve">2014 Supported Bus route passenger survey </w:t>
            </w:r>
          </w:p>
          <w:p w14:paraId="5E6BBBC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w:t>
            </w:r>
            <w:r w:rsidRPr="000729CF">
              <w:rPr>
                <w:rFonts w:ascii="Arial" w:eastAsia="Calibri" w:hAnsi="Arial" w:cs="Arial"/>
                <w:sz w:val="24"/>
                <w:szCs w:val="24"/>
              </w:rPr>
              <w:tab/>
              <w:t>Background research used to compile the latest Local Transport Plan (LTP5)</w:t>
            </w:r>
          </w:p>
          <w:p w14:paraId="66106AF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w:t>
            </w:r>
            <w:r w:rsidRPr="000729CF">
              <w:rPr>
                <w:rFonts w:ascii="Arial" w:eastAsia="Calibri" w:hAnsi="Arial" w:cs="Arial"/>
                <w:sz w:val="24"/>
                <w:szCs w:val="24"/>
              </w:rPr>
              <w:tab/>
              <w:t>The National Highways and Transportation Public Satisfaction Survey</w:t>
            </w:r>
          </w:p>
          <w:p w14:paraId="1EE5124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Reductions to the supported bus route services will affect protected characteristic groups as follows, women, older and younger people and disabled people who place more importance and rely more on good local bus services than the general population.</w:t>
            </w:r>
          </w:p>
        </w:tc>
      </w:tr>
    </w:tbl>
    <w:p w14:paraId="37A0E5BD" w14:textId="77777777" w:rsidR="000729CF" w:rsidRPr="000729CF" w:rsidRDefault="000729CF" w:rsidP="000729CF">
      <w:pPr>
        <w:rPr>
          <w:rFonts w:ascii="Arial" w:eastAsia="Calibri" w:hAnsi="Arial" w:cs="Arial"/>
          <w:sz w:val="24"/>
          <w:szCs w:val="24"/>
          <w:lang w:val="en-GB"/>
        </w:rPr>
      </w:pPr>
    </w:p>
    <w:p w14:paraId="329A5D0D" w14:textId="77777777" w:rsidR="000729CF" w:rsidRPr="000729CF" w:rsidRDefault="000729CF" w:rsidP="000729CF">
      <w:pPr>
        <w:spacing w:after="160" w:line="259" w:lineRule="auto"/>
        <w:rPr>
          <w:rFonts w:ascii="Arial" w:eastAsia="Calibri" w:hAnsi="Arial" w:cs="Arial"/>
          <w:sz w:val="24"/>
          <w:szCs w:val="24"/>
          <w:lang w:val="en-GB"/>
        </w:rPr>
      </w:pPr>
    </w:p>
    <w:p w14:paraId="66F089F2"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Consultation, engagement and supporting EIAs</w:t>
      </w:r>
    </w:p>
    <w:p w14:paraId="34E8FB08"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consultations or engagement activities are being used to inform this assessment? </w:t>
      </w:r>
    </w:p>
    <w:p w14:paraId="68F32DE2"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If consultation is planned or in process – state this and state when it will done/completed even if indicative. If no consultation completed or planned, state this, giving an explanation. </w:t>
      </w:r>
    </w:p>
    <w:tbl>
      <w:tblPr>
        <w:tblStyle w:val="TableGrid"/>
        <w:tblW w:w="0" w:type="auto"/>
        <w:tblLook w:val="04A0" w:firstRow="1" w:lastRow="0" w:firstColumn="1" w:lastColumn="0" w:noHBand="0" w:noVBand="1"/>
      </w:tblPr>
      <w:tblGrid>
        <w:gridCol w:w="10456"/>
      </w:tblGrid>
      <w:tr w:rsidR="000729CF" w:rsidRPr="000729CF" w14:paraId="21164B72" w14:textId="77777777" w:rsidTr="00BC26AB">
        <w:trPr>
          <w:trHeight w:val="871"/>
        </w:trPr>
        <w:tc>
          <w:tcPr>
            <w:tcW w:w="10456" w:type="dxa"/>
          </w:tcPr>
          <w:p w14:paraId="543417F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Consultation with Lead Member for Transport prior to budget decision, consultation with Enhanced Partnership (statutory) in February 2024, consultation with </w:t>
            </w:r>
            <w:proofErr w:type="spellStart"/>
            <w:r w:rsidRPr="000729CF">
              <w:rPr>
                <w:rFonts w:ascii="Arial" w:eastAsia="Calibri" w:hAnsi="Arial" w:cs="Arial"/>
                <w:sz w:val="24"/>
                <w:szCs w:val="24"/>
              </w:rPr>
              <w:t>BusWatch</w:t>
            </w:r>
            <w:proofErr w:type="spellEnd"/>
            <w:r w:rsidRPr="000729CF">
              <w:rPr>
                <w:rFonts w:ascii="Arial" w:eastAsia="Calibri" w:hAnsi="Arial" w:cs="Arial"/>
                <w:sz w:val="24"/>
                <w:szCs w:val="24"/>
              </w:rPr>
              <w:t xml:space="preserve"> March 2024</w:t>
            </w:r>
          </w:p>
          <w:p w14:paraId="6D88F31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Enhanced Partnership is a forum of bus operators, stakeholders and the Local Authority set up under the Bus Services Act 2017 whose purpose is to ensure that the Bus Service Improvement Plans aims and schemes and measures are progressed, and a vote is required where any scheme such as enhancements to bus routes are varied. The Council has a veto power over decisions that commit money.</w:t>
            </w:r>
          </w:p>
          <w:p w14:paraId="39E1A8D2" w14:textId="77777777" w:rsidR="000729CF" w:rsidRPr="000729CF" w:rsidRDefault="000729CF" w:rsidP="000729CF">
            <w:pPr>
              <w:spacing w:after="120"/>
              <w:rPr>
                <w:rFonts w:ascii="Arial" w:eastAsia="Calibri" w:hAnsi="Arial" w:cs="Arial"/>
                <w:sz w:val="24"/>
                <w:szCs w:val="24"/>
              </w:rPr>
            </w:pPr>
            <w:proofErr w:type="spellStart"/>
            <w:r w:rsidRPr="000729CF">
              <w:rPr>
                <w:rFonts w:ascii="Arial" w:eastAsia="Calibri" w:hAnsi="Arial" w:cs="Arial"/>
                <w:sz w:val="24"/>
                <w:szCs w:val="24"/>
              </w:rPr>
              <w:t>BusWatch</w:t>
            </w:r>
            <w:proofErr w:type="spellEnd"/>
            <w:r w:rsidRPr="000729CF">
              <w:rPr>
                <w:rFonts w:ascii="Arial" w:eastAsia="Calibri" w:hAnsi="Arial" w:cs="Arial"/>
                <w:sz w:val="24"/>
                <w:szCs w:val="24"/>
              </w:rPr>
              <w:t xml:space="preserve"> is a charity that looks after the interests of bus passengers and is officially recognised as a statutory stakeholder by the Department of Transport  </w:t>
            </w:r>
          </w:p>
        </w:tc>
      </w:tr>
    </w:tbl>
    <w:p w14:paraId="6F590F01" w14:textId="77777777" w:rsidR="000729CF" w:rsidRPr="000729CF" w:rsidRDefault="000729CF" w:rsidP="000729CF">
      <w:pPr>
        <w:spacing w:after="160" w:line="259" w:lineRule="auto"/>
        <w:rPr>
          <w:rFonts w:ascii="Arial" w:eastAsia="Calibri" w:hAnsi="Arial" w:cs="Arial"/>
          <w:sz w:val="24"/>
          <w:szCs w:val="24"/>
          <w:lang w:val="en-GB"/>
        </w:rPr>
      </w:pPr>
    </w:p>
    <w:p w14:paraId="46A19B37" w14:textId="77777777" w:rsidR="000729CF" w:rsidRPr="000729CF" w:rsidRDefault="000729CF" w:rsidP="000729CF">
      <w:pPr>
        <w:spacing w:after="160" w:line="259" w:lineRule="auto"/>
        <w:rPr>
          <w:rFonts w:ascii="Arial" w:eastAsia="Calibri" w:hAnsi="Arial" w:cs="Arial"/>
          <w:sz w:val="24"/>
          <w:szCs w:val="24"/>
          <w:lang w:val="en-GB"/>
        </w:rPr>
      </w:pPr>
    </w:p>
    <w:p w14:paraId="40CC5E94"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other budget or service EIAs can assist/have been used to inform this assessment?</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0729CF" w:rsidRPr="000729CF" w14:paraId="0CA6D1CA"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shd w:val="clear" w:color="auto" w:fill="FFFFFF"/>
          </w:tcPr>
          <w:p w14:paraId="7B55262F"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None</w:t>
            </w:r>
          </w:p>
        </w:tc>
      </w:tr>
    </w:tbl>
    <w:p w14:paraId="76CAD778" w14:textId="77777777" w:rsidR="000729CF" w:rsidRPr="000729CF" w:rsidRDefault="000729CF" w:rsidP="000729CF">
      <w:pPr>
        <w:spacing w:after="160" w:line="259" w:lineRule="auto"/>
        <w:rPr>
          <w:rFonts w:ascii="Arial" w:eastAsia="Calibri" w:hAnsi="Arial" w:cs="Arial"/>
          <w:sz w:val="24"/>
          <w:szCs w:val="24"/>
          <w:lang w:val="en-GB"/>
        </w:rPr>
      </w:pPr>
    </w:p>
    <w:p w14:paraId="5EB9136C"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Current data and impact monitoring</w:t>
      </w:r>
    </w:p>
    <w:p w14:paraId="7D2B07BF"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Do you currently collect and analyse the following data to enable monitoring of the impact of this proposal? </w:t>
      </w:r>
    </w:p>
    <w:p w14:paraId="76D531B4"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Consider all </w:t>
      </w:r>
      <w:bookmarkStart w:id="78" w:name="_Int_tIvBn2Zk"/>
      <w:r w:rsidRPr="000729CF">
        <w:rPr>
          <w:rFonts w:ascii="Arial" w:eastAsia="Calibri" w:hAnsi="Arial" w:cs="Arial"/>
          <w:sz w:val="24"/>
          <w:szCs w:val="24"/>
          <w:lang w:val="en-GB"/>
        </w:rPr>
        <w:t>possible intersections</w:t>
      </w:r>
      <w:bookmarkEnd w:id="78"/>
      <w:r w:rsidRPr="000729CF">
        <w:rPr>
          <w:rFonts w:ascii="Arial" w:eastAsia="Calibri" w:hAnsi="Arial" w:cs="Arial"/>
          <w:sz w:val="24"/>
          <w:szCs w:val="24"/>
          <w:lang w:val="en-GB"/>
        </w:rPr>
        <w:t xml:space="preserve"> (Delete and State Yes, No, Not Applicable)</w:t>
      </w:r>
    </w:p>
    <w:tbl>
      <w:tblPr>
        <w:tblStyle w:val="TableGrid"/>
        <w:tblW w:w="10485" w:type="dxa"/>
        <w:tblLook w:val="04A0" w:firstRow="1" w:lastRow="0" w:firstColumn="1" w:lastColumn="0" w:noHBand="0" w:noVBand="1"/>
      </w:tblPr>
      <w:tblGrid>
        <w:gridCol w:w="6658"/>
        <w:gridCol w:w="3827"/>
      </w:tblGrid>
      <w:tr w:rsidR="000729CF" w:rsidRPr="000729CF" w14:paraId="75F37F89" w14:textId="77777777" w:rsidTr="000729CF">
        <w:trPr>
          <w:trHeight w:val="310"/>
        </w:trPr>
        <w:tc>
          <w:tcPr>
            <w:tcW w:w="6658" w:type="dxa"/>
            <w:shd w:val="clear" w:color="auto" w:fill="E7E6E6"/>
          </w:tcPr>
          <w:p w14:paraId="6BE0C86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Age</w:t>
            </w:r>
          </w:p>
        </w:tc>
        <w:tc>
          <w:tcPr>
            <w:tcW w:w="3827" w:type="dxa"/>
          </w:tcPr>
          <w:p w14:paraId="297483D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35249CCB" w14:textId="77777777" w:rsidTr="000729CF">
        <w:trPr>
          <w:trHeight w:val="20"/>
        </w:trPr>
        <w:tc>
          <w:tcPr>
            <w:tcW w:w="6658" w:type="dxa"/>
            <w:shd w:val="clear" w:color="auto" w:fill="E7E6E6"/>
          </w:tcPr>
          <w:p w14:paraId="1970AB3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Disability and inclusive adjustments, coverage under equality act and not</w:t>
            </w:r>
          </w:p>
        </w:tc>
        <w:tc>
          <w:tcPr>
            <w:tcW w:w="3827" w:type="dxa"/>
          </w:tcPr>
          <w:p w14:paraId="126483E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7CEB90FA" w14:textId="77777777" w:rsidTr="000729CF">
        <w:trPr>
          <w:trHeight w:val="20"/>
        </w:trPr>
        <w:tc>
          <w:tcPr>
            <w:tcW w:w="6658" w:type="dxa"/>
            <w:shd w:val="clear" w:color="auto" w:fill="E7E6E6"/>
          </w:tcPr>
          <w:p w14:paraId="589FDED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Ethnicity, ‘Race</w:t>
            </w:r>
            <w:bookmarkStart w:id="79" w:name="_Int_jrV1gY8f"/>
            <w:r w:rsidRPr="000729CF">
              <w:rPr>
                <w:rFonts w:ascii="Arial" w:eastAsia="Calibri" w:hAnsi="Arial" w:cs="Arial"/>
                <w:b/>
                <w:bCs/>
                <w:color w:val="000000"/>
                <w:sz w:val="24"/>
                <w:szCs w:val="24"/>
              </w:rPr>
              <w:t>’,</w:t>
            </w:r>
            <w:bookmarkEnd w:id="79"/>
            <w:r w:rsidRPr="000729CF">
              <w:rPr>
                <w:rFonts w:ascii="Arial" w:eastAsia="Calibri" w:hAnsi="Arial" w:cs="Arial"/>
                <w:b/>
                <w:bCs/>
                <w:color w:val="000000"/>
                <w:sz w:val="24"/>
                <w:szCs w:val="24"/>
              </w:rPr>
              <w:t xml:space="preserve"> ethnic heritage (including Gypsy, Roma, Travellers)</w:t>
            </w:r>
          </w:p>
        </w:tc>
        <w:tc>
          <w:tcPr>
            <w:tcW w:w="3827" w:type="dxa"/>
          </w:tcPr>
          <w:p w14:paraId="0835398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74F52E13" w14:textId="77777777" w:rsidTr="000729CF">
        <w:trPr>
          <w:trHeight w:val="20"/>
        </w:trPr>
        <w:tc>
          <w:tcPr>
            <w:tcW w:w="6658" w:type="dxa"/>
            <w:shd w:val="clear" w:color="auto" w:fill="E7E6E6"/>
          </w:tcPr>
          <w:p w14:paraId="7425D0D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Religion, Belief, Spirituality, Faith, or Atheism</w:t>
            </w:r>
          </w:p>
        </w:tc>
        <w:tc>
          <w:tcPr>
            <w:tcW w:w="3827" w:type="dxa"/>
          </w:tcPr>
          <w:p w14:paraId="69C9920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0B799910" w14:textId="77777777" w:rsidTr="000729CF">
        <w:trPr>
          <w:trHeight w:val="20"/>
        </w:trPr>
        <w:tc>
          <w:tcPr>
            <w:tcW w:w="6658" w:type="dxa"/>
            <w:shd w:val="clear" w:color="auto" w:fill="E7E6E6"/>
          </w:tcPr>
          <w:p w14:paraId="7CF58CE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Identity and Sex (including non-binary and Intersex people)</w:t>
            </w:r>
          </w:p>
        </w:tc>
        <w:tc>
          <w:tcPr>
            <w:tcW w:w="3827" w:type="dxa"/>
          </w:tcPr>
          <w:p w14:paraId="732C746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4C62198C" w14:textId="77777777" w:rsidTr="000729CF">
        <w:trPr>
          <w:trHeight w:val="20"/>
        </w:trPr>
        <w:tc>
          <w:tcPr>
            <w:tcW w:w="6658" w:type="dxa"/>
            <w:shd w:val="clear" w:color="auto" w:fill="E7E6E6"/>
          </w:tcPr>
          <w:p w14:paraId="52F1BCF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3827" w:type="dxa"/>
          </w:tcPr>
          <w:p w14:paraId="1EEB853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51AFE12D" w14:textId="77777777" w:rsidTr="000729CF">
        <w:trPr>
          <w:trHeight w:val="20"/>
        </w:trPr>
        <w:tc>
          <w:tcPr>
            <w:tcW w:w="6658" w:type="dxa"/>
            <w:shd w:val="clear" w:color="auto" w:fill="E7E6E6"/>
          </w:tcPr>
          <w:p w14:paraId="6A7ADAC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3827" w:type="dxa"/>
          </w:tcPr>
          <w:p w14:paraId="0628437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37F1C157" w14:textId="77777777" w:rsidTr="000729CF">
        <w:trPr>
          <w:trHeight w:val="20"/>
        </w:trPr>
        <w:tc>
          <w:tcPr>
            <w:tcW w:w="6658" w:type="dxa"/>
            <w:shd w:val="clear" w:color="auto" w:fill="E7E6E6"/>
          </w:tcPr>
          <w:p w14:paraId="635E4BB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3827" w:type="dxa"/>
          </w:tcPr>
          <w:p w14:paraId="338CB46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168B243C" w14:textId="77777777" w:rsidTr="000729CF">
        <w:trPr>
          <w:trHeight w:val="20"/>
        </w:trPr>
        <w:tc>
          <w:tcPr>
            <w:tcW w:w="6658" w:type="dxa"/>
            <w:shd w:val="clear" w:color="auto" w:fill="E7E6E6"/>
          </w:tcPr>
          <w:p w14:paraId="5092EBF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Pregnant people, Maternity, Paternity, Adoption, Menopause, (In)fertility (across the gender spectrum)</w:t>
            </w:r>
          </w:p>
        </w:tc>
        <w:tc>
          <w:tcPr>
            <w:tcW w:w="3827" w:type="dxa"/>
          </w:tcPr>
          <w:p w14:paraId="2F742A6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7435BD3B" w14:textId="77777777" w:rsidTr="000729CF">
        <w:trPr>
          <w:trHeight w:val="20"/>
        </w:trPr>
        <w:tc>
          <w:tcPr>
            <w:tcW w:w="6658" w:type="dxa"/>
            <w:shd w:val="clear" w:color="auto" w:fill="E7E6E6"/>
          </w:tcPr>
          <w:p w14:paraId="72F9C67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3827" w:type="dxa"/>
          </w:tcPr>
          <w:p w14:paraId="733FDE0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1251177B" w14:textId="77777777" w:rsidTr="000729CF">
        <w:trPr>
          <w:trHeight w:val="20"/>
        </w:trPr>
        <w:tc>
          <w:tcPr>
            <w:tcW w:w="6658" w:type="dxa"/>
            <w:shd w:val="clear" w:color="auto" w:fill="E7E6E6"/>
          </w:tcPr>
          <w:p w14:paraId="4CA98907" w14:textId="77777777" w:rsidR="000729CF" w:rsidRPr="000729CF" w:rsidRDefault="000729CF" w:rsidP="000729CF">
            <w:pPr>
              <w:spacing w:after="120"/>
              <w:rPr>
                <w:rFonts w:ascii="Arial" w:hAnsi="Arial" w:cs="Arial"/>
                <w:b/>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p>
        </w:tc>
        <w:tc>
          <w:tcPr>
            <w:tcW w:w="3827" w:type="dxa"/>
          </w:tcPr>
          <w:p w14:paraId="1EFAB07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55E7DCCC" w14:textId="77777777" w:rsidTr="000729CF">
        <w:trPr>
          <w:trHeight w:val="20"/>
        </w:trPr>
        <w:tc>
          <w:tcPr>
            <w:tcW w:w="6658" w:type="dxa"/>
            <w:shd w:val="clear" w:color="auto" w:fill="E7E6E6"/>
          </w:tcPr>
          <w:p w14:paraId="4BFE9762" w14:textId="77777777" w:rsidR="000729CF" w:rsidRPr="000729CF" w:rsidRDefault="000729CF" w:rsidP="000729CF">
            <w:pPr>
              <w:spacing w:after="120"/>
              <w:rPr>
                <w:rFonts w:ascii="Arial" w:hAnsi="Arial" w:cs="Arial"/>
                <w:b/>
                <w:sz w:val="24"/>
                <w:szCs w:val="24"/>
              </w:rPr>
            </w:pPr>
            <w:r w:rsidRPr="000729CF">
              <w:rPr>
                <w:rFonts w:ascii="Arial" w:eastAsia="Calibri" w:hAnsi="Arial" w:cs="Arial"/>
                <w:b/>
                <w:bCs/>
                <w:color w:val="000000"/>
                <w:sz w:val="24"/>
                <w:szCs w:val="24"/>
              </w:rPr>
              <w:t>Carers</w:t>
            </w:r>
          </w:p>
        </w:tc>
        <w:tc>
          <w:tcPr>
            <w:tcW w:w="3827" w:type="dxa"/>
          </w:tcPr>
          <w:p w14:paraId="0102724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1445356F" w14:textId="77777777" w:rsidTr="000729CF">
        <w:trPr>
          <w:trHeight w:val="20"/>
        </w:trPr>
        <w:tc>
          <w:tcPr>
            <w:tcW w:w="6658" w:type="dxa"/>
            <w:shd w:val="clear" w:color="auto" w:fill="E7E6E6"/>
          </w:tcPr>
          <w:p w14:paraId="3B0E5C5F"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Looked after children, Care Leavers, Care and fostering experienced people</w:t>
            </w:r>
          </w:p>
        </w:tc>
        <w:tc>
          <w:tcPr>
            <w:tcW w:w="3827" w:type="dxa"/>
          </w:tcPr>
          <w:p w14:paraId="30FA7AC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3215F7E8" w14:textId="77777777" w:rsidTr="000729CF">
        <w:trPr>
          <w:trHeight w:val="20"/>
        </w:trPr>
        <w:tc>
          <w:tcPr>
            <w:tcW w:w="6658" w:type="dxa"/>
            <w:shd w:val="clear" w:color="auto" w:fill="E7E6E6"/>
          </w:tcPr>
          <w:p w14:paraId="3E1F909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 and   people in vulnerable situations (All aspects and intersections)</w:t>
            </w:r>
          </w:p>
        </w:tc>
        <w:tc>
          <w:tcPr>
            <w:tcW w:w="3827" w:type="dxa"/>
          </w:tcPr>
          <w:p w14:paraId="5BFA72E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26876B8F" w14:textId="77777777" w:rsidTr="000729CF">
        <w:trPr>
          <w:trHeight w:val="20"/>
        </w:trPr>
        <w:tc>
          <w:tcPr>
            <w:tcW w:w="6658" w:type="dxa"/>
            <w:shd w:val="clear" w:color="auto" w:fill="E7E6E6"/>
          </w:tcPr>
          <w:p w14:paraId="0FD454C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Socio-economic Disadvantage</w:t>
            </w:r>
          </w:p>
        </w:tc>
        <w:tc>
          <w:tcPr>
            <w:tcW w:w="3827" w:type="dxa"/>
          </w:tcPr>
          <w:p w14:paraId="5FC5136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014C1222" w14:textId="77777777" w:rsidTr="000729CF">
        <w:trPr>
          <w:trHeight w:val="20"/>
        </w:trPr>
        <w:tc>
          <w:tcPr>
            <w:tcW w:w="6658" w:type="dxa"/>
            <w:shd w:val="clear" w:color="auto" w:fill="E7E6E6"/>
          </w:tcPr>
          <w:p w14:paraId="3436057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Homelessness and associated risk and vulnerability</w:t>
            </w:r>
          </w:p>
        </w:tc>
        <w:tc>
          <w:tcPr>
            <w:tcW w:w="3827" w:type="dxa"/>
          </w:tcPr>
          <w:p w14:paraId="177BBE9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4583F41C" w14:textId="77777777" w:rsidTr="000729CF">
        <w:trPr>
          <w:trHeight w:val="20"/>
        </w:trPr>
        <w:tc>
          <w:tcPr>
            <w:tcW w:w="6658" w:type="dxa"/>
            <w:shd w:val="clear" w:color="auto" w:fill="E7E6E6"/>
          </w:tcPr>
          <w:p w14:paraId="5E60635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3827" w:type="dxa"/>
          </w:tcPr>
          <w:p w14:paraId="32CEE06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062E1475" w14:textId="77777777" w:rsidTr="000729CF">
        <w:trPr>
          <w:trHeight w:val="20"/>
        </w:trPr>
        <w:tc>
          <w:tcPr>
            <w:tcW w:w="6658" w:type="dxa"/>
            <w:shd w:val="clear" w:color="auto" w:fill="E7E6E6"/>
          </w:tcPr>
          <w:p w14:paraId="7238B97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 (please specify here and add additional rows as needed)</w:t>
            </w:r>
          </w:p>
        </w:tc>
        <w:tc>
          <w:tcPr>
            <w:tcW w:w="3827" w:type="dxa"/>
          </w:tcPr>
          <w:p w14:paraId="052F647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bl>
    <w:p w14:paraId="30D37D35" w14:textId="77777777" w:rsidR="000729CF" w:rsidRPr="000729CF" w:rsidRDefault="000729CF" w:rsidP="000729CF">
      <w:pPr>
        <w:rPr>
          <w:rFonts w:ascii="Arial" w:eastAsia="Calibri" w:hAnsi="Arial" w:cs="Arial"/>
          <w:sz w:val="24"/>
          <w:szCs w:val="24"/>
          <w:lang w:val="en-GB"/>
        </w:rPr>
      </w:pPr>
    </w:p>
    <w:p w14:paraId="3C7736A4"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447809FE"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4C243C00"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251EA6F7"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23F818D7"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7FDDB20A"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770423D6"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74DFD2D5"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49A82C97"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53C37665"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0CA1DCDB" w14:textId="77777777" w:rsidR="000729CF" w:rsidRPr="000729CF" w:rsidRDefault="000729CF" w:rsidP="000729CF">
      <w:pPr>
        <w:rPr>
          <w:rFonts w:ascii="Arial" w:eastAsia="Calibri" w:hAnsi="Arial" w:cs="Arial"/>
          <w:sz w:val="24"/>
          <w:szCs w:val="24"/>
          <w:lang w:val="en-GB"/>
        </w:rPr>
      </w:pPr>
    </w:p>
    <w:p w14:paraId="38A28112"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If you answered “NO” to any of the above, how will you gather this data to enable improved monitoring of impact for this proposal?</w:t>
      </w:r>
    </w:p>
    <w:tbl>
      <w:tblPr>
        <w:tblStyle w:val="TableGrid"/>
        <w:tblW w:w="0" w:type="auto"/>
        <w:tblLook w:val="04A0" w:firstRow="1" w:lastRow="0" w:firstColumn="1" w:lastColumn="0" w:noHBand="0" w:noVBand="1"/>
      </w:tblPr>
      <w:tblGrid>
        <w:gridCol w:w="10456"/>
      </w:tblGrid>
      <w:tr w:rsidR="000729CF" w:rsidRPr="000729CF" w14:paraId="6C66768A" w14:textId="77777777" w:rsidTr="00BC26AB">
        <w:trPr>
          <w:trHeight w:val="757"/>
        </w:trPr>
        <w:tc>
          <w:tcPr>
            <w:tcW w:w="10456" w:type="dxa"/>
          </w:tcPr>
          <w:p w14:paraId="4D3E5C44" w14:textId="77777777" w:rsidR="000729CF" w:rsidRPr="000729CF" w:rsidRDefault="000729CF" w:rsidP="000729CF">
            <w:pPr>
              <w:spacing w:after="120"/>
              <w:rPr>
                <w:rFonts w:ascii="Arial" w:eastAsia="Calibri" w:hAnsi="Arial" w:cs="Arial"/>
                <w:sz w:val="24"/>
                <w:szCs w:val="24"/>
              </w:rPr>
            </w:pPr>
          </w:p>
        </w:tc>
      </w:tr>
    </w:tbl>
    <w:p w14:paraId="31DE842B" w14:textId="77777777" w:rsidR="000729CF" w:rsidRPr="000729CF" w:rsidRDefault="000729CF" w:rsidP="000729CF">
      <w:pPr>
        <w:rPr>
          <w:rFonts w:ascii="Arial" w:eastAsia="Calibri" w:hAnsi="Arial" w:cs="Arial"/>
          <w:sz w:val="24"/>
          <w:szCs w:val="24"/>
          <w:lang w:val="en-GB"/>
        </w:rPr>
      </w:pPr>
    </w:p>
    <w:p w14:paraId="40813F29" w14:textId="77777777" w:rsidR="000729CF" w:rsidRPr="000729CF" w:rsidRDefault="000729CF" w:rsidP="000729CF">
      <w:pPr>
        <w:rPr>
          <w:rFonts w:ascii="Arial" w:eastAsia="Calibri" w:hAnsi="Arial" w:cs="Arial"/>
          <w:sz w:val="24"/>
          <w:szCs w:val="24"/>
          <w:lang w:val="en-GB"/>
        </w:rPr>
      </w:pPr>
    </w:p>
    <w:p w14:paraId="3960E40F"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are the arrangements for monitoring, and reviewing the impact of this proposal?</w:t>
      </w:r>
    </w:p>
    <w:tbl>
      <w:tblPr>
        <w:tblStyle w:val="TableGrid"/>
        <w:tblW w:w="0" w:type="auto"/>
        <w:tblLook w:val="04A0" w:firstRow="1" w:lastRow="0" w:firstColumn="1" w:lastColumn="0" w:noHBand="0" w:noVBand="1"/>
      </w:tblPr>
      <w:tblGrid>
        <w:gridCol w:w="10456"/>
      </w:tblGrid>
      <w:tr w:rsidR="000729CF" w:rsidRPr="000729CF" w14:paraId="5B586818" w14:textId="77777777" w:rsidTr="00BC26AB">
        <w:trPr>
          <w:trHeight w:val="757"/>
        </w:trPr>
        <w:tc>
          <w:tcPr>
            <w:tcW w:w="10456" w:type="dxa"/>
          </w:tcPr>
          <w:p w14:paraId="5519D6F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Data on bus satisfaction levels is collected via regular surveys from Transport Focus “Our Bus Journey” funded through the council’s Bus Service Improvement Plan. Other sources are the National Highways &amp; Transportation survey and customer surveys. Bus usage data is provided by bus operators. </w:t>
            </w:r>
          </w:p>
        </w:tc>
      </w:tr>
    </w:tbl>
    <w:p w14:paraId="699E3A8E" w14:textId="77777777" w:rsidR="000729CF" w:rsidRPr="000729CF" w:rsidRDefault="000729CF" w:rsidP="000729CF">
      <w:pPr>
        <w:rPr>
          <w:rFonts w:ascii="Arial" w:eastAsia="Calibri" w:hAnsi="Arial" w:cs="Arial"/>
          <w:sz w:val="24"/>
          <w:szCs w:val="24"/>
          <w:lang w:val="en-GB"/>
        </w:rPr>
      </w:pPr>
    </w:p>
    <w:p w14:paraId="7639519E" w14:textId="77777777" w:rsidR="000729CF" w:rsidRPr="000729CF" w:rsidRDefault="000729CF" w:rsidP="000729CF">
      <w:pPr>
        <w:rPr>
          <w:rFonts w:ascii="Arial" w:eastAsia="Calibri" w:hAnsi="Arial" w:cs="Arial"/>
          <w:sz w:val="24"/>
          <w:szCs w:val="24"/>
          <w:lang w:val="en-GB"/>
        </w:rPr>
      </w:pPr>
    </w:p>
    <w:p w14:paraId="0FFD1A28"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Impacts</w:t>
      </w:r>
    </w:p>
    <w:p w14:paraId="7BE11877"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Briefly state source of data or data analysis being used to describe the </w:t>
      </w:r>
      <w:r w:rsidRPr="000729CF">
        <w:rPr>
          <w:rFonts w:ascii="Arial" w:eastAsia="Calibri" w:hAnsi="Arial" w:cs="Arial"/>
          <w:color w:val="000000"/>
          <w:sz w:val="24"/>
          <w:szCs w:val="24"/>
          <w:bdr w:val="none" w:sz="0" w:space="0" w:color="auto" w:frame="1"/>
          <w:lang w:val="en-GB"/>
        </w:rPr>
        <w:t xml:space="preserve">disproportionate negative impacts. </w:t>
      </w:r>
      <w:r w:rsidRPr="000729CF">
        <w:rPr>
          <w:rFonts w:ascii="Arial" w:eastAsia="Calibri" w:hAnsi="Arial" w:cs="Arial"/>
          <w:sz w:val="24"/>
          <w:szCs w:val="24"/>
          <w:lang w:val="en-GB"/>
        </w:rPr>
        <w:t xml:space="preserve">Preferably provide link to data/ analysis if open data source. </w:t>
      </w:r>
    </w:p>
    <w:p w14:paraId="05748652" w14:textId="77777777" w:rsidR="000729CF" w:rsidRPr="000729CF" w:rsidRDefault="000729CF" w:rsidP="000729CF">
      <w:pPr>
        <w:spacing w:after="160" w:line="259" w:lineRule="auto"/>
        <w:rPr>
          <w:rFonts w:ascii="Arial" w:eastAsia="Calibri" w:hAnsi="Arial" w:cs="Arial"/>
          <w:color w:val="000000"/>
          <w:sz w:val="24"/>
          <w:szCs w:val="24"/>
          <w:shd w:val="clear" w:color="auto" w:fill="FFFFFF"/>
          <w:lang w:val="en-GB"/>
        </w:rPr>
      </w:pPr>
    </w:p>
    <w:tbl>
      <w:tblPr>
        <w:tblStyle w:val="TableGrid"/>
        <w:tblW w:w="10485" w:type="dxa"/>
        <w:tblLook w:val="04A0" w:firstRow="1" w:lastRow="0" w:firstColumn="1" w:lastColumn="0" w:noHBand="0" w:noVBand="1"/>
      </w:tblPr>
      <w:tblGrid>
        <w:gridCol w:w="2985"/>
        <w:gridCol w:w="2123"/>
        <w:gridCol w:w="5377"/>
      </w:tblGrid>
      <w:tr w:rsidR="000729CF" w:rsidRPr="000729CF" w14:paraId="4C6ECFAE" w14:textId="77777777" w:rsidTr="000729CF">
        <w:trPr>
          <w:trHeight w:val="20"/>
        </w:trPr>
        <w:tc>
          <w:tcPr>
            <w:tcW w:w="2985" w:type="dxa"/>
            <w:shd w:val="clear" w:color="auto" w:fill="E7E6E6"/>
          </w:tcPr>
          <w:p w14:paraId="6251994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Assess impact for different population groups</w:t>
            </w:r>
          </w:p>
        </w:tc>
        <w:tc>
          <w:tcPr>
            <w:tcW w:w="2123" w:type="dxa"/>
            <w:shd w:val="clear" w:color="auto" w:fill="E7E6E6"/>
          </w:tcPr>
          <w:p w14:paraId="6F72406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Is there a possible disproportionate negative impact? </w:t>
            </w:r>
          </w:p>
          <w:p w14:paraId="0D1DF382" w14:textId="77777777" w:rsidR="000729CF" w:rsidRPr="000729CF" w:rsidRDefault="000729CF" w:rsidP="000729CF">
            <w:pPr>
              <w:spacing w:after="120"/>
              <w:rPr>
                <w:rFonts w:ascii="Arial" w:eastAsia="Calibri" w:hAnsi="Arial" w:cs="Arial"/>
                <w:b/>
                <w:bCs/>
                <w:sz w:val="24"/>
                <w:szCs w:val="24"/>
              </w:rPr>
            </w:pPr>
          </w:p>
          <w:p w14:paraId="5113835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b/>
                <w:bCs/>
                <w:sz w:val="24"/>
                <w:szCs w:val="24"/>
              </w:rPr>
              <w:t>State Yes or No</w:t>
            </w:r>
          </w:p>
        </w:tc>
        <w:tc>
          <w:tcPr>
            <w:tcW w:w="5377" w:type="dxa"/>
            <w:shd w:val="clear" w:color="auto" w:fill="E7E6E6"/>
          </w:tcPr>
          <w:p w14:paraId="74A2748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Describe the potential negative impact, considering for differences within groups for example, different ethnic groups, and peoples intersecting identities e.g. disabled women of faith</w:t>
            </w:r>
          </w:p>
          <w:p w14:paraId="175D234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OR</w:t>
            </w:r>
          </w:p>
          <w:p w14:paraId="6B202D1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If no impact is identified, briefly state why.</w:t>
            </w:r>
          </w:p>
        </w:tc>
      </w:tr>
      <w:tr w:rsidR="000729CF" w:rsidRPr="000729CF" w14:paraId="6B3B5B60" w14:textId="77777777" w:rsidTr="000729CF">
        <w:trPr>
          <w:trHeight w:val="20"/>
        </w:trPr>
        <w:tc>
          <w:tcPr>
            <w:tcW w:w="2985" w:type="dxa"/>
            <w:shd w:val="clear" w:color="auto" w:fill="E7E6E6"/>
          </w:tcPr>
          <w:p w14:paraId="522217A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Age </w:t>
            </w:r>
          </w:p>
          <w:p w14:paraId="00F272E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sz w:val="24"/>
                <w:szCs w:val="24"/>
              </w:rPr>
              <w:t>including those under 16, young adults, multiple ethnicities, those with various intersections.</w:t>
            </w:r>
          </w:p>
        </w:tc>
        <w:tc>
          <w:tcPr>
            <w:tcW w:w="2123" w:type="dxa"/>
          </w:tcPr>
          <w:p w14:paraId="702DFC5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2F35ED2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There are 31,643 older persons bus pass holders in the city. These bus passes provide national travel for eligible holders between 9am and 4am weekdays and anytime at the     weekend. </w:t>
            </w:r>
          </w:p>
          <w:p w14:paraId="42D7868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The Supported Bus Route Passenger Survey indicates a higher-than-average percentage of older people using supported services. Older people living in outlying areas of the city are at particular risk from social isolation when bus services are cut, and the supported network routes link some of the geographically remote parts of the city. They are less likely to be drivers as age increases, especially where there are associated health conditions/disabilities. Access to leisure activities (the countryside </w:t>
            </w:r>
            <w:bookmarkStart w:id="80" w:name="_Int_pt0SUfRS"/>
            <w:r w:rsidRPr="000729CF">
              <w:rPr>
                <w:rFonts w:ascii="Arial" w:eastAsia="Calibri" w:hAnsi="Arial" w:cs="Arial"/>
                <w:sz w:val="24"/>
                <w:szCs w:val="24"/>
              </w:rPr>
              <w:t>and in particular, to</w:t>
            </w:r>
            <w:bookmarkEnd w:id="80"/>
            <w:r w:rsidRPr="000729CF">
              <w:rPr>
                <w:rFonts w:ascii="Arial" w:eastAsia="Calibri" w:hAnsi="Arial" w:cs="Arial"/>
                <w:sz w:val="24"/>
                <w:szCs w:val="24"/>
              </w:rPr>
              <w:t xml:space="preserve"> health walks at Stanmer Park may be curtailed by the loss of the Breeze up to the Downs services) in addition to retail and doctors/hospital appointments may be more difficult or costly for people to attend.</w:t>
            </w:r>
          </w:p>
          <w:p w14:paraId="6150939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Younger people show the highest levels of importance for good local bus services. The Breeze services serve schools on their route and if cut, there may be barriers to education as well as social and leisure activities as young people are less likely to have access to any other form of transport. The council may provide pre-paid key cards for pupils with a long home-to-school distance but whether commercial services can fill the gaps in a lack of service needs further investigation.</w:t>
            </w:r>
          </w:p>
        </w:tc>
      </w:tr>
      <w:tr w:rsidR="000729CF" w:rsidRPr="000729CF" w14:paraId="3B4B3C64" w14:textId="77777777" w:rsidTr="000729CF">
        <w:trPr>
          <w:trHeight w:val="20"/>
        </w:trPr>
        <w:tc>
          <w:tcPr>
            <w:tcW w:w="2985" w:type="dxa"/>
            <w:shd w:val="clear" w:color="auto" w:fill="E7E6E6"/>
          </w:tcPr>
          <w:p w14:paraId="5F2D694F"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 xml:space="preserve">Disability </w:t>
            </w:r>
            <w:r w:rsidRPr="000729CF">
              <w:rPr>
                <w:rFonts w:ascii="Arial" w:eastAsia="Calibri" w:hAnsi="Arial" w:cs="Arial"/>
                <w:sz w:val="24"/>
                <w:szCs w:val="24"/>
              </w:rPr>
              <w:t>includes physical and sensory disabled, D/deaf, deafened, hard of hearing, blind, neurodiverse people, people with non-visible disabilities.</w:t>
            </w:r>
          </w:p>
        </w:tc>
        <w:tc>
          <w:tcPr>
            <w:tcW w:w="2123" w:type="dxa"/>
          </w:tcPr>
          <w:p w14:paraId="6C2DEA3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387F3D1D" w14:textId="77777777" w:rsidR="000729CF" w:rsidRPr="000729CF" w:rsidRDefault="000729CF" w:rsidP="000729CF">
            <w:pPr>
              <w:spacing w:after="120"/>
              <w:rPr>
                <w:rFonts w:ascii="Arial" w:eastAsia="Calibri" w:hAnsi="Arial" w:cs="Arial"/>
                <w:sz w:val="24"/>
                <w:szCs w:val="24"/>
              </w:rPr>
            </w:pPr>
            <w:bookmarkStart w:id="81" w:name="_Int_hlMzbi2b"/>
            <w:r w:rsidRPr="000729CF">
              <w:rPr>
                <w:rFonts w:ascii="Arial" w:eastAsia="Calibri" w:hAnsi="Arial" w:cs="Arial"/>
                <w:sz w:val="24"/>
                <w:szCs w:val="24"/>
              </w:rPr>
              <w:t>Nearly one</w:t>
            </w:r>
            <w:bookmarkEnd w:id="81"/>
            <w:r w:rsidRPr="000729CF">
              <w:rPr>
                <w:rFonts w:ascii="Arial" w:eastAsia="Calibri" w:hAnsi="Arial" w:cs="Arial"/>
                <w:sz w:val="24"/>
                <w:szCs w:val="24"/>
              </w:rPr>
              <w:t xml:space="preserve"> in five (51,797 people, 19%) are disabled in Brighton and Hove. Higher than seen in both the Southeast (16%) and England (17%) (Census 2021).</w:t>
            </w:r>
          </w:p>
          <w:p w14:paraId="0458423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Residents with a disability under the Equalities Act are concentrated in city’s outer areas: central/eastern area of the city particularly in East Brighton, Queens Park, and Hollingbury &amp; Stanmore wards. There are also higher proportions of disabled people in the east in </w:t>
            </w:r>
            <w:proofErr w:type="spellStart"/>
            <w:r w:rsidRPr="000729CF">
              <w:rPr>
                <w:rFonts w:ascii="Arial" w:eastAsia="Calibri" w:hAnsi="Arial" w:cs="Arial"/>
                <w:sz w:val="24"/>
                <w:szCs w:val="24"/>
              </w:rPr>
              <w:t>Woodingdean</w:t>
            </w:r>
            <w:proofErr w:type="spellEnd"/>
            <w:r w:rsidRPr="000729CF">
              <w:rPr>
                <w:rFonts w:ascii="Arial" w:eastAsia="Calibri" w:hAnsi="Arial" w:cs="Arial"/>
                <w:sz w:val="24"/>
                <w:szCs w:val="24"/>
              </w:rPr>
              <w:t xml:space="preserve"> and to the west in Hangleton &amp; Portslade. (Census 2021).</w:t>
            </w:r>
          </w:p>
          <w:p w14:paraId="48F06F00" w14:textId="77777777" w:rsidR="000729CF" w:rsidRPr="000729CF" w:rsidRDefault="000729CF" w:rsidP="000729CF">
            <w:pPr>
              <w:spacing w:after="120"/>
              <w:rPr>
                <w:rFonts w:ascii="Arial" w:eastAsia="Calibri" w:hAnsi="Arial" w:cs="Arial"/>
                <w:sz w:val="24"/>
                <w:szCs w:val="24"/>
              </w:rPr>
            </w:pPr>
          </w:p>
          <w:p w14:paraId="4ADF2FF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There are approximately 6,500 disabled concessionary bus pass holders in the city. These bus passes provide free bus travel (24 hours) for eligible holders within Brighton and Hove and are available for use during statutory times 0930- 2300 in other areas.</w:t>
            </w:r>
          </w:p>
          <w:p w14:paraId="6F40C05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Certain people may be more reliant on buses than the general population especially people on lower and fixed incomes. Disabled people spend more of their income on daily living expenses and may have less disposal income for leisure activities, this route with a concessionary bus provides access to the National Park on the city’s doorstep. </w:t>
            </w:r>
          </w:p>
          <w:p w14:paraId="221FDC1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Levels of mental health illness in the wider region, are </w:t>
            </w:r>
            <w:bookmarkStart w:id="82" w:name="_Int_XaAjtduV"/>
            <w:r w:rsidRPr="000729CF">
              <w:rPr>
                <w:rFonts w:ascii="Arial" w:eastAsia="Calibri" w:hAnsi="Arial" w:cs="Arial"/>
                <w:sz w:val="24"/>
                <w:szCs w:val="24"/>
              </w:rPr>
              <w:t>generally higher</w:t>
            </w:r>
            <w:bookmarkEnd w:id="82"/>
            <w:r w:rsidRPr="000729CF">
              <w:rPr>
                <w:rFonts w:ascii="Arial" w:eastAsia="Calibri" w:hAnsi="Arial" w:cs="Arial"/>
                <w:sz w:val="24"/>
                <w:szCs w:val="24"/>
              </w:rPr>
              <w:t xml:space="preserve"> than national levels. Any reduction in bus services may reduce opportunities for getting </w:t>
            </w:r>
            <w:bookmarkStart w:id="83" w:name="_Int_L1Yoncy5"/>
            <w:r w:rsidRPr="000729CF">
              <w:rPr>
                <w:rFonts w:ascii="Arial" w:eastAsia="Calibri" w:hAnsi="Arial" w:cs="Arial"/>
                <w:sz w:val="24"/>
                <w:szCs w:val="24"/>
              </w:rPr>
              <w:t>out and about</w:t>
            </w:r>
            <w:bookmarkEnd w:id="83"/>
            <w:r w:rsidRPr="000729CF">
              <w:rPr>
                <w:rFonts w:ascii="Arial" w:eastAsia="Calibri" w:hAnsi="Arial" w:cs="Arial"/>
                <w:sz w:val="24"/>
                <w:szCs w:val="24"/>
              </w:rPr>
              <w:t xml:space="preserve"> for disabled people specially access green open space, leading to social isolation.</w:t>
            </w:r>
          </w:p>
        </w:tc>
      </w:tr>
      <w:tr w:rsidR="000729CF" w:rsidRPr="000729CF" w14:paraId="73E10B33" w14:textId="77777777" w:rsidTr="000729CF">
        <w:trPr>
          <w:trHeight w:val="20"/>
        </w:trPr>
        <w:tc>
          <w:tcPr>
            <w:tcW w:w="2985" w:type="dxa"/>
            <w:shd w:val="clear" w:color="auto" w:fill="E7E6E6"/>
          </w:tcPr>
          <w:p w14:paraId="5058A098" w14:textId="77777777" w:rsidR="000729CF" w:rsidRPr="000729CF" w:rsidRDefault="000729CF" w:rsidP="000729CF">
            <w:pPr>
              <w:keepNext/>
              <w:keepLines/>
              <w:spacing w:before="40"/>
              <w:outlineLvl w:val="2"/>
              <w:rPr>
                <w:rFonts w:ascii="Arial" w:hAnsi="Arial" w:cs="Arial"/>
                <w:color w:val="1F3763"/>
                <w:sz w:val="24"/>
                <w:szCs w:val="24"/>
              </w:rPr>
            </w:pPr>
            <w:r w:rsidRPr="000729CF">
              <w:rPr>
                <w:rFonts w:ascii="Arial" w:hAnsi="Arial" w:cs="Arial"/>
                <w:b/>
                <w:bCs/>
                <w:color w:val="000000"/>
                <w:sz w:val="24"/>
                <w:szCs w:val="24"/>
              </w:rPr>
              <w:t>Ethnicity, ‘</w:t>
            </w:r>
            <w:r w:rsidRPr="000729CF">
              <w:rPr>
                <w:rFonts w:ascii="Arial" w:hAnsi="Arial" w:cs="Arial"/>
                <w:color w:val="000000"/>
                <w:sz w:val="24"/>
                <w:szCs w:val="24"/>
              </w:rPr>
              <w:t>Race</w:t>
            </w:r>
            <w:bookmarkStart w:id="84" w:name="_Int_az3ciKmc"/>
            <w:r w:rsidRPr="000729CF">
              <w:rPr>
                <w:rFonts w:ascii="Arial" w:hAnsi="Arial" w:cs="Arial"/>
                <w:color w:val="000000"/>
                <w:sz w:val="24"/>
                <w:szCs w:val="24"/>
              </w:rPr>
              <w:t>’,</w:t>
            </w:r>
            <w:bookmarkEnd w:id="84"/>
            <w:r w:rsidRPr="000729CF">
              <w:rPr>
                <w:rFonts w:ascii="Arial" w:hAnsi="Arial" w:cs="Arial"/>
                <w:color w:val="000000"/>
                <w:sz w:val="24"/>
                <w:szCs w:val="24"/>
              </w:rPr>
              <w:t xml:space="preserve"> ethnic heritage including Gypsy, Roma, Travellers</w:t>
            </w:r>
          </w:p>
        </w:tc>
        <w:tc>
          <w:tcPr>
            <w:tcW w:w="2123" w:type="dxa"/>
          </w:tcPr>
          <w:p w14:paraId="7315C00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2473EFE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supported route bus passenger survey shows a higher percentage of people from ethnic minorities as users of the service (20%).</w:t>
            </w:r>
          </w:p>
          <w:p w14:paraId="0EC86A2F" w14:textId="77777777" w:rsidR="000729CF" w:rsidRPr="000729CF" w:rsidRDefault="000729CF" w:rsidP="000729CF">
            <w:pPr>
              <w:spacing w:after="120"/>
              <w:rPr>
                <w:rFonts w:ascii="Arial" w:eastAsia="Calibri" w:hAnsi="Arial" w:cs="Arial"/>
                <w:sz w:val="24"/>
                <w:szCs w:val="24"/>
              </w:rPr>
            </w:pPr>
          </w:p>
          <w:p w14:paraId="399E560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Census 2021 shows that resident who are BME live disproportionately in and around the city centre and in outer lying neighbourhoods. </w:t>
            </w:r>
          </w:p>
          <w:p w14:paraId="0A582DC8" w14:textId="77777777" w:rsidR="000729CF" w:rsidRPr="000729CF" w:rsidRDefault="000729CF" w:rsidP="000729CF">
            <w:pPr>
              <w:spacing w:after="120"/>
              <w:rPr>
                <w:rFonts w:ascii="Arial" w:eastAsia="Calibri" w:hAnsi="Arial" w:cs="Arial"/>
                <w:sz w:val="24"/>
                <w:szCs w:val="24"/>
              </w:rPr>
            </w:pPr>
          </w:p>
        </w:tc>
      </w:tr>
      <w:tr w:rsidR="000729CF" w:rsidRPr="000729CF" w14:paraId="6F36291A" w14:textId="77777777" w:rsidTr="000729CF">
        <w:trPr>
          <w:trHeight w:val="20"/>
        </w:trPr>
        <w:tc>
          <w:tcPr>
            <w:tcW w:w="2985" w:type="dxa"/>
            <w:shd w:val="clear" w:color="auto" w:fill="E7E6E6"/>
          </w:tcPr>
          <w:p w14:paraId="1B77908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Religion, Spirituality, Faith, Atheism, and philosophical belief </w:t>
            </w:r>
          </w:p>
        </w:tc>
        <w:tc>
          <w:tcPr>
            <w:tcW w:w="2123" w:type="dxa"/>
          </w:tcPr>
          <w:p w14:paraId="54F12FC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43C3258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38% of the city’s population reported having a religion in the 2021 Census. </w:t>
            </w:r>
          </w:p>
          <w:p w14:paraId="3084BC3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There are a limited number of faith schools and religious buildings in the city, and which may warrant longer travel distances to attend these. A reduction in bus services, particularly those that stop near faith schools or religious buildings, may have a disproportionate effect on faith groups.</w:t>
            </w:r>
          </w:p>
        </w:tc>
      </w:tr>
      <w:tr w:rsidR="000729CF" w:rsidRPr="000729CF" w14:paraId="0C4B95D0" w14:textId="77777777" w:rsidTr="000729CF">
        <w:trPr>
          <w:trHeight w:val="20"/>
        </w:trPr>
        <w:tc>
          <w:tcPr>
            <w:tcW w:w="2985" w:type="dxa"/>
            <w:shd w:val="clear" w:color="auto" w:fill="E7E6E6"/>
          </w:tcPr>
          <w:p w14:paraId="0BD3CC7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Gender and Sex </w:t>
            </w:r>
            <w:r w:rsidRPr="000729CF">
              <w:rPr>
                <w:rFonts w:ascii="Arial" w:eastAsia="Calibri" w:hAnsi="Arial" w:cs="Arial"/>
                <w:sz w:val="24"/>
                <w:szCs w:val="24"/>
              </w:rPr>
              <w:t>including non-binary and intersex people</w:t>
            </w:r>
          </w:p>
        </w:tc>
        <w:tc>
          <w:tcPr>
            <w:tcW w:w="2123" w:type="dxa"/>
          </w:tcPr>
          <w:p w14:paraId="575710F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4232047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The gender split of Brighton &amp; Hove’s population is </w:t>
            </w:r>
            <w:bookmarkStart w:id="85" w:name="_Int_7jBFTlAr"/>
            <w:r w:rsidRPr="000729CF">
              <w:rPr>
                <w:rFonts w:ascii="Arial" w:eastAsia="Calibri" w:hAnsi="Arial" w:cs="Arial"/>
                <w:sz w:val="24"/>
                <w:szCs w:val="24"/>
              </w:rPr>
              <w:t>almost even</w:t>
            </w:r>
            <w:bookmarkEnd w:id="85"/>
            <w:r w:rsidRPr="000729CF">
              <w:rPr>
                <w:rFonts w:ascii="Arial" w:eastAsia="Calibri" w:hAnsi="Arial" w:cs="Arial"/>
                <w:sz w:val="24"/>
                <w:szCs w:val="24"/>
              </w:rPr>
              <w:t xml:space="preserve"> (51%/49% female/male Census 2021)</w:t>
            </w:r>
          </w:p>
          <w:p w14:paraId="13E1CF9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Women tend to be the primary carer at home, and the head of single parent households and are less likely to be in full time employment.</w:t>
            </w:r>
          </w:p>
          <w:p w14:paraId="58E60B4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In the city, 58% of carers are women rising to 62% of those providing care for 50 hours or more a week. </w:t>
            </w:r>
            <w:bookmarkStart w:id="86" w:name="_Int_aTMErSrf"/>
            <w:r w:rsidRPr="000729CF">
              <w:rPr>
                <w:rFonts w:ascii="Arial" w:eastAsia="Calibri" w:hAnsi="Arial" w:cs="Arial"/>
                <w:sz w:val="24"/>
                <w:szCs w:val="24"/>
              </w:rPr>
              <w:t>The majority of</w:t>
            </w:r>
            <w:bookmarkEnd w:id="86"/>
            <w:r w:rsidRPr="000729CF">
              <w:rPr>
                <w:rFonts w:ascii="Arial" w:eastAsia="Calibri" w:hAnsi="Arial" w:cs="Arial"/>
                <w:sz w:val="24"/>
                <w:szCs w:val="24"/>
              </w:rPr>
              <w:t xml:space="preserve"> caregivers, at home and in our communities, are also women. Women were over-represented as users in the Supported Bus route passenger survey; cuts to bus services will directly affect their means of travel. In the Supported Bus User Survey over 15% of women travellers responded as having care responsibilities and the supported route a key part of enabling them to manage these responsibilities</w:t>
            </w:r>
          </w:p>
        </w:tc>
      </w:tr>
      <w:tr w:rsidR="000729CF" w:rsidRPr="000729CF" w14:paraId="5174E8F0" w14:textId="77777777" w:rsidTr="000729CF">
        <w:trPr>
          <w:trHeight w:val="20"/>
        </w:trPr>
        <w:tc>
          <w:tcPr>
            <w:tcW w:w="2985" w:type="dxa"/>
            <w:shd w:val="clear" w:color="auto" w:fill="E7E6E6"/>
          </w:tcPr>
          <w:p w14:paraId="4ABEF91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2123" w:type="dxa"/>
          </w:tcPr>
          <w:p w14:paraId="1B65FD5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c>
          <w:tcPr>
            <w:tcW w:w="5377" w:type="dxa"/>
          </w:tcPr>
          <w:p w14:paraId="32B47EE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disproportionate impacts identified</w:t>
            </w:r>
          </w:p>
        </w:tc>
      </w:tr>
      <w:tr w:rsidR="000729CF" w:rsidRPr="000729CF" w14:paraId="46EC7261" w14:textId="77777777" w:rsidTr="000729CF">
        <w:trPr>
          <w:trHeight w:val="20"/>
        </w:trPr>
        <w:tc>
          <w:tcPr>
            <w:tcW w:w="2985" w:type="dxa"/>
            <w:shd w:val="clear" w:color="auto" w:fill="E7E6E6"/>
          </w:tcPr>
          <w:p w14:paraId="0D191F8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2123" w:type="dxa"/>
          </w:tcPr>
          <w:p w14:paraId="17DC07F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c>
          <w:tcPr>
            <w:tcW w:w="5377" w:type="dxa"/>
          </w:tcPr>
          <w:p w14:paraId="6F2A5AD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disproportionate impacts identified.</w:t>
            </w:r>
          </w:p>
        </w:tc>
      </w:tr>
      <w:tr w:rsidR="000729CF" w:rsidRPr="000729CF" w14:paraId="53DE383C" w14:textId="77777777" w:rsidTr="000729CF">
        <w:trPr>
          <w:trHeight w:val="20"/>
        </w:trPr>
        <w:tc>
          <w:tcPr>
            <w:tcW w:w="2985" w:type="dxa"/>
            <w:shd w:val="clear" w:color="auto" w:fill="E7E6E6"/>
          </w:tcPr>
          <w:p w14:paraId="77ECBF9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2123" w:type="dxa"/>
          </w:tcPr>
          <w:p w14:paraId="507EE13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2E92E16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disproportionate impacts identified</w:t>
            </w:r>
          </w:p>
        </w:tc>
      </w:tr>
      <w:tr w:rsidR="000729CF" w:rsidRPr="000729CF" w14:paraId="33CC8AB4" w14:textId="77777777" w:rsidTr="000729CF">
        <w:trPr>
          <w:trHeight w:val="20"/>
        </w:trPr>
        <w:tc>
          <w:tcPr>
            <w:tcW w:w="2985" w:type="dxa"/>
            <w:shd w:val="clear" w:color="auto" w:fill="E7E6E6"/>
          </w:tcPr>
          <w:p w14:paraId="0F202D6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Pregnancy, Maternity, Paternity, Adoption, Menopause, (In)fertility </w:t>
            </w:r>
            <w:r w:rsidRPr="000729CF">
              <w:rPr>
                <w:rFonts w:ascii="Arial" w:eastAsia="Calibri" w:hAnsi="Arial" w:cs="Arial"/>
                <w:color w:val="000000"/>
                <w:sz w:val="24"/>
                <w:szCs w:val="24"/>
              </w:rPr>
              <w:t>(across intersections and non-binary gender spectrum)</w:t>
            </w:r>
          </w:p>
        </w:tc>
        <w:tc>
          <w:tcPr>
            <w:tcW w:w="2123" w:type="dxa"/>
          </w:tcPr>
          <w:p w14:paraId="607A15C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46A1E22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21% of households in the city have dependent children (Census 2021) </w:t>
            </w:r>
          </w:p>
          <w:p w14:paraId="4B6D1BB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Women were over-represented as users in the Supported Bus route passenger survey; cuts to bus services will directly affect their means of travel to appointments and services. </w:t>
            </w:r>
          </w:p>
        </w:tc>
      </w:tr>
      <w:tr w:rsidR="000729CF" w:rsidRPr="000729CF" w14:paraId="0B425401" w14:textId="77777777" w:rsidTr="000729CF">
        <w:trPr>
          <w:trHeight w:val="20"/>
        </w:trPr>
        <w:tc>
          <w:tcPr>
            <w:tcW w:w="2985" w:type="dxa"/>
            <w:shd w:val="clear" w:color="auto" w:fill="E7E6E6"/>
          </w:tcPr>
          <w:p w14:paraId="48F1EBB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2123" w:type="dxa"/>
          </w:tcPr>
          <w:p w14:paraId="03EC9A8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c>
          <w:tcPr>
            <w:tcW w:w="5377" w:type="dxa"/>
          </w:tcPr>
          <w:p w14:paraId="26F11F1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disproportionate impacts identified</w:t>
            </w:r>
          </w:p>
        </w:tc>
      </w:tr>
      <w:tr w:rsidR="000729CF" w:rsidRPr="000729CF" w14:paraId="4936B941" w14:textId="77777777" w:rsidTr="000729CF">
        <w:trPr>
          <w:trHeight w:val="20"/>
        </w:trPr>
        <w:tc>
          <w:tcPr>
            <w:tcW w:w="2985" w:type="dxa"/>
            <w:shd w:val="clear" w:color="auto" w:fill="E7E6E6"/>
          </w:tcPr>
          <w:p w14:paraId="0A9D6902" w14:textId="77777777" w:rsidR="000729CF" w:rsidRPr="000729CF" w:rsidRDefault="000729CF" w:rsidP="000729CF">
            <w:pPr>
              <w:spacing w:after="120"/>
              <w:rPr>
                <w:rFonts w:ascii="Arial" w:eastAsia="Calibri" w:hAnsi="Arial" w:cs="Arial"/>
                <w:b/>
                <w:bCs/>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r w:rsidRPr="000729CF">
              <w:rPr>
                <w:rFonts w:ascii="Arial" w:hAnsi="Arial" w:cs="Arial"/>
                <w:color w:val="000000"/>
                <w:sz w:val="24"/>
                <w:szCs w:val="24"/>
              </w:rPr>
              <w:t>considering for age, language, and various intersections</w:t>
            </w:r>
          </w:p>
        </w:tc>
        <w:tc>
          <w:tcPr>
            <w:tcW w:w="2123" w:type="dxa"/>
          </w:tcPr>
          <w:p w14:paraId="53D21F8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3F0F976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One in five residents (54,343 people, 20%) were born outside of the UK. Higher than seen in the Southeast (16%) and England (17%).  (Census 2021).</w:t>
            </w:r>
          </w:p>
          <w:p w14:paraId="542FB70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Despite the overall number of residents only increasing by 1%. The number of residents born outside of the UK has increased by 27% (11,456 people) since 2011, with the proportion increasing from 16% to 20%. </w:t>
            </w:r>
          </w:p>
          <w:p w14:paraId="458CC63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Just under one in six residents (15%) having lived in the UK for less than 2 years. Both figures are higher then found in the Southeast and England.</w:t>
            </w:r>
          </w:p>
          <w:p w14:paraId="449CAA1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Some refugees and migrants are on low and fixed incomes. Therefore, like other population cohorts on low and fixed incomes are impacted by the reduction in public transport options making it more difficult to get to their places of work, education, leisure, social and worship. </w:t>
            </w:r>
          </w:p>
        </w:tc>
      </w:tr>
      <w:tr w:rsidR="000729CF" w:rsidRPr="000729CF" w14:paraId="50CCAAEF" w14:textId="77777777" w:rsidTr="000729CF">
        <w:trPr>
          <w:trHeight w:val="20"/>
        </w:trPr>
        <w:tc>
          <w:tcPr>
            <w:tcW w:w="2985" w:type="dxa"/>
            <w:shd w:val="clear" w:color="auto" w:fill="E7E6E6"/>
          </w:tcPr>
          <w:p w14:paraId="536DDE9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Carers </w:t>
            </w:r>
            <w:r w:rsidRPr="000729CF">
              <w:rPr>
                <w:rFonts w:ascii="Arial" w:hAnsi="Arial" w:cs="Arial"/>
                <w:color w:val="000000"/>
                <w:sz w:val="24"/>
                <w:szCs w:val="24"/>
              </w:rPr>
              <w:t>considering for age, language, and various intersections</w:t>
            </w:r>
          </w:p>
        </w:tc>
        <w:tc>
          <w:tcPr>
            <w:tcW w:w="2123" w:type="dxa"/>
          </w:tcPr>
          <w:p w14:paraId="3900F08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7417D17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Residents providing unpaid care live in all areas of the city but there are proportionally fewer in central areas of the city compared to outer areas. (census 2021). Carers and disabled people are more likely to have lower and/or fixed incomes. Reduction is bus services for carers may reduce their access to support for themselves and the person they care for and to carry out daily activities. </w:t>
            </w:r>
          </w:p>
        </w:tc>
      </w:tr>
      <w:tr w:rsidR="000729CF" w:rsidRPr="000729CF" w14:paraId="5D73D6B7" w14:textId="77777777" w:rsidTr="000729CF">
        <w:trPr>
          <w:trHeight w:val="20"/>
        </w:trPr>
        <w:tc>
          <w:tcPr>
            <w:tcW w:w="2985" w:type="dxa"/>
            <w:shd w:val="clear" w:color="auto" w:fill="E7E6E6"/>
          </w:tcPr>
          <w:p w14:paraId="56C67CD9"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 xml:space="preserve">Looked after children, Care Leavers, Care and fostering experienced people </w:t>
            </w:r>
            <w:r w:rsidRPr="000729CF">
              <w:rPr>
                <w:rFonts w:ascii="Arial" w:hAnsi="Arial" w:cs="Arial"/>
                <w:color w:val="000000"/>
                <w:sz w:val="24"/>
                <w:szCs w:val="24"/>
              </w:rPr>
              <w:t>considering for age, language, and various intersections</w:t>
            </w:r>
          </w:p>
        </w:tc>
        <w:tc>
          <w:tcPr>
            <w:tcW w:w="2123" w:type="dxa"/>
          </w:tcPr>
          <w:p w14:paraId="17B06B8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6618B8B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disproportionate impacts identified</w:t>
            </w:r>
          </w:p>
        </w:tc>
      </w:tr>
      <w:tr w:rsidR="000729CF" w:rsidRPr="000729CF" w14:paraId="17F974BF" w14:textId="77777777" w:rsidTr="000729CF">
        <w:trPr>
          <w:trHeight w:val="20"/>
        </w:trPr>
        <w:tc>
          <w:tcPr>
            <w:tcW w:w="2985" w:type="dxa"/>
            <w:shd w:val="clear" w:color="auto" w:fill="E7E6E6"/>
          </w:tcPr>
          <w:p w14:paraId="4001233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w:t>
            </w:r>
          </w:p>
        </w:tc>
        <w:tc>
          <w:tcPr>
            <w:tcW w:w="2123" w:type="dxa"/>
          </w:tcPr>
          <w:p w14:paraId="06AFDA2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c>
          <w:tcPr>
            <w:tcW w:w="5377" w:type="dxa"/>
          </w:tcPr>
          <w:p w14:paraId="2351E63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disproportionate impacts identified</w:t>
            </w:r>
          </w:p>
        </w:tc>
      </w:tr>
      <w:tr w:rsidR="000729CF" w:rsidRPr="000729CF" w14:paraId="65421732" w14:textId="77777777" w:rsidTr="000729CF">
        <w:trPr>
          <w:trHeight w:val="20"/>
        </w:trPr>
        <w:tc>
          <w:tcPr>
            <w:tcW w:w="2985" w:type="dxa"/>
            <w:shd w:val="clear" w:color="auto" w:fill="E7E6E6"/>
          </w:tcPr>
          <w:p w14:paraId="58006FA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Socio-economic disadvantage </w:t>
            </w:r>
            <w:r w:rsidRPr="000729CF">
              <w:rPr>
                <w:rFonts w:ascii="Arial" w:eastAsia="Calibri" w:hAnsi="Arial" w:cs="Arial"/>
                <w:color w:val="000000"/>
                <w:sz w:val="24"/>
                <w:szCs w:val="24"/>
              </w:rPr>
              <w:t>considering for age, disability, D/deaf/ blind, ethnicity, expatriate background, and various intersections</w:t>
            </w:r>
          </w:p>
        </w:tc>
        <w:tc>
          <w:tcPr>
            <w:tcW w:w="2123" w:type="dxa"/>
          </w:tcPr>
          <w:p w14:paraId="23C8DA6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6B6E53E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(Index of Multiple Deprivation 2019) Approximately 17.2% of Brighton and Hove residents live in one of the most deprived 20% of areas in England</w:t>
            </w:r>
          </w:p>
          <w:p w14:paraId="0295227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18.7% of older people are income deprived.</w:t>
            </w:r>
          </w:p>
          <w:p w14:paraId="2E5780B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68% of passengers using supported bus services said they would not have an alternative means of making their journey if the bus service did not exist.</w:t>
            </w:r>
          </w:p>
          <w:p w14:paraId="6DF1349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Areas which </w:t>
            </w:r>
            <w:bookmarkStart w:id="87" w:name="_Int_VZgc6cKK"/>
            <w:r w:rsidRPr="000729CF">
              <w:rPr>
                <w:rFonts w:ascii="Arial" w:eastAsia="Calibri" w:hAnsi="Arial" w:cs="Arial"/>
                <w:sz w:val="24"/>
                <w:szCs w:val="24"/>
              </w:rPr>
              <w:t>don’t</w:t>
            </w:r>
            <w:bookmarkEnd w:id="87"/>
            <w:r w:rsidRPr="000729CF">
              <w:rPr>
                <w:rFonts w:ascii="Arial" w:eastAsia="Calibri" w:hAnsi="Arial" w:cs="Arial"/>
                <w:sz w:val="24"/>
                <w:szCs w:val="24"/>
              </w:rPr>
              <w:t xml:space="preserve"> benefit from higher frequency services tend to be those served by the supported bus network.</w:t>
            </w:r>
          </w:p>
          <w:p w14:paraId="597B3C0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Child poverty - The loss of the support network in particular areas of the city may disproportionately affect children from family units where the family is living on less than 60% of NMI.</w:t>
            </w:r>
          </w:p>
          <w:p w14:paraId="67B9C03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Other groups - Changes in the ratio of car ownership levels and bus patronage: The Local Transport Plan 5 for the city lays out </w:t>
            </w:r>
            <w:bookmarkStart w:id="88" w:name="_Int_luM2h158"/>
            <w:r w:rsidRPr="000729CF">
              <w:rPr>
                <w:rFonts w:ascii="Arial" w:eastAsia="Calibri" w:hAnsi="Arial" w:cs="Arial"/>
                <w:sz w:val="24"/>
                <w:szCs w:val="24"/>
              </w:rPr>
              <w:t>a number of</w:t>
            </w:r>
            <w:bookmarkEnd w:id="88"/>
            <w:r w:rsidRPr="000729CF">
              <w:rPr>
                <w:rFonts w:ascii="Arial" w:eastAsia="Calibri" w:hAnsi="Arial" w:cs="Arial"/>
                <w:sz w:val="24"/>
                <w:szCs w:val="24"/>
              </w:rPr>
              <w:t xml:space="preserve"> strategies for improvements in transport and for mitigating the effects of transport on health and well-being and economic prosperity. The city has lower than average car ownership levels and a corresponding higher than average levels of bus patronage. Any cuts to bus services may result in increasing levels of car use.</w:t>
            </w:r>
          </w:p>
          <w:p w14:paraId="5C0FCD4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Health and well-being: cuts to bus services may lead to reduced rates of physical activity and social isolation and in turn impact in additional pressure on NHS and public health services.</w:t>
            </w:r>
          </w:p>
        </w:tc>
      </w:tr>
      <w:tr w:rsidR="000729CF" w:rsidRPr="000729CF" w14:paraId="5CEE20C2" w14:textId="77777777" w:rsidTr="000729CF">
        <w:trPr>
          <w:trHeight w:val="20"/>
        </w:trPr>
        <w:tc>
          <w:tcPr>
            <w:tcW w:w="2985" w:type="dxa"/>
            <w:shd w:val="clear" w:color="auto" w:fill="E7E6E6"/>
          </w:tcPr>
          <w:p w14:paraId="3380B82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Homeless and rough sleepers </w:t>
            </w:r>
            <w:r w:rsidRPr="000729CF">
              <w:rPr>
                <w:rFonts w:ascii="Arial" w:eastAsia="Calibri" w:hAnsi="Arial" w:cs="Arial"/>
                <w:color w:val="000000"/>
                <w:sz w:val="24"/>
                <w:szCs w:val="24"/>
              </w:rPr>
              <w:t>considering for age, veteran, ethnicity, language, and various intersections</w:t>
            </w:r>
          </w:p>
        </w:tc>
        <w:tc>
          <w:tcPr>
            <w:tcW w:w="2123" w:type="dxa"/>
          </w:tcPr>
          <w:p w14:paraId="6C26561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c>
          <w:tcPr>
            <w:tcW w:w="5377" w:type="dxa"/>
          </w:tcPr>
          <w:p w14:paraId="15C2601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disproportionate impacts identified</w:t>
            </w:r>
          </w:p>
        </w:tc>
      </w:tr>
      <w:tr w:rsidR="000729CF" w:rsidRPr="000729CF" w14:paraId="3CB775EC" w14:textId="77777777" w:rsidTr="000729CF">
        <w:trPr>
          <w:trHeight w:val="20"/>
        </w:trPr>
        <w:tc>
          <w:tcPr>
            <w:tcW w:w="2985" w:type="dxa"/>
            <w:shd w:val="clear" w:color="auto" w:fill="E7E6E6"/>
          </w:tcPr>
          <w:p w14:paraId="366BA5B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2123" w:type="dxa"/>
          </w:tcPr>
          <w:p w14:paraId="5AC1454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438ABE6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disproportionate impacts identified</w:t>
            </w:r>
          </w:p>
        </w:tc>
      </w:tr>
      <w:tr w:rsidR="000729CF" w:rsidRPr="000729CF" w14:paraId="0851ABFC" w14:textId="77777777" w:rsidTr="000729CF">
        <w:trPr>
          <w:trHeight w:val="20"/>
        </w:trPr>
        <w:tc>
          <w:tcPr>
            <w:tcW w:w="2985" w:type="dxa"/>
            <w:shd w:val="clear" w:color="auto" w:fill="E7E6E6"/>
          </w:tcPr>
          <w:p w14:paraId="6533A5E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 (please specify here and add additional rows as needed)</w:t>
            </w:r>
          </w:p>
        </w:tc>
        <w:tc>
          <w:tcPr>
            <w:tcW w:w="2123" w:type="dxa"/>
          </w:tcPr>
          <w:p w14:paraId="0970F14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Schoolchildren and parents/ guardians of schoolchildren </w:t>
            </w:r>
          </w:p>
        </w:tc>
        <w:tc>
          <w:tcPr>
            <w:tcW w:w="5377" w:type="dxa"/>
          </w:tcPr>
          <w:p w14:paraId="4CE5008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If commercial services are to be used instead of the supported service, this may lead to longer journeys for some adding to length of the school day. Where parents then replace the bus journey by driving their children to school as a preferably option, there may be more congestion on roads and less independence for children</w:t>
            </w:r>
          </w:p>
        </w:tc>
      </w:tr>
    </w:tbl>
    <w:p w14:paraId="403FA8D4" w14:textId="77777777" w:rsidR="000729CF" w:rsidRPr="000729CF" w:rsidRDefault="000729CF" w:rsidP="000729CF">
      <w:pPr>
        <w:spacing w:after="160" w:line="259" w:lineRule="auto"/>
        <w:rPr>
          <w:rFonts w:ascii="Arial" w:eastAsia="Calibri" w:hAnsi="Arial" w:cs="Arial"/>
          <w:b/>
          <w:bCs/>
          <w:sz w:val="24"/>
          <w:szCs w:val="24"/>
          <w:lang w:val="en-GB"/>
        </w:rPr>
      </w:pPr>
    </w:p>
    <w:p w14:paraId="653CB564"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65079824"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6F647C9C"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7D0D5D36"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04BDDA3B"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0269B56C"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2C619540"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36A787C1"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540FB6E0"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79E79F51"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45D7CE80" w14:textId="77777777" w:rsidR="000729CF" w:rsidRPr="000729CF" w:rsidRDefault="000729CF" w:rsidP="000729CF">
      <w:pPr>
        <w:rPr>
          <w:rFonts w:ascii="Arial" w:eastAsia="Calibri" w:hAnsi="Arial" w:cs="Arial"/>
          <w:sz w:val="24"/>
          <w:szCs w:val="24"/>
          <w:lang w:val="en-GB"/>
        </w:rPr>
      </w:pPr>
    </w:p>
    <w:p w14:paraId="0319E9E2"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Cumulative impacts</w:t>
      </w:r>
    </w:p>
    <w:p w14:paraId="142E2D5D"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Are there other budget proposals from other service areas that might worsen or mitigate the impacts from your proposal? Please give a brief description including name of other service(s).</w:t>
      </w:r>
    </w:p>
    <w:tbl>
      <w:tblPr>
        <w:tblStyle w:val="TableGrid"/>
        <w:tblW w:w="0" w:type="auto"/>
        <w:tblLook w:val="04A0" w:firstRow="1" w:lastRow="0" w:firstColumn="1" w:lastColumn="0" w:noHBand="0" w:noVBand="1"/>
      </w:tblPr>
      <w:tblGrid>
        <w:gridCol w:w="10456"/>
      </w:tblGrid>
      <w:tr w:rsidR="000729CF" w:rsidRPr="000729CF" w14:paraId="3DADEB93" w14:textId="77777777" w:rsidTr="00BC26AB">
        <w:tc>
          <w:tcPr>
            <w:tcW w:w="10456" w:type="dxa"/>
          </w:tcPr>
          <w:p w14:paraId="4A8F0D59"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Other budget savings across the council that disproportionately impact on disabled people, older people, and residents on low and fixed incomes may worsen the impact of this proposal.</w:t>
            </w:r>
          </w:p>
          <w:p w14:paraId="6CFFE187" w14:textId="77777777" w:rsidR="000729CF" w:rsidRPr="000729CF" w:rsidRDefault="000729CF" w:rsidP="000729CF">
            <w:pPr>
              <w:rPr>
                <w:rFonts w:ascii="Arial" w:eastAsia="Calibri" w:hAnsi="Arial" w:cs="Arial"/>
                <w:sz w:val="24"/>
                <w:szCs w:val="24"/>
              </w:rPr>
            </w:pPr>
          </w:p>
          <w:p w14:paraId="2F7BDBD9" w14:textId="77777777" w:rsidR="000729CF" w:rsidRPr="000729CF" w:rsidRDefault="000729CF" w:rsidP="000729CF">
            <w:pPr>
              <w:rPr>
                <w:rFonts w:ascii="Arial" w:eastAsia="Calibri" w:hAnsi="Arial" w:cs="Arial"/>
                <w:sz w:val="24"/>
                <w:szCs w:val="24"/>
              </w:rPr>
            </w:pPr>
          </w:p>
        </w:tc>
      </w:tr>
    </w:tbl>
    <w:p w14:paraId="543334C7" w14:textId="77777777" w:rsidR="000729CF" w:rsidRPr="000729CF" w:rsidRDefault="000729CF" w:rsidP="000729CF">
      <w:pPr>
        <w:spacing w:after="160" w:line="259" w:lineRule="auto"/>
        <w:rPr>
          <w:rFonts w:ascii="Arial" w:eastAsia="Calibri" w:hAnsi="Arial" w:cs="Arial"/>
          <w:sz w:val="24"/>
          <w:szCs w:val="24"/>
          <w:lang w:val="en-GB"/>
        </w:rPr>
      </w:pPr>
    </w:p>
    <w:p w14:paraId="4B7C8FFB"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Action planning</w:t>
      </w:r>
    </w:p>
    <w:p w14:paraId="04AC7A49"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SMART actions will be taken to mitigate the disproportionate impacts identified in section 3? If no mitigating action is possible, please state and explain why. Add additional rows as required. </w:t>
      </w:r>
    </w:p>
    <w:tbl>
      <w:tblPr>
        <w:tblStyle w:val="TableGrid"/>
        <w:tblW w:w="0" w:type="auto"/>
        <w:tblLook w:val="04A0" w:firstRow="1" w:lastRow="0" w:firstColumn="1" w:lastColumn="0" w:noHBand="0" w:noVBand="1"/>
      </w:tblPr>
      <w:tblGrid>
        <w:gridCol w:w="10456"/>
      </w:tblGrid>
      <w:tr w:rsidR="000729CF" w:rsidRPr="000729CF" w14:paraId="1701F9B8" w14:textId="77777777" w:rsidTr="00BC26AB">
        <w:trPr>
          <w:trHeight w:val="847"/>
        </w:trPr>
        <w:tc>
          <w:tcPr>
            <w:tcW w:w="10456" w:type="dxa"/>
          </w:tcPr>
          <w:p w14:paraId="67DBFDC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SMART action 1: Approach local bus operators to see if they can step in to provide a full or partial commercial service to cover these routes</w:t>
            </w:r>
          </w:p>
          <w:p w14:paraId="7DA3FBDB" w14:textId="77777777" w:rsidR="000729CF" w:rsidRPr="000729CF" w:rsidRDefault="000729CF" w:rsidP="000729CF">
            <w:pPr>
              <w:spacing w:after="120"/>
              <w:ind w:left="360"/>
              <w:rPr>
                <w:rFonts w:ascii="Arial" w:eastAsia="Calibri" w:hAnsi="Arial" w:cs="Arial"/>
                <w:sz w:val="24"/>
                <w:szCs w:val="24"/>
              </w:rPr>
            </w:pPr>
          </w:p>
        </w:tc>
      </w:tr>
      <w:tr w:rsidR="000729CF" w:rsidRPr="000729CF" w14:paraId="439C1B21" w14:textId="77777777" w:rsidTr="00BC26AB">
        <w:trPr>
          <w:trHeight w:val="847"/>
        </w:trPr>
        <w:tc>
          <w:tcPr>
            <w:tcW w:w="10456" w:type="dxa"/>
          </w:tcPr>
          <w:p w14:paraId="41D5D6B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SMART action 2: Bid for funding from future Bus Support schemes grants from the Department of Transport. May be able to reinstate lost services but there could be a cliff edge when funding runs out</w:t>
            </w:r>
          </w:p>
        </w:tc>
      </w:tr>
    </w:tbl>
    <w:p w14:paraId="56C98E3D" w14:textId="77777777" w:rsidR="000729CF" w:rsidRPr="000729CF" w:rsidRDefault="000729CF" w:rsidP="000729CF">
      <w:pPr>
        <w:spacing w:after="160" w:line="259" w:lineRule="auto"/>
        <w:rPr>
          <w:rFonts w:ascii="Arial" w:eastAsia="Calibri" w:hAnsi="Arial" w:cs="Arial"/>
          <w:sz w:val="24"/>
          <w:szCs w:val="24"/>
          <w:lang w:val="en-GB"/>
        </w:rPr>
      </w:pPr>
    </w:p>
    <w:p w14:paraId="0D629E6B"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Outcome of your assessment</w:t>
      </w:r>
    </w:p>
    <w:p w14:paraId="1B6423B3"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Based on the information above give the proposal an impact score between 1 – 5. </w:t>
      </w:r>
    </w:p>
    <w:p w14:paraId="6BBA3FAC"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1= proposal has minimal impact and/or mitigating actions will significantly minimise the impact</w:t>
      </w:r>
    </w:p>
    <w:p w14:paraId="6329ABC8"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3= proposal will have a significant negative impact; however, mitigation actions will reduce the </w:t>
      </w:r>
      <w:bookmarkStart w:id="89" w:name="_Int_tEBnsZAF"/>
      <w:r w:rsidRPr="000729CF">
        <w:rPr>
          <w:rFonts w:ascii="Arial" w:eastAsia="Calibri" w:hAnsi="Arial" w:cs="Arial"/>
          <w:sz w:val="24"/>
          <w:szCs w:val="24"/>
          <w:lang w:val="en-GB"/>
        </w:rPr>
        <w:t>impact considerably</w:t>
      </w:r>
      <w:bookmarkEnd w:id="89"/>
      <w:r w:rsidRPr="000729CF">
        <w:rPr>
          <w:rFonts w:ascii="Arial" w:eastAsia="Calibri" w:hAnsi="Arial" w:cs="Arial"/>
          <w:sz w:val="24"/>
          <w:szCs w:val="24"/>
          <w:lang w:val="en-GB"/>
        </w:rPr>
        <w:t>.</w:t>
      </w:r>
    </w:p>
    <w:p w14:paraId="50B01310"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5= proposal has significant impact and mitigating actions will have limited effect on reducing impact.</w:t>
      </w:r>
    </w:p>
    <w:p w14:paraId="0DD82CE0" w14:textId="77777777" w:rsidR="000729CF" w:rsidRPr="000729CF" w:rsidRDefault="000729CF" w:rsidP="000729CF">
      <w:pPr>
        <w:rPr>
          <w:rFonts w:ascii="Arial" w:eastAsia="Calibri" w:hAnsi="Arial" w:cs="Arial"/>
          <w:sz w:val="24"/>
          <w:szCs w:val="24"/>
          <w:highlight w:val="yellow"/>
          <w:lang w:val="en-GB"/>
        </w:rPr>
      </w:pPr>
    </w:p>
    <w:tbl>
      <w:tblPr>
        <w:tblStyle w:val="TableGrid"/>
        <w:tblW w:w="0" w:type="auto"/>
        <w:tblLook w:val="04A0" w:firstRow="1" w:lastRow="0" w:firstColumn="1" w:lastColumn="0" w:noHBand="0" w:noVBand="1"/>
      </w:tblPr>
      <w:tblGrid>
        <w:gridCol w:w="3114"/>
        <w:gridCol w:w="7342"/>
      </w:tblGrid>
      <w:tr w:rsidR="000729CF" w:rsidRPr="000729CF" w14:paraId="3AFB75B1" w14:textId="77777777" w:rsidTr="00BC26AB">
        <w:trPr>
          <w:trHeight w:val="152"/>
        </w:trPr>
        <w:tc>
          <w:tcPr>
            <w:tcW w:w="3114" w:type="dxa"/>
          </w:tcPr>
          <w:p w14:paraId="393E3B9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Proposal’s impact score:</w:t>
            </w:r>
          </w:p>
        </w:tc>
        <w:tc>
          <w:tcPr>
            <w:tcW w:w="7342" w:type="dxa"/>
          </w:tcPr>
          <w:p w14:paraId="238185E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4</w:t>
            </w:r>
          </w:p>
        </w:tc>
      </w:tr>
    </w:tbl>
    <w:p w14:paraId="5BDEE1AA" w14:textId="77777777" w:rsidR="000729CF" w:rsidRPr="000729CF" w:rsidRDefault="000729CF" w:rsidP="000729CF">
      <w:pPr>
        <w:spacing w:after="160" w:line="259" w:lineRule="auto"/>
        <w:rPr>
          <w:rFonts w:ascii="Arial" w:eastAsia="Calibri" w:hAnsi="Arial" w:cs="Arial"/>
          <w:sz w:val="24"/>
          <w:szCs w:val="24"/>
          <w:lang w:val="en-GB"/>
        </w:rPr>
      </w:pPr>
    </w:p>
    <w:p w14:paraId="108412D9"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Publication</w:t>
      </w:r>
    </w:p>
    <w:p w14:paraId="35D3CB60"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All Equality Impact Assessments will be published. If you are recommending, and choosing not to publish your EIA, please provide a reason:</w:t>
      </w:r>
    </w:p>
    <w:tbl>
      <w:tblPr>
        <w:tblStyle w:val="TableGrid"/>
        <w:tblW w:w="0" w:type="auto"/>
        <w:tblLook w:val="04A0" w:firstRow="1" w:lastRow="0" w:firstColumn="1" w:lastColumn="0" w:noHBand="0" w:noVBand="1"/>
      </w:tblPr>
      <w:tblGrid>
        <w:gridCol w:w="10456"/>
      </w:tblGrid>
      <w:tr w:rsidR="000729CF" w:rsidRPr="000729CF" w14:paraId="12C57CAD" w14:textId="77777777" w:rsidTr="00BC26AB">
        <w:trPr>
          <w:trHeight w:val="803"/>
        </w:trPr>
        <w:tc>
          <w:tcPr>
            <w:tcW w:w="10456" w:type="dxa"/>
          </w:tcPr>
          <w:p w14:paraId="192DF2BA" w14:textId="77777777" w:rsidR="000729CF" w:rsidRPr="000729CF" w:rsidRDefault="000729CF" w:rsidP="000729CF">
            <w:pPr>
              <w:spacing w:after="120"/>
              <w:rPr>
                <w:rFonts w:ascii="Arial" w:eastAsia="Calibri" w:hAnsi="Arial" w:cs="Arial"/>
                <w:sz w:val="24"/>
                <w:szCs w:val="24"/>
              </w:rPr>
            </w:pPr>
          </w:p>
        </w:tc>
      </w:tr>
    </w:tbl>
    <w:p w14:paraId="3D4CA7AE" w14:textId="77777777" w:rsidR="000729CF" w:rsidRPr="000729CF" w:rsidRDefault="000729CF" w:rsidP="000729CF">
      <w:pPr>
        <w:spacing w:after="160" w:line="259" w:lineRule="auto"/>
        <w:rPr>
          <w:rFonts w:ascii="Arial" w:eastAsia="Calibri" w:hAnsi="Arial" w:cs="Arial"/>
          <w:sz w:val="24"/>
          <w:szCs w:val="24"/>
          <w:lang w:val="en-GB"/>
        </w:rPr>
      </w:pPr>
    </w:p>
    <w:p w14:paraId="40C985D8"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Directorate and Service Approval</w:t>
      </w:r>
    </w:p>
    <w:tbl>
      <w:tblPr>
        <w:tblStyle w:val="TableGrid"/>
        <w:tblW w:w="0" w:type="auto"/>
        <w:tblLook w:val="04A0" w:firstRow="1" w:lastRow="0" w:firstColumn="1" w:lastColumn="0" w:noHBand="0" w:noVBand="1"/>
      </w:tblPr>
      <w:tblGrid>
        <w:gridCol w:w="3681"/>
        <w:gridCol w:w="4394"/>
        <w:gridCol w:w="2381"/>
      </w:tblGrid>
      <w:tr w:rsidR="000729CF" w:rsidRPr="000729CF" w14:paraId="168A3DA6" w14:textId="77777777" w:rsidTr="000729CF">
        <w:trPr>
          <w:trHeight w:val="20"/>
        </w:trPr>
        <w:tc>
          <w:tcPr>
            <w:tcW w:w="3681" w:type="dxa"/>
            <w:tcBorders>
              <w:bottom w:val="single" w:sz="4" w:space="0" w:color="auto"/>
            </w:tcBorders>
            <w:shd w:val="clear" w:color="auto" w:fill="D9D9D9"/>
          </w:tcPr>
          <w:p w14:paraId="0E207BD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0F3B04A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 and Job Title:</w:t>
            </w:r>
          </w:p>
        </w:tc>
        <w:tc>
          <w:tcPr>
            <w:tcW w:w="2381" w:type="dxa"/>
            <w:shd w:val="clear" w:color="auto" w:fill="D9D9D9"/>
          </w:tcPr>
          <w:p w14:paraId="662E3A9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14753BBB" w14:textId="77777777" w:rsidTr="000729CF">
        <w:trPr>
          <w:trHeight w:val="20"/>
        </w:trPr>
        <w:tc>
          <w:tcPr>
            <w:tcW w:w="3681" w:type="dxa"/>
            <w:shd w:val="clear" w:color="auto" w:fill="E7E6E6"/>
          </w:tcPr>
          <w:p w14:paraId="506BC2C6" w14:textId="77777777" w:rsidR="000729CF" w:rsidRPr="000729CF" w:rsidRDefault="000729CF" w:rsidP="000729CF">
            <w:pPr>
              <w:spacing w:after="120"/>
              <w:rPr>
                <w:rFonts w:ascii="Brush Script MT" w:hAnsi="Brush Script MT" w:cs="Brush Script MT"/>
                <w:i/>
                <w:sz w:val="24"/>
                <w:szCs w:val="24"/>
              </w:rPr>
            </w:pPr>
            <w:r w:rsidRPr="000729CF">
              <w:rPr>
                <w:rFonts w:ascii="Arial" w:eastAsia="Calibri" w:hAnsi="Arial" w:cs="Arial"/>
                <w:b/>
                <w:bCs/>
                <w:sz w:val="24"/>
                <w:szCs w:val="24"/>
              </w:rPr>
              <w:t xml:space="preserve">Responsible Lead Officer: </w:t>
            </w:r>
          </w:p>
        </w:tc>
        <w:tc>
          <w:tcPr>
            <w:tcW w:w="4394" w:type="dxa"/>
          </w:tcPr>
          <w:p w14:paraId="511C0BF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Owen McElroy National Bus Strategy Programme Manager</w:t>
            </w:r>
          </w:p>
        </w:tc>
        <w:tc>
          <w:tcPr>
            <w:tcW w:w="2381" w:type="dxa"/>
          </w:tcPr>
          <w:p w14:paraId="3C04852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22.01.24</w:t>
            </w:r>
          </w:p>
        </w:tc>
      </w:tr>
      <w:tr w:rsidR="000729CF" w:rsidRPr="000729CF" w14:paraId="12F42B68" w14:textId="77777777" w:rsidTr="000729CF">
        <w:trPr>
          <w:trHeight w:val="20"/>
        </w:trPr>
        <w:tc>
          <w:tcPr>
            <w:tcW w:w="3681" w:type="dxa"/>
            <w:shd w:val="clear" w:color="auto" w:fill="E7E6E6"/>
          </w:tcPr>
          <w:p w14:paraId="7081337F" w14:textId="77777777" w:rsidR="000729CF" w:rsidRPr="000729CF" w:rsidRDefault="000729CF" w:rsidP="000729CF">
            <w:pPr>
              <w:spacing w:after="120"/>
              <w:rPr>
                <w:rFonts w:ascii="Fairwater Script" w:hAnsi="Fairwater Script" w:cs="Fairwater Script"/>
                <w:b/>
                <w:sz w:val="24"/>
                <w:szCs w:val="24"/>
              </w:rPr>
            </w:pPr>
            <w:r w:rsidRPr="000729CF">
              <w:rPr>
                <w:rFonts w:ascii="Arial" w:eastAsia="Calibri" w:hAnsi="Arial" w:cs="Arial"/>
                <w:b/>
                <w:bCs/>
                <w:sz w:val="24"/>
                <w:szCs w:val="24"/>
              </w:rPr>
              <w:t xml:space="preserve">Accountable Manager: </w:t>
            </w:r>
          </w:p>
        </w:tc>
        <w:tc>
          <w:tcPr>
            <w:tcW w:w="4394" w:type="dxa"/>
          </w:tcPr>
          <w:p w14:paraId="27A182A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Andrew Westwood Transport Projects and Engineering Manager</w:t>
            </w:r>
          </w:p>
        </w:tc>
        <w:tc>
          <w:tcPr>
            <w:tcW w:w="2381" w:type="dxa"/>
          </w:tcPr>
          <w:p w14:paraId="7A1F044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22.01.24</w:t>
            </w:r>
          </w:p>
        </w:tc>
      </w:tr>
    </w:tbl>
    <w:p w14:paraId="3C31E1F7" w14:textId="77777777" w:rsidR="000729CF" w:rsidRPr="000729CF" w:rsidRDefault="000729CF" w:rsidP="000729CF">
      <w:pPr>
        <w:spacing w:after="160" w:line="259" w:lineRule="auto"/>
        <w:rPr>
          <w:rFonts w:ascii="Arial" w:eastAsia="Calibri" w:hAnsi="Arial" w:cs="Arial"/>
          <w:sz w:val="24"/>
          <w:szCs w:val="24"/>
          <w:lang w:val="en-GB"/>
        </w:rPr>
      </w:pPr>
    </w:p>
    <w:p w14:paraId="60B68883" w14:textId="77777777" w:rsidR="000729CF" w:rsidRPr="000729CF" w:rsidRDefault="000729CF" w:rsidP="000729CF">
      <w:pPr>
        <w:keepNext/>
        <w:keepLines/>
        <w:spacing w:before="40" w:after="160" w:line="259" w:lineRule="auto"/>
        <w:outlineLvl w:val="2"/>
        <w:rPr>
          <w:rFonts w:ascii="Arial" w:hAnsi="Arial" w:cs="Arial"/>
          <w:b/>
          <w:bCs/>
          <w:color w:val="000000"/>
          <w:sz w:val="28"/>
          <w:szCs w:val="28"/>
          <w:lang w:val="en-GB"/>
        </w:rPr>
      </w:pPr>
      <w:r w:rsidRPr="000729CF">
        <w:rPr>
          <w:rFonts w:ascii="Arial" w:hAnsi="Arial" w:cs="Arial"/>
          <w:b/>
          <w:bCs/>
          <w:color w:val="000000"/>
          <w:sz w:val="28"/>
          <w:szCs w:val="28"/>
          <w:lang w:val="en-GB"/>
        </w:rPr>
        <w:t>EDI (Equality, Diversity, and Inclusion) Review and Approval:</w:t>
      </w:r>
    </w:p>
    <w:p w14:paraId="559FE3E1" w14:textId="77777777" w:rsidR="000729CF" w:rsidRPr="000729CF" w:rsidRDefault="000729CF" w:rsidP="000729CF">
      <w:pPr>
        <w:spacing w:after="160" w:line="259" w:lineRule="auto"/>
        <w:rPr>
          <w:rFonts w:ascii="Arial" w:eastAsia="Calibri" w:hAnsi="Arial" w:cs="Arial"/>
          <w:sz w:val="24"/>
          <w:szCs w:val="24"/>
          <w:lang w:val="en-GB"/>
        </w:rPr>
      </w:pPr>
    </w:p>
    <w:p w14:paraId="71F603DB" w14:textId="77777777" w:rsidR="000729CF" w:rsidRPr="000729CF" w:rsidRDefault="000729CF" w:rsidP="000729CF">
      <w:pPr>
        <w:keepNext/>
        <w:keepLines/>
        <w:spacing w:after="160" w:line="259" w:lineRule="auto"/>
        <w:ind w:left="283" w:hanging="283"/>
        <w:outlineLvl w:val="1"/>
        <w:rPr>
          <w:rFonts w:ascii="Arial" w:hAnsi="Arial" w:cs="Arial"/>
          <w:color w:val="2F5496"/>
          <w:sz w:val="24"/>
          <w:szCs w:val="24"/>
          <w:lang w:val="en-GB"/>
        </w:rPr>
      </w:pPr>
      <w:r w:rsidRPr="000729CF">
        <w:rPr>
          <w:rFonts w:ascii="Arial" w:hAnsi="Arial" w:cs="Arial"/>
          <w:color w:val="2F5496"/>
          <w:sz w:val="24"/>
          <w:szCs w:val="24"/>
          <w:lang w:val="en-GB"/>
        </w:rPr>
        <w:t>Equality Impact Assessment sign-off</w:t>
      </w:r>
    </w:p>
    <w:tbl>
      <w:tblPr>
        <w:tblStyle w:val="TableGrid"/>
        <w:tblW w:w="0" w:type="auto"/>
        <w:tblLook w:val="04A0" w:firstRow="1" w:lastRow="0" w:firstColumn="1" w:lastColumn="0" w:noHBand="0" w:noVBand="1"/>
      </w:tblPr>
      <w:tblGrid>
        <w:gridCol w:w="3681"/>
        <w:gridCol w:w="4394"/>
        <w:gridCol w:w="2381"/>
      </w:tblGrid>
      <w:tr w:rsidR="000729CF" w:rsidRPr="000729CF" w14:paraId="30D6452C" w14:textId="77777777" w:rsidTr="000729CF">
        <w:trPr>
          <w:trHeight w:val="20"/>
        </w:trPr>
        <w:tc>
          <w:tcPr>
            <w:tcW w:w="3681" w:type="dxa"/>
            <w:tcBorders>
              <w:bottom w:val="single" w:sz="4" w:space="0" w:color="auto"/>
            </w:tcBorders>
            <w:shd w:val="clear" w:color="auto" w:fill="D9D9D9"/>
          </w:tcPr>
          <w:p w14:paraId="05FECF9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1B6E7E0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w:t>
            </w:r>
          </w:p>
        </w:tc>
        <w:tc>
          <w:tcPr>
            <w:tcW w:w="2381" w:type="dxa"/>
            <w:shd w:val="clear" w:color="auto" w:fill="D9D9D9"/>
          </w:tcPr>
          <w:p w14:paraId="78E6299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17FB8C99" w14:textId="77777777" w:rsidTr="000729CF">
        <w:trPr>
          <w:trHeight w:val="20"/>
        </w:trPr>
        <w:tc>
          <w:tcPr>
            <w:tcW w:w="3681" w:type="dxa"/>
            <w:shd w:val="clear" w:color="auto" w:fill="E7E6E6"/>
          </w:tcPr>
          <w:p w14:paraId="27286F3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Head of Communities, Equality, and Third Sector (CETS) Service:</w:t>
            </w:r>
          </w:p>
        </w:tc>
        <w:tc>
          <w:tcPr>
            <w:tcW w:w="4394" w:type="dxa"/>
          </w:tcPr>
          <w:p w14:paraId="553E8C3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Emma McDermott</w:t>
            </w:r>
          </w:p>
        </w:tc>
        <w:tc>
          <w:tcPr>
            <w:tcW w:w="2381" w:type="dxa"/>
          </w:tcPr>
          <w:p w14:paraId="5B95AC3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22-01-24</w:t>
            </w:r>
          </w:p>
        </w:tc>
      </w:tr>
    </w:tbl>
    <w:p w14:paraId="284D9749" w14:textId="77777777" w:rsidR="000729CF" w:rsidRPr="000729CF" w:rsidRDefault="000729CF" w:rsidP="000729CF">
      <w:pPr>
        <w:rPr>
          <w:rFonts w:ascii="Arial" w:eastAsia="Calibri" w:hAnsi="Arial" w:cs="Arial"/>
          <w:sz w:val="22"/>
          <w:szCs w:val="22"/>
          <w:lang w:val="en-GB"/>
        </w:rPr>
      </w:pPr>
    </w:p>
    <w:p w14:paraId="43B18CDB" w14:textId="77777777" w:rsidR="000729CF" w:rsidRPr="000729CF" w:rsidRDefault="000729CF" w:rsidP="000729CF">
      <w:pPr>
        <w:spacing w:after="160" w:line="259" w:lineRule="auto"/>
        <w:rPr>
          <w:rFonts w:ascii="Arial" w:eastAsia="Calibri" w:hAnsi="Arial" w:cs="Arial"/>
          <w:b/>
          <w:bCs/>
          <w:sz w:val="24"/>
          <w:szCs w:val="24"/>
          <w:lang w:val="en-GB"/>
        </w:rPr>
      </w:pPr>
    </w:p>
    <w:p w14:paraId="0D759663" w14:textId="77777777" w:rsidR="000729CF" w:rsidRPr="000729CF" w:rsidRDefault="000729CF" w:rsidP="000729CF">
      <w:pPr>
        <w:keepNext/>
        <w:keepLines/>
        <w:spacing w:after="160" w:line="259" w:lineRule="auto"/>
        <w:outlineLvl w:val="1"/>
        <w:rPr>
          <w:rFonts w:ascii="Arial" w:eastAsia="Calibri" w:hAnsi="Arial" w:cs="Arial"/>
          <w:sz w:val="24"/>
          <w:szCs w:val="24"/>
          <w:lang w:val="en-GB"/>
        </w:rPr>
      </w:pPr>
    </w:p>
    <w:p w14:paraId="73170BDC" w14:textId="77777777" w:rsidR="000729CF" w:rsidRPr="000729CF" w:rsidRDefault="000729CF" w:rsidP="000729CF">
      <w:pPr>
        <w:spacing w:after="160" w:line="259" w:lineRule="auto"/>
        <w:rPr>
          <w:rFonts w:ascii="Arial" w:eastAsia="Calibri" w:hAnsi="Arial" w:cs="Arial"/>
          <w:sz w:val="24"/>
          <w:szCs w:val="24"/>
          <w:lang w:val="en-GB"/>
        </w:rPr>
      </w:pPr>
    </w:p>
    <w:p w14:paraId="562EE417"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br w:type="page"/>
      </w:r>
    </w:p>
    <w:p w14:paraId="5FF13938" w14:textId="77777777" w:rsidR="000729CF" w:rsidRPr="000729CF" w:rsidRDefault="000729CF" w:rsidP="000729CF">
      <w:pPr>
        <w:keepNext/>
        <w:keepLines/>
        <w:spacing w:after="160" w:line="259" w:lineRule="auto"/>
        <w:outlineLvl w:val="0"/>
        <w:rPr>
          <w:rFonts w:ascii="Arial" w:hAnsi="Arial" w:cs="Arial"/>
          <w:b/>
          <w:bCs/>
          <w:color w:val="2F5496"/>
          <w:sz w:val="28"/>
          <w:szCs w:val="28"/>
          <w:lang w:val="en-GB"/>
        </w:rPr>
      </w:pPr>
      <w:r w:rsidRPr="000729CF">
        <w:rPr>
          <w:rFonts w:ascii="Arial" w:hAnsi="Arial" w:cs="Arial"/>
          <w:b/>
          <w:bCs/>
          <w:color w:val="2F5496"/>
          <w:sz w:val="28"/>
          <w:szCs w:val="28"/>
          <w:lang w:val="en-GB"/>
        </w:rPr>
        <w:t>Budget Equality Impact Assessment (EIA) 2024/25 – Service Users</w:t>
      </w:r>
    </w:p>
    <w:p w14:paraId="442D04A4" w14:textId="77777777" w:rsidR="000729CF" w:rsidRPr="000729CF" w:rsidRDefault="000729CF" w:rsidP="000729CF">
      <w:pPr>
        <w:spacing w:after="160" w:line="259" w:lineRule="auto"/>
        <w:rPr>
          <w:rFonts w:ascii="Arial" w:eastAsia="Calibri" w:hAnsi="Arial" w:cs="Arial"/>
          <w:sz w:val="24"/>
          <w:szCs w:val="24"/>
          <w:lang w:val="en-GB"/>
        </w:rPr>
      </w:pPr>
    </w:p>
    <w:p w14:paraId="0E17E59E" w14:textId="77777777" w:rsidR="000729CF" w:rsidRPr="000729CF" w:rsidRDefault="000729CF" w:rsidP="000729CF">
      <w:pPr>
        <w:keepNext/>
        <w:keepLines/>
        <w:spacing w:after="160" w:line="259" w:lineRule="auto"/>
        <w:ind w:left="720" w:hanging="360"/>
        <w:outlineLvl w:val="1"/>
        <w:rPr>
          <w:rFonts w:ascii="Arial" w:hAnsi="Arial" w:cs="Arial"/>
          <w:color w:val="2F5496"/>
          <w:sz w:val="24"/>
          <w:szCs w:val="24"/>
          <w:lang w:val="en-GB"/>
        </w:rPr>
      </w:pPr>
      <w:r w:rsidRPr="000729CF">
        <w:rPr>
          <w:rFonts w:ascii="Arial" w:hAnsi="Arial" w:cs="Arial"/>
          <w:color w:val="2F5496"/>
          <w:sz w:val="24"/>
          <w:szCs w:val="24"/>
          <w:lang w:val="en-GB"/>
        </w:rPr>
        <w:t xml:space="preserve">Budget Proposal </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6492"/>
      </w:tblGrid>
      <w:tr w:rsidR="000729CF" w:rsidRPr="000729CF" w14:paraId="4CA2C60B"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45D0904D"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Title of budget saving being assessed:</w:t>
            </w:r>
          </w:p>
        </w:tc>
        <w:tc>
          <w:tcPr>
            <w:tcW w:w="6492" w:type="dxa"/>
            <w:shd w:val="clear" w:color="auto" w:fill="auto"/>
          </w:tcPr>
          <w:p w14:paraId="6D3CB2C3" w14:textId="77777777" w:rsidR="000729CF" w:rsidRPr="000729CF" w:rsidRDefault="000729CF" w:rsidP="000729CF">
            <w:pPr>
              <w:spacing w:after="12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Parking fees and charges</w:t>
            </w:r>
          </w:p>
        </w:tc>
      </w:tr>
      <w:tr w:rsidR="000729CF" w:rsidRPr="000729CF" w14:paraId="40700458"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1B9480B8"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Name and title of officer responsible for this EIA: </w:t>
            </w:r>
          </w:p>
        </w:tc>
        <w:tc>
          <w:tcPr>
            <w:tcW w:w="6492" w:type="dxa"/>
            <w:shd w:val="clear" w:color="auto" w:fill="auto"/>
          </w:tcPr>
          <w:p w14:paraId="2B1ADBD3"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729CF">
              <w:rPr>
                <w:rFonts w:ascii="Arial" w:hAnsi="Arial" w:cs="Arial"/>
                <w:sz w:val="24"/>
                <w:szCs w:val="24"/>
              </w:rPr>
              <w:t>Charles Field, Head of Parking Services</w:t>
            </w:r>
          </w:p>
        </w:tc>
      </w:tr>
      <w:tr w:rsidR="000729CF" w:rsidRPr="000729CF" w14:paraId="288CA88C" w14:textId="77777777" w:rsidTr="000729CF">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246383E1"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Directorate and Service Name: </w:t>
            </w:r>
          </w:p>
        </w:tc>
        <w:tc>
          <w:tcPr>
            <w:tcW w:w="6492" w:type="dxa"/>
            <w:shd w:val="clear" w:color="auto" w:fill="auto"/>
          </w:tcPr>
          <w:p w14:paraId="18C71566" w14:textId="77777777" w:rsidR="000729CF" w:rsidRPr="000729CF" w:rsidRDefault="000729CF" w:rsidP="000729CF">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Economy, Environment &amp; Culture, City Transport</w:t>
            </w:r>
          </w:p>
        </w:tc>
      </w:tr>
      <w:tr w:rsidR="000729CF" w:rsidRPr="000729CF" w14:paraId="17E89D11"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372AC911"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Budget proposal no.</w:t>
            </w:r>
          </w:p>
        </w:tc>
        <w:tc>
          <w:tcPr>
            <w:tcW w:w="6492" w:type="dxa"/>
            <w:shd w:val="clear" w:color="auto" w:fill="auto"/>
          </w:tcPr>
          <w:p w14:paraId="7F707294"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i/>
                <w:iCs/>
                <w:sz w:val="24"/>
                <w:szCs w:val="24"/>
              </w:rPr>
            </w:pPr>
            <w:r w:rsidRPr="000729CF">
              <w:rPr>
                <w:rFonts w:ascii="Arial" w:hAnsi="Arial" w:cs="Arial"/>
                <w:i/>
                <w:iCs/>
                <w:sz w:val="24"/>
                <w:szCs w:val="24"/>
              </w:rPr>
              <w:t>16</w:t>
            </w:r>
          </w:p>
        </w:tc>
      </w:tr>
    </w:tbl>
    <w:p w14:paraId="51DE4E0C" w14:textId="77777777" w:rsidR="000729CF" w:rsidRPr="000729CF" w:rsidRDefault="000729CF" w:rsidP="000729CF">
      <w:pPr>
        <w:spacing w:after="160" w:line="259" w:lineRule="auto"/>
        <w:rPr>
          <w:rFonts w:ascii="Arial" w:eastAsia="Calibri" w:hAnsi="Arial" w:cs="Arial"/>
          <w:sz w:val="24"/>
          <w:szCs w:val="24"/>
          <w:lang w:val="en-GB"/>
        </w:rPr>
      </w:pPr>
    </w:p>
    <w:p w14:paraId="5864F707"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Briefly describe the budget saving proposal: (use the wording in the budget spreadsheet and more detail if needed)</w:t>
      </w:r>
    </w:p>
    <w:tbl>
      <w:tblPr>
        <w:tblStyle w:val="TableGrid"/>
        <w:tblW w:w="0" w:type="auto"/>
        <w:tblLook w:val="04A0" w:firstRow="1" w:lastRow="0" w:firstColumn="1" w:lastColumn="0" w:noHBand="0" w:noVBand="1"/>
      </w:tblPr>
      <w:tblGrid>
        <w:gridCol w:w="10456"/>
      </w:tblGrid>
      <w:tr w:rsidR="000729CF" w:rsidRPr="000729CF" w14:paraId="1AC5B4D5" w14:textId="77777777" w:rsidTr="00BC26AB">
        <w:trPr>
          <w:trHeight w:val="851"/>
        </w:trPr>
        <w:tc>
          <w:tcPr>
            <w:tcW w:w="10456" w:type="dxa"/>
            <w:tcBorders>
              <w:bottom w:val="single" w:sz="4" w:space="0" w:color="auto"/>
            </w:tcBorders>
          </w:tcPr>
          <w:p w14:paraId="3465AB20" w14:textId="77777777" w:rsidR="000729CF" w:rsidRPr="000729CF" w:rsidRDefault="000729CF" w:rsidP="000729CF">
            <w:pPr>
              <w:spacing w:after="200" w:line="276" w:lineRule="auto"/>
              <w:rPr>
                <w:rFonts w:ascii="Arial" w:eastAsia="Calibri" w:hAnsi="Arial" w:cs="Arial"/>
                <w:sz w:val="24"/>
                <w:szCs w:val="24"/>
              </w:rPr>
            </w:pPr>
            <w:r w:rsidRPr="000729CF">
              <w:rPr>
                <w:rFonts w:ascii="Arial" w:eastAsia="Calibri" w:hAnsi="Arial" w:cs="Arial"/>
                <w:sz w:val="24"/>
                <w:szCs w:val="24"/>
              </w:rPr>
              <w:t>Parking service fees and charges proposals consisting of:</w:t>
            </w:r>
          </w:p>
          <w:p w14:paraId="3B62AD76" w14:textId="77777777" w:rsidR="000729CF" w:rsidRPr="000729CF" w:rsidRDefault="000729CF" w:rsidP="00CE70A3">
            <w:pPr>
              <w:numPr>
                <w:ilvl w:val="0"/>
                <w:numId w:val="114"/>
              </w:numPr>
              <w:spacing w:after="200" w:line="276" w:lineRule="auto"/>
              <w:ind w:left="513" w:hanging="426"/>
              <w:contextualSpacing/>
              <w:rPr>
                <w:rFonts w:ascii="Arial" w:eastAsia="Calibri" w:hAnsi="Arial" w:cs="Arial"/>
                <w:sz w:val="24"/>
                <w:szCs w:val="24"/>
              </w:rPr>
            </w:pPr>
            <w:r w:rsidRPr="000729CF">
              <w:rPr>
                <w:rFonts w:ascii="Arial" w:eastAsia="Calibri" w:hAnsi="Arial" w:cs="Arial"/>
                <w:sz w:val="24"/>
                <w:szCs w:val="24"/>
              </w:rPr>
              <w:t>Raising the price of resident, visitor and other permits</w:t>
            </w:r>
          </w:p>
          <w:p w14:paraId="53A5629B" w14:textId="77777777" w:rsidR="000729CF" w:rsidRPr="000729CF" w:rsidRDefault="000729CF" w:rsidP="00CE70A3">
            <w:pPr>
              <w:numPr>
                <w:ilvl w:val="0"/>
                <w:numId w:val="114"/>
              </w:numPr>
              <w:spacing w:after="200" w:line="276" w:lineRule="auto"/>
              <w:ind w:left="513" w:hanging="426"/>
              <w:contextualSpacing/>
              <w:rPr>
                <w:rFonts w:ascii="Arial" w:eastAsia="Calibri" w:hAnsi="Arial" w:cs="Arial"/>
                <w:sz w:val="24"/>
                <w:szCs w:val="24"/>
              </w:rPr>
            </w:pPr>
            <w:r w:rsidRPr="000729CF">
              <w:rPr>
                <w:rFonts w:ascii="Arial" w:eastAsia="Calibri" w:hAnsi="Arial" w:cs="Arial"/>
                <w:sz w:val="24"/>
                <w:szCs w:val="24"/>
              </w:rPr>
              <w:t xml:space="preserve">Increasing on-street tariffs </w:t>
            </w:r>
          </w:p>
          <w:p w14:paraId="0AC4ACE1" w14:textId="77777777" w:rsidR="000729CF" w:rsidRPr="000729CF" w:rsidRDefault="000729CF" w:rsidP="00CE70A3">
            <w:pPr>
              <w:numPr>
                <w:ilvl w:val="0"/>
                <w:numId w:val="114"/>
              </w:numPr>
              <w:spacing w:after="200" w:line="276" w:lineRule="auto"/>
              <w:ind w:left="513" w:hanging="426"/>
              <w:contextualSpacing/>
              <w:rPr>
                <w:rFonts w:ascii="Arial" w:eastAsia="Calibri" w:hAnsi="Arial" w:cs="Arial"/>
                <w:sz w:val="24"/>
                <w:szCs w:val="24"/>
              </w:rPr>
            </w:pPr>
            <w:r w:rsidRPr="000729CF">
              <w:rPr>
                <w:rFonts w:ascii="Arial" w:eastAsia="Calibri" w:hAnsi="Arial" w:cs="Arial"/>
                <w:sz w:val="24"/>
                <w:szCs w:val="24"/>
              </w:rPr>
              <w:t>Increasing tariffs in off-street barrier and surface car parks</w:t>
            </w:r>
          </w:p>
          <w:p w14:paraId="3628DBAD" w14:textId="77777777" w:rsidR="000729CF" w:rsidRPr="000729CF" w:rsidRDefault="000729CF" w:rsidP="00CE70A3">
            <w:pPr>
              <w:numPr>
                <w:ilvl w:val="0"/>
                <w:numId w:val="114"/>
              </w:numPr>
              <w:spacing w:after="200" w:line="276" w:lineRule="auto"/>
              <w:ind w:left="513" w:hanging="426"/>
              <w:contextualSpacing/>
              <w:rPr>
                <w:rFonts w:ascii="Arial" w:eastAsia="Calibri" w:hAnsi="Arial" w:cs="Arial"/>
                <w:sz w:val="24"/>
                <w:szCs w:val="24"/>
              </w:rPr>
            </w:pPr>
            <w:r w:rsidRPr="000729CF">
              <w:rPr>
                <w:rFonts w:ascii="Arial" w:eastAsia="Calibri" w:hAnsi="Arial" w:cs="Arial"/>
                <w:sz w:val="24"/>
                <w:szCs w:val="24"/>
              </w:rPr>
              <w:t xml:space="preserve">Reviewing localised parking to generate additional revenues. </w:t>
            </w:r>
          </w:p>
          <w:p w14:paraId="58804E91" w14:textId="77777777" w:rsidR="000729CF" w:rsidRPr="000729CF" w:rsidRDefault="000729CF" w:rsidP="00CE70A3">
            <w:pPr>
              <w:numPr>
                <w:ilvl w:val="0"/>
                <w:numId w:val="114"/>
              </w:numPr>
              <w:spacing w:after="200" w:line="276" w:lineRule="auto"/>
              <w:ind w:left="513" w:hanging="426"/>
              <w:contextualSpacing/>
              <w:rPr>
                <w:rFonts w:ascii="Arial" w:eastAsia="Calibri" w:hAnsi="Arial" w:cs="Arial"/>
                <w:sz w:val="24"/>
                <w:szCs w:val="24"/>
              </w:rPr>
            </w:pPr>
            <w:r w:rsidRPr="000729CF">
              <w:rPr>
                <w:rFonts w:ascii="Arial" w:eastAsia="Calibri" w:hAnsi="Arial" w:cs="Arial"/>
                <w:sz w:val="24"/>
                <w:szCs w:val="24"/>
              </w:rPr>
              <w:t>Fees for unauthorised bay suspensions</w:t>
            </w:r>
          </w:p>
          <w:p w14:paraId="4D52FEE5"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The increases are to meet inflationary requirements of 3.5% taking into account demand loss, and also to contribute towards savings. They will further meet traffic management objectives including improving air quality, reducing demand and congestion, as well as achieving a higher turnover of spaces and supporting economic growth in the city.</w:t>
            </w:r>
          </w:p>
          <w:p w14:paraId="04097874" w14:textId="77777777" w:rsidR="000729CF" w:rsidRPr="000729CF" w:rsidRDefault="000729CF" w:rsidP="000729CF">
            <w:pPr>
              <w:rPr>
                <w:rFonts w:ascii="Arial" w:eastAsia="Calibri" w:hAnsi="Arial" w:cs="Arial"/>
                <w:sz w:val="24"/>
                <w:szCs w:val="24"/>
              </w:rPr>
            </w:pPr>
          </w:p>
          <w:p w14:paraId="7A5EA4C6" w14:textId="77777777" w:rsidR="000729CF" w:rsidRPr="000729CF" w:rsidRDefault="000729CF" w:rsidP="000729CF">
            <w:pPr>
              <w:rPr>
                <w:rFonts w:ascii="Arial" w:eastAsia="Calibri" w:hAnsi="Arial" w:cs="Arial"/>
                <w:sz w:val="24"/>
                <w:szCs w:val="24"/>
              </w:rPr>
            </w:pPr>
            <w:r w:rsidRPr="000729CF">
              <w:rPr>
                <w:rFonts w:ascii="Arial" w:eastAsia="Calibri" w:hAnsi="Arial" w:cs="Arial"/>
                <w:color w:val="000000"/>
                <w:sz w:val="24"/>
                <w:szCs w:val="24"/>
                <w:shd w:val="clear" w:color="auto" w:fill="FFFFFF"/>
              </w:rPr>
              <w:t>Fee increases are targeted at areas where parking is at capacity to help provide drivers with better access to currently congested areas. There is also good coverage of the city centre/seafront by our public transport network, so there are alternatives for people wanting to access these areas where car park charges are increasing. </w:t>
            </w:r>
          </w:p>
          <w:p w14:paraId="1BE42755" w14:textId="77777777" w:rsidR="000729CF" w:rsidRPr="000729CF" w:rsidRDefault="000729CF" w:rsidP="000729CF">
            <w:pPr>
              <w:spacing w:after="120"/>
              <w:rPr>
                <w:rFonts w:ascii="Arial" w:eastAsia="Calibri" w:hAnsi="Arial" w:cs="Arial"/>
                <w:sz w:val="24"/>
                <w:szCs w:val="24"/>
              </w:rPr>
            </w:pPr>
          </w:p>
        </w:tc>
      </w:tr>
      <w:tr w:rsidR="000729CF" w:rsidRPr="000729CF" w14:paraId="6EC3E151" w14:textId="77777777" w:rsidTr="00BC26AB">
        <w:trPr>
          <w:trHeight w:val="851"/>
        </w:trPr>
        <w:tc>
          <w:tcPr>
            <w:tcW w:w="10456" w:type="dxa"/>
            <w:tcBorders>
              <w:left w:val="nil"/>
              <w:right w:val="nil"/>
            </w:tcBorders>
          </w:tcPr>
          <w:p w14:paraId="2DB717C3" w14:textId="77777777" w:rsidR="000729CF" w:rsidRPr="000729CF" w:rsidRDefault="000729CF" w:rsidP="000729CF">
            <w:pPr>
              <w:spacing w:after="120"/>
              <w:rPr>
                <w:rFonts w:ascii="Arial" w:eastAsia="Calibri" w:hAnsi="Arial" w:cs="Arial"/>
                <w:sz w:val="24"/>
                <w:szCs w:val="24"/>
              </w:rPr>
            </w:pPr>
          </w:p>
          <w:p w14:paraId="6417592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Summarise the most significant impacts identified by this assessment including which groups will be disproportionally negatively affected drawing out intersectional impacts as applicable:</w:t>
            </w:r>
          </w:p>
        </w:tc>
      </w:tr>
      <w:tr w:rsidR="000729CF" w:rsidRPr="000729CF" w14:paraId="0FE25B70" w14:textId="77777777" w:rsidTr="00BC26AB">
        <w:trPr>
          <w:trHeight w:val="851"/>
        </w:trPr>
        <w:tc>
          <w:tcPr>
            <w:tcW w:w="10456" w:type="dxa"/>
          </w:tcPr>
          <w:p w14:paraId="6BA7CA72" w14:textId="77777777" w:rsidR="000729CF" w:rsidRPr="000729CF" w:rsidRDefault="000729CF" w:rsidP="000729CF">
            <w:pPr>
              <w:textAlignment w:val="baseline"/>
              <w:rPr>
                <w:rFonts w:ascii="Arial" w:hAnsi="Arial" w:cs="Arial"/>
                <w:sz w:val="24"/>
                <w:szCs w:val="24"/>
                <w:lang w:eastAsia="en-GB"/>
              </w:rPr>
            </w:pPr>
            <w:r w:rsidRPr="000729CF">
              <w:rPr>
                <w:rFonts w:ascii="Arial" w:hAnsi="Arial" w:cs="Arial"/>
                <w:sz w:val="24"/>
                <w:szCs w:val="24"/>
                <w:lang w:eastAsia="en-GB"/>
              </w:rPr>
              <w:t xml:space="preserve">Any increase in parking fees and charges is balanced against a decrease in demand from users. </w:t>
            </w:r>
            <w:r w:rsidRPr="000729CF">
              <w:rPr>
                <w:rFonts w:ascii="Arial" w:hAnsi="Arial" w:cs="Arial"/>
                <w:color w:val="000000"/>
                <w:sz w:val="24"/>
                <w:szCs w:val="24"/>
                <w:lang w:eastAsia="en-GB"/>
              </w:rPr>
              <w:t>Members of the public may choose not to, or not be able to afford to, pay to park on or off-street due to price increases. This may disproportionately impact residents on lower incomes and cause an inclusion issue and</w:t>
            </w:r>
            <w:r w:rsidRPr="000729CF">
              <w:rPr>
                <w:rFonts w:ascii="Arial" w:hAnsi="Arial" w:cs="Arial"/>
                <w:sz w:val="24"/>
                <w:szCs w:val="24"/>
                <w:lang w:eastAsia="en-GB"/>
              </w:rPr>
              <w:t xml:space="preserve"> could create additional barriers and disadvantage for some older and disabled people who rely on private vehicles / visitors to access facilities and services.</w:t>
            </w:r>
          </w:p>
          <w:p w14:paraId="1F0E7885" w14:textId="77777777" w:rsidR="000729CF" w:rsidRPr="000729CF" w:rsidRDefault="000729CF" w:rsidP="000729CF">
            <w:pPr>
              <w:rPr>
                <w:rFonts w:ascii="Arial" w:hAnsi="Arial" w:cs="Arial"/>
                <w:sz w:val="24"/>
                <w:szCs w:val="24"/>
                <w:lang w:eastAsia="en-GB"/>
              </w:rPr>
            </w:pPr>
          </w:p>
          <w:p w14:paraId="09323899" w14:textId="77777777" w:rsidR="000729CF" w:rsidRPr="000729CF" w:rsidRDefault="000729CF" w:rsidP="000729CF">
            <w:pPr>
              <w:textAlignment w:val="baseline"/>
              <w:rPr>
                <w:rFonts w:ascii="Segoe UI" w:hAnsi="Segoe UI" w:cs="Segoe UI"/>
                <w:sz w:val="18"/>
                <w:szCs w:val="18"/>
                <w:lang w:eastAsia="en-GB"/>
              </w:rPr>
            </w:pPr>
            <w:r w:rsidRPr="000729CF">
              <w:rPr>
                <w:rFonts w:ascii="Arial" w:hAnsi="Arial" w:cs="Arial"/>
                <w:sz w:val="24"/>
                <w:szCs w:val="24"/>
                <w:lang w:eastAsia="en-GB"/>
              </w:rPr>
              <w:t>However, these proposals are in line with the council’s transport objectives of supporting sustainable transport options and reducing vehicle use in the city. It is recognised and understood that not all disabled people can use public transport to make the journeys they need to. </w:t>
            </w:r>
          </w:p>
          <w:p w14:paraId="66B1F47C" w14:textId="77777777" w:rsidR="000729CF" w:rsidRPr="000729CF" w:rsidRDefault="000729CF" w:rsidP="000729CF">
            <w:pPr>
              <w:textAlignment w:val="baseline"/>
              <w:rPr>
                <w:rFonts w:ascii="Segoe UI" w:hAnsi="Segoe UI" w:cs="Segoe UI"/>
                <w:sz w:val="18"/>
                <w:szCs w:val="18"/>
                <w:lang w:eastAsia="en-GB"/>
              </w:rPr>
            </w:pPr>
            <w:r w:rsidRPr="000729CF">
              <w:rPr>
                <w:rFonts w:ascii="Arial" w:hAnsi="Arial" w:cs="Arial"/>
                <w:sz w:val="24"/>
                <w:szCs w:val="24"/>
                <w:lang w:eastAsia="en-GB"/>
              </w:rPr>
              <w:t> </w:t>
            </w:r>
          </w:p>
          <w:p w14:paraId="53FD2E02" w14:textId="77777777" w:rsidR="000729CF" w:rsidRPr="000729CF" w:rsidRDefault="000729CF" w:rsidP="000729CF">
            <w:pPr>
              <w:textAlignment w:val="baseline"/>
              <w:rPr>
                <w:rFonts w:ascii="Arial" w:hAnsi="Arial" w:cs="Arial"/>
                <w:sz w:val="18"/>
                <w:szCs w:val="18"/>
                <w:lang w:eastAsia="en-GB"/>
              </w:rPr>
            </w:pPr>
            <w:r w:rsidRPr="000729CF">
              <w:rPr>
                <w:rFonts w:ascii="Arial" w:hAnsi="Arial" w:cs="Arial"/>
                <w:sz w:val="24"/>
                <w:szCs w:val="24"/>
                <w:lang w:eastAsia="en-GB"/>
              </w:rPr>
              <w:t>It may also mean carers have to pay more if they live in a different parking zone to the person they visit although there are carers’ permit or visitor permits available. </w:t>
            </w:r>
          </w:p>
          <w:p w14:paraId="32DAF152" w14:textId="77777777" w:rsidR="000729CF" w:rsidRPr="000729CF" w:rsidRDefault="000729CF" w:rsidP="000729CF">
            <w:pPr>
              <w:textAlignment w:val="baseline"/>
              <w:rPr>
                <w:rFonts w:ascii="Arial" w:hAnsi="Arial" w:cs="Arial"/>
                <w:sz w:val="18"/>
                <w:szCs w:val="18"/>
                <w:lang w:eastAsia="en-GB"/>
              </w:rPr>
            </w:pPr>
          </w:p>
          <w:p w14:paraId="1468B487" w14:textId="77777777" w:rsidR="000729CF" w:rsidRPr="000729CF" w:rsidRDefault="000729CF" w:rsidP="000729CF">
            <w:pPr>
              <w:textAlignment w:val="baseline"/>
              <w:rPr>
                <w:sz w:val="24"/>
                <w:szCs w:val="24"/>
                <w:lang w:eastAsia="en-GB"/>
              </w:rPr>
            </w:pPr>
          </w:p>
        </w:tc>
      </w:tr>
    </w:tbl>
    <w:p w14:paraId="79DA9A98" w14:textId="77777777" w:rsidR="000729CF" w:rsidRPr="000729CF" w:rsidRDefault="000729CF" w:rsidP="000729CF">
      <w:pPr>
        <w:spacing w:after="160" w:line="259" w:lineRule="auto"/>
        <w:rPr>
          <w:rFonts w:ascii="Arial" w:eastAsia="Calibri" w:hAnsi="Arial" w:cs="Arial"/>
          <w:sz w:val="24"/>
          <w:szCs w:val="24"/>
          <w:lang w:val="en-GB"/>
        </w:rPr>
      </w:pPr>
    </w:p>
    <w:p w14:paraId="5269C14A"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Consultation, engagement and supporting EIAs</w:t>
      </w:r>
    </w:p>
    <w:p w14:paraId="3E290854"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consultations or engagement activities are being used to inform this assessment? </w:t>
      </w:r>
    </w:p>
    <w:p w14:paraId="47314D31"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If consultation is planned or in process – state this and state when it will done/completed even if indicative. If no consultation completed or planned, state this, giving an explanation. </w:t>
      </w:r>
    </w:p>
    <w:tbl>
      <w:tblPr>
        <w:tblStyle w:val="TableGrid"/>
        <w:tblW w:w="0" w:type="auto"/>
        <w:tblLook w:val="04A0" w:firstRow="1" w:lastRow="0" w:firstColumn="1" w:lastColumn="0" w:noHBand="0" w:noVBand="1"/>
      </w:tblPr>
      <w:tblGrid>
        <w:gridCol w:w="10456"/>
      </w:tblGrid>
      <w:tr w:rsidR="000729CF" w:rsidRPr="000729CF" w14:paraId="2DB7799E" w14:textId="77777777" w:rsidTr="00BC26AB">
        <w:trPr>
          <w:trHeight w:val="871"/>
        </w:trPr>
        <w:tc>
          <w:tcPr>
            <w:tcW w:w="10456" w:type="dxa"/>
          </w:tcPr>
          <w:p w14:paraId="496B2000" w14:textId="77777777" w:rsidR="000729CF" w:rsidRPr="000729CF" w:rsidRDefault="000729CF" w:rsidP="000729CF">
            <w:pPr>
              <w:textAlignment w:val="baseline"/>
              <w:rPr>
                <w:rFonts w:ascii="Arial" w:hAnsi="Arial" w:cs="Arial"/>
                <w:sz w:val="24"/>
                <w:szCs w:val="24"/>
                <w:lang w:eastAsia="en-GB"/>
              </w:rPr>
            </w:pPr>
            <w:r w:rsidRPr="000729CF">
              <w:rPr>
                <w:rFonts w:ascii="Arial" w:hAnsi="Arial" w:cs="Arial"/>
                <w:sz w:val="24"/>
                <w:szCs w:val="24"/>
                <w:lang w:eastAsia="en-GB"/>
              </w:rPr>
              <w:t xml:space="preserve">The service receives valuable feedback and intelligence about the experience of disabled car users and their carers via the Disabled Car Users Group, which is informing Parking proposals. </w:t>
            </w:r>
          </w:p>
        </w:tc>
      </w:tr>
    </w:tbl>
    <w:p w14:paraId="72C15F2A" w14:textId="77777777" w:rsidR="000729CF" w:rsidRPr="000729CF" w:rsidRDefault="000729CF" w:rsidP="000729CF">
      <w:pPr>
        <w:spacing w:after="160" w:line="259" w:lineRule="auto"/>
        <w:rPr>
          <w:rFonts w:ascii="Arial" w:eastAsia="Calibri" w:hAnsi="Arial" w:cs="Arial"/>
          <w:sz w:val="24"/>
          <w:szCs w:val="24"/>
          <w:lang w:val="en-GB"/>
        </w:rPr>
      </w:pPr>
    </w:p>
    <w:p w14:paraId="7F6CB402"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other budget or service EIAs can assist/have been used to inform this assessment?</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0729CF" w:rsidRPr="000729CF" w14:paraId="58308FFB"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shd w:val="clear" w:color="auto" w:fill="FFFFFF"/>
          </w:tcPr>
          <w:p w14:paraId="0842A458"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2022/2023 Budget EIA – Parking Services</w:t>
            </w:r>
          </w:p>
          <w:p w14:paraId="7FA781EE" w14:textId="77777777" w:rsidR="000729CF" w:rsidRPr="000729CF" w:rsidRDefault="000729CF" w:rsidP="000729CF">
            <w:pPr>
              <w:spacing w:after="120"/>
              <w:rPr>
                <w:rFonts w:ascii="Arial" w:hAnsi="Arial" w:cs="Arial"/>
                <w:sz w:val="24"/>
                <w:szCs w:val="24"/>
              </w:rPr>
            </w:pPr>
          </w:p>
        </w:tc>
      </w:tr>
    </w:tbl>
    <w:p w14:paraId="5A106839" w14:textId="77777777" w:rsidR="000729CF" w:rsidRPr="000729CF" w:rsidRDefault="000729CF" w:rsidP="000729CF">
      <w:pPr>
        <w:spacing w:after="160" w:line="259" w:lineRule="auto"/>
        <w:rPr>
          <w:rFonts w:ascii="Arial" w:eastAsia="Calibri" w:hAnsi="Arial" w:cs="Arial"/>
          <w:sz w:val="24"/>
          <w:szCs w:val="24"/>
          <w:lang w:val="en-GB"/>
        </w:rPr>
      </w:pPr>
    </w:p>
    <w:p w14:paraId="427B3CF5"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Current data and impact monitoring</w:t>
      </w:r>
    </w:p>
    <w:p w14:paraId="0CDE4C36"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Do you currently collect and analyse the following data to enable monitoring of the impact of this proposal? </w:t>
      </w:r>
    </w:p>
    <w:p w14:paraId="471E78DA"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Consider all possible intersections (Delete and State Yes, No, Not Applicable)</w:t>
      </w:r>
    </w:p>
    <w:tbl>
      <w:tblPr>
        <w:tblStyle w:val="TableGrid"/>
        <w:tblW w:w="10485" w:type="dxa"/>
        <w:tblLook w:val="04A0" w:firstRow="1" w:lastRow="0" w:firstColumn="1" w:lastColumn="0" w:noHBand="0" w:noVBand="1"/>
      </w:tblPr>
      <w:tblGrid>
        <w:gridCol w:w="6658"/>
        <w:gridCol w:w="3827"/>
      </w:tblGrid>
      <w:tr w:rsidR="000729CF" w:rsidRPr="000729CF" w14:paraId="20BE3F47" w14:textId="77777777" w:rsidTr="000729CF">
        <w:trPr>
          <w:trHeight w:val="310"/>
        </w:trPr>
        <w:tc>
          <w:tcPr>
            <w:tcW w:w="6658" w:type="dxa"/>
            <w:shd w:val="clear" w:color="auto" w:fill="E7E6E6"/>
          </w:tcPr>
          <w:p w14:paraId="770F16B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Age</w:t>
            </w:r>
          </w:p>
        </w:tc>
        <w:tc>
          <w:tcPr>
            <w:tcW w:w="3827" w:type="dxa"/>
          </w:tcPr>
          <w:p w14:paraId="18E83EC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79D51E99" w14:textId="77777777" w:rsidTr="000729CF">
        <w:trPr>
          <w:trHeight w:val="20"/>
        </w:trPr>
        <w:tc>
          <w:tcPr>
            <w:tcW w:w="6658" w:type="dxa"/>
            <w:shd w:val="clear" w:color="auto" w:fill="E7E6E6"/>
          </w:tcPr>
          <w:p w14:paraId="3D8E437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Disability and inclusive adjustments, coverage under equality act and not</w:t>
            </w:r>
          </w:p>
        </w:tc>
        <w:tc>
          <w:tcPr>
            <w:tcW w:w="3827" w:type="dxa"/>
          </w:tcPr>
          <w:p w14:paraId="15BFCAD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35DD9840" w14:textId="77777777" w:rsidTr="000729CF">
        <w:trPr>
          <w:trHeight w:val="20"/>
        </w:trPr>
        <w:tc>
          <w:tcPr>
            <w:tcW w:w="6658" w:type="dxa"/>
            <w:shd w:val="clear" w:color="auto" w:fill="E7E6E6"/>
          </w:tcPr>
          <w:p w14:paraId="0003CFE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Ethnicity, ‘Race’, ethnic heritage (including Gypsy, Roma, Travellers)</w:t>
            </w:r>
          </w:p>
        </w:tc>
        <w:tc>
          <w:tcPr>
            <w:tcW w:w="3827" w:type="dxa"/>
          </w:tcPr>
          <w:p w14:paraId="2D4B1E7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r>
      <w:tr w:rsidR="000729CF" w:rsidRPr="000729CF" w14:paraId="77A5C336" w14:textId="77777777" w:rsidTr="000729CF">
        <w:trPr>
          <w:trHeight w:val="20"/>
        </w:trPr>
        <w:tc>
          <w:tcPr>
            <w:tcW w:w="6658" w:type="dxa"/>
            <w:shd w:val="clear" w:color="auto" w:fill="E7E6E6"/>
          </w:tcPr>
          <w:p w14:paraId="112693B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Religion, Belief, Spirituality, Faith, or Atheism</w:t>
            </w:r>
          </w:p>
        </w:tc>
        <w:tc>
          <w:tcPr>
            <w:tcW w:w="3827" w:type="dxa"/>
          </w:tcPr>
          <w:p w14:paraId="0FFCFDE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259959D4" w14:textId="77777777" w:rsidTr="000729CF">
        <w:trPr>
          <w:trHeight w:val="20"/>
        </w:trPr>
        <w:tc>
          <w:tcPr>
            <w:tcW w:w="6658" w:type="dxa"/>
            <w:shd w:val="clear" w:color="auto" w:fill="E7E6E6"/>
          </w:tcPr>
          <w:p w14:paraId="2D3EDA3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Identity and Sex (including non-binary and Intersex people)</w:t>
            </w:r>
          </w:p>
        </w:tc>
        <w:tc>
          <w:tcPr>
            <w:tcW w:w="3827" w:type="dxa"/>
          </w:tcPr>
          <w:p w14:paraId="5F46438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56E36625" w14:textId="77777777" w:rsidTr="000729CF">
        <w:trPr>
          <w:trHeight w:val="20"/>
        </w:trPr>
        <w:tc>
          <w:tcPr>
            <w:tcW w:w="6658" w:type="dxa"/>
            <w:shd w:val="clear" w:color="auto" w:fill="E7E6E6"/>
          </w:tcPr>
          <w:p w14:paraId="0717CDF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3827" w:type="dxa"/>
          </w:tcPr>
          <w:p w14:paraId="37446BA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45574C2B" w14:textId="77777777" w:rsidTr="000729CF">
        <w:trPr>
          <w:trHeight w:val="20"/>
        </w:trPr>
        <w:tc>
          <w:tcPr>
            <w:tcW w:w="6658" w:type="dxa"/>
            <w:shd w:val="clear" w:color="auto" w:fill="E7E6E6"/>
          </w:tcPr>
          <w:p w14:paraId="6CD2904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3827" w:type="dxa"/>
          </w:tcPr>
          <w:p w14:paraId="64F5D0C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41AD03A8" w14:textId="77777777" w:rsidTr="000729CF">
        <w:trPr>
          <w:trHeight w:val="20"/>
        </w:trPr>
        <w:tc>
          <w:tcPr>
            <w:tcW w:w="6658" w:type="dxa"/>
            <w:shd w:val="clear" w:color="auto" w:fill="E7E6E6"/>
          </w:tcPr>
          <w:p w14:paraId="4111DA5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3827" w:type="dxa"/>
          </w:tcPr>
          <w:p w14:paraId="64F2622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0B3628A0" w14:textId="77777777" w:rsidTr="000729CF">
        <w:trPr>
          <w:trHeight w:val="20"/>
        </w:trPr>
        <w:tc>
          <w:tcPr>
            <w:tcW w:w="6658" w:type="dxa"/>
            <w:shd w:val="clear" w:color="auto" w:fill="E7E6E6"/>
          </w:tcPr>
          <w:p w14:paraId="25721D6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Pregnant people, Maternity, Paternity, Adoption, Menopause, (In)fertility (across the gender spectrum)</w:t>
            </w:r>
          </w:p>
        </w:tc>
        <w:tc>
          <w:tcPr>
            <w:tcW w:w="3827" w:type="dxa"/>
          </w:tcPr>
          <w:p w14:paraId="25DF867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101DCF05" w14:textId="77777777" w:rsidTr="000729CF">
        <w:trPr>
          <w:trHeight w:val="20"/>
        </w:trPr>
        <w:tc>
          <w:tcPr>
            <w:tcW w:w="6658" w:type="dxa"/>
            <w:shd w:val="clear" w:color="auto" w:fill="E7E6E6"/>
          </w:tcPr>
          <w:p w14:paraId="37C127B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3827" w:type="dxa"/>
          </w:tcPr>
          <w:p w14:paraId="081E5E8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155D52E3" w14:textId="77777777" w:rsidTr="000729CF">
        <w:trPr>
          <w:trHeight w:val="20"/>
        </w:trPr>
        <w:tc>
          <w:tcPr>
            <w:tcW w:w="6658" w:type="dxa"/>
            <w:shd w:val="clear" w:color="auto" w:fill="E7E6E6"/>
          </w:tcPr>
          <w:p w14:paraId="629BA218" w14:textId="77777777" w:rsidR="000729CF" w:rsidRPr="000729CF" w:rsidRDefault="000729CF" w:rsidP="000729CF">
            <w:pPr>
              <w:spacing w:after="120"/>
              <w:rPr>
                <w:rFonts w:ascii="Arial" w:hAnsi="Arial" w:cs="Arial"/>
                <w:b/>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p>
        </w:tc>
        <w:tc>
          <w:tcPr>
            <w:tcW w:w="3827" w:type="dxa"/>
          </w:tcPr>
          <w:p w14:paraId="07A6642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312F59AE" w14:textId="77777777" w:rsidTr="000729CF">
        <w:trPr>
          <w:trHeight w:val="20"/>
        </w:trPr>
        <w:tc>
          <w:tcPr>
            <w:tcW w:w="6658" w:type="dxa"/>
            <w:shd w:val="clear" w:color="auto" w:fill="E7E6E6"/>
          </w:tcPr>
          <w:p w14:paraId="384187B6" w14:textId="77777777" w:rsidR="000729CF" w:rsidRPr="000729CF" w:rsidRDefault="000729CF" w:rsidP="000729CF">
            <w:pPr>
              <w:spacing w:after="120"/>
              <w:rPr>
                <w:rFonts w:ascii="Arial" w:hAnsi="Arial" w:cs="Arial"/>
                <w:b/>
                <w:sz w:val="24"/>
                <w:szCs w:val="24"/>
              </w:rPr>
            </w:pPr>
            <w:r w:rsidRPr="000729CF">
              <w:rPr>
                <w:rFonts w:ascii="Arial" w:eastAsia="Calibri" w:hAnsi="Arial" w:cs="Arial"/>
                <w:b/>
                <w:bCs/>
                <w:color w:val="000000"/>
                <w:sz w:val="24"/>
                <w:szCs w:val="24"/>
              </w:rPr>
              <w:t>Carers</w:t>
            </w:r>
          </w:p>
        </w:tc>
        <w:tc>
          <w:tcPr>
            <w:tcW w:w="3827" w:type="dxa"/>
          </w:tcPr>
          <w:p w14:paraId="4500224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56FE5CEA" w14:textId="77777777" w:rsidTr="000729CF">
        <w:trPr>
          <w:trHeight w:val="20"/>
        </w:trPr>
        <w:tc>
          <w:tcPr>
            <w:tcW w:w="6658" w:type="dxa"/>
            <w:shd w:val="clear" w:color="auto" w:fill="E7E6E6"/>
          </w:tcPr>
          <w:p w14:paraId="00902CED"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Looked after children, Care Leavers, Care and fostering experienced people</w:t>
            </w:r>
          </w:p>
        </w:tc>
        <w:tc>
          <w:tcPr>
            <w:tcW w:w="3827" w:type="dxa"/>
          </w:tcPr>
          <w:p w14:paraId="361822D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2CB03CD9" w14:textId="77777777" w:rsidTr="000729CF">
        <w:trPr>
          <w:trHeight w:val="20"/>
        </w:trPr>
        <w:tc>
          <w:tcPr>
            <w:tcW w:w="6658" w:type="dxa"/>
            <w:shd w:val="clear" w:color="auto" w:fill="E7E6E6"/>
          </w:tcPr>
          <w:p w14:paraId="773F602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 and   people in vulnerable situations (All aspects and intersections)</w:t>
            </w:r>
          </w:p>
        </w:tc>
        <w:tc>
          <w:tcPr>
            <w:tcW w:w="3827" w:type="dxa"/>
          </w:tcPr>
          <w:p w14:paraId="5558047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7F65C0B4" w14:textId="77777777" w:rsidTr="000729CF">
        <w:trPr>
          <w:trHeight w:val="20"/>
        </w:trPr>
        <w:tc>
          <w:tcPr>
            <w:tcW w:w="6658" w:type="dxa"/>
            <w:shd w:val="clear" w:color="auto" w:fill="E7E6E6"/>
          </w:tcPr>
          <w:p w14:paraId="001B0EB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Socio-economic Disadvantage</w:t>
            </w:r>
          </w:p>
        </w:tc>
        <w:tc>
          <w:tcPr>
            <w:tcW w:w="3827" w:type="dxa"/>
          </w:tcPr>
          <w:p w14:paraId="2910AA6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4E939517" w14:textId="77777777" w:rsidTr="000729CF">
        <w:trPr>
          <w:trHeight w:val="20"/>
        </w:trPr>
        <w:tc>
          <w:tcPr>
            <w:tcW w:w="6658" w:type="dxa"/>
            <w:shd w:val="clear" w:color="auto" w:fill="E7E6E6"/>
          </w:tcPr>
          <w:p w14:paraId="7D9EA3B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Homelessness and associated risk and vulnerability</w:t>
            </w:r>
          </w:p>
        </w:tc>
        <w:tc>
          <w:tcPr>
            <w:tcW w:w="3827" w:type="dxa"/>
          </w:tcPr>
          <w:p w14:paraId="49FB73B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6C323D9D" w14:textId="77777777" w:rsidTr="000729CF">
        <w:trPr>
          <w:trHeight w:val="20"/>
        </w:trPr>
        <w:tc>
          <w:tcPr>
            <w:tcW w:w="6658" w:type="dxa"/>
            <w:shd w:val="clear" w:color="auto" w:fill="E7E6E6"/>
          </w:tcPr>
          <w:p w14:paraId="0ECB6A2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3827" w:type="dxa"/>
          </w:tcPr>
          <w:p w14:paraId="2CB30E2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457EED00" w14:textId="77777777" w:rsidTr="000729CF">
        <w:trPr>
          <w:trHeight w:val="20"/>
        </w:trPr>
        <w:tc>
          <w:tcPr>
            <w:tcW w:w="6658" w:type="dxa"/>
            <w:shd w:val="clear" w:color="auto" w:fill="E7E6E6"/>
          </w:tcPr>
          <w:p w14:paraId="5E72954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 (please specify here and add additional rows as needed)</w:t>
            </w:r>
          </w:p>
        </w:tc>
        <w:tc>
          <w:tcPr>
            <w:tcW w:w="3827" w:type="dxa"/>
          </w:tcPr>
          <w:p w14:paraId="6CD5147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bl>
    <w:p w14:paraId="3156F5D6" w14:textId="77777777" w:rsidR="000729CF" w:rsidRPr="000729CF" w:rsidRDefault="000729CF" w:rsidP="000729CF">
      <w:pPr>
        <w:rPr>
          <w:rFonts w:ascii="Arial" w:eastAsia="Calibri" w:hAnsi="Arial" w:cs="Arial"/>
          <w:sz w:val="24"/>
          <w:szCs w:val="24"/>
          <w:lang w:val="en-GB"/>
        </w:rPr>
      </w:pPr>
    </w:p>
    <w:p w14:paraId="7021EE9A"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60CB7E4F"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79B979FB"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5B8997DB"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48938832"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5EDCC59F"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56964E56"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5F481075"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6AAC42D3"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6D8C8F30"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445E0BEA" w14:textId="77777777" w:rsidR="000729CF" w:rsidRPr="000729CF" w:rsidRDefault="000729CF" w:rsidP="000729CF">
      <w:pPr>
        <w:rPr>
          <w:rFonts w:ascii="Arial" w:eastAsia="Calibri" w:hAnsi="Arial" w:cs="Arial"/>
          <w:sz w:val="24"/>
          <w:szCs w:val="24"/>
          <w:lang w:val="en-GB"/>
        </w:rPr>
      </w:pPr>
    </w:p>
    <w:p w14:paraId="66FBE400"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If you answered “NO” to any of the above, how will you gather this data to enable improved monitoring of impact for this proposal?</w:t>
      </w:r>
    </w:p>
    <w:tbl>
      <w:tblPr>
        <w:tblStyle w:val="TableGrid"/>
        <w:tblW w:w="0" w:type="auto"/>
        <w:tblLook w:val="04A0" w:firstRow="1" w:lastRow="0" w:firstColumn="1" w:lastColumn="0" w:noHBand="0" w:noVBand="1"/>
      </w:tblPr>
      <w:tblGrid>
        <w:gridCol w:w="10456"/>
      </w:tblGrid>
      <w:tr w:rsidR="000729CF" w:rsidRPr="000729CF" w14:paraId="49B719C8" w14:textId="77777777" w:rsidTr="00BC26AB">
        <w:trPr>
          <w:trHeight w:val="757"/>
        </w:trPr>
        <w:tc>
          <w:tcPr>
            <w:tcW w:w="10456" w:type="dxa"/>
          </w:tcPr>
          <w:p w14:paraId="6866C59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equality data for parking users at the point of use, however equality data for parking permit holders and consultations on the introduction of parking schemes will be collected and used to inform the service’s understanding of the impact of price increases.</w:t>
            </w:r>
          </w:p>
        </w:tc>
      </w:tr>
    </w:tbl>
    <w:p w14:paraId="1064E507" w14:textId="77777777" w:rsidR="000729CF" w:rsidRPr="000729CF" w:rsidRDefault="000729CF" w:rsidP="000729CF">
      <w:pPr>
        <w:rPr>
          <w:rFonts w:ascii="Arial" w:eastAsia="Calibri" w:hAnsi="Arial" w:cs="Arial"/>
          <w:sz w:val="24"/>
          <w:szCs w:val="24"/>
          <w:lang w:val="en-GB"/>
        </w:rPr>
      </w:pPr>
    </w:p>
    <w:p w14:paraId="09B2E914" w14:textId="77777777" w:rsidR="000729CF" w:rsidRPr="000729CF" w:rsidRDefault="000729CF" w:rsidP="000729CF">
      <w:pPr>
        <w:rPr>
          <w:rFonts w:ascii="Arial" w:eastAsia="Calibri" w:hAnsi="Arial" w:cs="Arial"/>
          <w:sz w:val="24"/>
          <w:szCs w:val="24"/>
          <w:lang w:val="en-GB"/>
        </w:rPr>
      </w:pPr>
    </w:p>
    <w:p w14:paraId="2FA46C33"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are the arrangements for monitoring, and reviewing the impact of this proposal?</w:t>
      </w:r>
    </w:p>
    <w:tbl>
      <w:tblPr>
        <w:tblStyle w:val="TableGrid"/>
        <w:tblW w:w="0" w:type="auto"/>
        <w:tblLook w:val="04A0" w:firstRow="1" w:lastRow="0" w:firstColumn="1" w:lastColumn="0" w:noHBand="0" w:noVBand="1"/>
      </w:tblPr>
      <w:tblGrid>
        <w:gridCol w:w="10456"/>
      </w:tblGrid>
      <w:tr w:rsidR="000729CF" w:rsidRPr="000729CF" w14:paraId="4F3E3769" w14:textId="77777777" w:rsidTr="00BC26AB">
        <w:trPr>
          <w:trHeight w:val="757"/>
        </w:trPr>
        <w:tc>
          <w:tcPr>
            <w:tcW w:w="10456" w:type="dxa"/>
          </w:tcPr>
          <w:p w14:paraId="51D7A263" w14:textId="77777777" w:rsidR="000729CF" w:rsidRPr="000729CF" w:rsidRDefault="000729CF" w:rsidP="000729CF">
            <w:pPr>
              <w:textAlignment w:val="baseline"/>
              <w:rPr>
                <w:rFonts w:ascii="Arial" w:hAnsi="Arial" w:cs="Arial"/>
                <w:sz w:val="24"/>
                <w:szCs w:val="24"/>
                <w:lang w:eastAsia="en-GB"/>
              </w:rPr>
            </w:pPr>
            <w:r w:rsidRPr="000729CF">
              <w:rPr>
                <w:rFonts w:ascii="Arial" w:hAnsi="Arial" w:cs="Arial"/>
                <w:sz w:val="24"/>
                <w:szCs w:val="24"/>
                <w:lang w:eastAsia="en-GB"/>
              </w:rPr>
              <w:t xml:space="preserve">Regular internal review meetings are held to analyse on-street and off-street parking usage and there are also regular meeting with the Disabled Car User group to get direct feedback on the experience of disabled car users and their </w:t>
            </w:r>
            <w:proofErr w:type="spellStart"/>
            <w:r w:rsidRPr="000729CF">
              <w:rPr>
                <w:rFonts w:ascii="Arial" w:hAnsi="Arial" w:cs="Arial"/>
                <w:sz w:val="24"/>
                <w:szCs w:val="24"/>
                <w:lang w:eastAsia="en-GB"/>
              </w:rPr>
              <w:t>carers</w:t>
            </w:r>
            <w:proofErr w:type="spellEnd"/>
            <w:r w:rsidRPr="000729CF">
              <w:rPr>
                <w:rFonts w:ascii="Arial" w:hAnsi="Arial" w:cs="Arial"/>
                <w:sz w:val="24"/>
                <w:szCs w:val="24"/>
                <w:lang w:eastAsia="en-GB"/>
              </w:rPr>
              <w:t>.</w:t>
            </w:r>
          </w:p>
          <w:p w14:paraId="587DA334" w14:textId="77777777" w:rsidR="000729CF" w:rsidRPr="000729CF" w:rsidRDefault="000729CF" w:rsidP="000729CF">
            <w:pPr>
              <w:textAlignment w:val="baseline"/>
              <w:rPr>
                <w:rFonts w:ascii="Segoe UI" w:hAnsi="Segoe UI" w:cs="Segoe UI"/>
                <w:sz w:val="18"/>
                <w:szCs w:val="18"/>
                <w:lang w:eastAsia="en-GB"/>
              </w:rPr>
            </w:pPr>
          </w:p>
          <w:p w14:paraId="66EAE9AA" w14:textId="77777777" w:rsidR="000729CF" w:rsidRPr="000729CF" w:rsidRDefault="000729CF" w:rsidP="000729CF">
            <w:pPr>
              <w:textAlignment w:val="baseline"/>
              <w:rPr>
                <w:rFonts w:ascii="Segoe UI" w:hAnsi="Segoe UI" w:cs="Segoe UI"/>
                <w:sz w:val="18"/>
                <w:szCs w:val="18"/>
                <w:lang w:eastAsia="en-GB"/>
              </w:rPr>
            </w:pPr>
            <w:r w:rsidRPr="000729CF">
              <w:rPr>
                <w:rFonts w:ascii="Arial" w:hAnsi="Arial" w:cs="Arial"/>
                <w:sz w:val="24"/>
                <w:szCs w:val="24"/>
                <w:lang w:eastAsia="en-GB"/>
              </w:rPr>
              <w:t>Learning from customer complaints and feedback will also be used to monitor and review the impact of the changes.</w:t>
            </w:r>
          </w:p>
          <w:p w14:paraId="5D130E8D" w14:textId="77777777" w:rsidR="000729CF" w:rsidRPr="000729CF" w:rsidRDefault="000729CF" w:rsidP="000729CF">
            <w:pPr>
              <w:textAlignment w:val="baseline"/>
              <w:rPr>
                <w:rFonts w:ascii="Segoe UI" w:hAnsi="Segoe UI" w:cs="Segoe UI"/>
                <w:sz w:val="18"/>
                <w:szCs w:val="18"/>
                <w:lang w:eastAsia="en-GB"/>
              </w:rPr>
            </w:pPr>
          </w:p>
          <w:p w14:paraId="3F22115D" w14:textId="77777777" w:rsidR="000729CF" w:rsidRPr="000729CF" w:rsidRDefault="000729CF" w:rsidP="000729CF">
            <w:pPr>
              <w:textAlignment w:val="baseline"/>
              <w:rPr>
                <w:rFonts w:ascii="Segoe UI" w:hAnsi="Segoe UI" w:cs="Segoe UI"/>
                <w:sz w:val="18"/>
                <w:szCs w:val="18"/>
                <w:lang w:eastAsia="en-GB"/>
              </w:rPr>
            </w:pPr>
            <w:r w:rsidRPr="000729CF">
              <w:rPr>
                <w:rFonts w:ascii="Arial" w:hAnsi="Arial" w:cs="Arial"/>
                <w:sz w:val="24"/>
                <w:szCs w:val="24"/>
                <w:lang w:eastAsia="en-GB"/>
              </w:rPr>
              <w:t>Parking Services have applied for and been awarded People’s Parking accreditation in October 2023. This scheme was set up to provide independent feedback about the facilities and public car park experience from a disabled user perspective, with regular monitoring and reviews.  </w:t>
            </w:r>
          </w:p>
          <w:p w14:paraId="1900E3F8" w14:textId="77777777" w:rsidR="000729CF" w:rsidRPr="000729CF" w:rsidRDefault="000729CF" w:rsidP="000729CF">
            <w:pPr>
              <w:textAlignment w:val="baseline"/>
              <w:rPr>
                <w:rFonts w:ascii="Segoe UI" w:hAnsi="Segoe UI" w:cs="Segoe UI"/>
                <w:sz w:val="18"/>
                <w:szCs w:val="18"/>
                <w:lang w:eastAsia="en-GB"/>
              </w:rPr>
            </w:pPr>
            <w:r w:rsidRPr="000729CF">
              <w:rPr>
                <w:rFonts w:ascii="Arial" w:hAnsi="Arial" w:cs="Arial"/>
                <w:sz w:val="24"/>
                <w:szCs w:val="24"/>
                <w:lang w:eastAsia="en-GB"/>
              </w:rPr>
              <w:t> </w:t>
            </w:r>
          </w:p>
          <w:p w14:paraId="52366A00" w14:textId="77777777" w:rsidR="000729CF" w:rsidRPr="000729CF" w:rsidRDefault="000729CF" w:rsidP="000729CF">
            <w:pPr>
              <w:textAlignment w:val="baseline"/>
              <w:rPr>
                <w:rFonts w:ascii="Arial" w:hAnsi="Arial" w:cs="Arial"/>
                <w:sz w:val="24"/>
                <w:szCs w:val="24"/>
                <w:lang w:eastAsia="en-GB"/>
              </w:rPr>
            </w:pPr>
            <w:r w:rsidRPr="000729CF">
              <w:rPr>
                <w:rFonts w:ascii="Arial" w:hAnsi="Arial" w:cs="Arial"/>
                <w:sz w:val="24"/>
                <w:szCs w:val="24"/>
                <w:lang w:eastAsia="en-GB"/>
              </w:rPr>
              <w:t>Parking Services have also received Park Mark accreditation in October 2023 from the police for our off-street car parks as safe car parks to use. It is nationally recognised and we receive significant feedback that we were chosen via the Park Mark website.  </w:t>
            </w:r>
          </w:p>
          <w:p w14:paraId="0C8D51BA" w14:textId="77777777" w:rsidR="000729CF" w:rsidRPr="000729CF" w:rsidRDefault="000729CF" w:rsidP="000729CF">
            <w:pPr>
              <w:textAlignment w:val="baseline"/>
              <w:rPr>
                <w:rFonts w:ascii="Segoe UI" w:hAnsi="Segoe UI" w:cs="Segoe UI"/>
                <w:sz w:val="18"/>
                <w:szCs w:val="18"/>
                <w:lang w:eastAsia="en-GB"/>
              </w:rPr>
            </w:pPr>
          </w:p>
          <w:p w14:paraId="24850A3D" w14:textId="77777777" w:rsidR="000729CF" w:rsidRPr="000729CF" w:rsidRDefault="000729CF" w:rsidP="000729CF">
            <w:pPr>
              <w:textAlignment w:val="baseline"/>
              <w:rPr>
                <w:rFonts w:ascii="Arial" w:hAnsi="Arial" w:cs="Arial"/>
                <w:sz w:val="24"/>
                <w:szCs w:val="24"/>
                <w:lang w:eastAsia="en-GB"/>
              </w:rPr>
            </w:pPr>
            <w:r w:rsidRPr="000729CF">
              <w:rPr>
                <w:rFonts w:ascii="Arial" w:hAnsi="Arial" w:cs="Arial"/>
                <w:sz w:val="24"/>
                <w:szCs w:val="24"/>
                <w:lang w:eastAsia="en-GB"/>
              </w:rPr>
              <w:t xml:space="preserve">Parking Services produce an annual Parking Annual Report for Committee providing transparency and meaningful insight into the performance of the overall service including how and where funding is raised and distributed. </w:t>
            </w:r>
          </w:p>
          <w:p w14:paraId="1EE68C72" w14:textId="77777777" w:rsidR="000729CF" w:rsidRPr="000729CF" w:rsidRDefault="000729CF" w:rsidP="000729CF">
            <w:pPr>
              <w:textAlignment w:val="baseline"/>
              <w:rPr>
                <w:rFonts w:ascii="Arial" w:hAnsi="Arial" w:cs="Arial"/>
                <w:sz w:val="24"/>
                <w:szCs w:val="24"/>
                <w:lang w:eastAsia="en-GB"/>
              </w:rPr>
            </w:pPr>
          </w:p>
          <w:p w14:paraId="0DA6B36E" w14:textId="77777777" w:rsidR="000729CF" w:rsidRPr="000729CF" w:rsidRDefault="000729CF" w:rsidP="000729CF">
            <w:pPr>
              <w:textAlignment w:val="baseline"/>
              <w:rPr>
                <w:sz w:val="24"/>
                <w:szCs w:val="24"/>
                <w:lang w:eastAsia="en-GB"/>
              </w:rPr>
            </w:pPr>
          </w:p>
        </w:tc>
      </w:tr>
    </w:tbl>
    <w:p w14:paraId="20E096AE" w14:textId="77777777" w:rsidR="000729CF" w:rsidRPr="000729CF" w:rsidRDefault="000729CF" w:rsidP="000729CF">
      <w:pPr>
        <w:rPr>
          <w:rFonts w:ascii="Arial" w:eastAsia="Calibri" w:hAnsi="Arial" w:cs="Arial"/>
          <w:sz w:val="24"/>
          <w:szCs w:val="24"/>
          <w:lang w:val="en-GB"/>
        </w:rPr>
      </w:pPr>
    </w:p>
    <w:p w14:paraId="63015B63" w14:textId="77777777" w:rsidR="000729CF" w:rsidRPr="000729CF" w:rsidRDefault="000729CF" w:rsidP="000729CF">
      <w:pPr>
        <w:rPr>
          <w:rFonts w:ascii="Arial" w:eastAsia="Calibri" w:hAnsi="Arial" w:cs="Arial"/>
          <w:sz w:val="24"/>
          <w:szCs w:val="24"/>
          <w:lang w:val="en-GB"/>
        </w:rPr>
      </w:pPr>
    </w:p>
    <w:p w14:paraId="461BDE6C"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Impacts</w:t>
      </w:r>
    </w:p>
    <w:p w14:paraId="3630BFEF"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Briefly state source of data or data analysis being used to describe the </w:t>
      </w:r>
      <w:r w:rsidRPr="000729CF">
        <w:rPr>
          <w:rFonts w:ascii="Arial" w:eastAsia="Calibri" w:hAnsi="Arial" w:cs="Arial"/>
          <w:color w:val="000000"/>
          <w:sz w:val="24"/>
          <w:szCs w:val="24"/>
          <w:bdr w:val="none" w:sz="0" w:space="0" w:color="auto" w:frame="1"/>
          <w:lang w:val="en-GB"/>
        </w:rPr>
        <w:t xml:space="preserve">disproportionate negative impacts. </w:t>
      </w:r>
      <w:r w:rsidRPr="000729CF">
        <w:rPr>
          <w:rFonts w:ascii="Arial" w:eastAsia="Calibri" w:hAnsi="Arial" w:cs="Arial"/>
          <w:sz w:val="24"/>
          <w:szCs w:val="24"/>
          <w:lang w:val="en-GB"/>
        </w:rPr>
        <w:t xml:space="preserve">Preferably provide link to data/ analysis if open data source. </w:t>
      </w:r>
    </w:p>
    <w:tbl>
      <w:tblPr>
        <w:tblStyle w:val="TableGrid"/>
        <w:tblW w:w="10485" w:type="dxa"/>
        <w:tblLook w:val="04A0" w:firstRow="1" w:lastRow="0" w:firstColumn="1" w:lastColumn="0" w:noHBand="0" w:noVBand="1"/>
      </w:tblPr>
      <w:tblGrid>
        <w:gridCol w:w="2985"/>
        <w:gridCol w:w="2123"/>
        <w:gridCol w:w="5377"/>
      </w:tblGrid>
      <w:tr w:rsidR="000729CF" w:rsidRPr="000729CF" w14:paraId="18E849C7" w14:textId="77777777" w:rsidTr="000729CF">
        <w:trPr>
          <w:trHeight w:val="20"/>
        </w:trPr>
        <w:tc>
          <w:tcPr>
            <w:tcW w:w="2985" w:type="dxa"/>
            <w:shd w:val="clear" w:color="auto" w:fill="E7E6E6"/>
          </w:tcPr>
          <w:p w14:paraId="0740007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Assess impact for different population groups</w:t>
            </w:r>
          </w:p>
        </w:tc>
        <w:tc>
          <w:tcPr>
            <w:tcW w:w="2123" w:type="dxa"/>
            <w:shd w:val="clear" w:color="auto" w:fill="E7E6E6"/>
          </w:tcPr>
          <w:p w14:paraId="3D5F1B3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Is there a possible disproportionate negative impact? </w:t>
            </w:r>
          </w:p>
          <w:p w14:paraId="04A2FC99" w14:textId="77777777" w:rsidR="000729CF" w:rsidRPr="000729CF" w:rsidRDefault="000729CF" w:rsidP="000729CF">
            <w:pPr>
              <w:spacing w:after="120"/>
              <w:rPr>
                <w:rFonts w:ascii="Arial" w:eastAsia="Calibri" w:hAnsi="Arial" w:cs="Arial"/>
                <w:b/>
                <w:bCs/>
                <w:sz w:val="24"/>
                <w:szCs w:val="24"/>
              </w:rPr>
            </w:pPr>
          </w:p>
          <w:p w14:paraId="7BC12C3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b/>
                <w:bCs/>
                <w:sz w:val="24"/>
                <w:szCs w:val="24"/>
              </w:rPr>
              <w:t>State Yes or No</w:t>
            </w:r>
          </w:p>
        </w:tc>
        <w:tc>
          <w:tcPr>
            <w:tcW w:w="5377" w:type="dxa"/>
            <w:shd w:val="clear" w:color="auto" w:fill="E7E6E6"/>
          </w:tcPr>
          <w:p w14:paraId="3CCACB8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Describe the potential negative impact, considering for differences within groups For example, different ethnic groups, and peoples intersecting identities e.g. disabled women of faith</w:t>
            </w:r>
          </w:p>
          <w:p w14:paraId="4AEF73E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OR</w:t>
            </w:r>
          </w:p>
          <w:p w14:paraId="5F3F428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If no impact is identified, briefly state why.</w:t>
            </w:r>
          </w:p>
        </w:tc>
      </w:tr>
      <w:tr w:rsidR="000729CF" w:rsidRPr="000729CF" w14:paraId="5FB415B8" w14:textId="77777777" w:rsidTr="000729CF">
        <w:trPr>
          <w:trHeight w:val="20"/>
        </w:trPr>
        <w:tc>
          <w:tcPr>
            <w:tcW w:w="2985" w:type="dxa"/>
            <w:shd w:val="clear" w:color="auto" w:fill="E7E6E6"/>
          </w:tcPr>
          <w:p w14:paraId="2263202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Age </w:t>
            </w:r>
          </w:p>
          <w:p w14:paraId="4FD4346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sz w:val="24"/>
                <w:szCs w:val="24"/>
              </w:rPr>
              <w:t>including those under 16, young adults, multiple ethnicities, those with various intersections.</w:t>
            </w:r>
          </w:p>
        </w:tc>
        <w:tc>
          <w:tcPr>
            <w:tcW w:w="2123" w:type="dxa"/>
          </w:tcPr>
          <w:p w14:paraId="1AEA556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2ADAA33D" w14:textId="77777777" w:rsidR="000729CF" w:rsidRPr="000729CF" w:rsidRDefault="000729CF" w:rsidP="000729CF">
            <w:pPr>
              <w:textAlignment w:val="baseline"/>
              <w:rPr>
                <w:rFonts w:ascii="Arial" w:hAnsi="Arial" w:cs="Arial"/>
                <w:sz w:val="18"/>
                <w:szCs w:val="18"/>
                <w:lang w:eastAsia="en-GB"/>
              </w:rPr>
            </w:pPr>
            <w:r w:rsidRPr="000729CF">
              <w:rPr>
                <w:rFonts w:ascii="Arial" w:hAnsi="Arial" w:cs="Arial"/>
                <w:sz w:val="24"/>
                <w:szCs w:val="24"/>
                <w:lang w:eastAsia="en-GB"/>
              </w:rPr>
              <w:t xml:space="preserve">Age UK tell us that many older people face a difficult existence in retirement as a result of having a limited income combined with the extra costs of ageing. Increases in parking charges add to financial pressures. Link to research   </w:t>
            </w:r>
            <w:hyperlink r:id="rId37" w:tgtFrame="_blank" w:history="1">
              <w:r w:rsidRPr="000729CF">
                <w:rPr>
                  <w:rFonts w:ascii="Arial" w:hAnsi="Arial" w:cs="Arial"/>
                  <w:color w:val="0000FF"/>
                  <w:sz w:val="24"/>
                  <w:szCs w:val="24"/>
                  <w:u w:val="single"/>
                  <w:lang w:eastAsia="en-GB"/>
                </w:rPr>
                <w:t>lr-6064-age-uk-financial-hardship-final_v1.pdf (ageuk.org.uk)</w:t>
              </w:r>
            </w:hyperlink>
            <w:r w:rsidRPr="000729CF">
              <w:rPr>
                <w:rFonts w:ascii="Arial" w:hAnsi="Arial" w:cs="Arial"/>
                <w:sz w:val="24"/>
                <w:szCs w:val="24"/>
                <w:lang w:eastAsia="en-GB"/>
              </w:rPr>
              <w:t> </w:t>
            </w:r>
          </w:p>
          <w:p w14:paraId="20B520B2" w14:textId="77777777" w:rsidR="000729CF" w:rsidRPr="000729CF" w:rsidRDefault="000729CF" w:rsidP="000729CF">
            <w:pPr>
              <w:textAlignment w:val="baseline"/>
              <w:rPr>
                <w:sz w:val="24"/>
                <w:szCs w:val="24"/>
                <w:lang w:eastAsia="en-GB"/>
              </w:rPr>
            </w:pPr>
            <w:r w:rsidRPr="000729CF">
              <w:rPr>
                <w:rFonts w:ascii="Arial" w:hAnsi="Arial" w:cs="Arial"/>
                <w:sz w:val="24"/>
                <w:szCs w:val="24"/>
                <w:lang w:eastAsia="en-GB"/>
              </w:rPr>
              <w:t> </w:t>
            </w:r>
          </w:p>
        </w:tc>
      </w:tr>
      <w:tr w:rsidR="000729CF" w:rsidRPr="000729CF" w14:paraId="7E90783E" w14:textId="77777777" w:rsidTr="000729CF">
        <w:trPr>
          <w:trHeight w:val="20"/>
        </w:trPr>
        <w:tc>
          <w:tcPr>
            <w:tcW w:w="2985" w:type="dxa"/>
            <w:shd w:val="clear" w:color="auto" w:fill="E7E6E6"/>
          </w:tcPr>
          <w:p w14:paraId="1AB21182"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 xml:space="preserve">Disability </w:t>
            </w:r>
            <w:r w:rsidRPr="000729CF">
              <w:rPr>
                <w:rFonts w:ascii="Arial" w:eastAsia="Calibri" w:hAnsi="Arial" w:cs="Arial"/>
                <w:sz w:val="24"/>
                <w:szCs w:val="24"/>
              </w:rPr>
              <w:t>includes physical and sensory disabled, D/deaf, deafened, hard of hearing, blind, neurodiverse people, people with non-visible disabilities.</w:t>
            </w:r>
          </w:p>
        </w:tc>
        <w:tc>
          <w:tcPr>
            <w:tcW w:w="2123" w:type="dxa"/>
          </w:tcPr>
          <w:p w14:paraId="3C565DA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585396B3" w14:textId="77777777" w:rsidR="000729CF" w:rsidRPr="000729CF" w:rsidRDefault="000729CF" w:rsidP="000729CF">
            <w:pPr>
              <w:textAlignment w:val="baseline"/>
              <w:rPr>
                <w:rFonts w:ascii="Arial" w:hAnsi="Arial" w:cs="Arial"/>
                <w:sz w:val="18"/>
                <w:szCs w:val="18"/>
                <w:lang w:eastAsia="en-GB"/>
              </w:rPr>
            </w:pPr>
            <w:r w:rsidRPr="000729CF">
              <w:rPr>
                <w:rFonts w:ascii="Arial" w:hAnsi="Arial" w:cs="Arial"/>
                <w:sz w:val="24"/>
                <w:szCs w:val="24"/>
                <w:lang w:eastAsia="en-GB"/>
              </w:rPr>
              <w:t xml:space="preserve">Research carried out by Scope found that the cost of living with a disability or families with disabled children is significantly higher than households with no disabled people. Transport was identified as one of the main drivers for this increase in costs. Increasing parking fees will add to financial pressures on these families.  Link to research.  </w:t>
            </w:r>
            <w:hyperlink r:id="rId38" w:tgtFrame="_blank" w:history="1">
              <w:r w:rsidRPr="000729CF">
                <w:rPr>
                  <w:rFonts w:ascii="Arial" w:hAnsi="Arial" w:cs="Arial"/>
                  <w:color w:val="0000FF"/>
                  <w:sz w:val="24"/>
                  <w:szCs w:val="24"/>
                  <w:u w:val="single"/>
                  <w:lang w:eastAsia="en-GB"/>
                </w:rPr>
                <w:t>Disability Price Tag | Disability charity Scope UK</w:t>
              </w:r>
            </w:hyperlink>
            <w:r w:rsidRPr="000729CF">
              <w:rPr>
                <w:rFonts w:ascii="Arial" w:hAnsi="Arial" w:cs="Arial"/>
                <w:sz w:val="24"/>
                <w:szCs w:val="24"/>
                <w:lang w:eastAsia="en-GB"/>
              </w:rPr>
              <w:t> </w:t>
            </w:r>
          </w:p>
          <w:p w14:paraId="19C9325D" w14:textId="77777777" w:rsidR="000729CF" w:rsidRPr="000729CF" w:rsidRDefault="000729CF" w:rsidP="000729CF">
            <w:pPr>
              <w:spacing w:after="120"/>
              <w:rPr>
                <w:rFonts w:ascii="Arial" w:eastAsia="Calibri" w:hAnsi="Arial" w:cs="Arial"/>
                <w:sz w:val="24"/>
                <w:szCs w:val="24"/>
              </w:rPr>
            </w:pPr>
          </w:p>
          <w:p w14:paraId="569DCB6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The intersection of disability and faith is also a consideration for disabled people requiring the use of a vehicle to attend their place of worship. There are few non-Christian religious buildings in the city, meaning that disabled members of certain faith communities who need the use of their car are likely to have to travel across the city to worship. </w:t>
            </w:r>
          </w:p>
        </w:tc>
      </w:tr>
      <w:tr w:rsidR="000729CF" w:rsidRPr="000729CF" w14:paraId="64BDA75E" w14:textId="77777777" w:rsidTr="000729CF">
        <w:trPr>
          <w:trHeight w:val="20"/>
        </w:trPr>
        <w:tc>
          <w:tcPr>
            <w:tcW w:w="2985" w:type="dxa"/>
            <w:shd w:val="clear" w:color="auto" w:fill="E7E6E6"/>
          </w:tcPr>
          <w:p w14:paraId="0761D637" w14:textId="77777777" w:rsidR="000729CF" w:rsidRPr="000729CF" w:rsidRDefault="000729CF" w:rsidP="000729CF">
            <w:pPr>
              <w:keepNext/>
              <w:keepLines/>
              <w:spacing w:before="40"/>
              <w:outlineLvl w:val="2"/>
              <w:rPr>
                <w:rFonts w:ascii="Arial" w:hAnsi="Arial" w:cs="Arial"/>
                <w:color w:val="1F3763"/>
                <w:sz w:val="24"/>
                <w:szCs w:val="24"/>
              </w:rPr>
            </w:pPr>
            <w:r w:rsidRPr="000729CF">
              <w:rPr>
                <w:rFonts w:ascii="Arial" w:hAnsi="Arial" w:cs="Arial"/>
                <w:b/>
                <w:bCs/>
                <w:color w:val="000000"/>
                <w:sz w:val="24"/>
                <w:szCs w:val="24"/>
              </w:rPr>
              <w:t>Ethnicity, ‘</w:t>
            </w:r>
            <w:r w:rsidRPr="000729CF">
              <w:rPr>
                <w:rFonts w:ascii="Arial" w:hAnsi="Arial" w:cs="Arial"/>
                <w:color w:val="000000"/>
                <w:sz w:val="24"/>
                <w:szCs w:val="24"/>
              </w:rPr>
              <w:t>Race’, ethnic heritage including Gypsy, Roma, Travellers</w:t>
            </w:r>
          </w:p>
        </w:tc>
        <w:tc>
          <w:tcPr>
            <w:tcW w:w="2123" w:type="dxa"/>
          </w:tcPr>
          <w:p w14:paraId="4F63C0D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40E9CF2C" w14:textId="77777777" w:rsidR="000729CF" w:rsidRPr="000729CF" w:rsidRDefault="000729CF" w:rsidP="000729CF">
            <w:pPr>
              <w:spacing w:after="120"/>
              <w:rPr>
                <w:rFonts w:ascii="Arial" w:eastAsia="Calibri" w:hAnsi="Arial" w:cs="Arial"/>
                <w:sz w:val="24"/>
                <w:szCs w:val="24"/>
              </w:rPr>
            </w:pPr>
          </w:p>
        </w:tc>
      </w:tr>
      <w:tr w:rsidR="000729CF" w:rsidRPr="000729CF" w14:paraId="59B55E81" w14:textId="77777777" w:rsidTr="000729CF">
        <w:trPr>
          <w:trHeight w:val="20"/>
        </w:trPr>
        <w:tc>
          <w:tcPr>
            <w:tcW w:w="2985" w:type="dxa"/>
            <w:shd w:val="clear" w:color="auto" w:fill="E7E6E6"/>
          </w:tcPr>
          <w:p w14:paraId="5ACABFE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Religion, Spirituality, Faith, Atheism, and philosophical belief </w:t>
            </w:r>
          </w:p>
        </w:tc>
        <w:tc>
          <w:tcPr>
            <w:tcW w:w="2123" w:type="dxa"/>
          </w:tcPr>
          <w:p w14:paraId="2F31CDD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c>
          <w:tcPr>
            <w:tcW w:w="5377" w:type="dxa"/>
          </w:tcPr>
          <w:p w14:paraId="24B1F29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See text above under Disability</w:t>
            </w:r>
          </w:p>
        </w:tc>
      </w:tr>
      <w:tr w:rsidR="000729CF" w:rsidRPr="000729CF" w14:paraId="6A173FDD" w14:textId="77777777" w:rsidTr="000729CF">
        <w:trPr>
          <w:trHeight w:val="20"/>
        </w:trPr>
        <w:tc>
          <w:tcPr>
            <w:tcW w:w="2985" w:type="dxa"/>
            <w:shd w:val="clear" w:color="auto" w:fill="E7E6E6"/>
          </w:tcPr>
          <w:p w14:paraId="1DF7632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Gender and Sex </w:t>
            </w:r>
            <w:r w:rsidRPr="000729CF">
              <w:rPr>
                <w:rFonts w:ascii="Arial" w:eastAsia="Calibri" w:hAnsi="Arial" w:cs="Arial"/>
                <w:sz w:val="24"/>
                <w:szCs w:val="24"/>
              </w:rPr>
              <w:t>including non-binary and intersex people</w:t>
            </w:r>
          </w:p>
        </w:tc>
        <w:tc>
          <w:tcPr>
            <w:tcW w:w="2123" w:type="dxa"/>
          </w:tcPr>
          <w:p w14:paraId="36A4161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4FF0C71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intersection of gender and disability and caring is a consideration. 90% of lone parent households with dependents in the city are headed up by women. The percentage of women providing unpaid care is 58% in comparison to men (42%).</w:t>
            </w:r>
          </w:p>
          <w:p w14:paraId="6312FA3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Using a vehicle is important for them and those they their care for to carry out daily living activities, from shopping to doctor’s appointments to leisure activities. Increasing fees may reduce their choice and access as well as increase financial pressures especially for families on low and fixed incomes.  </w:t>
            </w:r>
          </w:p>
        </w:tc>
      </w:tr>
      <w:tr w:rsidR="000729CF" w:rsidRPr="000729CF" w14:paraId="12AC289D" w14:textId="77777777" w:rsidTr="000729CF">
        <w:trPr>
          <w:trHeight w:val="20"/>
        </w:trPr>
        <w:tc>
          <w:tcPr>
            <w:tcW w:w="2985" w:type="dxa"/>
            <w:shd w:val="clear" w:color="auto" w:fill="E7E6E6"/>
          </w:tcPr>
          <w:p w14:paraId="18FA009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2123" w:type="dxa"/>
          </w:tcPr>
          <w:p w14:paraId="49F56BA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672F0A54" w14:textId="77777777" w:rsidR="000729CF" w:rsidRPr="000729CF" w:rsidRDefault="000729CF" w:rsidP="000729CF">
            <w:pPr>
              <w:spacing w:after="120"/>
              <w:rPr>
                <w:rFonts w:ascii="Arial" w:eastAsia="Calibri" w:hAnsi="Arial" w:cs="Arial"/>
                <w:sz w:val="24"/>
                <w:szCs w:val="24"/>
              </w:rPr>
            </w:pPr>
          </w:p>
        </w:tc>
      </w:tr>
      <w:tr w:rsidR="000729CF" w:rsidRPr="000729CF" w14:paraId="4BB18466" w14:textId="77777777" w:rsidTr="000729CF">
        <w:trPr>
          <w:trHeight w:val="20"/>
        </w:trPr>
        <w:tc>
          <w:tcPr>
            <w:tcW w:w="2985" w:type="dxa"/>
            <w:shd w:val="clear" w:color="auto" w:fill="E7E6E6"/>
          </w:tcPr>
          <w:p w14:paraId="719EB85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2123" w:type="dxa"/>
          </w:tcPr>
          <w:p w14:paraId="7111FED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5A6ABBBF" w14:textId="77777777" w:rsidR="000729CF" w:rsidRPr="000729CF" w:rsidRDefault="000729CF" w:rsidP="000729CF">
            <w:pPr>
              <w:spacing w:after="120"/>
              <w:rPr>
                <w:rFonts w:ascii="Arial" w:eastAsia="Calibri" w:hAnsi="Arial" w:cs="Arial"/>
                <w:sz w:val="24"/>
                <w:szCs w:val="24"/>
              </w:rPr>
            </w:pPr>
          </w:p>
        </w:tc>
      </w:tr>
      <w:tr w:rsidR="000729CF" w:rsidRPr="000729CF" w14:paraId="1D98EEAA" w14:textId="77777777" w:rsidTr="000729CF">
        <w:trPr>
          <w:trHeight w:val="20"/>
        </w:trPr>
        <w:tc>
          <w:tcPr>
            <w:tcW w:w="2985" w:type="dxa"/>
            <w:shd w:val="clear" w:color="auto" w:fill="E7E6E6"/>
          </w:tcPr>
          <w:p w14:paraId="74311A1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2123" w:type="dxa"/>
          </w:tcPr>
          <w:p w14:paraId="1AC3BB4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61F5610C" w14:textId="77777777" w:rsidR="000729CF" w:rsidRPr="000729CF" w:rsidRDefault="000729CF" w:rsidP="000729CF">
            <w:pPr>
              <w:spacing w:after="120"/>
              <w:rPr>
                <w:rFonts w:ascii="Arial" w:eastAsia="Calibri" w:hAnsi="Arial" w:cs="Arial"/>
                <w:sz w:val="24"/>
                <w:szCs w:val="24"/>
              </w:rPr>
            </w:pPr>
          </w:p>
        </w:tc>
      </w:tr>
      <w:tr w:rsidR="000729CF" w:rsidRPr="000729CF" w14:paraId="0B9007CB" w14:textId="77777777" w:rsidTr="000729CF">
        <w:trPr>
          <w:trHeight w:val="20"/>
        </w:trPr>
        <w:tc>
          <w:tcPr>
            <w:tcW w:w="2985" w:type="dxa"/>
            <w:shd w:val="clear" w:color="auto" w:fill="E7E6E6"/>
          </w:tcPr>
          <w:p w14:paraId="0F08B96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Pregnancy, Maternity, Paternity, Adoption, Menopause, (In)fertility </w:t>
            </w:r>
            <w:r w:rsidRPr="000729CF">
              <w:rPr>
                <w:rFonts w:ascii="Arial" w:eastAsia="Calibri" w:hAnsi="Arial" w:cs="Arial"/>
                <w:color w:val="000000"/>
                <w:sz w:val="24"/>
                <w:szCs w:val="24"/>
              </w:rPr>
              <w:t>(across intersections and non-binary gender spectrum)</w:t>
            </w:r>
          </w:p>
        </w:tc>
        <w:tc>
          <w:tcPr>
            <w:tcW w:w="2123" w:type="dxa"/>
          </w:tcPr>
          <w:p w14:paraId="5CBDE03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7B4E729E" w14:textId="77777777" w:rsidR="000729CF" w:rsidRPr="000729CF" w:rsidRDefault="000729CF" w:rsidP="000729CF">
            <w:pPr>
              <w:spacing w:after="120"/>
              <w:rPr>
                <w:rFonts w:ascii="Arial" w:eastAsia="Calibri" w:hAnsi="Arial" w:cs="Arial"/>
                <w:sz w:val="24"/>
                <w:szCs w:val="24"/>
              </w:rPr>
            </w:pPr>
          </w:p>
        </w:tc>
      </w:tr>
      <w:tr w:rsidR="000729CF" w:rsidRPr="000729CF" w14:paraId="44250691" w14:textId="77777777" w:rsidTr="000729CF">
        <w:trPr>
          <w:trHeight w:val="20"/>
        </w:trPr>
        <w:tc>
          <w:tcPr>
            <w:tcW w:w="2985" w:type="dxa"/>
            <w:shd w:val="clear" w:color="auto" w:fill="E7E6E6"/>
          </w:tcPr>
          <w:p w14:paraId="2F87BBE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2123" w:type="dxa"/>
          </w:tcPr>
          <w:p w14:paraId="05407FD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1675E6D4" w14:textId="77777777" w:rsidR="000729CF" w:rsidRPr="000729CF" w:rsidRDefault="000729CF" w:rsidP="000729CF">
            <w:pPr>
              <w:spacing w:after="120"/>
              <w:rPr>
                <w:rFonts w:ascii="Arial" w:eastAsia="Calibri" w:hAnsi="Arial" w:cs="Arial"/>
                <w:sz w:val="24"/>
                <w:szCs w:val="24"/>
              </w:rPr>
            </w:pPr>
          </w:p>
        </w:tc>
      </w:tr>
      <w:tr w:rsidR="000729CF" w:rsidRPr="000729CF" w14:paraId="0D8C24F0" w14:textId="77777777" w:rsidTr="000729CF">
        <w:trPr>
          <w:trHeight w:val="20"/>
        </w:trPr>
        <w:tc>
          <w:tcPr>
            <w:tcW w:w="2985" w:type="dxa"/>
            <w:shd w:val="clear" w:color="auto" w:fill="E7E6E6"/>
          </w:tcPr>
          <w:p w14:paraId="5B79C151" w14:textId="77777777" w:rsidR="000729CF" w:rsidRPr="000729CF" w:rsidRDefault="000729CF" w:rsidP="000729CF">
            <w:pPr>
              <w:spacing w:after="120"/>
              <w:rPr>
                <w:rFonts w:ascii="Arial" w:eastAsia="Calibri" w:hAnsi="Arial" w:cs="Arial"/>
                <w:b/>
                <w:bCs/>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r w:rsidRPr="000729CF">
              <w:rPr>
                <w:rFonts w:ascii="Arial" w:hAnsi="Arial" w:cs="Arial"/>
                <w:color w:val="000000"/>
                <w:sz w:val="24"/>
                <w:szCs w:val="24"/>
              </w:rPr>
              <w:t>considering for age, language, and various intersections</w:t>
            </w:r>
          </w:p>
        </w:tc>
        <w:tc>
          <w:tcPr>
            <w:tcW w:w="2123" w:type="dxa"/>
          </w:tcPr>
          <w:p w14:paraId="68FA15B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5D1F1C43" w14:textId="77777777" w:rsidR="000729CF" w:rsidRPr="000729CF" w:rsidRDefault="000729CF" w:rsidP="000729CF">
            <w:pPr>
              <w:spacing w:after="120"/>
              <w:rPr>
                <w:rFonts w:ascii="Arial" w:eastAsia="Calibri" w:hAnsi="Arial" w:cs="Arial"/>
                <w:sz w:val="24"/>
                <w:szCs w:val="24"/>
              </w:rPr>
            </w:pPr>
          </w:p>
        </w:tc>
      </w:tr>
      <w:tr w:rsidR="000729CF" w:rsidRPr="000729CF" w14:paraId="47D31CAD" w14:textId="77777777" w:rsidTr="000729CF">
        <w:trPr>
          <w:trHeight w:val="20"/>
        </w:trPr>
        <w:tc>
          <w:tcPr>
            <w:tcW w:w="2985" w:type="dxa"/>
            <w:shd w:val="clear" w:color="auto" w:fill="E7E6E6"/>
          </w:tcPr>
          <w:p w14:paraId="5471C28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Carers </w:t>
            </w:r>
            <w:r w:rsidRPr="000729CF">
              <w:rPr>
                <w:rFonts w:ascii="Arial" w:hAnsi="Arial" w:cs="Arial"/>
                <w:color w:val="000000"/>
                <w:sz w:val="24"/>
                <w:szCs w:val="24"/>
              </w:rPr>
              <w:t>considering for age, language, and various intersections</w:t>
            </w:r>
          </w:p>
        </w:tc>
        <w:tc>
          <w:tcPr>
            <w:tcW w:w="2123" w:type="dxa"/>
          </w:tcPr>
          <w:p w14:paraId="2B41CAB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160A44AB" w14:textId="77777777" w:rsidR="000729CF" w:rsidRPr="000729CF" w:rsidRDefault="000729CF" w:rsidP="000729CF">
            <w:pPr>
              <w:textAlignment w:val="baseline"/>
              <w:rPr>
                <w:rFonts w:ascii="Arial" w:hAnsi="Arial" w:cs="Arial"/>
                <w:sz w:val="18"/>
                <w:szCs w:val="18"/>
                <w:lang w:eastAsia="en-GB"/>
              </w:rPr>
            </w:pPr>
            <w:r w:rsidRPr="000729CF">
              <w:rPr>
                <w:rFonts w:ascii="Arial" w:hAnsi="Arial" w:cs="Arial"/>
                <w:sz w:val="24"/>
                <w:szCs w:val="24"/>
                <w:lang w:eastAsia="en-GB"/>
              </w:rPr>
              <w:t xml:space="preserve">Research carried out by Carers UK found that many unpaid carers experience financial hardship because of their caring role. Increases in parking charges will add to the financial pressures. Link to research   </w:t>
            </w:r>
            <w:hyperlink r:id="rId39" w:tgtFrame="_blank" w:history="1">
              <w:proofErr w:type="spellStart"/>
              <w:r w:rsidRPr="000729CF">
                <w:rPr>
                  <w:rFonts w:ascii="Arial" w:hAnsi="Arial" w:cs="Arial"/>
                  <w:color w:val="0000FF"/>
                  <w:sz w:val="24"/>
                  <w:szCs w:val="24"/>
                  <w:u w:val="single"/>
                  <w:lang w:eastAsia="en-GB"/>
                </w:rPr>
                <w:t>Research</w:t>
              </w:r>
              <w:proofErr w:type="spellEnd"/>
              <w:r w:rsidRPr="000729CF">
                <w:rPr>
                  <w:rFonts w:ascii="Arial" w:hAnsi="Arial" w:cs="Arial"/>
                  <w:color w:val="0000FF"/>
                  <w:sz w:val="24"/>
                  <w:szCs w:val="24"/>
                  <w:u w:val="single"/>
                  <w:lang w:eastAsia="en-GB"/>
                </w:rPr>
                <w:t>: Financial pressure of caring unpaid for a loved one intensifies over time - Carers UK</w:t>
              </w:r>
            </w:hyperlink>
            <w:r w:rsidRPr="000729CF">
              <w:rPr>
                <w:rFonts w:ascii="Arial" w:hAnsi="Arial" w:cs="Arial"/>
                <w:b/>
                <w:bCs/>
                <w:sz w:val="24"/>
                <w:szCs w:val="24"/>
                <w:lang w:eastAsia="en-GB"/>
              </w:rPr>
              <w:t>  </w:t>
            </w:r>
            <w:r w:rsidRPr="000729CF">
              <w:rPr>
                <w:rFonts w:ascii="Arial" w:hAnsi="Arial" w:cs="Arial"/>
                <w:sz w:val="24"/>
                <w:szCs w:val="24"/>
                <w:lang w:eastAsia="en-GB"/>
              </w:rPr>
              <w:t> </w:t>
            </w:r>
          </w:p>
          <w:p w14:paraId="22F90F77" w14:textId="77777777" w:rsidR="000729CF" w:rsidRPr="000729CF" w:rsidRDefault="000729CF" w:rsidP="000729CF">
            <w:pPr>
              <w:spacing w:after="120"/>
              <w:rPr>
                <w:rFonts w:ascii="Arial" w:eastAsia="Calibri" w:hAnsi="Arial" w:cs="Arial"/>
                <w:sz w:val="24"/>
                <w:szCs w:val="24"/>
              </w:rPr>
            </w:pPr>
          </w:p>
        </w:tc>
      </w:tr>
      <w:tr w:rsidR="000729CF" w:rsidRPr="000729CF" w14:paraId="546BCAD3" w14:textId="77777777" w:rsidTr="000729CF">
        <w:trPr>
          <w:trHeight w:val="20"/>
        </w:trPr>
        <w:tc>
          <w:tcPr>
            <w:tcW w:w="2985" w:type="dxa"/>
            <w:shd w:val="clear" w:color="auto" w:fill="E7E6E6"/>
          </w:tcPr>
          <w:p w14:paraId="08FFE787"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 xml:space="preserve">Looked after children, Care Leavers, Care and fostering experienced people </w:t>
            </w:r>
            <w:r w:rsidRPr="000729CF">
              <w:rPr>
                <w:rFonts w:ascii="Arial" w:hAnsi="Arial" w:cs="Arial"/>
                <w:color w:val="000000"/>
                <w:sz w:val="24"/>
                <w:szCs w:val="24"/>
              </w:rPr>
              <w:t>considering for age, language, and various intersections</w:t>
            </w:r>
          </w:p>
        </w:tc>
        <w:tc>
          <w:tcPr>
            <w:tcW w:w="2123" w:type="dxa"/>
          </w:tcPr>
          <w:p w14:paraId="5C61CEE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2F4A675B" w14:textId="77777777" w:rsidR="000729CF" w:rsidRPr="000729CF" w:rsidRDefault="000729CF" w:rsidP="000729CF">
            <w:pPr>
              <w:spacing w:after="120"/>
              <w:rPr>
                <w:rFonts w:ascii="Arial" w:eastAsia="Calibri" w:hAnsi="Arial" w:cs="Arial"/>
                <w:sz w:val="24"/>
                <w:szCs w:val="24"/>
              </w:rPr>
            </w:pPr>
          </w:p>
        </w:tc>
      </w:tr>
      <w:tr w:rsidR="000729CF" w:rsidRPr="000729CF" w14:paraId="6AB3C04C" w14:textId="77777777" w:rsidTr="000729CF">
        <w:trPr>
          <w:trHeight w:val="20"/>
        </w:trPr>
        <w:tc>
          <w:tcPr>
            <w:tcW w:w="2985" w:type="dxa"/>
            <w:shd w:val="clear" w:color="auto" w:fill="E7E6E6"/>
          </w:tcPr>
          <w:p w14:paraId="4650E66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w:t>
            </w:r>
          </w:p>
        </w:tc>
        <w:tc>
          <w:tcPr>
            <w:tcW w:w="2123" w:type="dxa"/>
          </w:tcPr>
          <w:p w14:paraId="28A3F0E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345CE46C" w14:textId="77777777" w:rsidR="000729CF" w:rsidRPr="000729CF" w:rsidRDefault="000729CF" w:rsidP="000729CF">
            <w:pPr>
              <w:spacing w:after="120"/>
              <w:rPr>
                <w:rFonts w:ascii="Arial" w:eastAsia="Calibri" w:hAnsi="Arial" w:cs="Arial"/>
                <w:sz w:val="24"/>
                <w:szCs w:val="24"/>
              </w:rPr>
            </w:pPr>
          </w:p>
        </w:tc>
      </w:tr>
      <w:tr w:rsidR="000729CF" w:rsidRPr="000729CF" w14:paraId="1DBB6285" w14:textId="77777777" w:rsidTr="000729CF">
        <w:trPr>
          <w:trHeight w:val="20"/>
        </w:trPr>
        <w:tc>
          <w:tcPr>
            <w:tcW w:w="2985" w:type="dxa"/>
            <w:shd w:val="clear" w:color="auto" w:fill="E7E6E6"/>
          </w:tcPr>
          <w:p w14:paraId="0CE5253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Socio-economic disadvantage </w:t>
            </w:r>
            <w:r w:rsidRPr="000729CF">
              <w:rPr>
                <w:rFonts w:ascii="Arial" w:eastAsia="Calibri" w:hAnsi="Arial" w:cs="Arial"/>
                <w:color w:val="000000"/>
                <w:sz w:val="24"/>
                <w:szCs w:val="24"/>
              </w:rPr>
              <w:t>considering for age, disability, D/deaf/ blind, ethnicity, expatriate background, and various intersections</w:t>
            </w:r>
          </w:p>
        </w:tc>
        <w:tc>
          <w:tcPr>
            <w:tcW w:w="2123" w:type="dxa"/>
          </w:tcPr>
          <w:p w14:paraId="4DD251C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c>
          <w:tcPr>
            <w:tcW w:w="5377" w:type="dxa"/>
          </w:tcPr>
          <w:p w14:paraId="1898171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Households on low fixed incomes may experience increased financial pressures with increase parking fees. </w:t>
            </w:r>
          </w:p>
        </w:tc>
      </w:tr>
      <w:tr w:rsidR="000729CF" w:rsidRPr="000729CF" w14:paraId="68F32301" w14:textId="77777777" w:rsidTr="000729CF">
        <w:trPr>
          <w:trHeight w:val="20"/>
        </w:trPr>
        <w:tc>
          <w:tcPr>
            <w:tcW w:w="2985" w:type="dxa"/>
            <w:shd w:val="clear" w:color="auto" w:fill="E7E6E6"/>
          </w:tcPr>
          <w:p w14:paraId="38BF378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Homeless and rough sleepers </w:t>
            </w:r>
            <w:r w:rsidRPr="000729CF">
              <w:rPr>
                <w:rFonts w:ascii="Arial" w:eastAsia="Calibri" w:hAnsi="Arial" w:cs="Arial"/>
                <w:color w:val="000000"/>
                <w:sz w:val="24"/>
                <w:szCs w:val="24"/>
              </w:rPr>
              <w:t>considering for age, veteran, ethnicity, language, and various intersections</w:t>
            </w:r>
          </w:p>
        </w:tc>
        <w:tc>
          <w:tcPr>
            <w:tcW w:w="2123" w:type="dxa"/>
          </w:tcPr>
          <w:p w14:paraId="1AC1D3C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18E6CA7F" w14:textId="77777777" w:rsidR="000729CF" w:rsidRPr="000729CF" w:rsidRDefault="000729CF" w:rsidP="000729CF">
            <w:pPr>
              <w:spacing w:after="120"/>
              <w:rPr>
                <w:rFonts w:ascii="Arial" w:eastAsia="Calibri" w:hAnsi="Arial" w:cs="Arial"/>
                <w:sz w:val="24"/>
                <w:szCs w:val="24"/>
              </w:rPr>
            </w:pPr>
          </w:p>
        </w:tc>
      </w:tr>
      <w:tr w:rsidR="000729CF" w:rsidRPr="000729CF" w14:paraId="37163971" w14:textId="77777777" w:rsidTr="000729CF">
        <w:trPr>
          <w:trHeight w:val="20"/>
        </w:trPr>
        <w:tc>
          <w:tcPr>
            <w:tcW w:w="2985" w:type="dxa"/>
            <w:shd w:val="clear" w:color="auto" w:fill="E7E6E6"/>
          </w:tcPr>
          <w:p w14:paraId="5292D86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2123" w:type="dxa"/>
          </w:tcPr>
          <w:p w14:paraId="66847E4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03ED0645" w14:textId="77777777" w:rsidR="000729CF" w:rsidRPr="000729CF" w:rsidRDefault="000729CF" w:rsidP="000729CF">
            <w:pPr>
              <w:spacing w:after="120"/>
              <w:rPr>
                <w:rFonts w:ascii="Arial" w:eastAsia="Calibri" w:hAnsi="Arial" w:cs="Arial"/>
                <w:sz w:val="24"/>
                <w:szCs w:val="24"/>
              </w:rPr>
            </w:pPr>
          </w:p>
        </w:tc>
      </w:tr>
      <w:tr w:rsidR="000729CF" w:rsidRPr="000729CF" w14:paraId="38A27D9B" w14:textId="77777777" w:rsidTr="000729CF">
        <w:trPr>
          <w:trHeight w:val="20"/>
        </w:trPr>
        <w:tc>
          <w:tcPr>
            <w:tcW w:w="2985" w:type="dxa"/>
            <w:shd w:val="clear" w:color="auto" w:fill="E7E6E6"/>
          </w:tcPr>
          <w:p w14:paraId="6AA67C9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 (please specify here and add additional rows as needed)</w:t>
            </w:r>
          </w:p>
        </w:tc>
        <w:tc>
          <w:tcPr>
            <w:tcW w:w="2123" w:type="dxa"/>
          </w:tcPr>
          <w:p w14:paraId="100787B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0BEDB0C0" w14:textId="77777777" w:rsidR="000729CF" w:rsidRPr="000729CF" w:rsidRDefault="000729CF" w:rsidP="000729CF">
            <w:pPr>
              <w:spacing w:after="120"/>
              <w:rPr>
                <w:rFonts w:ascii="Arial" w:eastAsia="Calibri" w:hAnsi="Arial" w:cs="Arial"/>
                <w:sz w:val="24"/>
                <w:szCs w:val="24"/>
              </w:rPr>
            </w:pPr>
          </w:p>
        </w:tc>
      </w:tr>
    </w:tbl>
    <w:p w14:paraId="4CB98491" w14:textId="77777777" w:rsidR="000729CF" w:rsidRPr="000729CF" w:rsidRDefault="000729CF" w:rsidP="000729CF">
      <w:pPr>
        <w:spacing w:after="160" w:line="259" w:lineRule="auto"/>
        <w:rPr>
          <w:rFonts w:ascii="Arial" w:eastAsia="Calibri" w:hAnsi="Arial" w:cs="Arial"/>
          <w:b/>
          <w:bCs/>
          <w:sz w:val="24"/>
          <w:szCs w:val="24"/>
          <w:lang w:val="en-GB"/>
        </w:rPr>
      </w:pPr>
    </w:p>
    <w:p w14:paraId="041F7FAD"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4771D0E3"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7467616A"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3D110E41"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525C9912"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45692FFD"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6F62DEB0"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3F0607B7"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6562C208"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18BAA2D9"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4B060E90" w14:textId="77777777" w:rsidR="000729CF" w:rsidRPr="000729CF" w:rsidRDefault="000729CF" w:rsidP="000729CF">
      <w:pPr>
        <w:rPr>
          <w:rFonts w:ascii="Arial" w:eastAsia="Calibri" w:hAnsi="Arial" w:cs="Arial"/>
          <w:sz w:val="24"/>
          <w:szCs w:val="24"/>
          <w:lang w:val="en-GB"/>
        </w:rPr>
      </w:pPr>
    </w:p>
    <w:p w14:paraId="426978D6"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Cumulative impacts</w:t>
      </w:r>
    </w:p>
    <w:p w14:paraId="634D915E"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Are there other budget proposals from other service areas that might worsen or mitigate the impacts from your proposal? Please give a brief description including name of other service(s).</w:t>
      </w:r>
    </w:p>
    <w:tbl>
      <w:tblPr>
        <w:tblStyle w:val="TableGrid"/>
        <w:tblW w:w="0" w:type="auto"/>
        <w:tblLook w:val="04A0" w:firstRow="1" w:lastRow="0" w:firstColumn="1" w:lastColumn="0" w:noHBand="0" w:noVBand="1"/>
      </w:tblPr>
      <w:tblGrid>
        <w:gridCol w:w="10456"/>
      </w:tblGrid>
      <w:tr w:rsidR="000729CF" w:rsidRPr="000729CF" w14:paraId="68A10E37" w14:textId="77777777" w:rsidTr="00BC26AB">
        <w:tc>
          <w:tcPr>
            <w:tcW w:w="10456" w:type="dxa"/>
          </w:tcPr>
          <w:p w14:paraId="31CEA502" w14:textId="77777777" w:rsidR="000729CF" w:rsidRPr="000729CF" w:rsidRDefault="000729CF" w:rsidP="000729CF">
            <w:pPr>
              <w:rPr>
                <w:rFonts w:ascii="Arial" w:eastAsia="Calibri" w:hAnsi="Arial" w:cs="Arial"/>
                <w:sz w:val="24"/>
                <w:szCs w:val="24"/>
              </w:rPr>
            </w:pPr>
            <w:r w:rsidRPr="000729CF">
              <w:rPr>
                <w:rFonts w:ascii="Arial" w:eastAsia="Calibri" w:hAnsi="Arial" w:cs="Arial"/>
                <w:color w:val="000000"/>
                <w:sz w:val="24"/>
                <w:szCs w:val="24"/>
                <w:shd w:val="clear" w:color="auto" w:fill="FFFFFF"/>
              </w:rPr>
              <w:t>In 22/23 we expanded Concessionary travel scheme for disabled passes for 24-hour use which will mitigate some of the impacts from increases to fees &amp; charges by encouraging / improving access to public transport use. </w:t>
            </w:r>
          </w:p>
          <w:p w14:paraId="5F9CF9BE" w14:textId="77777777" w:rsidR="000729CF" w:rsidRPr="000729CF" w:rsidRDefault="000729CF" w:rsidP="000729CF">
            <w:pPr>
              <w:rPr>
                <w:rFonts w:ascii="Arial" w:eastAsia="Calibri" w:hAnsi="Arial" w:cs="Arial"/>
                <w:color w:val="000000"/>
                <w:sz w:val="24"/>
                <w:szCs w:val="24"/>
              </w:rPr>
            </w:pPr>
          </w:p>
          <w:p w14:paraId="2425DAD2" w14:textId="77777777" w:rsidR="000729CF" w:rsidRPr="000729CF" w:rsidRDefault="000729CF" w:rsidP="000729CF">
            <w:pPr>
              <w:rPr>
                <w:rFonts w:ascii="Arial" w:eastAsia="Calibri" w:hAnsi="Arial" w:cs="Arial"/>
                <w:color w:val="000000"/>
                <w:sz w:val="24"/>
                <w:szCs w:val="24"/>
              </w:rPr>
            </w:pPr>
            <w:r w:rsidRPr="000729CF">
              <w:rPr>
                <w:rFonts w:ascii="Arial" w:eastAsia="Calibri" w:hAnsi="Arial" w:cs="Arial"/>
                <w:color w:val="000000"/>
                <w:sz w:val="24"/>
                <w:szCs w:val="24"/>
              </w:rPr>
              <w:t xml:space="preserve">There may be other budget saving proposals across the council that impact on disabled people that may worsen the impact of this budget proposal. </w:t>
            </w:r>
          </w:p>
          <w:p w14:paraId="5B487A3C" w14:textId="77777777" w:rsidR="000729CF" w:rsidRPr="000729CF" w:rsidRDefault="000729CF" w:rsidP="000729CF">
            <w:pPr>
              <w:rPr>
                <w:rFonts w:ascii="Arial" w:eastAsia="Calibri" w:hAnsi="Arial" w:cs="Arial"/>
                <w:sz w:val="24"/>
                <w:szCs w:val="24"/>
              </w:rPr>
            </w:pPr>
          </w:p>
          <w:p w14:paraId="068648BC" w14:textId="77777777" w:rsidR="000729CF" w:rsidRPr="000729CF" w:rsidRDefault="000729CF" w:rsidP="000729CF">
            <w:pPr>
              <w:rPr>
                <w:rFonts w:ascii="Arial" w:eastAsia="Calibri" w:hAnsi="Arial" w:cs="Arial"/>
                <w:sz w:val="24"/>
                <w:szCs w:val="24"/>
              </w:rPr>
            </w:pPr>
          </w:p>
        </w:tc>
      </w:tr>
    </w:tbl>
    <w:p w14:paraId="05AB3D7C" w14:textId="77777777" w:rsidR="000729CF" w:rsidRPr="000729CF" w:rsidRDefault="000729CF" w:rsidP="000729CF">
      <w:pPr>
        <w:spacing w:after="160" w:line="259" w:lineRule="auto"/>
        <w:rPr>
          <w:rFonts w:ascii="Arial" w:eastAsia="Calibri" w:hAnsi="Arial" w:cs="Arial"/>
          <w:sz w:val="24"/>
          <w:szCs w:val="24"/>
          <w:lang w:val="en-GB"/>
        </w:rPr>
      </w:pPr>
    </w:p>
    <w:p w14:paraId="156267EF"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Action planning</w:t>
      </w:r>
    </w:p>
    <w:p w14:paraId="7B3A03E7"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SMART actions will be taken to mitigate the disproportionate impacts identified in section 3? If no mitigating action is possible, please state and explain why. Add additional rows as required. </w:t>
      </w:r>
    </w:p>
    <w:tbl>
      <w:tblPr>
        <w:tblStyle w:val="TableGrid"/>
        <w:tblW w:w="0" w:type="auto"/>
        <w:tblLook w:val="04A0" w:firstRow="1" w:lastRow="0" w:firstColumn="1" w:lastColumn="0" w:noHBand="0" w:noVBand="1"/>
      </w:tblPr>
      <w:tblGrid>
        <w:gridCol w:w="10456"/>
      </w:tblGrid>
      <w:tr w:rsidR="000729CF" w:rsidRPr="000729CF" w14:paraId="5D140956" w14:textId="77777777" w:rsidTr="00BC26AB">
        <w:trPr>
          <w:trHeight w:val="847"/>
        </w:trPr>
        <w:tc>
          <w:tcPr>
            <w:tcW w:w="10456" w:type="dxa"/>
          </w:tcPr>
          <w:p w14:paraId="7BB4AB14" w14:textId="77777777" w:rsidR="000729CF" w:rsidRPr="000729CF" w:rsidRDefault="000729CF" w:rsidP="000729CF">
            <w:pPr>
              <w:spacing w:after="120"/>
              <w:rPr>
                <w:rFonts w:ascii="Arial" w:eastAsia="Calibri" w:hAnsi="Arial" w:cs="Arial"/>
                <w:color w:val="000000"/>
                <w:sz w:val="24"/>
                <w:szCs w:val="24"/>
              </w:rPr>
            </w:pPr>
            <w:r w:rsidRPr="000729CF">
              <w:rPr>
                <w:rFonts w:ascii="Arial" w:eastAsia="Calibri" w:hAnsi="Arial" w:cs="Arial"/>
                <w:color w:val="000000"/>
                <w:sz w:val="24"/>
                <w:szCs w:val="24"/>
                <w:shd w:val="clear" w:color="auto" w:fill="FFFFFF"/>
              </w:rPr>
              <w:t>Ongoing work to identify Blue Badge fraud will free up parking spaces for eligible blue badge holders and we will continue with Blue Badge fraud investigation work to protect disabled bays from misuse. </w:t>
            </w:r>
          </w:p>
        </w:tc>
      </w:tr>
      <w:tr w:rsidR="000729CF" w:rsidRPr="000729CF" w14:paraId="5F194BCB" w14:textId="77777777" w:rsidTr="00BC26AB">
        <w:trPr>
          <w:trHeight w:val="847"/>
        </w:trPr>
        <w:tc>
          <w:tcPr>
            <w:tcW w:w="10456" w:type="dxa"/>
          </w:tcPr>
          <w:p w14:paraId="64B717C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color w:val="000000"/>
                <w:sz w:val="24"/>
                <w:szCs w:val="24"/>
                <w:shd w:val="clear" w:color="auto" w:fill="FFFFFF"/>
              </w:rPr>
              <w:t>Surplus parking income is mainly spent on providing free concessionary bus passes for elderly and disabled people to encourage alternative sustainable transport choices.</w:t>
            </w:r>
            <w:r w:rsidRPr="000729CF">
              <w:rPr>
                <w:rFonts w:ascii="Arial" w:eastAsia="Calibri" w:hAnsi="Arial" w:cs="Arial"/>
                <w:sz w:val="24"/>
                <w:szCs w:val="24"/>
              </w:rPr>
              <w:t xml:space="preserve"> </w:t>
            </w:r>
          </w:p>
        </w:tc>
      </w:tr>
      <w:tr w:rsidR="000729CF" w:rsidRPr="000729CF" w14:paraId="372288D0" w14:textId="77777777" w:rsidTr="00BC26AB">
        <w:trPr>
          <w:trHeight w:val="847"/>
        </w:trPr>
        <w:tc>
          <w:tcPr>
            <w:tcW w:w="10456" w:type="dxa"/>
          </w:tcPr>
          <w:p w14:paraId="687DA4A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color w:val="000000"/>
                <w:sz w:val="24"/>
                <w:szCs w:val="24"/>
                <w:shd w:val="clear" w:color="auto" w:fill="FFFFFF"/>
              </w:rPr>
              <w:t>Blue badges are issued to disabled people who are drivers or non-drivers allowing free parking for an unlimited amount of time in pay and display bays and parking in disabled bays. Where the blue badge can be used has been extended to include all permit bays in light touch schemes which cover a significant area of the controlled parking zones in Brighton &amp; Hove.</w:t>
            </w:r>
          </w:p>
        </w:tc>
      </w:tr>
      <w:tr w:rsidR="000729CF" w:rsidRPr="000729CF" w14:paraId="436E1950" w14:textId="77777777" w:rsidTr="00BC26AB">
        <w:trPr>
          <w:trHeight w:val="847"/>
        </w:trPr>
        <w:tc>
          <w:tcPr>
            <w:tcW w:w="10456" w:type="dxa"/>
          </w:tcPr>
          <w:p w14:paraId="42E76DD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color w:val="000000"/>
                <w:sz w:val="24"/>
                <w:szCs w:val="24"/>
                <w:shd w:val="clear" w:color="auto" w:fill="FFFFFF"/>
              </w:rPr>
              <w:t>The hours residents of Brighton and Hove can use an older person’s concessionary travel pass have been extended to between 9.30am – 4.30am on weekdays and 24hrs a day on weekends. Those unable to use the concessionary travel pass can swap the pass for an annual allocation of £70 worth of Taxi Vouchers.  </w:t>
            </w:r>
          </w:p>
        </w:tc>
      </w:tr>
    </w:tbl>
    <w:p w14:paraId="71CDF916" w14:textId="77777777" w:rsidR="000729CF" w:rsidRPr="000729CF" w:rsidRDefault="000729CF" w:rsidP="000729CF">
      <w:pPr>
        <w:spacing w:after="160" w:line="259" w:lineRule="auto"/>
        <w:rPr>
          <w:rFonts w:ascii="Arial" w:eastAsia="Calibri" w:hAnsi="Arial" w:cs="Arial"/>
          <w:sz w:val="24"/>
          <w:szCs w:val="24"/>
          <w:lang w:val="en-GB"/>
        </w:rPr>
      </w:pPr>
    </w:p>
    <w:p w14:paraId="05D9B7D5"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Outcome of your assessment</w:t>
      </w:r>
    </w:p>
    <w:p w14:paraId="0C6E1D28"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Based on the information above give the proposal an impact score between 1 – 5. </w:t>
      </w:r>
    </w:p>
    <w:p w14:paraId="77613289"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1= proposal has minimal impact and/or mitigating actions will significantly minimise the impact</w:t>
      </w:r>
    </w:p>
    <w:p w14:paraId="66DCBC03"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3= proposal will have a significant negative impact; however, mitigation actions will reduce the impact considerably.</w:t>
      </w:r>
    </w:p>
    <w:p w14:paraId="3D259DE0"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5= proposal has significant impact and mitigating actions will have limited effect on reducing impact.</w:t>
      </w:r>
    </w:p>
    <w:p w14:paraId="67266B98" w14:textId="77777777" w:rsidR="000729CF" w:rsidRPr="000729CF" w:rsidRDefault="000729CF" w:rsidP="000729CF">
      <w:pPr>
        <w:rPr>
          <w:rFonts w:ascii="Arial" w:eastAsia="Calibri" w:hAnsi="Arial" w:cs="Arial"/>
          <w:sz w:val="24"/>
          <w:szCs w:val="24"/>
          <w:highlight w:val="yellow"/>
          <w:lang w:val="en-GB"/>
        </w:rPr>
      </w:pPr>
    </w:p>
    <w:tbl>
      <w:tblPr>
        <w:tblStyle w:val="TableGrid"/>
        <w:tblW w:w="0" w:type="auto"/>
        <w:tblLook w:val="04A0" w:firstRow="1" w:lastRow="0" w:firstColumn="1" w:lastColumn="0" w:noHBand="0" w:noVBand="1"/>
      </w:tblPr>
      <w:tblGrid>
        <w:gridCol w:w="3114"/>
        <w:gridCol w:w="7342"/>
      </w:tblGrid>
      <w:tr w:rsidR="000729CF" w:rsidRPr="000729CF" w14:paraId="46C5715B" w14:textId="77777777" w:rsidTr="00BC26AB">
        <w:trPr>
          <w:trHeight w:val="152"/>
        </w:trPr>
        <w:tc>
          <w:tcPr>
            <w:tcW w:w="3114" w:type="dxa"/>
          </w:tcPr>
          <w:p w14:paraId="47FAA28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Proposal’s impact score:</w:t>
            </w:r>
          </w:p>
        </w:tc>
        <w:tc>
          <w:tcPr>
            <w:tcW w:w="7342" w:type="dxa"/>
          </w:tcPr>
          <w:p w14:paraId="7539D5A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2</w:t>
            </w:r>
          </w:p>
        </w:tc>
      </w:tr>
    </w:tbl>
    <w:p w14:paraId="1F9A913E" w14:textId="77777777" w:rsidR="000729CF" w:rsidRPr="000729CF" w:rsidRDefault="000729CF" w:rsidP="000729CF">
      <w:pPr>
        <w:spacing w:after="160" w:line="259" w:lineRule="auto"/>
        <w:rPr>
          <w:rFonts w:ascii="Arial" w:eastAsia="Calibri" w:hAnsi="Arial" w:cs="Arial"/>
          <w:sz w:val="24"/>
          <w:szCs w:val="24"/>
          <w:lang w:val="en-GB"/>
        </w:rPr>
      </w:pPr>
    </w:p>
    <w:p w14:paraId="07C2C18E"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Publication</w:t>
      </w:r>
    </w:p>
    <w:p w14:paraId="558829BE"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All Equality Impact Assessments will be published. If you are recommending, and choosing not to publish your EIA, please provide a reason:</w:t>
      </w:r>
    </w:p>
    <w:tbl>
      <w:tblPr>
        <w:tblStyle w:val="TableGrid"/>
        <w:tblW w:w="0" w:type="auto"/>
        <w:tblLook w:val="04A0" w:firstRow="1" w:lastRow="0" w:firstColumn="1" w:lastColumn="0" w:noHBand="0" w:noVBand="1"/>
      </w:tblPr>
      <w:tblGrid>
        <w:gridCol w:w="10456"/>
      </w:tblGrid>
      <w:tr w:rsidR="000729CF" w:rsidRPr="000729CF" w14:paraId="644CDFA2" w14:textId="77777777" w:rsidTr="00BC26AB">
        <w:trPr>
          <w:trHeight w:val="803"/>
        </w:trPr>
        <w:tc>
          <w:tcPr>
            <w:tcW w:w="10456" w:type="dxa"/>
          </w:tcPr>
          <w:p w14:paraId="63B650F6" w14:textId="77777777" w:rsidR="000729CF" w:rsidRPr="000729CF" w:rsidRDefault="000729CF" w:rsidP="000729CF">
            <w:pPr>
              <w:spacing w:after="120"/>
              <w:rPr>
                <w:rFonts w:ascii="Arial" w:eastAsia="Calibri" w:hAnsi="Arial" w:cs="Arial"/>
                <w:sz w:val="24"/>
                <w:szCs w:val="24"/>
              </w:rPr>
            </w:pPr>
          </w:p>
        </w:tc>
      </w:tr>
    </w:tbl>
    <w:p w14:paraId="742C23C3" w14:textId="77777777" w:rsidR="000729CF" w:rsidRPr="000729CF" w:rsidRDefault="000729CF" w:rsidP="000729CF">
      <w:pPr>
        <w:spacing w:after="160" w:line="259" w:lineRule="auto"/>
        <w:rPr>
          <w:rFonts w:ascii="Arial" w:eastAsia="Calibri" w:hAnsi="Arial" w:cs="Arial"/>
          <w:sz w:val="24"/>
          <w:szCs w:val="24"/>
          <w:lang w:val="en-GB"/>
        </w:rPr>
      </w:pPr>
    </w:p>
    <w:p w14:paraId="5C64EED8"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Directorate and Service Approval</w:t>
      </w:r>
    </w:p>
    <w:tbl>
      <w:tblPr>
        <w:tblStyle w:val="TableGrid"/>
        <w:tblW w:w="0" w:type="auto"/>
        <w:tblLook w:val="04A0" w:firstRow="1" w:lastRow="0" w:firstColumn="1" w:lastColumn="0" w:noHBand="0" w:noVBand="1"/>
      </w:tblPr>
      <w:tblGrid>
        <w:gridCol w:w="3681"/>
        <w:gridCol w:w="4394"/>
        <w:gridCol w:w="2381"/>
      </w:tblGrid>
      <w:tr w:rsidR="000729CF" w:rsidRPr="000729CF" w14:paraId="536F8EFA" w14:textId="77777777" w:rsidTr="000729CF">
        <w:trPr>
          <w:trHeight w:val="20"/>
        </w:trPr>
        <w:tc>
          <w:tcPr>
            <w:tcW w:w="3681" w:type="dxa"/>
            <w:tcBorders>
              <w:bottom w:val="single" w:sz="4" w:space="0" w:color="auto"/>
            </w:tcBorders>
            <w:shd w:val="clear" w:color="auto" w:fill="D9D9D9"/>
          </w:tcPr>
          <w:p w14:paraId="272BA9D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511E662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 and Job Title:</w:t>
            </w:r>
          </w:p>
        </w:tc>
        <w:tc>
          <w:tcPr>
            <w:tcW w:w="2381" w:type="dxa"/>
            <w:shd w:val="clear" w:color="auto" w:fill="D9D9D9"/>
          </w:tcPr>
          <w:p w14:paraId="1640EA7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4229133E" w14:textId="77777777" w:rsidTr="000729CF">
        <w:trPr>
          <w:trHeight w:val="20"/>
        </w:trPr>
        <w:tc>
          <w:tcPr>
            <w:tcW w:w="3681" w:type="dxa"/>
            <w:shd w:val="clear" w:color="auto" w:fill="E7E6E6"/>
          </w:tcPr>
          <w:p w14:paraId="79CCEC0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Responsible Lead Officer:</w:t>
            </w:r>
          </w:p>
        </w:tc>
        <w:tc>
          <w:tcPr>
            <w:tcW w:w="4394" w:type="dxa"/>
          </w:tcPr>
          <w:p w14:paraId="4588A9C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Charles Field, Head of Parking</w:t>
            </w:r>
          </w:p>
        </w:tc>
        <w:tc>
          <w:tcPr>
            <w:tcW w:w="2381" w:type="dxa"/>
          </w:tcPr>
          <w:p w14:paraId="26E534D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24/01/2024</w:t>
            </w:r>
          </w:p>
        </w:tc>
      </w:tr>
      <w:tr w:rsidR="000729CF" w:rsidRPr="000729CF" w14:paraId="25A2688C" w14:textId="77777777" w:rsidTr="000729CF">
        <w:trPr>
          <w:trHeight w:val="20"/>
        </w:trPr>
        <w:tc>
          <w:tcPr>
            <w:tcW w:w="3681" w:type="dxa"/>
            <w:shd w:val="clear" w:color="auto" w:fill="E7E6E6"/>
          </w:tcPr>
          <w:p w14:paraId="3CD4040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Accountable Manager:</w:t>
            </w:r>
          </w:p>
        </w:tc>
        <w:tc>
          <w:tcPr>
            <w:tcW w:w="4394" w:type="dxa"/>
          </w:tcPr>
          <w:p w14:paraId="2CAB0D2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Mark Prior, Assistant Director City Transport</w:t>
            </w:r>
          </w:p>
        </w:tc>
        <w:tc>
          <w:tcPr>
            <w:tcW w:w="2381" w:type="dxa"/>
          </w:tcPr>
          <w:p w14:paraId="3923989C" w14:textId="77777777" w:rsidR="000729CF" w:rsidRPr="000729CF" w:rsidRDefault="000729CF" w:rsidP="000729CF">
            <w:pPr>
              <w:spacing w:after="120"/>
              <w:rPr>
                <w:rFonts w:ascii="Arial" w:eastAsia="Calibri" w:hAnsi="Arial" w:cs="Arial"/>
                <w:sz w:val="24"/>
                <w:szCs w:val="24"/>
              </w:rPr>
            </w:pPr>
          </w:p>
        </w:tc>
      </w:tr>
    </w:tbl>
    <w:p w14:paraId="62918E76" w14:textId="77777777" w:rsidR="000729CF" w:rsidRPr="000729CF" w:rsidRDefault="000729CF" w:rsidP="000729CF">
      <w:pPr>
        <w:spacing w:after="160" w:line="259" w:lineRule="auto"/>
        <w:rPr>
          <w:rFonts w:ascii="Arial" w:eastAsia="Calibri" w:hAnsi="Arial" w:cs="Arial"/>
          <w:sz w:val="24"/>
          <w:szCs w:val="24"/>
          <w:lang w:val="en-GB"/>
        </w:rPr>
      </w:pPr>
    </w:p>
    <w:p w14:paraId="05132946" w14:textId="77777777" w:rsidR="000729CF" w:rsidRPr="000729CF" w:rsidRDefault="000729CF" w:rsidP="000729CF">
      <w:pPr>
        <w:keepNext/>
        <w:keepLines/>
        <w:spacing w:before="40" w:after="160" w:line="259" w:lineRule="auto"/>
        <w:outlineLvl w:val="2"/>
        <w:rPr>
          <w:rFonts w:ascii="Arial" w:hAnsi="Arial" w:cs="Arial"/>
          <w:b/>
          <w:bCs/>
          <w:color w:val="000000"/>
          <w:sz w:val="28"/>
          <w:szCs w:val="28"/>
          <w:lang w:val="en-GB"/>
        </w:rPr>
      </w:pPr>
      <w:r w:rsidRPr="000729CF">
        <w:rPr>
          <w:rFonts w:ascii="Arial" w:hAnsi="Arial" w:cs="Arial"/>
          <w:b/>
          <w:bCs/>
          <w:color w:val="000000"/>
          <w:sz w:val="28"/>
          <w:szCs w:val="28"/>
          <w:lang w:val="en-GB"/>
        </w:rPr>
        <w:t>EDI Review and Approval:</w:t>
      </w:r>
    </w:p>
    <w:p w14:paraId="4B232531" w14:textId="77777777" w:rsidR="000729CF" w:rsidRPr="000729CF" w:rsidRDefault="000729CF" w:rsidP="000729CF">
      <w:pPr>
        <w:spacing w:after="160" w:line="259" w:lineRule="auto"/>
        <w:rPr>
          <w:rFonts w:ascii="Arial" w:eastAsia="Calibri" w:hAnsi="Arial" w:cs="Arial"/>
          <w:sz w:val="24"/>
          <w:szCs w:val="24"/>
          <w:lang w:val="en-GB"/>
        </w:rPr>
      </w:pPr>
    </w:p>
    <w:p w14:paraId="1E569C93" w14:textId="77777777" w:rsidR="000729CF" w:rsidRPr="000729CF" w:rsidRDefault="000729CF" w:rsidP="000729CF">
      <w:pPr>
        <w:keepNext/>
        <w:keepLines/>
        <w:spacing w:after="160" w:line="259" w:lineRule="auto"/>
        <w:ind w:left="283" w:hanging="283"/>
        <w:outlineLvl w:val="1"/>
        <w:rPr>
          <w:rFonts w:ascii="Arial" w:hAnsi="Arial" w:cs="Arial"/>
          <w:color w:val="2F5496"/>
          <w:sz w:val="24"/>
          <w:szCs w:val="24"/>
          <w:lang w:val="en-GB"/>
        </w:rPr>
      </w:pPr>
      <w:r w:rsidRPr="000729CF">
        <w:rPr>
          <w:rFonts w:ascii="Arial" w:hAnsi="Arial" w:cs="Arial"/>
          <w:color w:val="2F5496"/>
          <w:sz w:val="24"/>
          <w:szCs w:val="24"/>
          <w:lang w:val="en-GB"/>
        </w:rPr>
        <w:t>Equality Impact Assessment sign-off</w:t>
      </w:r>
    </w:p>
    <w:tbl>
      <w:tblPr>
        <w:tblStyle w:val="TableGrid"/>
        <w:tblW w:w="0" w:type="auto"/>
        <w:tblLook w:val="04A0" w:firstRow="1" w:lastRow="0" w:firstColumn="1" w:lastColumn="0" w:noHBand="0" w:noVBand="1"/>
      </w:tblPr>
      <w:tblGrid>
        <w:gridCol w:w="3681"/>
        <w:gridCol w:w="4394"/>
        <w:gridCol w:w="2381"/>
      </w:tblGrid>
      <w:tr w:rsidR="000729CF" w:rsidRPr="000729CF" w14:paraId="2E1AEDB4" w14:textId="77777777" w:rsidTr="000729CF">
        <w:trPr>
          <w:trHeight w:val="20"/>
        </w:trPr>
        <w:tc>
          <w:tcPr>
            <w:tcW w:w="3681" w:type="dxa"/>
            <w:tcBorders>
              <w:bottom w:val="single" w:sz="4" w:space="0" w:color="auto"/>
            </w:tcBorders>
            <w:shd w:val="clear" w:color="auto" w:fill="D9D9D9"/>
          </w:tcPr>
          <w:p w14:paraId="7BC169B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4601D27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w:t>
            </w:r>
          </w:p>
        </w:tc>
        <w:tc>
          <w:tcPr>
            <w:tcW w:w="2381" w:type="dxa"/>
            <w:shd w:val="clear" w:color="auto" w:fill="D9D9D9"/>
          </w:tcPr>
          <w:p w14:paraId="4EF5286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4D60B7F1" w14:textId="77777777" w:rsidTr="000729CF">
        <w:trPr>
          <w:trHeight w:val="20"/>
        </w:trPr>
        <w:tc>
          <w:tcPr>
            <w:tcW w:w="3681" w:type="dxa"/>
            <w:shd w:val="clear" w:color="auto" w:fill="E7E6E6"/>
          </w:tcPr>
          <w:p w14:paraId="5A1DCB6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Head of Communities, Equality, and Third Sector (CETS) Service:</w:t>
            </w:r>
          </w:p>
        </w:tc>
        <w:tc>
          <w:tcPr>
            <w:tcW w:w="4394" w:type="dxa"/>
          </w:tcPr>
          <w:p w14:paraId="44115DC0" w14:textId="77777777" w:rsidR="000729CF" w:rsidRPr="000729CF" w:rsidRDefault="000729CF" w:rsidP="000729CF">
            <w:pPr>
              <w:spacing w:after="120"/>
              <w:rPr>
                <w:rFonts w:ascii="Arial" w:eastAsia="Calibri" w:hAnsi="Arial" w:cs="Arial"/>
                <w:sz w:val="24"/>
                <w:szCs w:val="24"/>
              </w:rPr>
            </w:pPr>
          </w:p>
        </w:tc>
        <w:tc>
          <w:tcPr>
            <w:tcW w:w="2381" w:type="dxa"/>
          </w:tcPr>
          <w:p w14:paraId="69466A16" w14:textId="77777777" w:rsidR="000729CF" w:rsidRPr="000729CF" w:rsidRDefault="000729CF" w:rsidP="000729CF">
            <w:pPr>
              <w:spacing w:after="120"/>
              <w:rPr>
                <w:rFonts w:ascii="Arial" w:eastAsia="Calibri" w:hAnsi="Arial" w:cs="Arial"/>
                <w:sz w:val="24"/>
                <w:szCs w:val="24"/>
              </w:rPr>
            </w:pPr>
          </w:p>
        </w:tc>
      </w:tr>
    </w:tbl>
    <w:p w14:paraId="127D6C40" w14:textId="77777777" w:rsidR="000729CF" w:rsidRPr="000729CF" w:rsidRDefault="000729CF" w:rsidP="000729CF">
      <w:pPr>
        <w:rPr>
          <w:rFonts w:ascii="Arial" w:eastAsia="Calibri" w:hAnsi="Arial" w:cs="Arial"/>
          <w:sz w:val="22"/>
          <w:szCs w:val="22"/>
          <w:lang w:val="en-GB"/>
        </w:rPr>
      </w:pPr>
    </w:p>
    <w:p w14:paraId="70AE829A" w14:textId="77777777" w:rsidR="000729CF" w:rsidRPr="000729CF" w:rsidRDefault="000729CF" w:rsidP="000729CF">
      <w:pPr>
        <w:spacing w:after="160" w:line="259" w:lineRule="auto"/>
        <w:rPr>
          <w:rFonts w:ascii="Arial" w:eastAsia="Calibri" w:hAnsi="Arial" w:cs="Arial"/>
          <w:b/>
          <w:bCs/>
          <w:sz w:val="24"/>
          <w:szCs w:val="24"/>
          <w:lang w:val="en-GB"/>
        </w:rPr>
      </w:pPr>
    </w:p>
    <w:p w14:paraId="71D5465A" w14:textId="77777777" w:rsidR="000729CF" w:rsidRPr="000729CF" w:rsidRDefault="000729CF" w:rsidP="000729CF">
      <w:pPr>
        <w:keepNext/>
        <w:keepLines/>
        <w:spacing w:after="160" w:line="259" w:lineRule="auto"/>
        <w:outlineLvl w:val="1"/>
        <w:rPr>
          <w:rFonts w:ascii="Arial" w:eastAsia="Calibri" w:hAnsi="Arial" w:cs="Arial"/>
          <w:sz w:val="24"/>
          <w:szCs w:val="24"/>
          <w:lang w:val="en-GB"/>
        </w:rPr>
      </w:pPr>
    </w:p>
    <w:p w14:paraId="1DF8E701" w14:textId="77777777" w:rsidR="000729CF" w:rsidRPr="000729CF" w:rsidRDefault="000729CF" w:rsidP="000729CF">
      <w:pPr>
        <w:spacing w:after="160" w:line="259" w:lineRule="auto"/>
        <w:rPr>
          <w:rFonts w:ascii="Arial" w:eastAsia="Calibri" w:hAnsi="Arial" w:cs="Arial"/>
          <w:sz w:val="24"/>
          <w:szCs w:val="24"/>
          <w:lang w:val="en-GB"/>
        </w:rPr>
      </w:pPr>
    </w:p>
    <w:p w14:paraId="70C2D206"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br w:type="page"/>
      </w:r>
    </w:p>
    <w:p w14:paraId="7D002703" w14:textId="77777777" w:rsidR="000729CF" w:rsidRPr="000729CF" w:rsidRDefault="000729CF" w:rsidP="000729CF">
      <w:pPr>
        <w:keepNext/>
        <w:keepLines/>
        <w:spacing w:after="160" w:line="259" w:lineRule="auto"/>
        <w:outlineLvl w:val="0"/>
        <w:rPr>
          <w:rFonts w:ascii="Arial" w:hAnsi="Arial" w:cs="Arial"/>
          <w:b/>
          <w:bCs/>
          <w:color w:val="2F5496"/>
          <w:sz w:val="28"/>
          <w:szCs w:val="28"/>
          <w:lang w:val="en-GB"/>
        </w:rPr>
      </w:pPr>
      <w:r w:rsidRPr="000729CF">
        <w:rPr>
          <w:rFonts w:ascii="Arial" w:hAnsi="Arial" w:cs="Arial"/>
          <w:b/>
          <w:bCs/>
          <w:color w:val="2F5496"/>
          <w:sz w:val="28"/>
          <w:szCs w:val="28"/>
          <w:lang w:val="en-GB"/>
        </w:rPr>
        <w:t>Budget Equality Impact Assessment (EIA) 2024/25 – Service Users</w:t>
      </w:r>
    </w:p>
    <w:p w14:paraId="09E5A198" w14:textId="77777777" w:rsidR="000729CF" w:rsidRPr="000729CF" w:rsidRDefault="000729CF" w:rsidP="000729CF">
      <w:pPr>
        <w:spacing w:after="160" w:line="259" w:lineRule="auto"/>
        <w:rPr>
          <w:rFonts w:ascii="Arial" w:eastAsia="Calibri" w:hAnsi="Arial" w:cs="Arial"/>
          <w:sz w:val="24"/>
          <w:szCs w:val="24"/>
          <w:lang w:val="en-GB"/>
        </w:rPr>
      </w:pPr>
    </w:p>
    <w:p w14:paraId="4974EF4D" w14:textId="77777777" w:rsidR="000729CF" w:rsidRPr="000729CF" w:rsidRDefault="000729CF" w:rsidP="000729CF">
      <w:pPr>
        <w:keepNext/>
        <w:keepLines/>
        <w:spacing w:after="160" w:line="259" w:lineRule="auto"/>
        <w:ind w:left="720" w:hanging="360"/>
        <w:outlineLvl w:val="1"/>
        <w:rPr>
          <w:rFonts w:ascii="Arial" w:hAnsi="Arial" w:cs="Arial"/>
          <w:color w:val="2F5496"/>
          <w:sz w:val="24"/>
          <w:szCs w:val="24"/>
          <w:lang w:val="en-GB"/>
        </w:rPr>
      </w:pPr>
      <w:r w:rsidRPr="000729CF">
        <w:rPr>
          <w:rFonts w:ascii="Arial" w:hAnsi="Arial" w:cs="Arial"/>
          <w:color w:val="2F5496"/>
          <w:sz w:val="24"/>
          <w:szCs w:val="24"/>
          <w:lang w:val="en-GB"/>
        </w:rPr>
        <w:t xml:space="preserve">Budget Proposal </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6492"/>
      </w:tblGrid>
      <w:tr w:rsidR="000729CF" w:rsidRPr="000729CF" w14:paraId="354C0B5E"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260D47D3"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Title of budget saving being assessed:</w:t>
            </w:r>
          </w:p>
        </w:tc>
        <w:tc>
          <w:tcPr>
            <w:tcW w:w="6492" w:type="dxa"/>
            <w:shd w:val="clear" w:color="auto" w:fill="auto"/>
          </w:tcPr>
          <w:p w14:paraId="66891DE0" w14:textId="77777777" w:rsidR="000729CF" w:rsidRPr="000729CF" w:rsidRDefault="000729CF" w:rsidP="000729CF">
            <w:pPr>
              <w:spacing w:after="12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Amend public toilets opening hours to end early opening and enable single, daytime staff shifts</w:t>
            </w:r>
          </w:p>
        </w:tc>
      </w:tr>
      <w:tr w:rsidR="000729CF" w:rsidRPr="000729CF" w14:paraId="0FE5C755"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415CEBB1"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Name and title of officer responsible for this EIA: </w:t>
            </w:r>
          </w:p>
        </w:tc>
        <w:tc>
          <w:tcPr>
            <w:tcW w:w="6492" w:type="dxa"/>
            <w:shd w:val="clear" w:color="auto" w:fill="auto"/>
          </w:tcPr>
          <w:p w14:paraId="24CAB746"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729CF">
              <w:rPr>
                <w:rFonts w:ascii="Arial" w:hAnsi="Arial" w:cs="Arial"/>
                <w:sz w:val="24"/>
                <w:szCs w:val="24"/>
              </w:rPr>
              <w:t>Lynsay Cook, Head of Strategy &amp; Service Improvement</w:t>
            </w:r>
          </w:p>
        </w:tc>
      </w:tr>
      <w:tr w:rsidR="000729CF" w:rsidRPr="000729CF" w14:paraId="5B49816B" w14:textId="77777777" w:rsidTr="000729CF">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7D1CC59E"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Directorate and Service Name: </w:t>
            </w:r>
          </w:p>
        </w:tc>
        <w:tc>
          <w:tcPr>
            <w:tcW w:w="6492" w:type="dxa"/>
            <w:shd w:val="clear" w:color="auto" w:fill="auto"/>
          </w:tcPr>
          <w:p w14:paraId="53D63203" w14:textId="77777777" w:rsidR="000729CF" w:rsidRPr="000729CF" w:rsidRDefault="000729CF" w:rsidP="000729CF">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Economy, Environment &amp; Culture, City Environment</w:t>
            </w:r>
          </w:p>
        </w:tc>
      </w:tr>
      <w:tr w:rsidR="000729CF" w:rsidRPr="000729CF" w14:paraId="7F6C5AA2"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2DF6C807"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Budget proposal no.</w:t>
            </w:r>
          </w:p>
        </w:tc>
        <w:tc>
          <w:tcPr>
            <w:tcW w:w="6492" w:type="dxa"/>
            <w:shd w:val="clear" w:color="auto" w:fill="auto"/>
          </w:tcPr>
          <w:p w14:paraId="6F648C6E"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i/>
                <w:iCs/>
                <w:sz w:val="24"/>
                <w:szCs w:val="24"/>
              </w:rPr>
            </w:pPr>
            <w:r w:rsidRPr="000729CF">
              <w:rPr>
                <w:rFonts w:ascii="Arial" w:hAnsi="Arial" w:cs="Arial"/>
                <w:i/>
                <w:iCs/>
                <w:sz w:val="24"/>
                <w:szCs w:val="24"/>
              </w:rPr>
              <w:t>17</w:t>
            </w:r>
          </w:p>
        </w:tc>
      </w:tr>
    </w:tbl>
    <w:p w14:paraId="7ADDF0A9" w14:textId="77777777" w:rsidR="000729CF" w:rsidRPr="000729CF" w:rsidRDefault="000729CF" w:rsidP="000729CF">
      <w:pPr>
        <w:spacing w:after="160" w:line="259" w:lineRule="auto"/>
        <w:rPr>
          <w:rFonts w:ascii="Arial" w:eastAsia="Calibri" w:hAnsi="Arial" w:cs="Arial"/>
          <w:sz w:val="24"/>
          <w:szCs w:val="24"/>
          <w:lang w:val="en-GB"/>
        </w:rPr>
      </w:pPr>
    </w:p>
    <w:p w14:paraId="2F666E52"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Briefly describe the budget saving proposal: (use the wording in the budget spreadsheet and more detail if needed)</w:t>
      </w:r>
    </w:p>
    <w:tbl>
      <w:tblPr>
        <w:tblStyle w:val="TableGrid"/>
        <w:tblW w:w="0" w:type="auto"/>
        <w:tblLook w:val="04A0" w:firstRow="1" w:lastRow="0" w:firstColumn="1" w:lastColumn="0" w:noHBand="0" w:noVBand="1"/>
      </w:tblPr>
      <w:tblGrid>
        <w:gridCol w:w="10456"/>
      </w:tblGrid>
      <w:tr w:rsidR="000729CF" w:rsidRPr="000729CF" w14:paraId="448307BD" w14:textId="77777777" w:rsidTr="00BC26AB">
        <w:trPr>
          <w:trHeight w:val="851"/>
        </w:trPr>
        <w:tc>
          <w:tcPr>
            <w:tcW w:w="10456" w:type="dxa"/>
            <w:tcBorders>
              <w:bottom w:val="single" w:sz="4" w:space="0" w:color="auto"/>
            </w:tcBorders>
          </w:tcPr>
          <w:p w14:paraId="07A2FB10" w14:textId="77777777" w:rsidR="000729CF" w:rsidRPr="000729CF" w:rsidRDefault="000729CF" w:rsidP="000729CF">
            <w:pPr>
              <w:spacing w:after="120"/>
              <w:rPr>
                <w:rFonts w:ascii="Arial" w:eastAsia="Calibri" w:hAnsi="Arial" w:cs="Arial"/>
                <w:color w:val="000000"/>
                <w:sz w:val="24"/>
                <w:szCs w:val="24"/>
              </w:rPr>
            </w:pPr>
            <w:r w:rsidRPr="000729CF">
              <w:rPr>
                <w:rFonts w:ascii="Arial" w:eastAsia="Calibri" w:hAnsi="Arial" w:cs="Arial"/>
                <w:color w:val="000000"/>
                <w:sz w:val="24"/>
                <w:szCs w:val="24"/>
              </w:rPr>
              <w:t xml:space="preserve">The Council is responsible for 36 public toilet sites across the city. </w:t>
            </w:r>
          </w:p>
          <w:p w14:paraId="12863BEE" w14:textId="77777777" w:rsidR="000729CF" w:rsidRPr="000729CF" w:rsidRDefault="000729CF" w:rsidP="000729CF">
            <w:pPr>
              <w:spacing w:after="120"/>
              <w:rPr>
                <w:rFonts w:ascii="Arial" w:eastAsia="Calibri" w:hAnsi="Arial" w:cs="Arial"/>
                <w:color w:val="000000"/>
                <w:sz w:val="24"/>
                <w:szCs w:val="24"/>
              </w:rPr>
            </w:pPr>
            <w:r w:rsidRPr="000729CF">
              <w:rPr>
                <w:rFonts w:ascii="Arial" w:eastAsia="Calibri" w:hAnsi="Arial" w:cs="Arial"/>
                <w:color w:val="000000"/>
                <w:sz w:val="24"/>
                <w:szCs w:val="24"/>
              </w:rPr>
              <w:t xml:space="preserve">Under the Public Health Act 1936, local authorities in England and Wales have a power, but not a duty, to provide toilets for use by the public. Public toilets are not a statutory service. </w:t>
            </w:r>
          </w:p>
          <w:p w14:paraId="42B5C5E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The 2024/25 budget proposal is to amend the opening hours of public toilet sites across the city to enable single, daytime staff shifts. </w:t>
            </w:r>
          </w:p>
          <w:p w14:paraId="5275B10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Existing opening hours are:</w:t>
            </w:r>
          </w:p>
          <w:p w14:paraId="0814C398"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Summer:</w:t>
            </w:r>
          </w:p>
          <w:p w14:paraId="1FA0493B" w14:textId="77777777" w:rsidR="000729CF" w:rsidRPr="000729CF" w:rsidRDefault="000729CF" w:rsidP="00CE70A3">
            <w:pPr>
              <w:numPr>
                <w:ilvl w:val="0"/>
                <w:numId w:val="115"/>
              </w:numPr>
              <w:contextualSpacing/>
              <w:rPr>
                <w:rFonts w:ascii="Arial" w:eastAsia="Calibri" w:hAnsi="Arial" w:cs="Arial"/>
                <w:sz w:val="24"/>
                <w:szCs w:val="24"/>
              </w:rPr>
            </w:pPr>
            <w:r w:rsidRPr="000729CF">
              <w:rPr>
                <w:rFonts w:ascii="Arial" w:eastAsia="Calibri" w:hAnsi="Arial" w:cs="Arial"/>
                <w:sz w:val="24"/>
                <w:szCs w:val="24"/>
              </w:rPr>
              <w:t xml:space="preserve">8am-8pm - Shelter Hall, West Pier Arches, Kings Road Playpark, The Colonnade, Daltons </w:t>
            </w:r>
          </w:p>
          <w:p w14:paraId="632619F3" w14:textId="77777777" w:rsidR="000729CF" w:rsidRPr="000729CF" w:rsidRDefault="000729CF" w:rsidP="00CE70A3">
            <w:pPr>
              <w:numPr>
                <w:ilvl w:val="0"/>
                <w:numId w:val="115"/>
              </w:numPr>
              <w:contextualSpacing/>
              <w:rPr>
                <w:rFonts w:ascii="Arial" w:eastAsia="Calibri" w:hAnsi="Arial" w:cs="Arial"/>
                <w:sz w:val="24"/>
                <w:szCs w:val="24"/>
              </w:rPr>
            </w:pPr>
            <w:r w:rsidRPr="000729CF">
              <w:rPr>
                <w:rFonts w:ascii="Arial" w:eastAsia="Calibri" w:hAnsi="Arial" w:cs="Arial"/>
                <w:sz w:val="24"/>
                <w:szCs w:val="24"/>
              </w:rPr>
              <w:t xml:space="preserve">8am-6pm - all other sites </w:t>
            </w:r>
          </w:p>
          <w:p w14:paraId="47BE5DFD"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Winter:</w:t>
            </w:r>
          </w:p>
          <w:p w14:paraId="6D287D29" w14:textId="77777777" w:rsidR="000729CF" w:rsidRPr="000729CF" w:rsidRDefault="000729CF" w:rsidP="00CE70A3">
            <w:pPr>
              <w:numPr>
                <w:ilvl w:val="0"/>
                <w:numId w:val="116"/>
              </w:numPr>
              <w:contextualSpacing/>
              <w:rPr>
                <w:rFonts w:ascii="Arial" w:eastAsia="Calibri" w:hAnsi="Arial" w:cs="Arial"/>
                <w:sz w:val="24"/>
                <w:szCs w:val="24"/>
              </w:rPr>
            </w:pPr>
            <w:r w:rsidRPr="000729CF">
              <w:rPr>
                <w:rFonts w:ascii="Arial" w:eastAsia="Calibri" w:hAnsi="Arial" w:cs="Arial"/>
                <w:sz w:val="24"/>
                <w:szCs w:val="24"/>
              </w:rPr>
              <w:t xml:space="preserve">8am-6pm - Shelter Hall, West Pier Arches, Kings Road Playpark, The Colonnade, Daltons </w:t>
            </w:r>
          </w:p>
          <w:p w14:paraId="45568E52" w14:textId="77777777" w:rsidR="000729CF" w:rsidRPr="000729CF" w:rsidRDefault="000729CF" w:rsidP="00CE70A3">
            <w:pPr>
              <w:numPr>
                <w:ilvl w:val="0"/>
                <w:numId w:val="116"/>
              </w:numPr>
              <w:contextualSpacing/>
              <w:rPr>
                <w:rFonts w:ascii="Arial" w:eastAsia="Calibri" w:hAnsi="Arial" w:cs="Arial"/>
                <w:sz w:val="24"/>
                <w:szCs w:val="24"/>
              </w:rPr>
            </w:pPr>
            <w:r w:rsidRPr="000729CF">
              <w:rPr>
                <w:rFonts w:ascii="Arial" w:eastAsia="Calibri" w:hAnsi="Arial" w:cs="Arial"/>
                <w:sz w:val="24"/>
                <w:szCs w:val="24"/>
              </w:rPr>
              <w:t>8am-4pm - all other sites</w:t>
            </w:r>
          </w:p>
          <w:p w14:paraId="249EC685" w14:textId="77777777" w:rsidR="000729CF" w:rsidRPr="000729CF" w:rsidRDefault="000729CF" w:rsidP="000729CF">
            <w:pPr>
              <w:spacing w:after="160" w:line="259" w:lineRule="auto"/>
              <w:rPr>
                <w:rFonts w:ascii="Arial" w:eastAsia="Calibri" w:hAnsi="Arial" w:cs="Arial"/>
                <w:b/>
                <w:bCs/>
                <w:sz w:val="24"/>
                <w:szCs w:val="24"/>
              </w:rPr>
            </w:pPr>
          </w:p>
          <w:p w14:paraId="7A3290EA" w14:textId="77777777" w:rsidR="000729CF" w:rsidRPr="000729CF" w:rsidRDefault="000729CF" w:rsidP="000729CF">
            <w:pPr>
              <w:spacing w:after="160" w:line="259" w:lineRule="auto"/>
              <w:rPr>
                <w:rFonts w:ascii="Arial" w:eastAsia="Calibri" w:hAnsi="Arial" w:cs="Arial"/>
                <w:sz w:val="24"/>
                <w:szCs w:val="24"/>
              </w:rPr>
            </w:pPr>
            <w:r w:rsidRPr="000729CF">
              <w:rPr>
                <w:rFonts w:ascii="Arial" w:eastAsia="Calibri" w:hAnsi="Arial" w:cs="Arial"/>
                <w:b/>
                <w:bCs/>
                <w:sz w:val="24"/>
                <w:szCs w:val="24"/>
              </w:rPr>
              <w:t>The proposed opening hours are:</w:t>
            </w:r>
          </w:p>
          <w:p w14:paraId="00EE4E7B"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Summer:</w:t>
            </w:r>
          </w:p>
          <w:p w14:paraId="514586B2" w14:textId="77777777" w:rsidR="000729CF" w:rsidRPr="000729CF" w:rsidRDefault="000729CF" w:rsidP="00CE70A3">
            <w:pPr>
              <w:numPr>
                <w:ilvl w:val="0"/>
                <w:numId w:val="117"/>
              </w:numPr>
              <w:contextualSpacing/>
              <w:rPr>
                <w:rFonts w:ascii="Arial" w:eastAsia="Calibri" w:hAnsi="Arial" w:cs="Arial"/>
                <w:sz w:val="24"/>
                <w:szCs w:val="24"/>
              </w:rPr>
            </w:pPr>
            <w:r w:rsidRPr="000729CF">
              <w:rPr>
                <w:rFonts w:ascii="Arial" w:eastAsia="Calibri" w:hAnsi="Arial" w:cs="Arial"/>
                <w:sz w:val="24"/>
                <w:szCs w:val="24"/>
              </w:rPr>
              <w:t xml:space="preserve">8am-8pm - Shelter Hall, West Pier Arches, Kings Road Playpark, The Colonnade, Daltons </w:t>
            </w:r>
          </w:p>
          <w:p w14:paraId="734D357A" w14:textId="77777777" w:rsidR="000729CF" w:rsidRPr="000729CF" w:rsidRDefault="000729CF" w:rsidP="00CE70A3">
            <w:pPr>
              <w:numPr>
                <w:ilvl w:val="0"/>
                <w:numId w:val="117"/>
              </w:numPr>
              <w:contextualSpacing/>
              <w:rPr>
                <w:rFonts w:ascii="Arial" w:eastAsia="Calibri" w:hAnsi="Arial" w:cs="Arial"/>
                <w:sz w:val="24"/>
                <w:szCs w:val="24"/>
              </w:rPr>
            </w:pPr>
            <w:r w:rsidRPr="000729CF">
              <w:rPr>
                <w:rFonts w:ascii="Arial" w:eastAsia="Calibri" w:hAnsi="Arial" w:cs="Arial"/>
                <w:b/>
                <w:bCs/>
                <w:sz w:val="24"/>
                <w:szCs w:val="24"/>
              </w:rPr>
              <w:t>10am-6pm</w:t>
            </w:r>
            <w:r w:rsidRPr="000729CF">
              <w:rPr>
                <w:rFonts w:ascii="Arial" w:eastAsia="Calibri" w:hAnsi="Arial" w:cs="Arial"/>
                <w:sz w:val="24"/>
                <w:szCs w:val="24"/>
              </w:rPr>
              <w:t xml:space="preserve"> - all other sites  </w:t>
            </w:r>
          </w:p>
          <w:p w14:paraId="74097451"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Winter:</w:t>
            </w:r>
          </w:p>
          <w:p w14:paraId="29C02FF4" w14:textId="77777777" w:rsidR="000729CF" w:rsidRPr="000729CF" w:rsidRDefault="000729CF" w:rsidP="00CE70A3">
            <w:pPr>
              <w:numPr>
                <w:ilvl w:val="0"/>
                <w:numId w:val="118"/>
              </w:numPr>
              <w:contextualSpacing/>
              <w:rPr>
                <w:rFonts w:ascii="Arial" w:eastAsia="Calibri" w:hAnsi="Arial" w:cs="Arial"/>
                <w:sz w:val="24"/>
                <w:szCs w:val="24"/>
              </w:rPr>
            </w:pPr>
            <w:r w:rsidRPr="000729CF">
              <w:rPr>
                <w:rFonts w:ascii="Arial" w:eastAsia="Calibri" w:hAnsi="Arial" w:cs="Arial"/>
                <w:sz w:val="24"/>
                <w:szCs w:val="24"/>
              </w:rPr>
              <w:t xml:space="preserve">8am-6pm - Shelter Hall, West Pier Arches, Kings Road Playpark, The Colonnade, Daltons </w:t>
            </w:r>
          </w:p>
          <w:p w14:paraId="4CFC661A" w14:textId="77777777" w:rsidR="000729CF" w:rsidRPr="000729CF" w:rsidRDefault="000729CF" w:rsidP="00CE70A3">
            <w:pPr>
              <w:numPr>
                <w:ilvl w:val="0"/>
                <w:numId w:val="118"/>
              </w:numPr>
              <w:contextualSpacing/>
              <w:rPr>
                <w:rFonts w:ascii="Arial" w:eastAsia="Calibri" w:hAnsi="Arial" w:cs="Arial"/>
                <w:sz w:val="24"/>
                <w:szCs w:val="24"/>
              </w:rPr>
            </w:pPr>
            <w:r w:rsidRPr="000729CF">
              <w:rPr>
                <w:rFonts w:ascii="Arial" w:eastAsia="Calibri" w:hAnsi="Arial" w:cs="Arial"/>
                <w:b/>
                <w:bCs/>
                <w:sz w:val="24"/>
                <w:szCs w:val="24"/>
              </w:rPr>
              <w:t>10am-4pm</w:t>
            </w:r>
            <w:r w:rsidRPr="000729CF">
              <w:rPr>
                <w:rFonts w:ascii="Arial" w:eastAsia="Calibri" w:hAnsi="Arial" w:cs="Arial"/>
                <w:sz w:val="24"/>
                <w:szCs w:val="24"/>
              </w:rPr>
              <w:t xml:space="preserve"> - all other sites </w:t>
            </w:r>
          </w:p>
          <w:p w14:paraId="09E5D1B5" w14:textId="77777777" w:rsidR="000729CF" w:rsidRPr="000729CF" w:rsidRDefault="000729CF" w:rsidP="000729CF">
            <w:pPr>
              <w:spacing w:after="120"/>
              <w:rPr>
                <w:rFonts w:ascii="Arial" w:eastAsia="Calibri" w:hAnsi="Arial" w:cs="Arial"/>
                <w:sz w:val="24"/>
                <w:szCs w:val="24"/>
              </w:rPr>
            </w:pPr>
          </w:p>
          <w:p w14:paraId="50AAD38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The budget proposal assumes that public toilets at the Royal Pavilion Gardens continue to remain closed until a new facility is developed, and the toilets in the Velo Café at the Level remain closed. New public toilets (and an adjoining café) are to be created at The Level in The </w:t>
            </w:r>
            <w:proofErr w:type="spellStart"/>
            <w:r w:rsidRPr="000729CF">
              <w:rPr>
                <w:rFonts w:ascii="Arial" w:eastAsia="Calibri" w:hAnsi="Arial" w:cs="Arial"/>
                <w:sz w:val="24"/>
                <w:szCs w:val="24"/>
              </w:rPr>
              <w:t>MacLaren</w:t>
            </w:r>
            <w:proofErr w:type="spellEnd"/>
            <w:r w:rsidRPr="000729CF">
              <w:rPr>
                <w:rFonts w:ascii="Arial" w:eastAsia="Calibri" w:hAnsi="Arial" w:cs="Arial"/>
                <w:sz w:val="24"/>
                <w:szCs w:val="24"/>
              </w:rPr>
              <w:t xml:space="preserve"> Pavilion. The toilets at this location will be maintained by the tenant of the new café.   </w:t>
            </w:r>
          </w:p>
        </w:tc>
      </w:tr>
      <w:tr w:rsidR="000729CF" w:rsidRPr="000729CF" w14:paraId="0A0C0938" w14:textId="77777777" w:rsidTr="00BC26AB">
        <w:trPr>
          <w:trHeight w:val="851"/>
        </w:trPr>
        <w:tc>
          <w:tcPr>
            <w:tcW w:w="10456" w:type="dxa"/>
            <w:tcBorders>
              <w:left w:val="nil"/>
              <w:right w:val="nil"/>
            </w:tcBorders>
          </w:tcPr>
          <w:p w14:paraId="71CCC1FD" w14:textId="77777777" w:rsidR="000729CF" w:rsidRPr="000729CF" w:rsidRDefault="000729CF" w:rsidP="000729CF">
            <w:pPr>
              <w:spacing w:after="120"/>
              <w:rPr>
                <w:rFonts w:ascii="Arial" w:eastAsia="Calibri" w:hAnsi="Arial" w:cs="Arial"/>
                <w:sz w:val="24"/>
                <w:szCs w:val="24"/>
              </w:rPr>
            </w:pPr>
          </w:p>
          <w:p w14:paraId="573AE91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Summarise the most significant impacts identified by this assessment including which groups will be disproportionally negatively affected drawing out intersectional impacts as applicable:</w:t>
            </w:r>
          </w:p>
        </w:tc>
      </w:tr>
      <w:tr w:rsidR="000729CF" w:rsidRPr="000729CF" w14:paraId="66290DCF" w14:textId="77777777" w:rsidTr="00BC26AB">
        <w:trPr>
          <w:trHeight w:val="851"/>
        </w:trPr>
        <w:tc>
          <w:tcPr>
            <w:tcW w:w="10456" w:type="dxa"/>
          </w:tcPr>
          <w:p w14:paraId="0ACA6D3B" w14:textId="77777777" w:rsidR="000729CF" w:rsidRPr="000729CF" w:rsidRDefault="000729CF" w:rsidP="000729CF">
            <w:pPr>
              <w:textAlignment w:val="baseline"/>
              <w:rPr>
                <w:rFonts w:ascii="Arial" w:hAnsi="Arial" w:cs="Arial"/>
                <w:sz w:val="24"/>
                <w:szCs w:val="24"/>
                <w:lang w:eastAsia="en-GB"/>
              </w:rPr>
            </w:pPr>
            <w:r w:rsidRPr="000729CF">
              <w:rPr>
                <w:rFonts w:ascii="Arial" w:hAnsi="Arial" w:cs="Arial"/>
                <w:sz w:val="24"/>
                <w:szCs w:val="24"/>
                <w:lang w:eastAsia="en-GB"/>
              </w:rPr>
              <w:t xml:space="preserve">Reducing the opening hours of public toilets may have a greater impact on people who need to use facilities more frequently, those with limited mobility, and those with limited alternative means for accessing facilities. This may include older people, small children and their </w:t>
            </w:r>
            <w:proofErr w:type="spellStart"/>
            <w:r w:rsidRPr="000729CF">
              <w:rPr>
                <w:rFonts w:ascii="Arial" w:hAnsi="Arial" w:cs="Arial"/>
                <w:sz w:val="24"/>
                <w:szCs w:val="24"/>
                <w:lang w:eastAsia="en-GB"/>
              </w:rPr>
              <w:t>carers</w:t>
            </w:r>
            <w:proofErr w:type="spellEnd"/>
            <w:r w:rsidRPr="000729CF">
              <w:rPr>
                <w:rFonts w:ascii="Arial" w:hAnsi="Arial" w:cs="Arial"/>
                <w:sz w:val="24"/>
                <w:szCs w:val="24"/>
                <w:lang w:eastAsia="en-GB"/>
              </w:rPr>
              <w:t>, disabled people and individuals with some health issues, and rough sleepers.</w:t>
            </w:r>
          </w:p>
          <w:p w14:paraId="12CD39A4" w14:textId="77777777" w:rsidR="000729CF" w:rsidRPr="000729CF" w:rsidRDefault="000729CF" w:rsidP="000729CF">
            <w:pPr>
              <w:ind w:left="1425"/>
              <w:textAlignment w:val="baseline"/>
              <w:rPr>
                <w:sz w:val="24"/>
                <w:szCs w:val="24"/>
                <w:lang w:eastAsia="en-GB"/>
              </w:rPr>
            </w:pPr>
          </w:p>
        </w:tc>
      </w:tr>
    </w:tbl>
    <w:p w14:paraId="5003B81B" w14:textId="77777777" w:rsidR="000729CF" w:rsidRPr="000729CF" w:rsidRDefault="000729CF" w:rsidP="000729CF">
      <w:pPr>
        <w:spacing w:after="160" w:line="259" w:lineRule="auto"/>
        <w:rPr>
          <w:rFonts w:ascii="Arial" w:eastAsia="Calibri" w:hAnsi="Arial" w:cs="Arial"/>
          <w:sz w:val="24"/>
          <w:szCs w:val="24"/>
          <w:lang w:val="en-GB"/>
        </w:rPr>
      </w:pPr>
    </w:p>
    <w:p w14:paraId="39BAD1F4"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Consultation, engagement and supporting EIAs</w:t>
      </w:r>
    </w:p>
    <w:p w14:paraId="4F1557EE"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consultations or engagement activities are being used to inform this assessment? </w:t>
      </w:r>
    </w:p>
    <w:p w14:paraId="00DB1A95"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If consultation is planned or in process – state this and state when it will done/completed even if indicative. If no consultation completed or planned, state this, giving an explanation. </w:t>
      </w:r>
    </w:p>
    <w:tbl>
      <w:tblPr>
        <w:tblStyle w:val="TableGrid"/>
        <w:tblW w:w="0" w:type="auto"/>
        <w:tblLook w:val="04A0" w:firstRow="1" w:lastRow="0" w:firstColumn="1" w:lastColumn="0" w:noHBand="0" w:noVBand="1"/>
      </w:tblPr>
      <w:tblGrid>
        <w:gridCol w:w="10456"/>
      </w:tblGrid>
      <w:tr w:rsidR="000729CF" w:rsidRPr="000729CF" w14:paraId="001AEA39" w14:textId="77777777" w:rsidTr="00BC26AB">
        <w:trPr>
          <w:trHeight w:val="871"/>
        </w:trPr>
        <w:tc>
          <w:tcPr>
            <w:tcW w:w="10456" w:type="dxa"/>
          </w:tcPr>
          <w:p w14:paraId="709786CA" w14:textId="77777777" w:rsidR="000729CF" w:rsidRPr="000729CF" w:rsidRDefault="000729CF" w:rsidP="000729CF">
            <w:pPr>
              <w:spacing w:after="120"/>
              <w:rPr>
                <w:rFonts w:ascii="Arial" w:eastAsia="Calibri" w:hAnsi="Arial" w:cs="Arial"/>
                <w:color w:val="000000"/>
                <w:sz w:val="24"/>
                <w:szCs w:val="24"/>
              </w:rPr>
            </w:pPr>
            <w:r w:rsidRPr="000729CF">
              <w:rPr>
                <w:rFonts w:ascii="Arial" w:eastAsia="Calibri" w:hAnsi="Arial" w:cs="Arial"/>
                <w:sz w:val="24"/>
                <w:szCs w:val="24"/>
                <w:shd w:val="clear" w:color="auto" w:fill="FFFFFF"/>
              </w:rPr>
              <w:t xml:space="preserve">Feedback from the public via the </w:t>
            </w:r>
            <w:r w:rsidRPr="000729CF">
              <w:rPr>
                <w:rFonts w:ascii="Arial" w:eastAsia="Calibri" w:hAnsi="Arial" w:cs="Arial"/>
                <w:color w:val="000000"/>
                <w:sz w:val="24"/>
                <w:szCs w:val="24"/>
                <w:shd w:val="clear" w:color="auto" w:fill="FFFFFF"/>
              </w:rPr>
              <w:t>public toilet mailbox and Stage 1 complaints have been used to inform the EIA.</w:t>
            </w:r>
          </w:p>
        </w:tc>
      </w:tr>
    </w:tbl>
    <w:p w14:paraId="23984EDF" w14:textId="77777777" w:rsidR="000729CF" w:rsidRPr="000729CF" w:rsidRDefault="000729CF" w:rsidP="000729CF">
      <w:pPr>
        <w:spacing w:after="160" w:line="259" w:lineRule="auto"/>
        <w:rPr>
          <w:rFonts w:ascii="Arial" w:eastAsia="Calibri" w:hAnsi="Arial" w:cs="Arial"/>
          <w:sz w:val="24"/>
          <w:szCs w:val="24"/>
          <w:lang w:val="en-GB"/>
        </w:rPr>
      </w:pPr>
    </w:p>
    <w:p w14:paraId="25168367"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other budget or service EIAs can assist/have been used to inform this assessment?</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0729CF" w:rsidRPr="000729CF" w14:paraId="3EC7ED66"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shd w:val="clear" w:color="auto" w:fill="FFFFFF"/>
          </w:tcPr>
          <w:p w14:paraId="6BBBC5BB"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Public Toilet closure EIA, </w:t>
            </w:r>
            <w:hyperlink r:id="rId40" w:history="1">
              <w:r w:rsidRPr="000729CF">
                <w:rPr>
                  <w:rFonts w:ascii="Arial" w:hAnsi="Arial" w:cs="Arial"/>
                  <w:color w:val="0563C1"/>
                  <w:sz w:val="24"/>
                  <w:szCs w:val="24"/>
                  <w:u w:val="single"/>
                </w:rPr>
                <w:t>Environment, Transport &amp; Sustainability Committee, 17 January 2023</w:t>
              </w:r>
            </w:hyperlink>
            <w:r w:rsidRPr="000729CF">
              <w:rPr>
                <w:rFonts w:ascii="Arial" w:hAnsi="Arial" w:cs="Arial"/>
                <w:sz w:val="24"/>
                <w:szCs w:val="24"/>
              </w:rPr>
              <w:t xml:space="preserve"> </w:t>
            </w:r>
          </w:p>
          <w:p w14:paraId="1D9D836F" w14:textId="77777777" w:rsidR="000729CF" w:rsidRPr="000729CF" w:rsidRDefault="000729CF" w:rsidP="000729CF">
            <w:pPr>
              <w:spacing w:after="120"/>
              <w:rPr>
                <w:rFonts w:ascii="Arial" w:hAnsi="Arial" w:cs="Arial"/>
                <w:sz w:val="24"/>
                <w:szCs w:val="24"/>
              </w:rPr>
            </w:pPr>
          </w:p>
        </w:tc>
      </w:tr>
    </w:tbl>
    <w:p w14:paraId="16EB451D" w14:textId="77777777" w:rsidR="000729CF" w:rsidRPr="000729CF" w:rsidRDefault="000729CF" w:rsidP="000729CF">
      <w:pPr>
        <w:spacing w:after="160" w:line="259" w:lineRule="auto"/>
        <w:rPr>
          <w:rFonts w:ascii="Arial" w:eastAsia="Calibri" w:hAnsi="Arial" w:cs="Arial"/>
          <w:sz w:val="24"/>
          <w:szCs w:val="24"/>
          <w:lang w:val="en-GB"/>
        </w:rPr>
      </w:pPr>
    </w:p>
    <w:p w14:paraId="5AC721F4"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Current data and impact monitoring</w:t>
      </w:r>
    </w:p>
    <w:p w14:paraId="246E853A"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Do you currently collect and analyse the following data to enable monitoring of the impact of this proposal? </w:t>
      </w:r>
    </w:p>
    <w:p w14:paraId="3EF9D803"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Consider all possible intersections (Delete and State Yes, No, Not Applicable)</w:t>
      </w:r>
    </w:p>
    <w:tbl>
      <w:tblPr>
        <w:tblStyle w:val="TableGrid"/>
        <w:tblW w:w="10485" w:type="dxa"/>
        <w:tblLook w:val="04A0" w:firstRow="1" w:lastRow="0" w:firstColumn="1" w:lastColumn="0" w:noHBand="0" w:noVBand="1"/>
      </w:tblPr>
      <w:tblGrid>
        <w:gridCol w:w="6658"/>
        <w:gridCol w:w="3827"/>
      </w:tblGrid>
      <w:tr w:rsidR="000729CF" w:rsidRPr="000729CF" w14:paraId="4667449B" w14:textId="77777777" w:rsidTr="000729CF">
        <w:trPr>
          <w:trHeight w:val="310"/>
        </w:trPr>
        <w:tc>
          <w:tcPr>
            <w:tcW w:w="6658" w:type="dxa"/>
            <w:shd w:val="clear" w:color="auto" w:fill="E7E6E6"/>
          </w:tcPr>
          <w:p w14:paraId="11E0D20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Age</w:t>
            </w:r>
          </w:p>
        </w:tc>
        <w:tc>
          <w:tcPr>
            <w:tcW w:w="3827" w:type="dxa"/>
          </w:tcPr>
          <w:p w14:paraId="78E6B97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40BCC9F8" w14:textId="77777777" w:rsidTr="000729CF">
        <w:trPr>
          <w:trHeight w:val="20"/>
        </w:trPr>
        <w:tc>
          <w:tcPr>
            <w:tcW w:w="6658" w:type="dxa"/>
            <w:shd w:val="clear" w:color="auto" w:fill="E7E6E6"/>
          </w:tcPr>
          <w:p w14:paraId="02BFD7B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Disability and inclusive adjustments, coverage under equality act and not</w:t>
            </w:r>
          </w:p>
        </w:tc>
        <w:tc>
          <w:tcPr>
            <w:tcW w:w="3827" w:type="dxa"/>
          </w:tcPr>
          <w:p w14:paraId="14C4109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013F8129" w14:textId="77777777" w:rsidTr="000729CF">
        <w:trPr>
          <w:trHeight w:val="20"/>
        </w:trPr>
        <w:tc>
          <w:tcPr>
            <w:tcW w:w="6658" w:type="dxa"/>
            <w:shd w:val="clear" w:color="auto" w:fill="E7E6E6"/>
          </w:tcPr>
          <w:p w14:paraId="259D158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Ethnicity, ‘Race’, ethnic heritage (including Gypsy, Roma, Travellers)</w:t>
            </w:r>
          </w:p>
        </w:tc>
        <w:tc>
          <w:tcPr>
            <w:tcW w:w="3827" w:type="dxa"/>
          </w:tcPr>
          <w:p w14:paraId="164F74C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46DAB22A" w14:textId="77777777" w:rsidTr="000729CF">
        <w:trPr>
          <w:trHeight w:val="20"/>
        </w:trPr>
        <w:tc>
          <w:tcPr>
            <w:tcW w:w="6658" w:type="dxa"/>
            <w:shd w:val="clear" w:color="auto" w:fill="E7E6E6"/>
          </w:tcPr>
          <w:p w14:paraId="7C4AC25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Religion, Belief, Spirituality, Faith, or Atheism</w:t>
            </w:r>
          </w:p>
        </w:tc>
        <w:tc>
          <w:tcPr>
            <w:tcW w:w="3827" w:type="dxa"/>
          </w:tcPr>
          <w:p w14:paraId="5B0E18C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1D996833" w14:textId="77777777" w:rsidTr="000729CF">
        <w:trPr>
          <w:trHeight w:val="20"/>
        </w:trPr>
        <w:tc>
          <w:tcPr>
            <w:tcW w:w="6658" w:type="dxa"/>
            <w:shd w:val="clear" w:color="auto" w:fill="E7E6E6"/>
          </w:tcPr>
          <w:p w14:paraId="4EF1BD7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Identity and Sex (including non-binary and Intersex people)</w:t>
            </w:r>
          </w:p>
        </w:tc>
        <w:tc>
          <w:tcPr>
            <w:tcW w:w="3827" w:type="dxa"/>
          </w:tcPr>
          <w:p w14:paraId="2AFF422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2D6DA023" w14:textId="77777777" w:rsidTr="000729CF">
        <w:trPr>
          <w:trHeight w:val="20"/>
        </w:trPr>
        <w:tc>
          <w:tcPr>
            <w:tcW w:w="6658" w:type="dxa"/>
            <w:shd w:val="clear" w:color="auto" w:fill="E7E6E6"/>
          </w:tcPr>
          <w:p w14:paraId="213F2F7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3827" w:type="dxa"/>
          </w:tcPr>
          <w:p w14:paraId="100BBD6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444528A8" w14:textId="77777777" w:rsidTr="000729CF">
        <w:trPr>
          <w:trHeight w:val="20"/>
        </w:trPr>
        <w:tc>
          <w:tcPr>
            <w:tcW w:w="6658" w:type="dxa"/>
            <w:shd w:val="clear" w:color="auto" w:fill="E7E6E6"/>
          </w:tcPr>
          <w:p w14:paraId="61A52D6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3827" w:type="dxa"/>
          </w:tcPr>
          <w:p w14:paraId="18CB248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73D8A767" w14:textId="77777777" w:rsidTr="000729CF">
        <w:trPr>
          <w:trHeight w:val="20"/>
        </w:trPr>
        <w:tc>
          <w:tcPr>
            <w:tcW w:w="6658" w:type="dxa"/>
            <w:shd w:val="clear" w:color="auto" w:fill="E7E6E6"/>
          </w:tcPr>
          <w:p w14:paraId="2C35982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3827" w:type="dxa"/>
          </w:tcPr>
          <w:p w14:paraId="1F1B42A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6BF765DA" w14:textId="77777777" w:rsidTr="000729CF">
        <w:trPr>
          <w:trHeight w:val="20"/>
        </w:trPr>
        <w:tc>
          <w:tcPr>
            <w:tcW w:w="6658" w:type="dxa"/>
            <w:shd w:val="clear" w:color="auto" w:fill="E7E6E6"/>
          </w:tcPr>
          <w:p w14:paraId="599B171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Pregnant people, Maternity, Paternity, Adoption, Menopause, (In)fertility (across the gender spectrum)</w:t>
            </w:r>
          </w:p>
        </w:tc>
        <w:tc>
          <w:tcPr>
            <w:tcW w:w="3827" w:type="dxa"/>
          </w:tcPr>
          <w:p w14:paraId="2DD1FD8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65CEF578" w14:textId="77777777" w:rsidTr="000729CF">
        <w:trPr>
          <w:trHeight w:val="20"/>
        </w:trPr>
        <w:tc>
          <w:tcPr>
            <w:tcW w:w="6658" w:type="dxa"/>
            <w:shd w:val="clear" w:color="auto" w:fill="E7E6E6"/>
          </w:tcPr>
          <w:p w14:paraId="0D0B3F2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3827" w:type="dxa"/>
          </w:tcPr>
          <w:p w14:paraId="0383793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36E6514B" w14:textId="77777777" w:rsidTr="000729CF">
        <w:trPr>
          <w:trHeight w:val="20"/>
        </w:trPr>
        <w:tc>
          <w:tcPr>
            <w:tcW w:w="6658" w:type="dxa"/>
            <w:shd w:val="clear" w:color="auto" w:fill="E7E6E6"/>
          </w:tcPr>
          <w:p w14:paraId="4FABF467" w14:textId="77777777" w:rsidR="000729CF" w:rsidRPr="000729CF" w:rsidRDefault="000729CF" w:rsidP="000729CF">
            <w:pPr>
              <w:spacing w:after="120"/>
              <w:rPr>
                <w:rFonts w:ascii="Arial" w:hAnsi="Arial" w:cs="Arial"/>
                <w:b/>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p>
        </w:tc>
        <w:tc>
          <w:tcPr>
            <w:tcW w:w="3827" w:type="dxa"/>
          </w:tcPr>
          <w:p w14:paraId="12CBFE4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5F258857" w14:textId="77777777" w:rsidTr="000729CF">
        <w:trPr>
          <w:trHeight w:val="20"/>
        </w:trPr>
        <w:tc>
          <w:tcPr>
            <w:tcW w:w="6658" w:type="dxa"/>
            <w:shd w:val="clear" w:color="auto" w:fill="E7E6E6"/>
          </w:tcPr>
          <w:p w14:paraId="3CC974E0" w14:textId="77777777" w:rsidR="000729CF" w:rsidRPr="000729CF" w:rsidRDefault="000729CF" w:rsidP="000729CF">
            <w:pPr>
              <w:spacing w:after="120"/>
              <w:rPr>
                <w:rFonts w:ascii="Arial" w:hAnsi="Arial" w:cs="Arial"/>
                <w:b/>
                <w:sz w:val="24"/>
                <w:szCs w:val="24"/>
              </w:rPr>
            </w:pPr>
            <w:r w:rsidRPr="000729CF">
              <w:rPr>
                <w:rFonts w:ascii="Arial" w:eastAsia="Calibri" w:hAnsi="Arial" w:cs="Arial"/>
                <w:b/>
                <w:bCs/>
                <w:color w:val="000000"/>
                <w:sz w:val="24"/>
                <w:szCs w:val="24"/>
              </w:rPr>
              <w:t>Carers</w:t>
            </w:r>
          </w:p>
        </w:tc>
        <w:tc>
          <w:tcPr>
            <w:tcW w:w="3827" w:type="dxa"/>
          </w:tcPr>
          <w:p w14:paraId="17958BE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14C8575E" w14:textId="77777777" w:rsidTr="000729CF">
        <w:trPr>
          <w:trHeight w:val="20"/>
        </w:trPr>
        <w:tc>
          <w:tcPr>
            <w:tcW w:w="6658" w:type="dxa"/>
            <w:shd w:val="clear" w:color="auto" w:fill="E7E6E6"/>
          </w:tcPr>
          <w:p w14:paraId="3DEC66DE"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Looked after children, Care Leavers, Care and fostering experienced people</w:t>
            </w:r>
          </w:p>
        </w:tc>
        <w:tc>
          <w:tcPr>
            <w:tcW w:w="3827" w:type="dxa"/>
          </w:tcPr>
          <w:p w14:paraId="313336C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74352D4C" w14:textId="77777777" w:rsidTr="000729CF">
        <w:trPr>
          <w:trHeight w:val="20"/>
        </w:trPr>
        <w:tc>
          <w:tcPr>
            <w:tcW w:w="6658" w:type="dxa"/>
            <w:shd w:val="clear" w:color="auto" w:fill="E7E6E6"/>
          </w:tcPr>
          <w:p w14:paraId="64CC6F0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 and   people in vulnerable situations (All aspects and intersections)</w:t>
            </w:r>
          </w:p>
        </w:tc>
        <w:tc>
          <w:tcPr>
            <w:tcW w:w="3827" w:type="dxa"/>
          </w:tcPr>
          <w:p w14:paraId="11CCADD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1CC3D0FF" w14:textId="77777777" w:rsidTr="000729CF">
        <w:trPr>
          <w:trHeight w:val="20"/>
        </w:trPr>
        <w:tc>
          <w:tcPr>
            <w:tcW w:w="6658" w:type="dxa"/>
            <w:shd w:val="clear" w:color="auto" w:fill="E7E6E6"/>
          </w:tcPr>
          <w:p w14:paraId="3717BEE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Socio-economic Disadvantage</w:t>
            </w:r>
          </w:p>
        </w:tc>
        <w:tc>
          <w:tcPr>
            <w:tcW w:w="3827" w:type="dxa"/>
          </w:tcPr>
          <w:p w14:paraId="2503C5B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642EAA51" w14:textId="77777777" w:rsidTr="000729CF">
        <w:trPr>
          <w:trHeight w:val="20"/>
        </w:trPr>
        <w:tc>
          <w:tcPr>
            <w:tcW w:w="6658" w:type="dxa"/>
            <w:shd w:val="clear" w:color="auto" w:fill="E7E6E6"/>
          </w:tcPr>
          <w:p w14:paraId="1F359B3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Homelessness and associated risk and vulnerability</w:t>
            </w:r>
          </w:p>
        </w:tc>
        <w:tc>
          <w:tcPr>
            <w:tcW w:w="3827" w:type="dxa"/>
          </w:tcPr>
          <w:p w14:paraId="6691030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64D0D292" w14:textId="77777777" w:rsidTr="000729CF">
        <w:trPr>
          <w:trHeight w:val="20"/>
        </w:trPr>
        <w:tc>
          <w:tcPr>
            <w:tcW w:w="6658" w:type="dxa"/>
            <w:shd w:val="clear" w:color="auto" w:fill="E7E6E6"/>
          </w:tcPr>
          <w:p w14:paraId="6D48BFC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3827" w:type="dxa"/>
          </w:tcPr>
          <w:p w14:paraId="1AF2847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387B1B82" w14:textId="77777777" w:rsidTr="000729CF">
        <w:trPr>
          <w:trHeight w:val="20"/>
        </w:trPr>
        <w:tc>
          <w:tcPr>
            <w:tcW w:w="6658" w:type="dxa"/>
            <w:shd w:val="clear" w:color="auto" w:fill="E7E6E6"/>
          </w:tcPr>
          <w:p w14:paraId="3A2B293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 (please specify here and add additional rows as needed)</w:t>
            </w:r>
          </w:p>
        </w:tc>
        <w:tc>
          <w:tcPr>
            <w:tcW w:w="3827" w:type="dxa"/>
          </w:tcPr>
          <w:p w14:paraId="24D91EB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bl>
    <w:p w14:paraId="65DB0E56" w14:textId="77777777" w:rsidR="000729CF" w:rsidRPr="000729CF" w:rsidRDefault="000729CF" w:rsidP="000729CF">
      <w:pPr>
        <w:rPr>
          <w:rFonts w:ascii="Arial" w:eastAsia="Calibri" w:hAnsi="Arial" w:cs="Arial"/>
          <w:sz w:val="24"/>
          <w:szCs w:val="24"/>
          <w:lang w:val="en-GB"/>
        </w:rPr>
      </w:pPr>
    </w:p>
    <w:p w14:paraId="1FC1D75B"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6A6F76ED"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51325D21"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142B9E92"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686F09DF"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06DAB11E"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0EC97E1B"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62F779BE"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4B06671B"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4FAE6507"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70669ECC" w14:textId="77777777" w:rsidR="000729CF" w:rsidRPr="000729CF" w:rsidRDefault="000729CF" w:rsidP="000729CF">
      <w:pPr>
        <w:rPr>
          <w:rFonts w:ascii="Arial" w:eastAsia="Calibri" w:hAnsi="Arial" w:cs="Arial"/>
          <w:sz w:val="24"/>
          <w:szCs w:val="24"/>
          <w:lang w:val="en-GB"/>
        </w:rPr>
      </w:pPr>
    </w:p>
    <w:p w14:paraId="2BE6EF79"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If you answered “NO” to any of the above, how will you gather this data to enable improved monitoring of impact for this proposal?</w:t>
      </w:r>
    </w:p>
    <w:tbl>
      <w:tblPr>
        <w:tblStyle w:val="TableGrid"/>
        <w:tblW w:w="0" w:type="auto"/>
        <w:tblLook w:val="04A0" w:firstRow="1" w:lastRow="0" w:firstColumn="1" w:lastColumn="0" w:noHBand="0" w:noVBand="1"/>
      </w:tblPr>
      <w:tblGrid>
        <w:gridCol w:w="10456"/>
      </w:tblGrid>
      <w:tr w:rsidR="000729CF" w:rsidRPr="000729CF" w14:paraId="52BEA475" w14:textId="77777777" w:rsidTr="00BC26AB">
        <w:trPr>
          <w:trHeight w:val="757"/>
        </w:trPr>
        <w:tc>
          <w:tcPr>
            <w:tcW w:w="10456" w:type="dxa"/>
          </w:tcPr>
          <w:p w14:paraId="557DB612" w14:textId="77777777" w:rsidR="000729CF" w:rsidRPr="000729CF" w:rsidRDefault="000729CF" w:rsidP="000729CF">
            <w:pPr>
              <w:spacing w:after="120"/>
              <w:rPr>
                <w:rFonts w:ascii="Arial" w:eastAsia="Calibri" w:hAnsi="Arial" w:cs="Arial"/>
                <w:color w:val="000000"/>
                <w:sz w:val="24"/>
                <w:szCs w:val="24"/>
              </w:rPr>
            </w:pPr>
            <w:r w:rsidRPr="000729CF">
              <w:rPr>
                <w:rFonts w:ascii="Arial" w:eastAsia="Calibri" w:hAnsi="Arial" w:cs="Arial"/>
                <w:color w:val="000000"/>
                <w:sz w:val="24"/>
                <w:szCs w:val="24"/>
              </w:rPr>
              <w:t>Public toilets are available for anyone who lives and works in, or visits, the city to use. As such, equality data is not held on service users.</w:t>
            </w:r>
          </w:p>
        </w:tc>
      </w:tr>
    </w:tbl>
    <w:p w14:paraId="76B80720" w14:textId="77777777" w:rsidR="000729CF" w:rsidRPr="000729CF" w:rsidRDefault="000729CF" w:rsidP="000729CF">
      <w:pPr>
        <w:rPr>
          <w:rFonts w:ascii="Arial" w:eastAsia="Calibri" w:hAnsi="Arial" w:cs="Arial"/>
          <w:sz w:val="24"/>
          <w:szCs w:val="24"/>
          <w:lang w:val="en-GB"/>
        </w:rPr>
      </w:pPr>
    </w:p>
    <w:p w14:paraId="0CF642AD"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are the arrangements for monitoring, and reviewing the impact of this proposal?</w:t>
      </w:r>
    </w:p>
    <w:tbl>
      <w:tblPr>
        <w:tblStyle w:val="TableGrid"/>
        <w:tblW w:w="0" w:type="auto"/>
        <w:tblLook w:val="04A0" w:firstRow="1" w:lastRow="0" w:firstColumn="1" w:lastColumn="0" w:noHBand="0" w:noVBand="1"/>
      </w:tblPr>
      <w:tblGrid>
        <w:gridCol w:w="10456"/>
      </w:tblGrid>
      <w:tr w:rsidR="000729CF" w:rsidRPr="000729CF" w14:paraId="6D8DB87A" w14:textId="77777777" w:rsidTr="00BC26AB">
        <w:trPr>
          <w:trHeight w:val="757"/>
        </w:trPr>
        <w:tc>
          <w:tcPr>
            <w:tcW w:w="10456" w:type="dxa"/>
          </w:tcPr>
          <w:p w14:paraId="5E6897A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impact of the proposal will be monitored through customer feedback and feedback from services who work with residents in vulnerable groups, e.g., rough sleepers.</w:t>
            </w:r>
          </w:p>
        </w:tc>
      </w:tr>
    </w:tbl>
    <w:p w14:paraId="70EB1AFA" w14:textId="77777777" w:rsidR="000729CF" w:rsidRPr="000729CF" w:rsidRDefault="000729CF" w:rsidP="000729CF">
      <w:pPr>
        <w:rPr>
          <w:rFonts w:ascii="Arial" w:eastAsia="Calibri" w:hAnsi="Arial" w:cs="Arial"/>
          <w:sz w:val="24"/>
          <w:szCs w:val="24"/>
          <w:lang w:val="en-GB"/>
        </w:rPr>
      </w:pPr>
    </w:p>
    <w:p w14:paraId="0676D000" w14:textId="77777777" w:rsidR="000729CF" w:rsidRPr="000729CF" w:rsidRDefault="000729CF" w:rsidP="000729CF">
      <w:pPr>
        <w:rPr>
          <w:rFonts w:ascii="Arial" w:eastAsia="Calibri" w:hAnsi="Arial" w:cs="Arial"/>
          <w:sz w:val="24"/>
          <w:szCs w:val="24"/>
          <w:lang w:val="en-GB"/>
        </w:rPr>
      </w:pPr>
    </w:p>
    <w:p w14:paraId="17164820"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Impacts</w:t>
      </w:r>
    </w:p>
    <w:p w14:paraId="4CD9A8F9"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Briefly state source of data or data analysis being used to describe the </w:t>
      </w:r>
      <w:r w:rsidRPr="000729CF">
        <w:rPr>
          <w:rFonts w:ascii="Arial" w:eastAsia="Calibri" w:hAnsi="Arial" w:cs="Arial"/>
          <w:color w:val="000000"/>
          <w:sz w:val="24"/>
          <w:szCs w:val="24"/>
          <w:bdr w:val="none" w:sz="0" w:space="0" w:color="auto" w:frame="1"/>
          <w:lang w:val="en-GB"/>
        </w:rPr>
        <w:t xml:space="preserve">disproportionate negative impacts. </w:t>
      </w:r>
      <w:r w:rsidRPr="000729CF">
        <w:rPr>
          <w:rFonts w:ascii="Arial" w:eastAsia="Calibri" w:hAnsi="Arial" w:cs="Arial"/>
          <w:sz w:val="24"/>
          <w:szCs w:val="24"/>
          <w:lang w:val="en-GB"/>
        </w:rPr>
        <w:t xml:space="preserve">Preferably provide link to data/ analysis if open data source. </w:t>
      </w:r>
    </w:p>
    <w:tbl>
      <w:tblPr>
        <w:tblStyle w:val="TableGrid"/>
        <w:tblW w:w="10485" w:type="dxa"/>
        <w:tblLook w:val="04A0" w:firstRow="1" w:lastRow="0" w:firstColumn="1" w:lastColumn="0" w:noHBand="0" w:noVBand="1"/>
      </w:tblPr>
      <w:tblGrid>
        <w:gridCol w:w="2985"/>
        <w:gridCol w:w="2123"/>
        <w:gridCol w:w="5377"/>
      </w:tblGrid>
      <w:tr w:rsidR="000729CF" w:rsidRPr="000729CF" w14:paraId="754DA69C" w14:textId="77777777" w:rsidTr="000729CF">
        <w:trPr>
          <w:trHeight w:val="20"/>
        </w:trPr>
        <w:tc>
          <w:tcPr>
            <w:tcW w:w="2985" w:type="dxa"/>
            <w:shd w:val="clear" w:color="auto" w:fill="E7E6E6"/>
          </w:tcPr>
          <w:p w14:paraId="55343EE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Assess impact for different population groups</w:t>
            </w:r>
          </w:p>
        </w:tc>
        <w:tc>
          <w:tcPr>
            <w:tcW w:w="2123" w:type="dxa"/>
            <w:shd w:val="clear" w:color="auto" w:fill="E7E6E6"/>
          </w:tcPr>
          <w:p w14:paraId="505D498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Is there a possible disproportionate negative impact? </w:t>
            </w:r>
          </w:p>
          <w:p w14:paraId="25DBA42E" w14:textId="77777777" w:rsidR="000729CF" w:rsidRPr="000729CF" w:rsidRDefault="000729CF" w:rsidP="000729CF">
            <w:pPr>
              <w:spacing w:after="120"/>
              <w:rPr>
                <w:rFonts w:ascii="Arial" w:eastAsia="Calibri" w:hAnsi="Arial" w:cs="Arial"/>
                <w:b/>
                <w:bCs/>
                <w:sz w:val="24"/>
                <w:szCs w:val="24"/>
              </w:rPr>
            </w:pPr>
          </w:p>
          <w:p w14:paraId="7636392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b/>
                <w:bCs/>
                <w:sz w:val="24"/>
                <w:szCs w:val="24"/>
              </w:rPr>
              <w:t>State Yes or No</w:t>
            </w:r>
          </w:p>
        </w:tc>
        <w:tc>
          <w:tcPr>
            <w:tcW w:w="5377" w:type="dxa"/>
            <w:shd w:val="clear" w:color="auto" w:fill="E7E6E6"/>
          </w:tcPr>
          <w:p w14:paraId="193B48B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Describe the potential negative impact, considering for differences within groups For example, different ethnic groups, and peoples intersecting identities e.g. disabled women of faith</w:t>
            </w:r>
          </w:p>
          <w:p w14:paraId="12623DB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OR</w:t>
            </w:r>
          </w:p>
          <w:p w14:paraId="5DE6AB7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If no impact is identified, briefly state why.</w:t>
            </w:r>
          </w:p>
        </w:tc>
      </w:tr>
      <w:tr w:rsidR="000729CF" w:rsidRPr="000729CF" w14:paraId="675D0662" w14:textId="77777777" w:rsidTr="000729CF">
        <w:trPr>
          <w:trHeight w:val="20"/>
        </w:trPr>
        <w:tc>
          <w:tcPr>
            <w:tcW w:w="2985" w:type="dxa"/>
            <w:shd w:val="clear" w:color="auto" w:fill="E7E6E6"/>
          </w:tcPr>
          <w:p w14:paraId="3EFDA47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Age </w:t>
            </w:r>
          </w:p>
          <w:p w14:paraId="239B0B0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sz w:val="24"/>
                <w:szCs w:val="24"/>
              </w:rPr>
              <w:t>including those under 16, young adults, multiple ethnicities, those with various intersections.</w:t>
            </w:r>
          </w:p>
        </w:tc>
        <w:tc>
          <w:tcPr>
            <w:tcW w:w="2123" w:type="dxa"/>
          </w:tcPr>
          <w:p w14:paraId="0E02BBF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19F119CB" w14:textId="77777777" w:rsidR="000729CF" w:rsidRPr="000729CF" w:rsidRDefault="000729CF" w:rsidP="000729CF">
            <w:pPr>
              <w:spacing w:after="120"/>
              <w:rPr>
                <w:rFonts w:ascii="Arial" w:eastAsia="Calibri" w:hAnsi="Arial" w:cs="Arial"/>
                <w:color w:val="000000"/>
                <w:sz w:val="24"/>
                <w:szCs w:val="24"/>
              </w:rPr>
            </w:pPr>
            <w:r w:rsidRPr="000729CF">
              <w:rPr>
                <w:rFonts w:ascii="Arial" w:eastAsia="Calibri" w:hAnsi="Arial" w:cs="Arial"/>
                <w:color w:val="000000"/>
                <w:sz w:val="24"/>
                <w:szCs w:val="24"/>
              </w:rPr>
              <w:t xml:space="preserve">Older people may have mobility issues which limit access to other toilets. They may need to use the toilet more often and will have less opportunity to. </w:t>
            </w:r>
          </w:p>
          <w:p w14:paraId="5177434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color w:val="000000"/>
                <w:sz w:val="24"/>
                <w:szCs w:val="24"/>
              </w:rPr>
              <w:t>Parents and carers may need more frequent access to public toilets for baby changing facilities. Small children have less control over their bladders and outings can be abruptly shortened if a child needs to use a toilet.</w:t>
            </w:r>
          </w:p>
        </w:tc>
      </w:tr>
      <w:tr w:rsidR="000729CF" w:rsidRPr="000729CF" w14:paraId="1A13BAC0" w14:textId="77777777" w:rsidTr="000729CF">
        <w:trPr>
          <w:trHeight w:val="20"/>
        </w:trPr>
        <w:tc>
          <w:tcPr>
            <w:tcW w:w="2985" w:type="dxa"/>
            <w:shd w:val="clear" w:color="auto" w:fill="E7E6E6"/>
          </w:tcPr>
          <w:p w14:paraId="76CAC6A6"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 xml:space="preserve">Disability </w:t>
            </w:r>
            <w:r w:rsidRPr="000729CF">
              <w:rPr>
                <w:rFonts w:ascii="Arial" w:eastAsia="Calibri" w:hAnsi="Arial" w:cs="Arial"/>
                <w:sz w:val="24"/>
                <w:szCs w:val="24"/>
              </w:rPr>
              <w:t>includes physical and sensory disabled, D/deaf, deafened, hard of hearing, blind, neurodiverse people, people with non-visible disabilities.</w:t>
            </w:r>
          </w:p>
        </w:tc>
        <w:tc>
          <w:tcPr>
            <w:tcW w:w="2123" w:type="dxa"/>
          </w:tcPr>
          <w:p w14:paraId="5C33C17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4891F97A" w14:textId="77777777" w:rsidR="000729CF" w:rsidRPr="000729CF" w:rsidRDefault="000729CF" w:rsidP="000729CF">
            <w:pPr>
              <w:spacing w:after="120"/>
              <w:rPr>
                <w:rFonts w:ascii="Arial" w:eastAsia="Calibri" w:hAnsi="Arial" w:cs="Arial"/>
                <w:color w:val="000000"/>
                <w:sz w:val="24"/>
                <w:szCs w:val="24"/>
              </w:rPr>
            </w:pPr>
            <w:r w:rsidRPr="000729CF">
              <w:rPr>
                <w:rFonts w:ascii="Arial" w:eastAsia="Calibri" w:hAnsi="Arial" w:cs="Arial"/>
                <w:color w:val="000000"/>
                <w:sz w:val="24"/>
                <w:szCs w:val="24"/>
              </w:rPr>
              <w:t>Some disabled people and people with long term and or fluctuating health conditions may need to use toilet facilities more frequently may be disproportionately impacted.</w:t>
            </w:r>
          </w:p>
          <w:p w14:paraId="231C91D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color w:val="000000"/>
                <w:sz w:val="24"/>
                <w:szCs w:val="24"/>
              </w:rPr>
              <w:t xml:space="preserve">Some people with mobility issues may have limited access / opportunity to use other toilets. </w:t>
            </w:r>
          </w:p>
        </w:tc>
      </w:tr>
      <w:tr w:rsidR="000729CF" w:rsidRPr="000729CF" w14:paraId="70578AAE" w14:textId="77777777" w:rsidTr="000729CF">
        <w:trPr>
          <w:trHeight w:val="20"/>
        </w:trPr>
        <w:tc>
          <w:tcPr>
            <w:tcW w:w="2985" w:type="dxa"/>
            <w:shd w:val="clear" w:color="auto" w:fill="E7E6E6"/>
          </w:tcPr>
          <w:p w14:paraId="01F022D5" w14:textId="77777777" w:rsidR="000729CF" w:rsidRPr="000729CF" w:rsidRDefault="000729CF" w:rsidP="000729CF">
            <w:pPr>
              <w:keepNext/>
              <w:keepLines/>
              <w:spacing w:before="40"/>
              <w:outlineLvl w:val="2"/>
              <w:rPr>
                <w:rFonts w:ascii="Arial" w:hAnsi="Arial" w:cs="Arial"/>
                <w:color w:val="1F3763"/>
                <w:sz w:val="24"/>
                <w:szCs w:val="24"/>
              </w:rPr>
            </w:pPr>
            <w:r w:rsidRPr="000729CF">
              <w:rPr>
                <w:rFonts w:ascii="Arial" w:hAnsi="Arial" w:cs="Arial"/>
                <w:b/>
                <w:bCs/>
                <w:color w:val="000000"/>
                <w:sz w:val="24"/>
                <w:szCs w:val="24"/>
              </w:rPr>
              <w:t>Ethnicity, ‘</w:t>
            </w:r>
            <w:r w:rsidRPr="000729CF">
              <w:rPr>
                <w:rFonts w:ascii="Arial" w:hAnsi="Arial" w:cs="Arial"/>
                <w:color w:val="000000"/>
                <w:sz w:val="24"/>
                <w:szCs w:val="24"/>
              </w:rPr>
              <w:t>Race’, ethnic heritage including Gypsy, Roma, Travellers</w:t>
            </w:r>
          </w:p>
        </w:tc>
        <w:tc>
          <w:tcPr>
            <w:tcW w:w="2123" w:type="dxa"/>
          </w:tcPr>
          <w:p w14:paraId="7474F90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46817AF9" w14:textId="77777777" w:rsidR="000729CF" w:rsidRPr="000729CF" w:rsidRDefault="000729CF" w:rsidP="000729CF">
            <w:pPr>
              <w:spacing w:after="120"/>
              <w:rPr>
                <w:rFonts w:ascii="Arial" w:eastAsia="Calibri" w:hAnsi="Arial" w:cs="Arial"/>
                <w:sz w:val="24"/>
                <w:szCs w:val="24"/>
              </w:rPr>
            </w:pPr>
          </w:p>
        </w:tc>
      </w:tr>
      <w:tr w:rsidR="000729CF" w:rsidRPr="000729CF" w14:paraId="2F71B760" w14:textId="77777777" w:rsidTr="000729CF">
        <w:trPr>
          <w:trHeight w:val="20"/>
        </w:trPr>
        <w:tc>
          <w:tcPr>
            <w:tcW w:w="2985" w:type="dxa"/>
            <w:shd w:val="clear" w:color="auto" w:fill="E7E6E6"/>
          </w:tcPr>
          <w:p w14:paraId="6970287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Religion, Spirituality, Faith, Atheism, and philosophical belief </w:t>
            </w:r>
          </w:p>
        </w:tc>
        <w:tc>
          <w:tcPr>
            <w:tcW w:w="2123" w:type="dxa"/>
          </w:tcPr>
          <w:p w14:paraId="0ECCABB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5CE3EFC1" w14:textId="77777777" w:rsidR="000729CF" w:rsidRPr="000729CF" w:rsidRDefault="000729CF" w:rsidP="000729CF">
            <w:pPr>
              <w:spacing w:after="120"/>
              <w:rPr>
                <w:rFonts w:ascii="Arial" w:eastAsia="Calibri" w:hAnsi="Arial" w:cs="Arial"/>
                <w:sz w:val="24"/>
                <w:szCs w:val="24"/>
              </w:rPr>
            </w:pPr>
          </w:p>
        </w:tc>
      </w:tr>
      <w:tr w:rsidR="000729CF" w:rsidRPr="000729CF" w14:paraId="0C31E9B7" w14:textId="77777777" w:rsidTr="000729CF">
        <w:trPr>
          <w:trHeight w:val="20"/>
        </w:trPr>
        <w:tc>
          <w:tcPr>
            <w:tcW w:w="2985" w:type="dxa"/>
            <w:shd w:val="clear" w:color="auto" w:fill="E7E6E6"/>
          </w:tcPr>
          <w:p w14:paraId="3894A5C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Gender and Sex </w:t>
            </w:r>
            <w:r w:rsidRPr="000729CF">
              <w:rPr>
                <w:rFonts w:ascii="Arial" w:eastAsia="Calibri" w:hAnsi="Arial" w:cs="Arial"/>
                <w:sz w:val="24"/>
                <w:szCs w:val="24"/>
              </w:rPr>
              <w:t>including non-binary and intersex people</w:t>
            </w:r>
          </w:p>
        </w:tc>
        <w:tc>
          <w:tcPr>
            <w:tcW w:w="2123" w:type="dxa"/>
          </w:tcPr>
          <w:p w14:paraId="39A9B81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3F070AB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color w:val="000000"/>
                <w:sz w:val="24"/>
                <w:szCs w:val="24"/>
              </w:rPr>
              <w:t>Women and girls may need to use the toilet more often due to menstruation or experiencing the menopause but will have less opportunity to do so.</w:t>
            </w:r>
          </w:p>
        </w:tc>
      </w:tr>
      <w:tr w:rsidR="000729CF" w:rsidRPr="000729CF" w14:paraId="79B527AA" w14:textId="77777777" w:rsidTr="000729CF">
        <w:trPr>
          <w:trHeight w:val="20"/>
        </w:trPr>
        <w:tc>
          <w:tcPr>
            <w:tcW w:w="2985" w:type="dxa"/>
            <w:shd w:val="clear" w:color="auto" w:fill="E7E6E6"/>
          </w:tcPr>
          <w:p w14:paraId="71DFDAE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2123" w:type="dxa"/>
          </w:tcPr>
          <w:p w14:paraId="33DDF6C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65514446" w14:textId="77777777" w:rsidR="000729CF" w:rsidRPr="000729CF" w:rsidRDefault="000729CF" w:rsidP="000729CF">
            <w:pPr>
              <w:spacing w:after="120"/>
              <w:rPr>
                <w:rFonts w:ascii="Arial" w:eastAsia="Calibri" w:hAnsi="Arial" w:cs="Arial"/>
                <w:sz w:val="24"/>
                <w:szCs w:val="24"/>
              </w:rPr>
            </w:pPr>
          </w:p>
        </w:tc>
      </w:tr>
      <w:tr w:rsidR="000729CF" w:rsidRPr="000729CF" w14:paraId="163087C6" w14:textId="77777777" w:rsidTr="000729CF">
        <w:trPr>
          <w:trHeight w:val="20"/>
        </w:trPr>
        <w:tc>
          <w:tcPr>
            <w:tcW w:w="2985" w:type="dxa"/>
            <w:shd w:val="clear" w:color="auto" w:fill="E7E6E6"/>
          </w:tcPr>
          <w:p w14:paraId="35BF96B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2123" w:type="dxa"/>
          </w:tcPr>
          <w:p w14:paraId="12061BB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0F60F8AC" w14:textId="77777777" w:rsidR="000729CF" w:rsidRPr="000729CF" w:rsidRDefault="000729CF" w:rsidP="000729CF">
            <w:pPr>
              <w:spacing w:after="120"/>
              <w:rPr>
                <w:rFonts w:ascii="Arial" w:eastAsia="Calibri" w:hAnsi="Arial" w:cs="Arial"/>
                <w:sz w:val="24"/>
                <w:szCs w:val="24"/>
              </w:rPr>
            </w:pPr>
          </w:p>
        </w:tc>
      </w:tr>
      <w:tr w:rsidR="000729CF" w:rsidRPr="000729CF" w14:paraId="0D03085B" w14:textId="77777777" w:rsidTr="000729CF">
        <w:trPr>
          <w:trHeight w:val="20"/>
        </w:trPr>
        <w:tc>
          <w:tcPr>
            <w:tcW w:w="2985" w:type="dxa"/>
            <w:shd w:val="clear" w:color="auto" w:fill="E7E6E6"/>
          </w:tcPr>
          <w:p w14:paraId="5ED56DA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2123" w:type="dxa"/>
          </w:tcPr>
          <w:p w14:paraId="3CDB83E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4C5FA9D4" w14:textId="77777777" w:rsidR="000729CF" w:rsidRPr="000729CF" w:rsidRDefault="000729CF" w:rsidP="000729CF">
            <w:pPr>
              <w:spacing w:after="120"/>
              <w:rPr>
                <w:rFonts w:ascii="Arial" w:eastAsia="Calibri" w:hAnsi="Arial" w:cs="Arial"/>
                <w:sz w:val="24"/>
                <w:szCs w:val="24"/>
              </w:rPr>
            </w:pPr>
          </w:p>
        </w:tc>
      </w:tr>
      <w:tr w:rsidR="000729CF" w:rsidRPr="000729CF" w14:paraId="74EA0BA1" w14:textId="77777777" w:rsidTr="000729CF">
        <w:trPr>
          <w:trHeight w:val="20"/>
        </w:trPr>
        <w:tc>
          <w:tcPr>
            <w:tcW w:w="2985" w:type="dxa"/>
            <w:shd w:val="clear" w:color="auto" w:fill="E7E6E6"/>
          </w:tcPr>
          <w:p w14:paraId="4864327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Pregnancy, Maternity, Paternity, Adoption, Menopause, (In)fertility </w:t>
            </w:r>
            <w:r w:rsidRPr="000729CF">
              <w:rPr>
                <w:rFonts w:ascii="Arial" w:eastAsia="Calibri" w:hAnsi="Arial" w:cs="Arial"/>
                <w:color w:val="000000"/>
                <w:sz w:val="24"/>
                <w:szCs w:val="24"/>
              </w:rPr>
              <w:t>(across intersections and non-binary gender spectrum)</w:t>
            </w:r>
          </w:p>
        </w:tc>
        <w:tc>
          <w:tcPr>
            <w:tcW w:w="2123" w:type="dxa"/>
          </w:tcPr>
          <w:p w14:paraId="46F1144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29A3330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color w:val="000000"/>
                <w:sz w:val="24"/>
                <w:szCs w:val="24"/>
              </w:rPr>
              <w:t>Pregnant people may need to use the toilet more often and will have less opportunity to.</w:t>
            </w:r>
          </w:p>
        </w:tc>
      </w:tr>
      <w:tr w:rsidR="000729CF" w:rsidRPr="000729CF" w14:paraId="16A6A8CF" w14:textId="77777777" w:rsidTr="000729CF">
        <w:trPr>
          <w:trHeight w:val="20"/>
        </w:trPr>
        <w:tc>
          <w:tcPr>
            <w:tcW w:w="2985" w:type="dxa"/>
            <w:shd w:val="clear" w:color="auto" w:fill="E7E6E6"/>
          </w:tcPr>
          <w:p w14:paraId="51CD092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2123" w:type="dxa"/>
          </w:tcPr>
          <w:p w14:paraId="41E4620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71925A7F" w14:textId="77777777" w:rsidR="000729CF" w:rsidRPr="000729CF" w:rsidRDefault="000729CF" w:rsidP="000729CF">
            <w:pPr>
              <w:spacing w:after="120"/>
              <w:rPr>
                <w:rFonts w:ascii="Arial" w:eastAsia="Calibri" w:hAnsi="Arial" w:cs="Arial"/>
                <w:sz w:val="24"/>
                <w:szCs w:val="24"/>
              </w:rPr>
            </w:pPr>
          </w:p>
        </w:tc>
      </w:tr>
      <w:tr w:rsidR="000729CF" w:rsidRPr="000729CF" w14:paraId="4612E495" w14:textId="77777777" w:rsidTr="000729CF">
        <w:trPr>
          <w:trHeight w:val="20"/>
        </w:trPr>
        <w:tc>
          <w:tcPr>
            <w:tcW w:w="2985" w:type="dxa"/>
            <w:shd w:val="clear" w:color="auto" w:fill="E7E6E6"/>
          </w:tcPr>
          <w:p w14:paraId="12A6CB9E" w14:textId="77777777" w:rsidR="000729CF" w:rsidRPr="000729CF" w:rsidRDefault="000729CF" w:rsidP="000729CF">
            <w:pPr>
              <w:spacing w:after="120"/>
              <w:rPr>
                <w:rFonts w:ascii="Arial" w:eastAsia="Calibri" w:hAnsi="Arial" w:cs="Arial"/>
                <w:b/>
                <w:bCs/>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r w:rsidRPr="000729CF">
              <w:rPr>
                <w:rFonts w:ascii="Arial" w:hAnsi="Arial" w:cs="Arial"/>
                <w:color w:val="000000"/>
                <w:sz w:val="24"/>
                <w:szCs w:val="24"/>
              </w:rPr>
              <w:t>considering for age, language, and various intersections</w:t>
            </w:r>
          </w:p>
        </w:tc>
        <w:tc>
          <w:tcPr>
            <w:tcW w:w="2123" w:type="dxa"/>
          </w:tcPr>
          <w:p w14:paraId="23DE2BA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1D3CF1BF" w14:textId="77777777" w:rsidR="000729CF" w:rsidRPr="000729CF" w:rsidRDefault="000729CF" w:rsidP="000729CF">
            <w:pPr>
              <w:spacing w:after="120"/>
              <w:rPr>
                <w:rFonts w:ascii="Arial" w:eastAsia="Calibri" w:hAnsi="Arial" w:cs="Arial"/>
                <w:sz w:val="24"/>
                <w:szCs w:val="24"/>
              </w:rPr>
            </w:pPr>
          </w:p>
        </w:tc>
      </w:tr>
      <w:tr w:rsidR="000729CF" w:rsidRPr="000729CF" w14:paraId="3183FD5F" w14:textId="77777777" w:rsidTr="000729CF">
        <w:trPr>
          <w:trHeight w:val="20"/>
        </w:trPr>
        <w:tc>
          <w:tcPr>
            <w:tcW w:w="2985" w:type="dxa"/>
            <w:shd w:val="clear" w:color="auto" w:fill="E7E6E6"/>
          </w:tcPr>
          <w:p w14:paraId="5DD80AC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Carers </w:t>
            </w:r>
            <w:r w:rsidRPr="000729CF">
              <w:rPr>
                <w:rFonts w:ascii="Arial" w:hAnsi="Arial" w:cs="Arial"/>
                <w:color w:val="000000"/>
                <w:sz w:val="24"/>
                <w:szCs w:val="24"/>
              </w:rPr>
              <w:t>considering for age, language, and various intersections</w:t>
            </w:r>
          </w:p>
        </w:tc>
        <w:tc>
          <w:tcPr>
            <w:tcW w:w="2123" w:type="dxa"/>
          </w:tcPr>
          <w:p w14:paraId="44238981" w14:textId="77777777" w:rsidR="000729CF" w:rsidRPr="000729CF" w:rsidRDefault="000729CF" w:rsidP="000729CF">
            <w:pPr>
              <w:spacing w:after="120"/>
              <w:rPr>
                <w:rFonts w:ascii="Arial" w:eastAsia="Calibri" w:hAnsi="Arial" w:cs="Arial"/>
                <w:sz w:val="24"/>
                <w:szCs w:val="24"/>
              </w:rPr>
            </w:pPr>
          </w:p>
        </w:tc>
        <w:tc>
          <w:tcPr>
            <w:tcW w:w="5377" w:type="dxa"/>
          </w:tcPr>
          <w:p w14:paraId="225EFFB1" w14:textId="77777777" w:rsidR="000729CF" w:rsidRPr="000729CF" w:rsidRDefault="000729CF" w:rsidP="000729CF">
            <w:pPr>
              <w:spacing w:after="120"/>
              <w:rPr>
                <w:rFonts w:ascii="Arial" w:eastAsia="Calibri" w:hAnsi="Arial" w:cs="Arial"/>
                <w:sz w:val="24"/>
                <w:szCs w:val="24"/>
              </w:rPr>
            </w:pPr>
          </w:p>
        </w:tc>
      </w:tr>
      <w:tr w:rsidR="000729CF" w:rsidRPr="000729CF" w14:paraId="027D93AE" w14:textId="77777777" w:rsidTr="000729CF">
        <w:trPr>
          <w:trHeight w:val="20"/>
        </w:trPr>
        <w:tc>
          <w:tcPr>
            <w:tcW w:w="2985" w:type="dxa"/>
            <w:shd w:val="clear" w:color="auto" w:fill="E7E6E6"/>
          </w:tcPr>
          <w:p w14:paraId="2F9BF7B6"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 xml:space="preserve">Looked after children, Care Leavers, Care and fostering experienced people </w:t>
            </w:r>
            <w:r w:rsidRPr="000729CF">
              <w:rPr>
                <w:rFonts w:ascii="Arial" w:hAnsi="Arial" w:cs="Arial"/>
                <w:color w:val="000000"/>
                <w:sz w:val="24"/>
                <w:szCs w:val="24"/>
              </w:rPr>
              <w:t>considering for age, language, and various intersections</w:t>
            </w:r>
          </w:p>
        </w:tc>
        <w:tc>
          <w:tcPr>
            <w:tcW w:w="2123" w:type="dxa"/>
          </w:tcPr>
          <w:p w14:paraId="0D7ABE9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38ED4BB1" w14:textId="77777777" w:rsidR="000729CF" w:rsidRPr="000729CF" w:rsidRDefault="000729CF" w:rsidP="000729CF">
            <w:pPr>
              <w:spacing w:after="120"/>
              <w:rPr>
                <w:rFonts w:ascii="Arial" w:eastAsia="Calibri" w:hAnsi="Arial" w:cs="Arial"/>
                <w:sz w:val="24"/>
                <w:szCs w:val="24"/>
              </w:rPr>
            </w:pPr>
          </w:p>
        </w:tc>
      </w:tr>
      <w:tr w:rsidR="000729CF" w:rsidRPr="000729CF" w14:paraId="17BC77EF" w14:textId="77777777" w:rsidTr="000729CF">
        <w:trPr>
          <w:trHeight w:val="20"/>
        </w:trPr>
        <w:tc>
          <w:tcPr>
            <w:tcW w:w="2985" w:type="dxa"/>
            <w:shd w:val="clear" w:color="auto" w:fill="E7E6E6"/>
          </w:tcPr>
          <w:p w14:paraId="26972D8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w:t>
            </w:r>
          </w:p>
        </w:tc>
        <w:tc>
          <w:tcPr>
            <w:tcW w:w="2123" w:type="dxa"/>
          </w:tcPr>
          <w:p w14:paraId="10BACAE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69059F48" w14:textId="77777777" w:rsidR="000729CF" w:rsidRPr="000729CF" w:rsidRDefault="000729CF" w:rsidP="000729CF">
            <w:pPr>
              <w:spacing w:after="120"/>
              <w:rPr>
                <w:rFonts w:ascii="Arial" w:eastAsia="Calibri" w:hAnsi="Arial" w:cs="Arial"/>
                <w:sz w:val="24"/>
                <w:szCs w:val="24"/>
              </w:rPr>
            </w:pPr>
          </w:p>
        </w:tc>
      </w:tr>
      <w:tr w:rsidR="000729CF" w:rsidRPr="000729CF" w14:paraId="6FF31F46" w14:textId="77777777" w:rsidTr="000729CF">
        <w:trPr>
          <w:trHeight w:val="20"/>
        </w:trPr>
        <w:tc>
          <w:tcPr>
            <w:tcW w:w="2985" w:type="dxa"/>
            <w:shd w:val="clear" w:color="auto" w:fill="E7E6E6"/>
          </w:tcPr>
          <w:p w14:paraId="3451B91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Socio-economic disadvantage </w:t>
            </w:r>
            <w:r w:rsidRPr="000729CF">
              <w:rPr>
                <w:rFonts w:ascii="Arial" w:eastAsia="Calibri" w:hAnsi="Arial" w:cs="Arial"/>
                <w:color w:val="000000"/>
                <w:sz w:val="24"/>
                <w:szCs w:val="24"/>
              </w:rPr>
              <w:t>considering for age, disability, D/deaf/ blind, ethnicity, expatriate background, and various intersections</w:t>
            </w:r>
          </w:p>
        </w:tc>
        <w:tc>
          <w:tcPr>
            <w:tcW w:w="2123" w:type="dxa"/>
          </w:tcPr>
          <w:p w14:paraId="3E36296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3EDE446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color w:val="000000"/>
                <w:sz w:val="24"/>
                <w:szCs w:val="24"/>
              </w:rPr>
              <w:t>People on lower incomes may be disproportionately affected as businesses may expect their facilities to be used by only paying customers.</w:t>
            </w:r>
          </w:p>
        </w:tc>
      </w:tr>
      <w:tr w:rsidR="000729CF" w:rsidRPr="000729CF" w14:paraId="3D894A5F" w14:textId="77777777" w:rsidTr="000729CF">
        <w:trPr>
          <w:trHeight w:val="20"/>
        </w:trPr>
        <w:tc>
          <w:tcPr>
            <w:tcW w:w="2985" w:type="dxa"/>
            <w:shd w:val="clear" w:color="auto" w:fill="E7E6E6"/>
          </w:tcPr>
          <w:p w14:paraId="5D03A3E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Homeless and rough sleepers </w:t>
            </w:r>
            <w:r w:rsidRPr="000729CF">
              <w:rPr>
                <w:rFonts w:ascii="Arial" w:eastAsia="Calibri" w:hAnsi="Arial" w:cs="Arial"/>
                <w:color w:val="000000"/>
                <w:sz w:val="24"/>
                <w:szCs w:val="24"/>
              </w:rPr>
              <w:t>considering for age, veteran, ethnicity, language, and various intersections</w:t>
            </w:r>
          </w:p>
        </w:tc>
        <w:tc>
          <w:tcPr>
            <w:tcW w:w="2123" w:type="dxa"/>
          </w:tcPr>
          <w:p w14:paraId="6FB4EA0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0A83F9F3" w14:textId="77777777" w:rsidR="000729CF" w:rsidRPr="000729CF" w:rsidRDefault="000729CF" w:rsidP="000729CF">
            <w:pPr>
              <w:spacing w:after="120"/>
              <w:rPr>
                <w:rFonts w:ascii="Arial" w:eastAsia="Calibri" w:hAnsi="Arial" w:cs="Arial"/>
                <w:color w:val="000000"/>
                <w:sz w:val="24"/>
                <w:szCs w:val="24"/>
              </w:rPr>
            </w:pPr>
            <w:r w:rsidRPr="000729CF">
              <w:rPr>
                <w:rFonts w:ascii="Arial" w:eastAsia="Calibri" w:hAnsi="Arial" w:cs="Arial"/>
                <w:color w:val="000000"/>
                <w:sz w:val="24"/>
                <w:szCs w:val="24"/>
              </w:rPr>
              <w:t>Rough sleepers may be disproportionately impacted as they have limited alternative access to toilet and handwashing facilities.</w:t>
            </w:r>
          </w:p>
          <w:p w14:paraId="0418914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color w:val="000000"/>
                <w:sz w:val="24"/>
                <w:szCs w:val="24"/>
              </w:rPr>
              <w:t>They may feel a greater stigma when using other facilities and may not feel welcome.</w:t>
            </w:r>
          </w:p>
        </w:tc>
      </w:tr>
      <w:tr w:rsidR="000729CF" w:rsidRPr="000729CF" w14:paraId="4C12538D" w14:textId="77777777" w:rsidTr="000729CF">
        <w:trPr>
          <w:trHeight w:val="20"/>
        </w:trPr>
        <w:tc>
          <w:tcPr>
            <w:tcW w:w="2985" w:type="dxa"/>
            <w:shd w:val="clear" w:color="auto" w:fill="E7E6E6"/>
          </w:tcPr>
          <w:p w14:paraId="56F6FD9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2123" w:type="dxa"/>
          </w:tcPr>
          <w:p w14:paraId="5C6B9D5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277EF1E3" w14:textId="77777777" w:rsidR="000729CF" w:rsidRPr="000729CF" w:rsidRDefault="000729CF" w:rsidP="000729CF">
            <w:pPr>
              <w:spacing w:after="120"/>
              <w:rPr>
                <w:rFonts w:ascii="Arial" w:eastAsia="Calibri" w:hAnsi="Arial" w:cs="Arial"/>
                <w:sz w:val="24"/>
                <w:szCs w:val="24"/>
              </w:rPr>
            </w:pPr>
          </w:p>
        </w:tc>
      </w:tr>
      <w:tr w:rsidR="000729CF" w:rsidRPr="000729CF" w14:paraId="501F9B68" w14:textId="77777777" w:rsidTr="000729CF">
        <w:trPr>
          <w:trHeight w:val="20"/>
        </w:trPr>
        <w:tc>
          <w:tcPr>
            <w:tcW w:w="2985" w:type="dxa"/>
            <w:shd w:val="clear" w:color="auto" w:fill="E7E6E6"/>
          </w:tcPr>
          <w:p w14:paraId="761C2A0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 (please specify here and add additional rows as needed)</w:t>
            </w:r>
          </w:p>
        </w:tc>
        <w:tc>
          <w:tcPr>
            <w:tcW w:w="2123" w:type="dxa"/>
          </w:tcPr>
          <w:p w14:paraId="318443C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3A28F3D9" w14:textId="77777777" w:rsidR="000729CF" w:rsidRPr="000729CF" w:rsidRDefault="000729CF" w:rsidP="000729CF">
            <w:pPr>
              <w:spacing w:after="120"/>
              <w:rPr>
                <w:rFonts w:ascii="Arial" w:eastAsia="Calibri" w:hAnsi="Arial" w:cs="Arial"/>
                <w:sz w:val="24"/>
                <w:szCs w:val="24"/>
              </w:rPr>
            </w:pPr>
          </w:p>
        </w:tc>
      </w:tr>
    </w:tbl>
    <w:p w14:paraId="6799BADF" w14:textId="77777777" w:rsidR="000729CF" w:rsidRPr="000729CF" w:rsidRDefault="000729CF" w:rsidP="000729CF">
      <w:pPr>
        <w:spacing w:after="160" w:line="259" w:lineRule="auto"/>
        <w:rPr>
          <w:rFonts w:ascii="Arial" w:eastAsia="Calibri" w:hAnsi="Arial" w:cs="Arial"/>
          <w:b/>
          <w:bCs/>
          <w:sz w:val="24"/>
          <w:szCs w:val="24"/>
          <w:lang w:val="en-GB"/>
        </w:rPr>
      </w:pPr>
    </w:p>
    <w:p w14:paraId="0FA2F1E7"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7926EC2D"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653F8291"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5080D735"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79CCE09F"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43D221D5"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6F68BBC6"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1FF87B24"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1A98D040"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7379D541"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23F70CAF" w14:textId="77777777" w:rsidR="000729CF" w:rsidRPr="000729CF" w:rsidRDefault="000729CF" w:rsidP="000729CF">
      <w:pPr>
        <w:rPr>
          <w:rFonts w:ascii="Arial" w:eastAsia="Calibri" w:hAnsi="Arial" w:cs="Arial"/>
          <w:sz w:val="24"/>
          <w:szCs w:val="24"/>
          <w:lang w:val="en-GB"/>
        </w:rPr>
      </w:pPr>
    </w:p>
    <w:p w14:paraId="57AE68F8"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Cumulative impacts</w:t>
      </w:r>
    </w:p>
    <w:p w14:paraId="58FDD24D"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Are there other budget proposals from other service areas that might worsen or mitigate the impacts from your proposal? Please give a brief description including name of other service(s).</w:t>
      </w:r>
    </w:p>
    <w:tbl>
      <w:tblPr>
        <w:tblStyle w:val="TableGrid"/>
        <w:tblW w:w="0" w:type="auto"/>
        <w:tblLook w:val="04A0" w:firstRow="1" w:lastRow="0" w:firstColumn="1" w:lastColumn="0" w:noHBand="0" w:noVBand="1"/>
      </w:tblPr>
      <w:tblGrid>
        <w:gridCol w:w="10456"/>
      </w:tblGrid>
      <w:tr w:rsidR="000729CF" w:rsidRPr="000729CF" w14:paraId="3CC89081" w14:textId="77777777" w:rsidTr="00BC26AB">
        <w:tc>
          <w:tcPr>
            <w:tcW w:w="10456" w:type="dxa"/>
          </w:tcPr>
          <w:p w14:paraId="1C79B681"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 xml:space="preserve">Other budget proposals that disproportionately impact on older and disabled people may worse the impact of this proposal. </w:t>
            </w:r>
          </w:p>
          <w:p w14:paraId="045B473D" w14:textId="77777777" w:rsidR="000729CF" w:rsidRPr="000729CF" w:rsidRDefault="000729CF" w:rsidP="000729CF">
            <w:pPr>
              <w:rPr>
                <w:rFonts w:ascii="Arial" w:eastAsia="Calibri" w:hAnsi="Arial" w:cs="Arial"/>
                <w:sz w:val="24"/>
                <w:szCs w:val="24"/>
              </w:rPr>
            </w:pPr>
          </w:p>
        </w:tc>
      </w:tr>
    </w:tbl>
    <w:p w14:paraId="755C782E" w14:textId="77777777" w:rsidR="000729CF" w:rsidRPr="000729CF" w:rsidRDefault="000729CF" w:rsidP="000729CF">
      <w:pPr>
        <w:spacing w:after="160" w:line="259" w:lineRule="auto"/>
        <w:rPr>
          <w:rFonts w:ascii="Arial" w:eastAsia="Calibri" w:hAnsi="Arial" w:cs="Arial"/>
          <w:sz w:val="24"/>
          <w:szCs w:val="24"/>
          <w:lang w:val="en-GB"/>
        </w:rPr>
      </w:pPr>
    </w:p>
    <w:p w14:paraId="777B7C50"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Action planning</w:t>
      </w:r>
    </w:p>
    <w:p w14:paraId="575CEFCA"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SMART actions will be taken to mitigate the disproportionate impacts identified in section 3? If no mitigating action is possible, please state and explain why. Add additional rows as required. </w:t>
      </w:r>
    </w:p>
    <w:tbl>
      <w:tblPr>
        <w:tblStyle w:val="TableGrid"/>
        <w:tblW w:w="0" w:type="auto"/>
        <w:tblLook w:val="04A0" w:firstRow="1" w:lastRow="0" w:firstColumn="1" w:lastColumn="0" w:noHBand="0" w:noVBand="1"/>
      </w:tblPr>
      <w:tblGrid>
        <w:gridCol w:w="10456"/>
      </w:tblGrid>
      <w:tr w:rsidR="000729CF" w:rsidRPr="000729CF" w14:paraId="65F2444F" w14:textId="77777777" w:rsidTr="00BC26AB">
        <w:trPr>
          <w:trHeight w:val="847"/>
        </w:trPr>
        <w:tc>
          <w:tcPr>
            <w:tcW w:w="10456" w:type="dxa"/>
          </w:tcPr>
          <w:p w14:paraId="2367F36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Continue publicising </w:t>
            </w:r>
            <w:r w:rsidRPr="000729CF">
              <w:rPr>
                <w:rFonts w:ascii="Arial" w:eastAsia="Calibri" w:hAnsi="Arial" w:cs="Arial"/>
                <w:color w:val="000000"/>
                <w:sz w:val="24"/>
                <w:szCs w:val="24"/>
              </w:rPr>
              <w:t>other toilets available, such as museums, shopping centres etc.</w:t>
            </w:r>
          </w:p>
        </w:tc>
      </w:tr>
      <w:tr w:rsidR="000729CF" w:rsidRPr="000729CF" w14:paraId="423181F5" w14:textId="77777777" w:rsidTr="00BC26AB">
        <w:trPr>
          <w:trHeight w:val="847"/>
        </w:trPr>
        <w:tc>
          <w:tcPr>
            <w:tcW w:w="10456" w:type="dxa"/>
          </w:tcPr>
          <w:p w14:paraId="1A336EE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color w:val="000000"/>
                <w:sz w:val="24"/>
                <w:szCs w:val="24"/>
              </w:rPr>
              <w:t>Place signage on the closed toilets, directing people to the nearest alternative and to the council website for more information.</w:t>
            </w:r>
          </w:p>
        </w:tc>
      </w:tr>
      <w:tr w:rsidR="000729CF" w:rsidRPr="000729CF" w14:paraId="1C9B3E48" w14:textId="77777777" w:rsidTr="00BC26AB">
        <w:trPr>
          <w:trHeight w:val="847"/>
        </w:trPr>
        <w:tc>
          <w:tcPr>
            <w:tcW w:w="10456" w:type="dxa"/>
          </w:tcPr>
          <w:p w14:paraId="0053742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color w:val="000000"/>
                <w:sz w:val="24"/>
                <w:szCs w:val="24"/>
              </w:rPr>
              <w:t>Provide information on the facilities available to rough sleepers, including First Base, Antifreeze and the Clocktower Sanctuary.</w:t>
            </w:r>
          </w:p>
        </w:tc>
      </w:tr>
    </w:tbl>
    <w:p w14:paraId="0AB1024A" w14:textId="77777777" w:rsidR="000729CF" w:rsidRPr="000729CF" w:rsidRDefault="000729CF" w:rsidP="000729CF">
      <w:pPr>
        <w:spacing w:after="160" w:line="259" w:lineRule="auto"/>
        <w:rPr>
          <w:rFonts w:ascii="Arial" w:eastAsia="Calibri" w:hAnsi="Arial" w:cs="Arial"/>
          <w:sz w:val="24"/>
          <w:szCs w:val="24"/>
          <w:lang w:val="en-GB"/>
        </w:rPr>
      </w:pPr>
    </w:p>
    <w:p w14:paraId="43B1803D"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Outcome of your assessment</w:t>
      </w:r>
    </w:p>
    <w:p w14:paraId="0B917636"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Based on the information above give the proposal an impact score between 1 – 5. </w:t>
      </w:r>
    </w:p>
    <w:p w14:paraId="6670A51F"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1= proposal has minimal impact and/or mitigating actions will significantly minimise the impact</w:t>
      </w:r>
    </w:p>
    <w:p w14:paraId="0A7B7640"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3= proposal will have a significant negative impact; however, mitigation actions will reduce the impact considerably.</w:t>
      </w:r>
    </w:p>
    <w:p w14:paraId="3D741C83"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5= proposal has significant impact and mitigating actions will have limited effect on reducing impact.</w:t>
      </w:r>
    </w:p>
    <w:p w14:paraId="2A76AE53" w14:textId="77777777" w:rsidR="000729CF" w:rsidRPr="000729CF" w:rsidRDefault="000729CF" w:rsidP="000729CF">
      <w:pPr>
        <w:rPr>
          <w:rFonts w:ascii="Arial" w:eastAsia="Calibri" w:hAnsi="Arial" w:cs="Arial"/>
          <w:sz w:val="24"/>
          <w:szCs w:val="24"/>
          <w:highlight w:val="yellow"/>
          <w:lang w:val="en-GB"/>
        </w:rPr>
      </w:pPr>
    </w:p>
    <w:tbl>
      <w:tblPr>
        <w:tblStyle w:val="TableGrid"/>
        <w:tblW w:w="0" w:type="auto"/>
        <w:tblLook w:val="04A0" w:firstRow="1" w:lastRow="0" w:firstColumn="1" w:lastColumn="0" w:noHBand="0" w:noVBand="1"/>
      </w:tblPr>
      <w:tblGrid>
        <w:gridCol w:w="3114"/>
        <w:gridCol w:w="7342"/>
      </w:tblGrid>
      <w:tr w:rsidR="000729CF" w:rsidRPr="000729CF" w14:paraId="34634367" w14:textId="77777777" w:rsidTr="00BC26AB">
        <w:trPr>
          <w:trHeight w:val="152"/>
        </w:trPr>
        <w:tc>
          <w:tcPr>
            <w:tcW w:w="3114" w:type="dxa"/>
          </w:tcPr>
          <w:p w14:paraId="260A6CB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Proposal’s impact score:</w:t>
            </w:r>
          </w:p>
        </w:tc>
        <w:tc>
          <w:tcPr>
            <w:tcW w:w="7342" w:type="dxa"/>
          </w:tcPr>
          <w:p w14:paraId="78FA462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2</w:t>
            </w:r>
          </w:p>
        </w:tc>
      </w:tr>
    </w:tbl>
    <w:p w14:paraId="5F1DA773" w14:textId="77777777" w:rsidR="000729CF" w:rsidRPr="000729CF" w:rsidRDefault="000729CF" w:rsidP="000729CF">
      <w:pPr>
        <w:spacing w:after="160" w:line="259" w:lineRule="auto"/>
        <w:rPr>
          <w:rFonts w:ascii="Arial" w:eastAsia="Calibri" w:hAnsi="Arial" w:cs="Arial"/>
          <w:sz w:val="24"/>
          <w:szCs w:val="24"/>
          <w:lang w:val="en-GB"/>
        </w:rPr>
      </w:pPr>
    </w:p>
    <w:p w14:paraId="0FADC93D"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Publication</w:t>
      </w:r>
    </w:p>
    <w:p w14:paraId="190DD033"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All Equality Impact Assessments will be published. If you are recommending, and choosing not to publish your EIA, please provide a reason:</w:t>
      </w:r>
    </w:p>
    <w:tbl>
      <w:tblPr>
        <w:tblStyle w:val="TableGrid"/>
        <w:tblW w:w="0" w:type="auto"/>
        <w:tblLook w:val="04A0" w:firstRow="1" w:lastRow="0" w:firstColumn="1" w:lastColumn="0" w:noHBand="0" w:noVBand="1"/>
      </w:tblPr>
      <w:tblGrid>
        <w:gridCol w:w="10456"/>
      </w:tblGrid>
      <w:tr w:rsidR="000729CF" w:rsidRPr="000729CF" w14:paraId="088F7602" w14:textId="77777777" w:rsidTr="00BC26AB">
        <w:trPr>
          <w:trHeight w:val="803"/>
        </w:trPr>
        <w:tc>
          <w:tcPr>
            <w:tcW w:w="10456" w:type="dxa"/>
          </w:tcPr>
          <w:p w14:paraId="41F9005B" w14:textId="77777777" w:rsidR="000729CF" w:rsidRPr="000729CF" w:rsidRDefault="000729CF" w:rsidP="000729CF">
            <w:pPr>
              <w:spacing w:after="120"/>
              <w:rPr>
                <w:rFonts w:ascii="Arial" w:eastAsia="Calibri" w:hAnsi="Arial" w:cs="Arial"/>
                <w:sz w:val="24"/>
                <w:szCs w:val="24"/>
              </w:rPr>
            </w:pPr>
          </w:p>
        </w:tc>
      </w:tr>
    </w:tbl>
    <w:p w14:paraId="02AEE121" w14:textId="77777777" w:rsidR="000729CF" w:rsidRPr="000729CF" w:rsidRDefault="000729CF" w:rsidP="000729CF">
      <w:pPr>
        <w:spacing w:after="160" w:line="259" w:lineRule="auto"/>
        <w:rPr>
          <w:rFonts w:ascii="Arial" w:eastAsia="Calibri" w:hAnsi="Arial" w:cs="Arial"/>
          <w:sz w:val="24"/>
          <w:szCs w:val="24"/>
          <w:lang w:val="en-GB"/>
        </w:rPr>
      </w:pPr>
    </w:p>
    <w:p w14:paraId="09FF5D86"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Directorate and Service Approval</w:t>
      </w:r>
    </w:p>
    <w:tbl>
      <w:tblPr>
        <w:tblStyle w:val="TableGrid"/>
        <w:tblW w:w="0" w:type="auto"/>
        <w:tblLook w:val="04A0" w:firstRow="1" w:lastRow="0" w:firstColumn="1" w:lastColumn="0" w:noHBand="0" w:noVBand="1"/>
      </w:tblPr>
      <w:tblGrid>
        <w:gridCol w:w="3681"/>
        <w:gridCol w:w="4394"/>
        <w:gridCol w:w="2381"/>
      </w:tblGrid>
      <w:tr w:rsidR="000729CF" w:rsidRPr="000729CF" w14:paraId="380297AE" w14:textId="77777777" w:rsidTr="000729CF">
        <w:trPr>
          <w:trHeight w:val="20"/>
        </w:trPr>
        <w:tc>
          <w:tcPr>
            <w:tcW w:w="3681" w:type="dxa"/>
            <w:tcBorders>
              <w:bottom w:val="single" w:sz="4" w:space="0" w:color="auto"/>
            </w:tcBorders>
            <w:shd w:val="clear" w:color="auto" w:fill="D9D9D9"/>
          </w:tcPr>
          <w:p w14:paraId="24B3897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16AC818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 and Job Title:</w:t>
            </w:r>
          </w:p>
        </w:tc>
        <w:tc>
          <w:tcPr>
            <w:tcW w:w="2381" w:type="dxa"/>
            <w:shd w:val="clear" w:color="auto" w:fill="D9D9D9"/>
          </w:tcPr>
          <w:p w14:paraId="72F18ED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47A6F2AC" w14:textId="77777777" w:rsidTr="000729CF">
        <w:trPr>
          <w:trHeight w:val="20"/>
        </w:trPr>
        <w:tc>
          <w:tcPr>
            <w:tcW w:w="3681" w:type="dxa"/>
            <w:shd w:val="clear" w:color="auto" w:fill="E7E6E6"/>
          </w:tcPr>
          <w:p w14:paraId="5681B2E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Responsible Lead Officer:</w:t>
            </w:r>
          </w:p>
        </w:tc>
        <w:tc>
          <w:tcPr>
            <w:tcW w:w="4394" w:type="dxa"/>
          </w:tcPr>
          <w:p w14:paraId="48B9D0D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Lynsay Cook, Head of Strategy &amp; Service Improvement</w:t>
            </w:r>
          </w:p>
        </w:tc>
        <w:tc>
          <w:tcPr>
            <w:tcW w:w="2381" w:type="dxa"/>
          </w:tcPr>
          <w:p w14:paraId="1B8E92E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05-Jan-24</w:t>
            </w:r>
          </w:p>
        </w:tc>
      </w:tr>
      <w:tr w:rsidR="000729CF" w:rsidRPr="000729CF" w14:paraId="6B8D1D28" w14:textId="77777777" w:rsidTr="000729CF">
        <w:trPr>
          <w:trHeight w:val="20"/>
        </w:trPr>
        <w:tc>
          <w:tcPr>
            <w:tcW w:w="3681" w:type="dxa"/>
            <w:shd w:val="clear" w:color="auto" w:fill="E7E6E6"/>
          </w:tcPr>
          <w:p w14:paraId="6AB89E4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Accountable Manager:</w:t>
            </w:r>
          </w:p>
        </w:tc>
        <w:tc>
          <w:tcPr>
            <w:tcW w:w="4394" w:type="dxa"/>
          </w:tcPr>
          <w:p w14:paraId="479C016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Rachel Chasseaud, Assistant Director City Environmental Management </w:t>
            </w:r>
          </w:p>
        </w:tc>
        <w:tc>
          <w:tcPr>
            <w:tcW w:w="2381" w:type="dxa"/>
          </w:tcPr>
          <w:p w14:paraId="46EF75F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05-01-24</w:t>
            </w:r>
          </w:p>
        </w:tc>
      </w:tr>
    </w:tbl>
    <w:p w14:paraId="1FA4699D" w14:textId="77777777" w:rsidR="000729CF" w:rsidRPr="000729CF" w:rsidRDefault="000729CF" w:rsidP="000729CF">
      <w:pPr>
        <w:spacing w:after="160" w:line="259" w:lineRule="auto"/>
        <w:rPr>
          <w:rFonts w:ascii="Arial" w:eastAsia="Calibri" w:hAnsi="Arial" w:cs="Arial"/>
          <w:sz w:val="24"/>
          <w:szCs w:val="24"/>
          <w:lang w:val="en-GB"/>
        </w:rPr>
      </w:pPr>
    </w:p>
    <w:p w14:paraId="01747D09" w14:textId="77777777" w:rsidR="000729CF" w:rsidRPr="000729CF" w:rsidRDefault="000729CF" w:rsidP="000729CF">
      <w:pPr>
        <w:keepNext/>
        <w:keepLines/>
        <w:spacing w:before="40" w:after="160" w:line="259" w:lineRule="auto"/>
        <w:outlineLvl w:val="2"/>
        <w:rPr>
          <w:rFonts w:ascii="Arial" w:hAnsi="Arial" w:cs="Arial"/>
          <w:b/>
          <w:bCs/>
          <w:color w:val="000000"/>
          <w:sz w:val="28"/>
          <w:szCs w:val="28"/>
          <w:lang w:val="en-GB"/>
        </w:rPr>
      </w:pPr>
      <w:r w:rsidRPr="000729CF">
        <w:rPr>
          <w:rFonts w:ascii="Arial" w:hAnsi="Arial" w:cs="Arial"/>
          <w:b/>
          <w:bCs/>
          <w:color w:val="000000"/>
          <w:sz w:val="28"/>
          <w:szCs w:val="28"/>
          <w:lang w:val="en-GB"/>
        </w:rPr>
        <w:t>EDI Review and Approval:</w:t>
      </w:r>
    </w:p>
    <w:p w14:paraId="6CED834E" w14:textId="77777777" w:rsidR="000729CF" w:rsidRPr="000729CF" w:rsidRDefault="000729CF" w:rsidP="000729CF">
      <w:pPr>
        <w:spacing w:after="160" w:line="259" w:lineRule="auto"/>
        <w:rPr>
          <w:rFonts w:ascii="Arial" w:eastAsia="Calibri" w:hAnsi="Arial" w:cs="Arial"/>
          <w:sz w:val="24"/>
          <w:szCs w:val="24"/>
          <w:lang w:val="en-GB"/>
        </w:rPr>
      </w:pPr>
    </w:p>
    <w:p w14:paraId="6ED33AA6" w14:textId="77777777" w:rsidR="000729CF" w:rsidRPr="000729CF" w:rsidRDefault="000729CF" w:rsidP="000729CF">
      <w:pPr>
        <w:keepNext/>
        <w:keepLines/>
        <w:spacing w:after="160" w:line="259" w:lineRule="auto"/>
        <w:ind w:left="283" w:hanging="283"/>
        <w:outlineLvl w:val="1"/>
        <w:rPr>
          <w:rFonts w:ascii="Arial" w:hAnsi="Arial" w:cs="Arial"/>
          <w:color w:val="2F5496"/>
          <w:sz w:val="24"/>
          <w:szCs w:val="24"/>
          <w:lang w:val="en-GB"/>
        </w:rPr>
      </w:pPr>
      <w:r w:rsidRPr="000729CF">
        <w:rPr>
          <w:rFonts w:ascii="Arial" w:hAnsi="Arial" w:cs="Arial"/>
          <w:color w:val="2F5496"/>
          <w:sz w:val="24"/>
          <w:szCs w:val="24"/>
          <w:lang w:val="en-GB"/>
        </w:rPr>
        <w:t>Equality Impact Assessment sign-off</w:t>
      </w:r>
    </w:p>
    <w:tbl>
      <w:tblPr>
        <w:tblStyle w:val="TableGrid"/>
        <w:tblW w:w="0" w:type="auto"/>
        <w:tblLook w:val="04A0" w:firstRow="1" w:lastRow="0" w:firstColumn="1" w:lastColumn="0" w:noHBand="0" w:noVBand="1"/>
      </w:tblPr>
      <w:tblGrid>
        <w:gridCol w:w="3681"/>
        <w:gridCol w:w="4394"/>
        <w:gridCol w:w="2381"/>
      </w:tblGrid>
      <w:tr w:rsidR="000729CF" w:rsidRPr="000729CF" w14:paraId="3C448237" w14:textId="77777777" w:rsidTr="000729CF">
        <w:trPr>
          <w:trHeight w:val="20"/>
        </w:trPr>
        <w:tc>
          <w:tcPr>
            <w:tcW w:w="3681" w:type="dxa"/>
            <w:tcBorders>
              <w:bottom w:val="single" w:sz="4" w:space="0" w:color="auto"/>
            </w:tcBorders>
            <w:shd w:val="clear" w:color="auto" w:fill="D9D9D9"/>
          </w:tcPr>
          <w:p w14:paraId="387DECA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51ED010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w:t>
            </w:r>
          </w:p>
        </w:tc>
        <w:tc>
          <w:tcPr>
            <w:tcW w:w="2381" w:type="dxa"/>
            <w:shd w:val="clear" w:color="auto" w:fill="D9D9D9"/>
          </w:tcPr>
          <w:p w14:paraId="0C4E8B5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0969403A" w14:textId="77777777" w:rsidTr="000729CF">
        <w:trPr>
          <w:trHeight w:val="20"/>
        </w:trPr>
        <w:tc>
          <w:tcPr>
            <w:tcW w:w="3681" w:type="dxa"/>
            <w:shd w:val="clear" w:color="auto" w:fill="E7E6E6"/>
          </w:tcPr>
          <w:p w14:paraId="2B444A4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Head of Communities, Equality, and Third Sector (CETS) Service:</w:t>
            </w:r>
          </w:p>
        </w:tc>
        <w:tc>
          <w:tcPr>
            <w:tcW w:w="4394" w:type="dxa"/>
          </w:tcPr>
          <w:p w14:paraId="75E1640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Emma McDermott</w:t>
            </w:r>
          </w:p>
        </w:tc>
        <w:tc>
          <w:tcPr>
            <w:tcW w:w="2381" w:type="dxa"/>
          </w:tcPr>
          <w:p w14:paraId="62C70DC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18-01-24</w:t>
            </w:r>
          </w:p>
        </w:tc>
      </w:tr>
    </w:tbl>
    <w:p w14:paraId="25D1A0E0" w14:textId="77777777" w:rsidR="000729CF" w:rsidRPr="000729CF" w:rsidRDefault="000729CF" w:rsidP="000729CF">
      <w:pPr>
        <w:rPr>
          <w:rFonts w:ascii="Arial" w:eastAsia="Calibri" w:hAnsi="Arial" w:cs="Arial"/>
          <w:sz w:val="22"/>
          <w:szCs w:val="22"/>
          <w:lang w:val="en-GB"/>
        </w:rPr>
      </w:pPr>
    </w:p>
    <w:p w14:paraId="761586DD" w14:textId="77777777" w:rsidR="000729CF" w:rsidRPr="000729CF" w:rsidRDefault="000729CF" w:rsidP="000729CF">
      <w:pPr>
        <w:spacing w:after="160" w:line="259" w:lineRule="auto"/>
        <w:rPr>
          <w:rFonts w:ascii="Arial" w:eastAsia="Calibri" w:hAnsi="Arial" w:cs="Arial"/>
          <w:b/>
          <w:bCs/>
          <w:sz w:val="24"/>
          <w:szCs w:val="24"/>
          <w:lang w:val="en-GB"/>
        </w:rPr>
      </w:pPr>
    </w:p>
    <w:p w14:paraId="32E3D628" w14:textId="77777777" w:rsidR="000729CF" w:rsidRPr="000729CF" w:rsidRDefault="000729CF" w:rsidP="000729CF">
      <w:pPr>
        <w:keepNext/>
        <w:keepLines/>
        <w:spacing w:after="160" w:line="259" w:lineRule="auto"/>
        <w:outlineLvl w:val="1"/>
        <w:rPr>
          <w:rFonts w:ascii="Arial" w:eastAsia="Calibri" w:hAnsi="Arial" w:cs="Arial"/>
          <w:sz w:val="24"/>
          <w:szCs w:val="24"/>
          <w:lang w:val="en-GB"/>
        </w:rPr>
      </w:pPr>
    </w:p>
    <w:p w14:paraId="699B7866" w14:textId="77777777" w:rsidR="000729CF" w:rsidRPr="000729CF" w:rsidRDefault="000729CF" w:rsidP="000729CF">
      <w:pPr>
        <w:spacing w:after="160" w:line="259" w:lineRule="auto"/>
        <w:rPr>
          <w:rFonts w:ascii="Arial" w:eastAsia="Calibri" w:hAnsi="Arial" w:cs="Arial"/>
          <w:sz w:val="24"/>
          <w:szCs w:val="24"/>
          <w:lang w:val="en-GB"/>
        </w:rPr>
      </w:pPr>
    </w:p>
    <w:p w14:paraId="0C66BFEB"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br w:type="page"/>
      </w:r>
    </w:p>
    <w:p w14:paraId="5CDD4C32" w14:textId="77777777" w:rsidR="000729CF" w:rsidRPr="000729CF" w:rsidRDefault="000729CF" w:rsidP="000729CF">
      <w:pPr>
        <w:keepNext/>
        <w:keepLines/>
        <w:spacing w:after="160" w:line="259" w:lineRule="auto"/>
        <w:outlineLvl w:val="0"/>
        <w:rPr>
          <w:rFonts w:ascii="Arial" w:hAnsi="Arial" w:cs="Arial"/>
          <w:b/>
          <w:bCs/>
          <w:color w:val="2F5496"/>
          <w:sz w:val="28"/>
          <w:szCs w:val="28"/>
          <w:lang w:val="en-GB"/>
        </w:rPr>
      </w:pPr>
      <w:r w:rsidRPr="000729CF">
        <w:rPr>
          <w:rFonts w:ascii="Arial" w:hAnsi="Arial" w:cs="Arial"/>
          <w:b/>
          <w:bCs/>
          <w:color w:val="2F5496"/>
          <w:sz w:val="28"/>
          <w:szCs w:val="28"/>
          <w:lang w:val="en-GB"/>
        </w:rPr>
        <w:t>Budget Equality Impact Assessment (EIA) 2024/25 – Service Users</w:t>
      </w:r>
    </w:p>
    <w:p w14:paraId="30C1125A" w14:textId="77777777" w:rsidR="000729CF" w:rsidRPr="000729CF" w:rsidRDefault="000729CF" w:rsidP="000729CF">
      <w:pPr>
        <w:spacing w:after="160" w:line="259" w:lineRule="auto"/>
        <w:rPr>
          <w:rFonts w:ascii="Arial" w:eastAsia="Calibri" w:hAnsi="Arial" w:cs="Arial"/>
          <w:sz w:val="24"/>
          <w:szCs w:val="24"/>
          <w:lang w:val="en-GB"/>
        </w:rPr>
      </w:pPr>
    </w:p>
    <w:p w14:paraId="79E9C7A8" w14:textId="77777777" w:rsidR="000729CF" w:rsidRPr="000729CF" w:rsidRDefault="000729CF" w:rsidP="000729CF">
      <w:pPr>
        <w:keepNext/>
        <w:keepLines/>
        <w:spacing w:after="160" w:line="259" w:lineRule="auto"/>
        <w:ind w:left="720" w:hanging="360"/>
        <w:outlineLvl w:val="1"/>
        <w:rPr>
          <w:rFonts w:ascii="Arial" w:hAnsi="Arial" w:cs="Arial"/>
          <w:color w:val="2F5496"/>
          <w:sz w:val="24"/>
          <w:szCs w:val="24"/>
          <w:lang w:val="en-GB"/>
        </w:rPr>
      </w:pPr>
      <w:r w:rsidRPr="000729CF">
        <w:rPr>
          <w:rFonts w:ascii="Arial" w:hAnsi="Arial" w:cs="Arial"/>
          <w:color w:val="2F5496"/>
          <w:sz w:val="24"/>
          <w:szCs w:val="24"/>
          <w:lang w:val="en-GB"/>
        </w:rPr>
        <w:t xml:space="preserve">Budget Proposal </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6492"/>
      </w:tblGrid>
      <w:tr w:rsidR="000729CF" w:rsidRPr="000729CF" w14:paraId="252262B3"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189D6461"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Title of budget saving being assessed:</w:t>
            </w:r>
          </w:p>
        </w:tc>
        <w:tc>
          <w:tcPr>
            <w:tcW w:w="6492" w:type="dxa"/>
            <w:shd w:val="clear" w:color="auto" w:fill="auto"/>
          </w:tcPr>
          <w:p w14:paraId="6920A9E3" w14:textId="77777777" w:rsidR="000729CF" w:rsidRPr="000729CF" w:rsidRDefault="000729CF" w:rsidP="000729CF">
            <w:pPr>
              <w:spacing w:after="12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Transfer of Bowling Greens to clubs (or closure) to save maintenance costs</w:t>
            </w:r>
          </w:p>
        </w:tc>
      </w:tr>
      <w:tr w:rsidR="000729CF" w:rsidRPr="000729CF" w14:paraId="5B9EC115"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333142D2"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Name and title of officer responsible for this EIA: </w:t>
            </w:r>
          </w:p>
        </w:tc>
        <w:tc>
          <w:tcPr>
            <w:tcW w:w="6492" w:type="dxa"/>
            <w:shd w:val="clear" w:color="auto" w:fill="auto"/>
          </w:tcPr>
          <w:p w14:paraId="03DD4B4F"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729CF">
              <w:rPr>
                <w:rFonts w:ascii="Arial" w:hAnsi="Arial" w:cs="Arial"/>
                <w:sz w:val="24"/>
                <w:szCs w:val="24"/>
              </w:rPr>
              <w:t>Robert Walker, Head of City Parks</w:t>
            </w:r>
          </w:p>
        </w:tc>
      </w:tr>
      <w:tr w:rsidR="000729CF" w:rsidRPr="000729CF" w14:paraId="35577BA8" w14:textId="77777777" w:rsidTr="000729CF">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746222FC"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Directorate and Service Name: </w:t>
            </w:r>
          </w:p>
        </w:tc>
        <w:tc>
          <w:tcPr>
            <w:tcW w:w="6492" w:type="dxa"/>
            <w:shd w:val="clear" w:color="auto" w:fill="auto"/>
          </w:tcPr>
          <w:p w14:paraId="73E50E03" w14:textId="77777777" w:rsidR="000729CF" w:rsidRPr="000729CF" w:rsidRDefault="000729CF" w:rsidP="000729CF">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Economy, Environment &amp; Culture, City Parks</w:t>
            </w:r>
          </w:p>
        </w:tc>
      </w:tr>
      <w:tr w:rsidR="000729CF" w:rsidRPr="000729CF" w14:paraId="06FBE70E"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782FAB87"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Budget proposal no.</w:t>
            </w:r>
          </w:p>
        </w:tc>
        <w:tc>
          <w:tcPr>
            <w:tcW w:w="6492" w:type="dxa"/>
            <w:shd w:val="clear" w:color="auto" w:fill="auto"/>
          </w:tcPr>
          <w:p w14:paraId="57D44F88"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i/>
                <w:iCs/>
                <w:sz w:val="24"/>
                <w:szCs w:val="24"/>
              </w:rPr>
            </w:pPr>
            <w:r w:rsidRPr="000729CF">
              <w:rPr>
                <w:rFonts w:ascii="Arial" w:hAnsi="Arial" w:cs="Arial"/>
                <w:i/>
                <w:iCs/>
                <w:sz w:val="24"/>
                <w:szCs w:val="24"/>
              </w:rPr>
              <w:t>18</w:t>
            </w:r>
          </w:p>
        </w:tc>
      </w:tr>
    </w:tbl>
    <w:p w14:paraId="08DBC4FA" w14:textId="77777777" w:rsidR="000729CF" w:rsidRPr="000729CF" w:rsidRDefault="000729CF" w:rsidP="000729CF">
      <w:pPr>
        <w:spacing w:after="160" w:line="259" w:lineRule="auto"/>
        <w:rPr>
          <w:rFonts w:ascii="Arial" w:eastAsia="Calibri" w:hAnsi="Arial" w:cs="Arial"/>
          <w:sz w:val="24"/>
          <w:szCs w:val="24"/>
          <w:lang w:val="en-GB"/>
        </w:rPr>
      </w:pPr>
    </w:p>
    <w:p w14:paraId="722069D5"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Briefly describe the budget saving proposal: (use the wording in the budget spreadsheet and more detail if needed)</w:t>
      </w:r>
    </w:p>
    <w:tbl>
      <w:tblPr>
        <w:tblStyle w:val="TableGrid"/>
        <w:tblW w:w="0" w:type="auto"/>
        <w:tblLook w:val="04A0" w:firstRow="1" w:lastRow="0" w:firstColumn="1" w:lastColumn="0" w:noHBand="0" w:noVBand="1"/>
      </w:tblPr>
      <w:tblGrid>
        <w:gridCol w:w="10456"/>
      </w:tblGrid>
      <w:tr w:rsidR="000729CF" w:rsidRPr="000729CF" w14:paraId="1F06B250" w14:textId="77777777" w:rsidTr="00BC26AB">
        <w:trPr>
          <w:trHeight w:val="851"/>
        </w:trPr>
        <w:tc>
          <w:tcPr>
            <w:tcW w:w="10456" w:type="dxa"/>
            <w:tcBorders>
              <w:bottom w:val="single" w:sz="4" w:space="0" w:color="auto"/>
            </w:tcBorders>
          </w:tcPr>
          <w:p w14:paraId="6089075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The proposal is to transfer the management of council-run bowling greens to bowls clubs or close the greens to save on the cost of maintenance. </w:t>
            </w:r>
          </w:p>
          <w:p w14:paraId="03EC65B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council manages nine bowling greens across the city. The clubs have between 31 and 75 season ticket holders (an average of 46 per club) and an overall total of more than 410 members. Bowlers can also pay an hourly rate or by session to play casually and this includes a concessionary price for over 65s.</w:t>
            </w:r>
          </w:p>
        </w:tc>
      </w:tr>
      <w:tr w:rsidR="000729CF" w:rsidRPr="000729CF" w14:paraId="35919574" w14:textId="77777777" w:rsidTr="00BC26AB">
        <w:trPr>
          <w:trHeight w:val="851"/>
        </w:trPr>
        <w:tc>
          <w:tcPr>
            <w:tcW w:w="10456" w:type="dxa"/>
            <w:tcBorders>
              <w:left w:val="nil"/>
              <w:right w:val="nil"/>
            </w:tcBorders>
          </w:tcPr>
          <w:p w14:paraId="5EF36D92" w14:textId="77777777" w:rsidR="000729CF" w:rsidRPr="000729CF" w:rsidRDefault="000729CF" w:rsidP="000729CF">
            <w:pPr>
              <w:spacing w:after="120"/>
              <w:rPr>
                <w:rFonts w:ascii="Arial" w:eastAsia="Calibri" w:hAnsi="Arial" w:cs="Arial"/>
                <w:sz w:val="24"/>
                <w:szCs w:val="24"/>
              </w:rPr>
            </w:pPr>
          </w:p>
          <w:p w14:paraId="3BBF50F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Summarise the most significant impacts identified by this assessment including which groups will be disproportionally negatively affected drawing out intersectional impacts as applicable:</w:t>
            </w:r>
          </w:p>
        </w:tc>
      </w:tr>
      <w:tr w:rsidR="000729CF" w:rsidRPr="000729CF" w14:paraId="646680FF" w14:textId="77777777" w:rsidTr="00BC26AB">
        <w:trPr>
          <w:trHeight w:val="851"/>
        </w:trPr>
        <w:tc>
          <w:tcPr>
            <w:tcW w:w="10456" w:type="dxa"/>
          </w:tcPr>
          <w:p w14:paraId="2D1F63C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The most significant impacts are likely to be on older and disabled people. The main group of people affected will be the existing 410+ club members. </w:t>
            </w:r>
          </w:p>
          <w:p w14:paraId="28446F1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If the management of a bowling green is not transferred as a community asset, bowls club members may be able to join another self-managed club, or one of the other private clubs in the city.</w:t>
            </w:r>
          </w:p>
        </w:tc>
      </w:tr>
    </w:tbl>
    <w:p w14:paraId="4B6FA6F4" w14:textId="77777777" w:rsidR="000729CF" w:rsidRPr="000729CF" w:rsidRDefault="000729CF" w:rsidP="000729CF">
      <w:pPr>
        <w:rPr>
          <w:rFonts w:ascii="Arial" w:eastAsia="Calibri" w:hAnsi="Arial" w:cs="Arial"/>
          <w:sz w:val="24"/>
          <w:szCs w:val="24"/>
          <w:lang w:val="en-GB"/>
        </w:rPr>
      </w:pPr>
    </w:p>
    <w:p w14:paraId="1564C333" w14:textId="77777777" w:rsidR="000729CF" w:rsidRPr="000729CF" w:rsidRDefault="000729CF" w:rsidP="000729CF">
      <w:pPr>
        <w:spacing w:after="160" w:line="259" w:lineRule="auto"/>
        <w:rPr>
          <w:rFonts w:ascii="Arial" w:eastAsia="Calibri" w:hAnsi="Arial" w:cs="Arial"/>
          <w:sz w:val="24"/>
          <w:szCs w:val="24"/>
          <w:lang w:val="en-GB"/>
        </w:rPr>
      </w:pPr>
    </w:p>
    <w:p w14:paraId="55A125DC"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Consultation, engagement and supporting EIAs</w:t>
      </w:r>
    </w:p>
    <w:p w14:paraId="22365AD1"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consultations or engagement activities are being used to inform this assessment? </w:t>
      </w:r>
    </w:p>
    <w:p w14:paraId="1A46BB00"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If consultation is planned or in process – state this and state when it will done/completed even if indicative. If no consultation completed or planned, state this, giving an explanation. </w:t>
      </w:r>
    </w:p>
    <w:tbl>
      <w:tblPr>
        <w:tblStyle w:val="TableGrid"/>
        <w:tblW w:w="0" w:type="auto"/>
        <w:tblLook w:val="04A0" w:firstRow="1" w:lastRow="0" w:firstColumn="1" w:lastColumn="0" w:noHBand="0" w:noVBand="1"/>
      </w:tblPr>
      <w:tblGrid>
        <w:gridCol w:w="10456"/>
      </w:tblGrid>
      <w:tr w:rsidR="000729CF" w:rsidRPr="000729CF" w14:paraId="32CE727F" w14:textId="77777777" w:rsidTr="00BC26AB">
        <w:trPr>
          <w:trHeight w:val="871"/>
        </w:trPr>
        <w:tc>
          <w:tcPr>
            <w:tcW w:w="10456" w:type="dxa"/>
          </w:tcPr>
          <w:p w14:paraId="2680B5E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Consultation with bowls clubs and members will take place whilst exploring options to transfer council-managed greens as community assets.</w:t>
            </w:r>
          </w:p>
        </w:tc>
      </w:tr>
    </w:tbl>
    <w:p w14:paraId="350B5258" w14:textId="77777777" w:rsidR="000729CF" w:rsidRPr="000729CF" w:rsidRDefault="000729CF" w:rsidP="000729CF">
      <w:pPr>
        <w:spacing w:after="160" w:line="259" w:lineRule="auto"/>
        <w:rPr>
          <w:rFonts w:ascii="Arial" w:eastAsia="Calibri" w:hAnsi="Arial" w:cs="Arial"/>
          <w:sz w:val="24"/>
          <w:szCs w:val="24"/>
          <w:lang w:val="en-GB"/>
        </w:rPr>
      </w:pPr>
    </w:p>
    <w:p w14:paraId="0E62DC81"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other budget or service EIAs can assist/have been used to inform this assessment?</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0729CF" w:rsidRPr="000729CF" w14:paraId="2225A8B8"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shd w:val="clear" w:color="auto" w:fill="FFFFFF"/>
          </w:tcPr>
          <w:p w14:paraId="01B1EEE0"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N/A</w:t>
            </w:r>
          </w:p>
        </w:tc>
      </w:tr>
    </w:tbl>
    <w:p w14:paraId="19C66E2B" w14:textId="77777777" w:rsidR="000729CF" w:rsidRPr="000729CF" w:rsidRDefault="000729CF" w:rsidP="000729CF">
      <w:pPr>
        <w:spacing w:after="160" w:line="259" w:lineRule="auto"/>
        <w:rPr>
          <w:rFonts w:ascii="Arial" w:eastAsia="Calibri" w:hAnsi="Arial" w:cs="Arial"/>
          <w:sz w:val="24"/>
          <w:szCs w:val="24"/>
          <w:lang w:val="en-GB"/>
        </w:rPr>
      </w:pPr>
    </w:p>
    <w:p w14:paraId="6C7D317F"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Current data and impact monitoring</w:t>
      </w:r>
    </w:p>
    <w:p w14:paraId="19E0D917"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Do you currently collect and analyse the following data to enable monitoring of the impact of this proposal? </w:t>
      </w:r>
    </w:p>
    <w:p w14:paraId="61F4F5E2"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Consider all possible intersections (Delete and State Yes, No, Not Applicable)</w:t>
      </w:r>
    </w:p>
    <w:tbl>
      <w:tblPr>
        <w:tblStyle w:val="TableGrid"/>
        <w:tblW w:w="10485" w:type="dxa"/>
        <w:tblLook w:val="04A0" w:firstRow="1" w:lastRow="0" w:firstColumn="1" w:lastColumn="0" w:noHBand="0" w:noVBand="1"/>
      </w:tblPr>
      <w:tblGrid>
        <w:gridCol w:w="6658"/>
        <w:gridCol w:w="3827"/>
      </w:tblGrid>
      <w:tr w:rsidR="000729CF" w:rsidRPr="000729CF" w14:paraId="03CEDC62" w14:textId="77777777" w:rsidTr="000729CF">
        <w:trPr>
          <w:trHeight w:val="310"/>
        </w:trPr>
        <w:tc>
          <w:tcPr>
            <w:tcW w:w="6658" w:type="dxa"/>
            <w:shd w:val="clear" w:color="auto" w:fill="E7E6E6"/>
          </w:tcPr>
          <w:p w14:paraId="0D89D79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Age</w:t>
            </w:r>
          </w:p>
        </w:tc>
        <w:tc>
          <w:tcPr>
            <w:tcW w:w="3827" w:type="dxa"/>
          </w:tcPr>
          <w:p w14:paraId="7C20725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7668E0A1" w14:textId="77777777" w:rsidTr="000729CF">
        <w:trPr>
          <w:trHeight w:val="20"/>
        </w:trPr>
        <w:tc>
          <w:tcPr>
            <w:tcW w:w="6658" w:type="dxa"/>
            <w:shd w:val="clear" w:color="auto" w:fill="E7E6E6"/>
          </w:tcPr>
          <w:p w14:paraId="31E9436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Disability and inclusive adjustments, coverage under equality act and not</w:t>
            </w:r>
          </w:p>
        </w:tc>
        <w:tc>
          <w:tcPr>
            <w:tcW w:w="3827" w:type="dxa"/>
          </w:tcPr>
          <w:p w14:paraId="5CCB181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1DB4151E" w14:textId="77777777" w:rsidTr="000729CF">
        <w:trPr>
          <w:trHeight w:val="20"/>
        </w:trPr>
        <w:tc>
          <w:tcPr>
            <w:tcW w:w="6658" w:type="dxa"/>
            <w:shd w:val="clear" w:color="auto" w:fill="E7E6E6"/>
          </w:tcPr>
          <w:p w14:paraId="307E875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Ethnicity, ‘Race’, ethnic heritage (including Gypsy, Roma, Travellers)</w:t>
            </w:r>
          </w:p>
        </w:tc>
        <w:tc>
          <w:tcPr>
            <w:tcW w:w="3827" w:type="dxa"/>
          </w:tcPr>
          <w:p w14:paraId="011BAC7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3F8F93B1" w14:textId="77777777" w:rsidTr="000729CF">
        <w:trPr>
          <w:trHeight w:val="20"/>
        </w:trPr>
        <w:tc>
          <w:tcPr>
            <w:tcW w:w="6658" w:type="dxa"/>
            <w:shd w:val="clear" w:color="auto" w:fill="E7E6E6"/>
          </w:tcPr>
          <w:p w14:paraId="209AE91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Religion, Belief, Spirituality, Faith, or Atheism</w:t>
            </w:r>
          </w:p>
        </w:tc>
        <w:tc>
          <w:tcPr>
            <w:tcW w:w="3827" w:type="dxa"/>
          </w:tcPr>
          <w:p w14:paraId="71ED818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6DDEB1B9" w14:textId="77777777" w:rsidTr="000729CF">
        <w:trPr>
          <w:trHeight w:val="20"/>
        </w:trPr>
        <w:tc>
          <w:tcPr>
            <w:tcW w:w="6658" w:type="dxa"/>
            <w:shd w:val="clear" w:color="auto" w:fill="E7E6E6"/>
          </w:tcPr>
          <w:p w14:paraId="0221B59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Identity and Sex (including non-binary and Intersex people)</w:t>
            </w:r>
          </w:p>
        </w:tc>
        <w:tc>
          <w:tcPr>
            <w:tcW w:w="3827" w:type="dxa"/>
          </w:tcPr>
          <w:p w14:paraId="6240E00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34527588" w14:textId="77777777" w:rsidTr="000729CF">
        <w:trPr>
          <w:trHeight w:val="20"/>
        </w:trPr>
        <w:tc>
          <w:tcPr>
            <w:tcW w:w="6658" w:type="dxa"/>
            <w:shd w:val="clear" w:color="auto" w:fill="E7E6E6"/>
          </w:tcPr>
          <w:p w14:paraId="135506D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3827" w:type="dxa"/>
          </w:tcPr>
          <w:p w14:paraId="3FF4FB1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712C6904" w14:textId="77777777" w:rsidTr="000729CF">
        <w:trPr>
          <w:trHeight w:val="20"/>
        </w:trPr>
        <w:tc>
          <w:tcPr>
            <w:tcW w:w="6658" w:type="dxa"/>
            <w:shd w:val="clear" w:color="auto" w:fill="E7E6E6"/>
          </w:tcPr>
          <w:p w14:paraId="5A73AEC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3827" w:type="dxa"/>
          </w:tcPr>
          <w:p w14:paraId="230425D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22AA742C" w14:textId="77777777" w:rsidTr="000729CF">
        <w:trPr>
          <w:trHeight w:val="20"/>
        </w:trPr>
        <w:tc>
          <w:tcPr>
            <w:tcW w:w="6658" w:type="dxa"/>
            <w:shd w:val="clear" w:color="auto" w:fill="E7E6E6"/>
          </w:tcPr>
          <w:p w14:paraId="4FC5BC5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3827" w:type="dxa"/>
          </w:tcPr>
          <w:p w14:paraId="6FD6E8B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45CB9038" w14:textId="77777777" w:rsidTr="000729CF">
        <w:trPr>
          <w:trHeight w:val="20"/>
        </w:trPr>
        <w:tc>
          <w:tcPr>
            <w:tcW w:w="6658" w:type="dxa"/>
            <w:shd w:val="clear" w:color="auto" w:fill="E7E6E6"/>
          </w:tcPr>
          <w:p w14:paraId="00377EC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Pregnant people, Maternity, Paternity, Adoption, Menopause, (In)fertility (across the gender spectrum)</w:t>
            </w:r>
          </w:p>
        </w:tc>
        <w:tc>
          <w:tcPr>
            <w:tcW w:w="3827" w:type="dxa"/>
          </w:tcPr>
          <w:p w14:paraId="6C06392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534FF30F" w14:textId="77777777" w:rsidTr="000729CF">
        <w:trPr>
          <w:trHeight w:val="20"/>
        </w:trPr>
        <w:tc>
          <w:tcPr>
            <w:tcW w:w="6658" w:type="dxa"/>
            <w:shd w:val="clear" w:color="auto" w:fill="E7E6E6"/>
          </w:tcPr>
          <w:p w14:paraId="2D6890B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3827" w:type="dxa"/>
          </w:tcPr>
          <w:p w14:paraId="1F852E5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6018FD55" w14:textId="77777777" w:rsidTr="000729CF">
        <w:trPr>
          <w:trHeight w:val="20"/>
        </w:trPr>
        <w:tc>
          <w:tcPr>
            <w:tcW w:w="6658" w:type="dxa"/>
            <w:shd w:val="clear" w:color="auto" w:fill="E7E6E6"/>
          </w:tcPr>
          <w:p w14:paraId="3D2C616A" w14:textId="77777777" w:rsidR="000729CF" w:rsidRPr="000729CF" w:rsidRDefault="000729CF" w:rsidP="000729CF">
            <w:pPr>
              <w:spacing w:after="120"/>
              <w:rPr>
                <w:rFonts w:ascii="Arial" w:hAnsi="Arial" w:cs="Arial"/>
                <w:b/>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p>
        </w:tc>
        <w:tc>
          <w:tcPr>
            <w:tcW w:w="3827" w:type="dxa"/>
          </w:tcPr>
          <w:p w14:paraId="6AA1E69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10715D1D" w14:textId="77777777" w:rsidTr="000729CF">
        <w:trPr>
          <w:trHeight w:val="20"/>
        </w:trPr>
        <w:tc>
          <w:tcPr>
            <w:tcW w:w="6658" w:type="dxa"/>
            <w:shd w:val="clear" w:color="auto" w:fill="E7E6E6"/>
          </w:tcPr>
          <w:p w14:paraId="39BBA016" w14:textId="77777777" w:rsidR="000729CF" w:rsidRPr="000729CF" w:rsidRDefault="000729CF" w:rsidP="000729CF">
            <w:pPr>
              <w:spacing w:after="120"/>
              <w:rPr>
                <w:rFonts w:ascii="Arial" w:hAnsi="Arial" w:cs="Arial"/>
                <w:b/>
                <w:sz w:val="24"/>
                <w:szCs w:val="24"/>
              </w:rPr>
            </w:pPr>
            <w:r w:rsidRPr="000729CF">
              <w:rPr>
                <w:rFonts w:ascii="Arial" w:eastAsia="Calibri" w:hAnsi="Arial" w:cs="Arial"/>
                <w:b/>
                <w:bCs/>
                <w:color w:val="000000"/>
                <w:sz w:val="24"/>
                <w:szCs w:val="24"/>
              </w:rPr>
              <w:t>Carers</w:t>
            </w:r>
          </w:p>
        </w:tc>
        <w:tc>
          <w:tcPr>
            <w:tcW w:w="3827" w:type="dxa"/>
          </w:tcPr>
          <w:p w14:paraId="6DF94FA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23A3A3D3" w14:textId="77777777" w:rsidTr="000729CF">
        <w:trPr>
          <w:trHeight w:val="20"/>
        </w:trPr>
        <w:tc>
          <w:tcPr>
            <w:tcW w:w="6658" w:type="dxa"/>
            <w:shd w:val="clear" w:color="auto" w:fill="E7E6E6"/>
          </w:tcPr>
          <w:p w14:paraId="680DD1DD"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Looked after children, Care Leavers, Care and fostering experienced people</w:t>
            </w:r>
          </w:p>
        </w:tc>
        <w:tc>
          <w:tcPr>
            <w:tcW w:w="3827" w:type="dxa"/>
          </w:tcPr>
          <w:p w14:paraId="7538EB3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7321CC99" w14:textId="77777777" w:rsidTr="000729CF">
        <w:trPr>
          <w:trHeight w:val="20"/>
        </w:trPr>
        <w:tc>
          <w:tcPr>
            <w:tcW w:w="6658" w:type="dxa"/>
            <w:shd w:val="clear" w:color="auto" w:fill="E7E6E6"/>
          </w:tcPr>
          <w:p w14:paraId="57D0943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 and   people in vulnerable situations (All aspects and intersections)</w:t>
            </w:r>
          </w:p>
        </w:tc>
        <w:tc>
          <w:tcPr>
            <w:tcW w:w="3827" w:type="dxa"/>
          </w:tcPr>
          <w:p w14:paraId="77D2F58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2CF51C8C" w14:textId="77777777" w:rsidTr="000729CF">
        <w:trPr>
          <w:trHeight w:val="20"/>
        </w:trPr>
        <w:tc>
          <w:tcPr>
            <w:tcW w:w="6658" w:type="dxa"/>
            <w:shd w:val="clear" w:color="auto" w:fill="E7E6E6"/>
          </w:tcPr>
          <w:p w14:paraId="72B30F5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Socio-economic Disadvantage</w:t>
            </w:r>
          </w:p>
        </w:tc>
        <w:tc>
          <w:tcPr>
            <w:tcW w:w="3827" w:type="dxa"/>
          </w:tcPr>
          <w:p w14:paraId="5A5FEC3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2F661EBD" w14:textId="77777777" w:rsidTr="000729CF">
        <w:trPr>
          <w:trHeight w:val="20"/>
        </w:trPr>
        <w:tc>
          <w:tcPr>
            <w:tcW w:w="6658" w:type="dxa"/>
            <w:shd w:val="clear" w:color="auto" w:fill="E7E6E6"/>
          </w:tcPr>
          <w:p w14:paraId="5254ED4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Homelessness and associated risk and vulnerability</w:t>
            </w:r>
          </w:p>
        </w:tc>
        <w:tc>
          <w:tcPr>
            <w:tcW w:w="3827" w:type="dxa"/>
          </w:tcPr>
          <w:p w14:paraId="1F20263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2FC55DF4" w14:textId="77777777" w:rsidTr="000729CF">
        <w:trPr>
          <w:trHeight w:val="20"/>
        </w:trPr>
        <w:tc>
          <w:tcPr>
            <w:tcW w:w="6658" w:type="dxa"/>
            <w:shd w:val="clear" w:color="auto" w:fill="E7E6E6"/>
          </w:tcPr>
          <w:p w14:paraId="7BB5F29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3827" w:type="dxa"/>
          </w:tcPr>
          <w:p w14:paraId="0E28014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3355BF5D" w14:textId="77777777" w:rsidTr="000729CF">
        <w:trPr>
          <w:trHeight w:val="20"/>
        </w:trPr>
        <w:tc>
          <w:tcPr>
            <w:tcW w:w="6658" w:type="dxa"/>
            <w:shd w:val="clear" w:color="auto" w:fill="E7E6E6"/>
          </w:tcPr>
          <w:p w14:paraId="41B221B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 (please specify here and add additional rows as needed)</w:t>
            </w:r>
          </w:p>
        </w:tc>
        <w:tc>
          <w:tcPr>
            <w:tcW w:w="3827" w:type="dxa"/>
          </w:tcPr>
          <w:p w14:paraId="69C4860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r>
    </w:tbl>
    <w:p w14:paraId="7B9B14F2" w14:textId="77777777" w:rsidR="000729CF" w:rsidRPr="000729CF" w:rsidRDefault="000729CF" w:rsidP="000729CF">
      <w:pPr>
        <w:rPr>
          <w:rFonts w:ascii="Arial" w:eastAsia="Calibri" w:hAnsi="Arial" w:cs="Arial"/>
          <w:sz w:val="24"/>
          <w:szCs w:val="24"/>
          <w:lang w:val="en-GB"/>
        </w:rPr>
      </w:pPr>
    </w:p>
    <w:p w14:paraId="077F70AB"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3F120133"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30C4DA65"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0AFB1881"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5DE7CF19"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2100E1CD"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39E348A5"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5F66AD3E"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0111126C"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06FC661F"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1BE65F2C" w14:textId="77777777" w:rsidR="000729CF" w:rsidRPr="000729CF" w:rsidRDefault="000729CF" w:rsidP="000729CF">
      <w:pPr>
        <w:rPr>
          <w:rFonts w:ascii="Arial" w:eastAsia="Calibri" w:hAnsi="Arial" w:cs="Arial"/>
          <w:sz w:val="24"/>
          <w:szCs w:val="24"/>
          <w:lang w:val="en-GB"/>
        </w:rPr>
      </w:pPr>
    </w:p>
    <w:p w14:paraId="6FDDEAE5"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If you answered “NO” to any of the above, how will you gather this data to enable improved monitoring of impact for this proposal?</w:t>
      </w:r>
    </w:p>
    <w:tbl>
      <w:tblPr>
        <w:tblStyle w:val="TableGrid"/>
        <w:tblW w:w="0" w:type="auto"/>
        <w:tblLook w:val="04A0" w:firstRow="1" w:lastRow="0" w:firstColumn="1" w:lastColumn="0" w:noHBand="0" w:noVBand="1"/>
      </w:tblPr>
      <w:tblGrid>
        <w:gridCol w:w="10456"/>
      </w:tblGrid>
      <w:tr w:rsidR="000729CF" w:rsidRPr="000729CF" w14:paraId="56CDD083" w14:textId="77777777" w:rsidTr="00BC26AB">
        <w:trPr>
          <w:trHeight w:val="757"/>
        </w:trPr>
        <w:tc>
          <w:tcPr>
            <w:tcW w:w="10456" w:type="dxa"/>
          </w:tcPr>
          <w:p w14:paraId="2F89357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equality data is collected on season ticket holders and the sale of concession tickets to non-members / casual players is managed directly by bowls clubs, so is not able to be monitored. </w:t>
            </w:r>
          </w:p>
          <w:p w14:paraId="3DD4BF11" w14:textId="77777777" w:rsidR="000729CF" w:rsidRPr="000729CF" w:rsidRDefault="000729CF" w:rsidP="000729CF">
            <w:pPr>
              <w:spacing w:after="120"/>
              <w:rPr>
                <w:rFonts w:ascii="Arial" w:eastAsia="Calibri" w:hAnsi="Arial" w:cs="Arial"/>
                <w:sz w:val="24"/>
                <w:szCs w:val="24"/>
              </w:rPr>
            </w:pPr>
          </w:p>
          <w:p w14:paraId="25B2C8C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There is no plan to introduce equality monitoring as the bowling greens will no longer be in the management of the city council once the budget proposal is implemented. </w:t>
            </w:r>
          </w:p>
        </w:tc>
      </w:tr>
    </w:tbl>
    <w:p w14:paraId="30C51758" w14:textId="77777777" w:rsidR="000729CF" w:rsidRPr="000729CF" w:rsidRDefault="000729CF" w:rsidP="000729CF">
      <w:pPr>
        <w:rPr>
          <w:rFonts w:ascii="Arial" w:eastAsia="Calibri" w:hAnsi="Arial" w:cs="Arial"/>
          <w:sz w:val="24"/>
          <w:szCs w:val="24"/>
          <w:lang w:val="en-GB"/>
        </w:rPr>
      </w:pPr>
    </w:p>
    <w:p w14:paraId="141D5813" w14:textId="77777777" w:rsidR="000729CF" w:rsidRPr="000729CF" w:rsidRDefault="000729CF" w:rsidP="000729CF">
      <w:pPr>
        <w:rPr>
          <w:rFonts w:ascii="Arial" w:eastAsia="Calibri" w:hAnsi="Arial" w:cs="Arial"/>
          <w:sz w:val="24"/>
          <w:szCs w:val="24"/>
          <w:lang w:val="en-GB"/>
        </w:rPr>
      </w:pPr>
    </w:p>
    <w:p w14:paraId="44C880DB"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are the arrangements for monitoring, and reviewing the impact of this proposal?</w:t>
      </w:r>
    </w:p>
    <w:tbl>
      <w:tblPr>
        <w:tblStyle w:val="TableGrid"/>
        <w:tblW w:w="0" w:type="auto"/>
        <w:tblLook w:val="04A0" w:firstRow="1" w:lastRow="0" w:firstColumn="1" w:lastColumn="0" w:noHBand="0" w:noVBand="1"/>
      </w:tblPr>
      <w:tblGrid>
        <w:gridCol w:w="10456"/>
      </w:tblGrid>
      <w:tr w:rsidR="000729CF" w:rsidRPr="000729CF" w14:paraId="4B71A92C" w14:textId="77777777" w:rsidTr="00BC26AB">
        <w:trPr>
          <w:trHeight w:val="757"/>
        </w:trPr>
        <w:tc>
          <w:tcPr>
            <w:tcW w:w="10456" w:type="dxa"/>
          </w:tcPr>
          <w:p w14:paraId="5B0434F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Feedback from bowls clubs and customer enquiries/complaints.</w:t>
            </w:r>
          </w:p>
        </w:tc>
      </w:tr>
    </w:tbl>
    <w:p w14:paraId="6273DFF6" w14:textId="77777777" w:rsidR="000729CF" w:rsidRPr="000729CF" w:rsidRDefault="000729CF" w:rsidP="000729CF">
      <w:pPr>
        <w:rPr>
          <w:rFonts w:ascii="Arial" w:eastAsia="Calibri" w:hAnsi="Arial" w:cs="Arial"/>
          <w:sz w:val="24"/>
          <w:szCs w:val="24"/>
          <w:lang w:val="en-GB"/>
        </w:rPr>
      </w:pPr>
    </w:p>
    <w:p w14:paraId="1263DE8D" w14:textId="77777777" w:rsidR="000729CF" w:rsidRPr="000729CF" w:rsidRDefault="000729CF" w:rsidP="000729CF">
      <w:pPr>
        <w:rPr>
          <w:rFonts w:ascii="Arial" w:eastAsia="Calibri" w:hAnsi="Arial" w:cs="Arial"/>
          <w:sz w:val="24"/>
          <w:szCs w:val="24"/>
          <w:lang w:val="en-GB"/>
        </w:rPr>
      </w:pPr>
    </w:p>
    <w:p w14:paraId="1C5D7635"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Impacts</w:t>
      </w:r>
    </w:p>
    <w:p w14:paraId="488C7E75"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Briefly state source of data or data analysis being used to describe the </w:t>
      </w:r>
      <w:r w:rsidRPr="000729CF">
        <w:rPr>
          <w:rFonts w:ascii="Arial" w:eastAsia="Calibri" w:hAnsi="Arial" w:cs="Arial"/>
          <w:color w:val="000000"/>
          <w:sz w:val="24"/>
          <w:szCs w:val="24"/>
          <w:bdr w:val="none" w:sz="0" w:space="0" w:color="auto" w:frame="1"/>
          <w:lang w:val="en-GB"/>
        </w:rPr>
        <w:t xml:space="preserve">disproportionate negative impacts. </w:t>
      </w:r>
      <w:r w:rsidRPr="000729CF">
        <w:rPr>
          <w:rFonts w:ascii="Arial" w:eastAsia="Calibri" w:hAnsi="Arial" w:cs="Arial"/>
          <w:sz w:val="24"/>
          <w:szCs w:val="24"/>
          <w:lang w:val="en-GB"/>
        </w:rPr>
        <w:t xml:space="preserve">Preferably provide link to data/ analysis if open data source. </w:t>
      </w:r>
    </w:p>
    <w:tbl>
      <w:tblPr>
        <w:tblStyle w:val="TableGrid"/>
        <w:tblW w:w="10485" w:type="dxa"/>
        <w:tblLook w:val="04A0" w:firstRow="1" w:lastRow="0" w:firstColumn="1" w:lastColumn="0" w:noHBand="0" w:noVBand="1"/>
      </w:tblPr>
      <w:tblGrid>
        <w:gridCol w:w="2985"/>
        <w:gridCol w:w="2123"/>
        <w:gridCol w:w="5377"/>
      </w:tblGrid>
      <w:tr w:rsidR="000729CF" w:rsidRPr="000729CF" w14:paraId="480A99A1" w14:textId="77777777" w:rsidTr="000729CF">
        <w:trPr>
          <w:trHeight w:val="20"/>
        </w:trPr>
        <w:tc>
          <w:tcPr>
            <w:tcW w:w="2985" w:type="dxa"/>
            <w:shd w:val="clear" w:color="auto" w:fill="E7E6E6"/>
          </w:tcPr>
          <w:p w14:paraId="50DC38F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Assess impact for different population groups</w:t>
            </w:r>
          </w:p>
        </w:tc>
        <w:tc>
          <w:tcPr>
            <w:tcW w:w="2123" w:type="dxa"/>
            <w:shd w:val="clear" w:color="auto" w:fill="E7E6E6"/>
          </w:tcPr>
          <w:p w14:paraId="2B82ACE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Is there a possible disproportionate negative impact? </w:t>
            </w:r>
          </w:p>
          <w:p w14:paraId="4F3105B2" w14:textId="77777777" w:rsidR="000729CF" w:rsidRPr="000729CF" w:rsidRDefault="000729CF" w:rsidP="000729CF">
            <w:pPr>
              <w:spacing w:after="120"/>
              <w:rPr>
                <w:rFonts w:ascii="Arial" w:eastAsia="Calibri" w:hAnsi="Arial" w:cs="Arial"/>
                <w:b/>
                <w:bCs/>
                <w:sz w:val="24"/>
                <w:szCs w:val="24"/>
              </w:rPr>
            </w:pPr>
          </w:p>
          <w:p w14:paraId="26B4525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b/>
                <w:bCs/>
                <w:sz w:val="24"/>
                <w:szCs w:val="24"/>
              </w:rPr>
              <w:t>State Yes or No</w:t>
            </w:r>
          </w:p>
        </w:tc>
        <w:tc>
          <w:tcPr>
            <w:tcW w:w="5377" w:type="dxa"/>
            <w:shd w:val="clear" w:color="auto" w:fill="E7E6E6"/>
          </w:tcPr>
          <w:p w14:paraId="6EC76A7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Describe the potential negative impact, considering for differences within groups For example, different ethnic groups, and peoples intersecting identities e.g. disabled women of faith</w:t>
            </w:r>
          </w:p>
          <w:p w14:paraId="734BF3B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OR</w:t>
            </w:r>
          </w:p>
          <w:p w14:paraId="43D11B2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If no impact is identified, briefly state why.</w:t>
            </w:r>
          </w:p>
        </w:tc>
      </w:tr>
      <w:tr w:rsidR="000729CF" w:rsidRPr="000729CF" w14:paraId="018064A2" w14:textId="77777777" w:rsidTr="000729CF">
        <w:trPr>
          <w:trHeight w:val="20"/>
        </w:trPr>
        <w:tc>
          <w:tcPr>
            <w:tcW w:w="2985" w:type="dxa"/>
            <w:shd w:val="clear" w:color="auto" w:fill="E7E6E6"/>
          </w:tcPr>
          <w:p w14:paraId="59B48AC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Age </w:t>
            </w:r>
          </w:p>
          <w:p w14:paraId="7E3C031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sz w:val="24"/>
                <w:szCs w:val="24"/>
              </w:rPr>
              <w:t>including those under 16, young adults, multiple ethnicities, those with various intersections.</w:t>
            </w:r>
          </w:p>
        </w:tc>
        <w:tc>
          <w:tcPr>
            <w:tcW w:w="2123" w:type="dxa"/>
          </w:tcPr>
          <w:p w14:paraId="5F4EDE7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6FBA8BD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Bowls is traditionally a sport enjoyed by older people as a social activity. It is a particular sport that can be continued into old age and offers many health and wellbeing benefits. If the number of bowling greens reduces due to closure this will have a potentially negative impact on older people in the city in terms of limiting access to sport and leisure facilities.</w:t>
            </w:r>
          </w:p>
          <w:p w14:paraId="6294CCC4" w14:textId="77777777" w:rsidR="000729CF" w:rsidRPr="000729CF" w:rsidRDefault="000729CF" w:rsidP="000729CF">
            <w:pPr>
              <w:spacing w:after="120"/>
              <w:rPr>
                <w:rFonts w:ascii="Arial" w:eastAsia="Calibri" w:hAnsi="Arial" w:cs="Arial"/>
                <w:sz w:val="24"/>
                <w:szCs w:val="24"/>
              </w:rPr>
            </w:pPr>
          </w:p>
        </w:tc>
      </w:tr>
      <w:tr w:rsidR="000729CF" w:rsidRPr="000729CF" w14:paraId="53446A00" w14:textId="77777777" w:rsidTr="000729CF">
        <w:trPr>
          <w:trHeight w:val="20"/>
        </w:trPr>
        <w:tc>
          <w:tcPr>
            <w:tcW w:w="2985" w:type="dxa"/>
            <w:shd w:val="clear" w:color="auto" w:fill="E7E6E6"/>
          </w:tcPr>
          <w:p w14:paraId="35A13DC5"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 xml:space="preserve">Disability </w:t>
            </w:r>
            <w:r w:rsidRPr="000729CF">
              <w:rPr>
                <w:rFonts w:ascii="Arial" w:eastAsia="Calibri" w:hAnsi="Arial" w:cs="Arial"/>
                <w:sz w:val="24"/>
                <w:szCs w:val="24"/>
              </w:rPr>
              <w:t>includes physical and sensory disabled, D/deaf, deafened, hard of hearing, blind, neurodiverse people, people with non-visible disabilities.</w:t>
            </w:r>
          </w:p>
        </w:tc>
        <w:tc>
          <w:tcPr>
            <w:tcW w:w="2123" w:type="dxa"/>
          </w:tcPr>
          <w:p w14:paraId="05CB7AC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6A31B27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Bowls is considered an accessible ‘sport for all’ and people with a disability can play and compete with or against non-disabled bowlers. The potential closure of bowling greens could disproportionately impact disabled people by limiting accessible physical activities available to them, as well as opportunities for social interaction.</w:t>
            </w:r>
          </w:p>
          <w:p w14:paraId="0F97F2A5" w14:textId="77777777" w:rsidR="000729CF" w:rsidRPr="000729CF" w:rsidRDefault="000729CF" w:rsidP="000729CF">
            <w:pPr>
              <w:spacing w:after="120"/>
              <w:rPr>
                <w:rFonts w:ascii="Arial" w:eastAsia="Calibri" w:hAnsi="Arial" w:cs="Arial"/>
                <w:sz w:val="24"/>
                <w:szCs w:val="24"/>
              </w:rPr>
            </w:pPr>
          </w:p>
        </w:tc>
      </w:tr>
      <w:tr w:rsidR="000729CF" w:rsidRPr="000729CF" w14:paraId="30FC7492" w14:textId="77777777" w:rsidTr="000729CF">
        <w:trPr>
          <w:trHeight w:val="20"/>
        </w:trPr>
        <w:tc>
          <w:tcPr>
            <w:tcW w:w="2985" w:type="dxa"/>
            <w:shd w:val="clear" w:color="auto" w:fill="E7E6E6"/>
          </w:tcPr>
          <w:p w14:paraId="02A35579" w14:textId="77777777" w:rsidR="000729CF" w:rsidRPr="000729CF" w:rsidRDefault="000729CF" w:rsidP="000729CF">
            <w:pPr>
              <w:keepNext/>
              <w:keepLines/>
              <w:spacing w:before="40"/>
              <w:outlineLvl w:val="2"/>
              <w:rPr>
                <w:rFonts w:ascii="Arial" w:hAnsi="Arial" w:cs="Arial"/>
                <w:color w:val="1F3763"/>
                <w:sz w:val="24"/>
                <w:szCs w:val="24"/>
              </w:rPr>
            </w:pPr>
            <w:r w:rsidRPr="000729CF">
              <w:rPr>
                <w:rFonts w:ascii="Arial" w:hAnsi="Arial" w:cs="Arial"/>
                <w:b/>
                <w:bCs/>
                <w:color w:val="000000"/>
                <w:sz w:val="24"/>
                <w:szCs w:val="24"/>
              </w:rPr>
              <w:t>Ethnicity, ‘</w:t>
            </w:r>
            <w:r w:rsidRPr="000729CF">
              <w:rPr>
                <w:rFonts w:ascii="Arial" w:hAnsi="Arial" w:cs="Arial"/>
                <w:color w:val="000000"/>
                <w:sz w:val="24"/>
                <w:szCs w:val="24"/>
              </w:rPr>
              <w:t>Race’, ethnic heritage including Gypsy, Roma, Travellers</w:t>
            </w:r>
          </w:p>
        </w:tc>
        <w:tc>
          <w:tcPr>
            <w:tcW w:w="2123" w:type="dxa"/>
          </w:tcPr>
          <w:p w14:paraId="4F12C3C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unknown</w:t>
            </w:r>
          </w:p>
        </w:tc>
        <w:tc>
          <w:tcPr>
            <w:tcW w:w="5377" w:type="dxa"/>
          </w:tcPr>
          <w:p w14:paraId="1DED3AF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data or insight available</w:t>
            </w:r>
          </w:p>
        </w:tc>
      </w:tr>
      <w:tr w:rsidR="000729CF" w:rsidRPr="000729CF" w14:paraId="5BDBEAEF" w14:textId="77777777" w:rsidTr="000729CF">
        <w:trPr>
          <w:trHeight w:val="20"/>
        </w:trPr>
        <w:tc>
          <w:tcPr>
            <w:tcW w:w="2985" w:type="dxa"/>
            <w:shd w:val="clear" w:color="auto" w:fill="E7E6E6"/>
          </w:tcPr>
          <w:p w14:paraId="6010C02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Religion, Spirituality, Faith, Atheism, and philosophical belief </w:t>
            </w:r>
          </w:p>
        </w:tc>
        <w:tc>
          <w:tcPr>
            <w:tcW w:w="2123" w:type="dxa"/>
          </w:tcPr>
          <w:p w14:paraId="7DA8A46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unknown</w:t>
            </w:r>
          </w:p>
        </w:tc>
        <w:tc>
          <w:tcPr>
            <w:tcW w:w="5377" w:type="dxa"/>
          </w:tcPr>
          <w:p w14:paraId="49B9115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data or insight available</w:t>
            </w:r>
          </w:p>
        </w:tc>
      </w:tr>
      <w:tr w:rsidR="000729CF" w:rsidRPr="000729CF" w14:paraId="391FC9C3" w14:textId="77777777" w:rsidTr="000729CF">
        <w:trPr>
          <w:trHeight w:val="20"/>
        </w:trPr>
        <w:tc>
          <w:tcPr>
            <w:tcW w:w="2985" w:type="dxa"/>
            <w:shd w:val="clear" w:color="auto" w:fill="E7E6E6"/>
          </w:tcPr>
          <w:p w14:paraId="1ED0BDF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Gender and Sex </w:t>
            </w:r>
            <w:r w:rsidRPr="000729CF">
              <w:rPr>
                <w:rFonts w:ascii="Arial" w:eastAsia="Calibri" w:hAnsi="Arial" w:cs="Arial"/>
                <w:sz w:val="24"/>
                <w:szCs w:val="24"/>
              </w:rPr>
              <w:t>including non-binary and intersex people</w:t>
            </w:r>
          </w:p>
        </w:tc>
        <w:tc>
          <w:tcPr>
            <w:tcW w:w="2123" w:type="dxa"/>
          </w:tcPr>
          <w:p w14:paraId="4914C98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unknown</w:t>
            </w:r>
          </w:p>
        </w:tc>
        <w:tc>
          <w:tcPr>
            <w:tcW w:w="5377" w:type="dxa"/>
          </w:tcPr>
          <w:p w14:paraId="3D852D1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data or insight available</w:t>
            </w:r>
          </w:p>
        </w:tc>
      </w:tr>
      <w:tr w:rsidR="000729CF" w:rsidRPr="000729CF" w14:paraId="107BD697" w14:textId="77777777" w:rsidTr="000729CF">
        <w:trPr>
          <w:trHeight w:val="20"/>
        </w:trPr>
        <w:tc>
          <w:tcPr>
            <w:tcW w:w="2985" w:type="dxa"/>
            <w:shd w:val="clear" w:color="auto" w:fill="E7E6E6"/>
          </w:tcPr>
          <w:p w14:paraId="138C01B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2123" w:type="dxa"/>
          </w:tcPr>
          <w:p w14:paraId="7D2B05C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unknown</w:t>
            </w:r>
          </w:p>
        </w:tc>
        <w:tc>
          <w:tcPr>
            <w:tcW w:w="5377" w:type="dxa"/>
          </w:tcPr>
          <w:p w14:paraId="7689688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data or insight available</w:t>
            </w:r>
          </w:p>
        </w:tc>
      </w:tr>
      <w:tr w:rsidR="000729CF" w:rsidRPr="000729CF" w14:paraId="7F1DF627" w14:textId="77777777" w:rsidTr="000729CF">
        <w:trPr>
          <w:trHeight w:val="20"/>
        </w:trPr>
        <w:tc>
          <w:tcPr>
            <w:tcW w:w="2985" w:type="dxa"/>
            <w:shd w:val="clear" w:color="auto" w:fill="E7E6E6"/>
          </w:tcPr>
          <w:p w14:paraId="79E426B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2123" w:type="dxa"/>
          </w:tcPr>
          <w:p w14:paraId="40ADF56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unknown</w:t>
            </w:r>
          </w:p>
        </w:tc>
        <w:tc>
          <w:tcPr>
            <w:tcW w:w="5377" w:type="dxa"/>
          </w:tcPr>
          <w:p w14:paraId="6CAB350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data or insight available</w:t>
            </w:r>
          </w:p>
        </w:tc>
      </w:tr>
      <w:tr w:rsidR="000729CF" w:rsidRPr="000729CF" w14:paraId="49213492" w14:textId="77777777" w:rsidTr="000729CF">
        <w:trPr>
          <w:trHeight w:val="20"/>
        </w:trPr>
        <w:tc>
          <w:tcPr>
            <w:tcW w:w="2985" w:type="dxa"/>
            <w:shd w:val="clear" w:color="auto" w:fill="E7E6E6"/>
          </w:tcPr>
          <w:p w14:paraId="3B79216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2123" w:type="dxa"/>
          </w:tcPr>
          <w:p w14:paraId="3102D07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unknown</w:t>
            </w:r>
          </w:p>
        </w:tc>
        <w:tc>
          <w:tcPr>
            <w:tcW w:w="5377" w:type="dxa"/>
          </w:tcPr>
          <w:p w14:paraId="54046EF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data or insight available</w:t>
            </w:r>
          </w:p>
        </w:tc>
      </w:tr>
      <w:tr w:rsidR="000729CF" w:rsidRPr="000729CF" w14:paraId="6B1891E2" w14:textId="77777777" w:rsidTr="000729CF">
        <w:trPr>
          <w:trHeight w:val="20"/>
        </w:trPr>
        <w:tc>
          <w:tcPr>
            <w:tcW w:w="2985" w:type="dxa"/>
            <w:shd w:val="clear" w:color="auto" w:fill="E7E6E6"/>
          </w:tcPr>
          <w:p w14:paraId="19EAAC2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Pregnancy, Maternity, Paternity, Adoption, Menopause, (In)fertility </w:t>
            </w:r>
            <w:r w:rsidRPr="000729CF">
              <w:rPr>
                <w:rFonts w:ascii="Arial" w:eastAsia="Calibri" w:hAnsi="Arial" w:cs="Arial"/>
                <w:color w:val="000000"/>
                <w:sz w:val="24"/>
                <w:szCs w:val="24"/>
              </w:rPr>
              <w:t>(across intersections and non-binary gender spectrum)</w:t>
            </w:r>
          </w:p>
        </w:tc>
        <w:tc>
          <w:tcPr>
            <w:tcW w:w="2123" w:type="dxa"/>
          </w:tcPr>
          <w:p w14:paraId="5ADAB88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unknown</w:t>
            </w:r>
          </w:p>
        </w:tc>
        <w:tc>
          <w:tcPr>
            <w:tcW w:w="5377" w:type="dxa"/>
          </w:tcPr>
          <w:p w14:paraId="13E59F2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data or insight available</w:t>
            </w:r>
          </w:p>
        </w:tc>
      </w:tr>
      <w:tr w:rsidR="000729CF" w:rsidRPr="000729CF" w14:paraId="408D3441" w14:textId="77777777" w:rsidTr="000729CF">
        <w:trPr>
          <w:trHeight w:val="20"/>
        </w:trPr>
        <w:tc>
          <w:tcPr>
            <w:tcW w:w="2985" w:type="dxa"/>
            <w:shd w:val="clear" w:color="auto" w:fill="E7E6E6"/>
          </w:tcPr>
          <w:p w14:paraId="28A173B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2123" w:type="dxa"/>
          </w:tcPr>
          <w:p w14:paraId="54E089B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unknown</w:t>
            </w:r>
          </w:p>
        </w:tc>
        <w:tc>
          <w:tcPr>
            <w:tcW w:w="5377" w:type="dxa"/>
          </w:tcPr>
          <w:p w14:paraId="4511378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data or insight available</w:t>
            </w:r>
          </w:p>
        </w:tc>
      </w:tr>
      <w:tr w:rsidR="000729CF" w:rsidRPr="000729CF" w14:paraId="51E3E607" w14:textId="77777777" w:rsidTr="000729CF">
        <w:trPr>
          <w:trHeight w:val="20"/>
        </w:trPr>
        <w:tc>
          <w:tcPr>
            <w:tcW w:w="2985" w:type="dxa"/>
            <w:shd w:val="clear" w:color="auto" w:fill="E7E6E6"/>
          </w:tcPr>
          <w:p w14:paraId="041A6A26" w14:textId="77777777" w:rsidR="000729CF" w:rsidRPr="000729CF" w:rsidRDefault="000729CF" w:rsidP="000729CF">
            <w:pPr>
              <w:spacing w:after="120"/>
              <w:rPr>
                <w:rFonts w:ascii="Arial" w:eastAsia="Calibri" w:hAnsi="Arial" w:cs="Arial"/>
                <w:b/>
                <w:bCs/>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r w:rsidRPr="000729CF">
              <w:rPr>
                <w:rFonts w:ascii="Arial" w:hAnsi="Arial" w:cs="Arial"/>
                <w:color w:val="000000"/>
                <w:sz w:val="24"/>
                <w:szCs w:val="24"/>
              </w:rPr>
              <w:t>considering for age, language, and various intersections</w:t>
            </w:r>
          </w:p>
        </w:tc>
        <w:tc>
          <w:tcPr>
            <w:tcW w:w="2123" w:type="dxa"/>
          </w:tcPr>
          <w:p w14:paraId="0466E0B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unknown</w:t>
            </w:r>
          </w:p>
        </w:tc>
        <w:tc>
          <w:tcPr>
            <w:tcW w:w="5377" w:type="dxa"/>
          </w:tcPr>
          <w:p w14:paraId="79C6923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data or insight available</w:t>
            </w:r>
          </w:p>
        </w:tc>
      </w:tr>
      <w:tr w:rsidR="000729CF" w:rsidRPr="000729CF" w14:paraId="725C60E2" w14:textId="77777777" w:rsidTr="000729CF">
        <w:trPr>
          <w:trHeight w:val="20"/>
        </w:trPr>
        <w:tc>
          <w:tcPr>
            <w:tcW w:w="2985" w:type="dxa"/>
            <w:shd w:val="clear" w:color="auto" w:fill="E7E6E6"/>
          </w:tcPr>
          <w:p w14:paraId="2EFC6E3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Carers </w:t>
            </w:r>
            <w:r w:rsidRPr="000729CF">
              <w:rPr>
                <w:rFonts w:ascii="Arial" w:hAnsi="Arial" w:cs="Arial"/>
                <w:color w:val="000000"/>
                <w:sz w:val="24"/>
                <w:szCs w:val="24"/>
              </w:rPr>
              <w:t>considering for age, language, and various intersections</w:t>
            </w:r>
          </w:p>
        </w:tc>
        <w:tc>
          <w:tcPr>
            <w:tcW w:w="2123" w:type="dxa"/>
          </w:tcPr>
          <w:p w14:paraId="251DEFE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unknown</w:t>
            </w:r>
          </w:p>
        </w:tc>
        <w:tc>
          <w:tcPr>
            <w:tcW w:w="5377" w:type="dxa"/>
          </w:tcPr>
          <w:p w14:paraId="08885CC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data or insight available</w:t>
            </w:r>
          </w:p>
        </w:tc>
      </w:tr>
      <w:tr w:rsidR="000729CF" w:rsidRPr="000729CF" w14:paraId="62D0FDA4" w14:textId="77777777" w:rsidTr="000729CF">
        <w:trPr>
          <w:trHeight w:val="20"/>
        </w:trPr>
        <w:tc>
          <w:tcPr>
            <w:tcW w:w="2985" w:type="dxa"/>
            <w:shd w:val="clear" w:color="auto" w:fill="E7E6E6"/>
          </w:tcPr>
          <w:p w14:paraId="5CFDC472"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 xml:space="preserve">Looked after children, Care Leavers, Care and fostering experienced people </w:t>
            </w:r>
            <w:r w:rsidRPr="000729CF">
              <w:rPr>
                <w:rFonts w:ascii="Arial" w:hAnsi="Arial" w:cs="Arial"/>
                <w:color w:val="000000"/>
                <w:sz w:val="24"/>
                <w:szCs w:val="24"/>
              </w:rPr>
              <w:t>considering for age, language, and various intersections</w:t>
            </w:r>
          </w:p>
        </w:tc>
        <w:tc>
          <w:tcPr>
            <w:tcW w:w="2123" w:type="dxa"/>
          </w:tcPr>
          <w:p w14:paraId="0E663D7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unknown</w:t>
            </w:r>
          </w:p>
        </w:tc>
        <w:tc>
          <w:tcPr>
            <w:tcW w:w="5377" w:type="dxa"/>
          </w:tcPr>
          <w:p w14:paraId="0351590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data or insight available</w:t>
            </w:r>
          </w:p>
        </w:tc>
      </w:tr>
      <w:tr w:rsidR="000729CF" w:rsidRPr="000729CF" w14:paraId="3205FC17" w14:textId="77777777" w:rsidTr="000729CF">
        <w:trPr>
          <w:trHeight w:val="20"/>
        </w:trPr>
        <w:tc>
          <w:tcPr>
            <w:tcW w:w="2985" w:type="dxa"/>
            <w:shd w:val="clear" w:color="auto" w:fill="E7E6E6"/>
          </w:tcPr>
          <w:p w14:paraId="069F5AD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w:t>
            </w:r>
          </w:p>
        </w:tc>
        <w:tc>
          <w:tcPr>
            <w:tcW w:w="2123" w:type="dxa"/>
          </w:tcPr>
          <w:p w14:paraId="2A6CC7E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unknown</w:t>
            </w:r>
          </w:p>
        </w:tc>
        <w:tc>
          <w:tcPr>
            <w:tcW w:w="5377" w:type="dxa"/>
          </w:tcPr>
          <w:p w14:paraId="2A3E45B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data or insight available</w:t>
            </w:r>
          </w:p>
        </w:tc>
      </w:tr>
      <w:tr w:rsidR="000729CF" w:rsidRPr="000729CF" w14:paraId="4FAC9310" w14:textId="77777777" w:rsidTr="000729CF">
        <w:trPr>
          <w:trHeight w:val="20"/>
        </w:trPr>
        <w:tc>
          <w:tcPr>
            <w:tcW w:w="2985" w:type="dxa"/>
            <w:shd w:val="clear" w:color="auto" w:fill="E7E6E6"/>
          </w:tcPr>
          <w:p w14:paraId="2AA4BA1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Socio-economic disadvantage </w:t>
            </w:r>
            <w:r w:rsidRPr="000729CF">
              <w:rPr>
                <w:rFonts w:ascii="Arial" w:eastAsia="Calibri" w:hAnsi="Arial" w:cs="Arial"/>
                <w:color w:val="000000"/>
                <w:sz w:val="24"/>
                <w:szCs w:val="24"/>
              </w:rPr>
              <w:t>considering for age, disability, D/deaf/ blind, ethnicity, expatriate background, and various intersections</w:t>
            </w:r>
          </w:p>
        </w:tc>
        <w:tc>
          <w:tcPr>
            <w:tcW w:w="2123" w:type="dxa"/>
          </w:tcPr>
          <w:p w14:paraId="0C833BD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unknown</w:t>
            </w:r>
          </w:p>
        </w:tc>
        <w:tc>
          <w:tcPr>
            <w:tcW w:w="5377" w:type="dxa"/>
          </w:tcPr>
          <w:p w14:paraId="219AEE1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data or insight available</w:t>
            </w:r>
          </w:p>
        </w:tc>
      </w:tr>
      <w:tr w:rsidR="000729CF" w:rsidRPr="000729CF" w14:paraId="748FCC6B" w14:textId="77777777" w:rsidTr="000729CF">
        <w:trPr>
          <w:trHeight w:val="20"/>
        </w:trPr>
        <w:tc>
          <w:tcPr>
            <w:tcW w:w="2985" w:type="dxa"/>
            <w:shd w:val="clear" w:color="auto" w:fill="E7E6E6"/>
          </w:tcPr>
          <w:p w14:paraId="2A92BB2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Homeless and rough sleepers </w:t>
            </w:r>
            <w:r w:rsidRPr="000729CF">
              <w:rPr>
                <w:rFonts w:ascii="Arial" w:eastAsia="Calibri" w:hAnsi="Arial" w:cs="Arial"/>
                <w:color w:val="000000"/>
                <w:sz w:val="24"/>
                <w:szCs w:val="24"/>
              </w:rPr>
              <w:t>considering for age, veteran, ethnicity, language, and various intersections</w:t>
            </w:r>
          </w:p>
        </w:tc>
        <w:tc>
          <w:tcPr>
            <w:tcW w:w="2123" w:type="dxa"/>
          </w:tcPr>
          <w:p w14:paraId="5A23C2E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unknown</w:t>
            </w:r>
          </w:p>
        </w:tc>
        <w:tc>
          <w:tcPr>
            <w:tcW w:w="5377" w:type="dxa"/>
          </w:tcPr>
          <w:p w14:paraId="28F9070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data or insight available</w:t>
            </w:r>
          </w:p>
        </w:tc>
      </w:tr>
      <w:tr w:rsidR="000729CF" w:rsidRPr="000729CF" w14:paraId="70F2E0EC" w14:textId="77777777" w:rsidTr="000729CF">
        <w:trPr>
          <w:trHeight w:val="20"/>
        </w:trPr>
        <w:tc>
          <w:tcPr>
            <w:tcW w:w="2985" w:type="dxa"/>
            <w:shd w:val="clear" w:color="auto" w:fill="E7E6E6"/>
          </w:tcPr>
          <w:p w14:paraId="4BA2112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2123" w:type="dxa"/>
          </w:tcPr>
          <w:p w14:paraId="23787E0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unknown</w:t>
            </w:r>
          </w:p>
        </w:tc>
        <w:tc>
          <w:tcPr>
            <w:tcW w:w="5377" w:type="dxa"/>
          </w:tcPr>
          <w:p w14:paraId="608888B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data or insight available</w:t>
            </w:r>
          </w:p>
        </w:tc>
      </w:tr>
      <w:tr w:rsidR="000729CF" w:rsidRPr="000729CF" w14:paraId="0585FB5C" w14:textId="77777777" w:rsidTr="000729CF">
        <w:trPr>
          <w:trHeight w:val="20"/>
        </w:trPr>
        <w:tc>
          <w:tcPr>
            <w:tcW w:w="2985" w:type="dxa"/>
            <w:shd w:val="clear" w:color="auto" w:fill="E7E6E6"/>
          </w:tcPr>
          <w:p w14:paraId="30ABC04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 (please specify here and add additional rows as needed)</w:t>
            </w:r>
          </w:p>
        </w:tc>
        <w:tc>
          <w:tcPr>
            <w:tcW w:w="2123" w:type="dxa"/>
          </w:tcPr>
          <w:p w14:paraId="47FB8E0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n/a</w:t>
            </w:r>
          </w:p>
        </w:tc>
        <w:tc>
          <w:tcPr>
            <w:tcW w:w="5377" w:type="dxa"/>
          </w:tcPr>
          <w:p w14:paraId="188370AA" w14:textId="77777777" w:rsidR="000729CF" w:rsidRPr="000729CF" w:rsidRDefault="000729CF" w:rsidP="000729CF">
            <w:pPr>
              <w:spacing w:after="120"/>
              <w:rPr>
                <w:rFonts w:ascii="Arial" w:eastAsia="Calibri" w:hAnsi="Arial" w:cs="Arial"/>
                <w:sz w:val="24"/>
                <w:szCs w:val="24"/>
              </w:rPr>
            </w:pPr>
          </w:p>
        </w:tc>
      </w:tr>
    </w:tbl>
    <w:p w14:paraId="0008A47C" w14:textId="77777777" w:rsidR="000729CF" w:rsidRPr="000729CF" w:rsidRDefault="000729CF" w:rsidP="000729CF">
      <w:pPr>
        <w:spacing w:after="160" w:line="259" w:lineRule="auto"/>
        <w:rPr>
          <w:rFonts w:ascii="Arial" w:eastAsia="Calibri" w:hAnsi="Arial" w:cs="Arial"/>
          <w:b/>
          <w:bCs/>
          <w:sz w:val="24"/>
          <w:szCs w:val="24"/>
          <w:lang w:val="en-GB"/>
        </w:rPr>
      </w:pPr>
    </w:p>
    <w:p w14:paraId="669AD507"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5CEB5F49"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4CB350A8"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162A0E68"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6677694C"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0E0F6752"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7FFB7F0A"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6E45A30F"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008D5D2E"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4A3C6263"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09973E0C" w14:textId="77777777" w:rsidR="000729CF" w:rsidRPr="000729CF" w:rsidRDefault="000729CF" w:rsidP="000729CF">
      <w:pPr>
        <w:rPr>
          <w:rFonts w:ascii="Arial" w:eastAsia="Calibri" w:hAnsi="Arial" w:cs="Arial"/>
          <w:sz w:val="24"/>
          <w:szCs w:val="24"/>
          <w:lang w:val="en-GB"/>
        </w:rPr>
      </w:pPr>
    </w:p>
    <w:p w14:paraId="0A33F548"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Cumulative impacts</w:t>
      </w:r>
    </w:p>
    <w:p w14:paraId="06557100"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Are there other budget proposals from other service areas that might worsen or mitigate the impacts from your proposal? Please give a brief description including name of other service(s).</w:t>
      </w:r>
    </w:p>
    <w:tbl>
      <w:tblPr>
        <w:tblStyle w:val="TableGrid"/>
        <w:tblW w:w="0" w:type="auto"/>
        <w:tblLook w:val="04A0" w:firstRow="1" w:lastRow="0" w:firstColumn="1" w:lastColumn="0" w:noHBand="0" w:noVBand="1"/>
      </w:tblPr>
      <w:tblGrid>
        <w:gridCol w:w="10456"/>
      </w:tblGrid>
      <w:tr w:rsidR="000729CF" w:rsidRPr="000729CF" w14:paraId="50FAC1CC" w14:textId="77777777" w:rsidTr="00BC26AB">
        <w:tc>
          <w:tcPr>
            <w:tcW w:w="10456" w:type="dxa"/>
          </w:tcPr>
          <w:p w14:paraId="16DCB610"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None know.</w:t>
            </w:r>
          </w:p>
          <w:p w14:paraId="2C414BF8" w14:textId="77777777" w:rsidR="000729CF" w:rsidRPr="000729CF" w:rsidRDefault="000729CF" w:rsidP="000729CF">
            <w:pPr>
              <w:rPr>
                <w:rFonts w:ascii="Arial" w:eastAsia="Calibri" w:hAnsi="Arial" w:cs="Arial"/>
                <w:sz w:val="24"/>
                <w:szCs w:val="24"/>
              </w:rPr>
            </w:pPr>
          </w:p>
          <w:p w14:paraId="600C3FDC" w14:textId="77777777" w:rsidR="000729CF" w:rsidRPr="000729CF" w:rsidRDefault="000729CF" w:rsidP="000729CF">
            <w:pPr>
              <w:rPr>
                <w:rFonts w:ascii="Arial" w:eastAsia="Calibri" w:hAnsi="Arial" w:cs="Arial"/>
                <w:sz w:val="24"/>
                <w:szCs w:val="24"/>
              </w:rPr>
            </w:pPr>
          </w:p>
        </w:tc>
      </w:tr>
    </w:tbl>
    <w:p w14:paraId="3EE99802" w14:textId="77777777" w:rsidR="000729CF" w:rsidRPr="000729CF" w:rsidRDefault="000729CF" w:rsidP="000729CF">
      <w:pPr>
        <w:spacing w:after="160" w:line="259" w:lineRule="auto"/>
        <w:rPr>
          <w:rFonts w:ascii="Arial" w:eastAsia="Calibri" w:hAnsi="Arial" w:cs="Arial"/>
          <w:sz w:val="24"/>
          <w:szCs w:val="24"/>
          <w:lang w:val="en-GB"/>
        </w:rPr>
      </w:pPr>
    </w:p>
    <w:p w14:paraId="227969F5"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Action planning</w:t>
      </w:r>
    </w:p>
    <w:p w14:paraId="26E29EB1"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SMART actions will be taken to mitigate the disproportionate impacts identified in section 3? If no mitigating action is possible, please state and explain why. Add additional rows as required. </w:t>
      </w:r>
    </w:p>
    <w:tbl>
      <w:tblPr>
        <w:tblStyle w:val="TableGrid"/>
        <w:tblW w:w="0" w:type="auto"/>
        <w:tblLook w:val="04A0" w:firstRow="1" w:lastRow="0" w:firstColumn="1" w:lastColumn="0" w:noHBand="0" w:noVBand="1"/>
      </w:tblPr>
      <w:tblGrid>
        <w:gridCol w:w="10456"/>
      </w:tblGrid>
      <w:tr w:rsidR="000729CF" w:rsidRPr="000729CF" w14:paraId="073FFB42" w14:textId="77777777" w:rsidTr="00BC26AB">
        <w:trPr>
          <w:trHeight w:val="847"/>
        </w:trPr>
        <w:tc>
          <w:tcPr>
            <w:tcW w:w="10456" w:type="dxa"/>
          </w:tcPr>
          <w:p w14:paraId="5EEEB91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SMART action 1: The facilities will be offered as an opportunity for asset transfer to the current bowls clubs. </w:t>
            </w:r>
          </w:p>
        </w:tc>
      </w:tr>
      <w:tr w:rsidR="000729CF" w:rsidRPr="000729CF" w14:paraId="682A2BE2" w14:textId="77777777" w:rsidTr="00BC26AB">
        <w:trPr>
          <w:trHeight w:val="847"/>
        </w:trPr>
        <w:tc>
          <w:tcPr>
            <w:tcW w:w="10456" w:type="dxa"/>
          </w:tcPr>
          <w:p w14:paraId="3C96BA2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SMART action 2: Alternative bowling green facilities will be shared with current club members.</w:t>
            </w:r>
          </w:p>
          <w:p w14:paraId="7D70B705" w14:textId="77777777" w:rsidR="000729CF" w:rsidRPr="000729CF" w:rsidRDefault="000729CF" w:rsidP="000729CF">
            <w:pPr>
              <w:spacing w:after="120"/>
              <w:ind w:left="360"/>
              <w:rPr>
                <w:rFonts w:ascii="Arial" w:eastAsia="Calibri" w:hAnsi="Arial" w:cs="Arial"/>
                <w:sz w:val="24"/>
                <w:szCs w:val="24"/>
              </w:rPr>
            </w:pPr>
          </w:p>
        </w:tc>
      </w:tr>
    </w:tbl>
    <w:p w14:paraId="34E25AB0" w14:textId="77777777" w:rsidR="000729CF" w:rsidRPr="000729CF" w:rsidRDefault="000729CF" w:rsidP="000729CF">
      <w:pPr>
        <w:spacing w:after="160" w:line="259" w:lineRule="auto"/>
        <w:rPr>
          <w:rFonts w:ascii="Arial" w:eastAsia="Calibri" w:hAnsi="Arial" w:cs="Arial"/>
          <w:sz w:val="24"/>
          <w:szCs w:val="24"/>
          <w:lang w:val="en-GB"/>
        </w:rPr>
      </w:pPr>
    </w:p>
    <w:p w14:paraId="6ABDE6C1"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Outcome of your assessment</w:t>
      </w:r>
    </w:p>
    <w:p w14:paraId="124A6BA2"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Based on the information above give the proposal an impact score between 1 – 5. </w:t>
      </w:r>
    </w:p>
    <w:p w14:paraId="4C0FE072"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1= proposal has minimal impact and/or mitigating actions will significantly minimise the impact</w:t>
      </w:r>
    </w:p>
    <w:p w14:paraId="182250E7"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3= proposal will have a significant negative impact; however, mitigation actions will reduce the impact considerably.</w:t>
      </w:r>
    </w:p>
    <w:p w14:paraId="77867F70"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5= proposal has significant impact and mitigating actions will have limited effect on reducing impact.</w:t>
      </w:r>
    </w:p>
    <w:p w14:paraId="7DD3DD80" w14:textId="77777777" w:rsidR="000729CF" w:rsidRPr="000729CF" w:rsidRDefault="000729CF" w:rsidP="000729CF">
      <w:pPr>
        <w:rPr>
          <w:rFonts w:ascii="Arial" w:eastAsia="Calibri" w:hAnsi="Arial" w:cs="Arial"/>
          <w:sz w:val="24"/>
          <w:szCs w:val="24"/>
          <w:highlight w:val="yellow"/>
          <w:lang w:val="en-GB"/>
        </w:rPr>
      </w:pPr>
    </w:p>
    <w:tbl>
      <w:tblPr>
        <w:tblStyle w:val="TableGrid"/>
        <w:tblW w:w="0" w:type="auto"/>
        <w:tblLook w:val="04A0" w:firstRow="1" w:lastRow="0" w:firstColumn="1" w:lastColumn="0" w:noHBand="0" w:noVBand="1"/>
      </w:tblPr>
      <w:tblGrid>
        <w:gridCol w:w="3114"/>
        <w:gridCol w:w="7342"/>
      </w:tblGrid>
      <w:tr w:rsidR="000729CF" w:rsidRPr="000729CF" w14:paraId="6D9419E2" w14:textId="77777777" w:rsidTr="00BC26AB">
        <w:trPr>
          <w:trHeight w:val="152"/>
        </w:trPr>
        <w:tc>
          <w:tcPr>
            <w:tcW w:w="3114" w:type="dxa"/>
          </w:tcPr>
          <w:p w14:paraId="43E5746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Proposal’s impact score:</w:t>
            </w:r>
          </w:p>
        </w:tc>
        <w:tc>
          <w:tcPr>
            <w:tcW w:w="7342" w:type="dxa"/>
          </w:tcPr>
          <w:p w14:paraId="54AF8BD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2</w:t>
            </w:r>
          </w:p>
        </w:tc>
      </w:tr>
    </w:tbl>
    <w:p w14:paraId="65B1D315" w14:textId="77777777" w:rsidR="000729CF" w:rsidRPr="000729CF" w:rsidRDefault="000729CF" w:rsidP="000729CF">
      <w:pPr>
        <w:spacing w:after="160" w:line="259" w:lineRule="auto"/>
        <w:rPr>
          <w:rFonts w:ascii="Arial" w:eastAsia="Calibri" w:hAnsi="Arial" w:cs="Arial"/>
          <w:sz w:val="24"/>
          <w:szCs w:val="24"/>
          <w:lang w:val="en-GB"/>
        </w:rPr>
      </w:pPr>
    </w:p>
    <w:p w14:paraId="71FBC0B1"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Publication</w:t>
      </w:r>
    </w:p>
    <w:p w14:paraId="621C2E00"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All Equality Impact Assessments will be published. If you are recommending, and choosing not to publish your EIA, please provide a reason:</w:t>
      </w:r>
    </w:p>
    <w:tbl>
      <w:tblPr>
        <w:tblStyle w:val="TableGrid"/>
        <w:tblW w:w="0" w:type="auto"/>
        <w:tblLook w:val="04A0" w:firstRow="1" w:lastRow="0" w:firstColumn="1" w:lastColumn="0" w:noHBand="0" w:noVBand="1"/>
      </w:tblPr>
      <w:tblGrid>
        <w:gridCol w:w="10456"/>
      </w:tblGrid>
      <w:tr w:rsidR="000729CF" w:rsidRPr="000729CF" w14:paraId="0162E2EB" w14:textId="77777777" w:rsidTr="00BC26AB">
        <w:trPr>
          <w:trHeight w:val="803"/>
        </w:trPr>
        <w:tc>
          <w:tcPr>
            <w:tcW w:w="10456" w:type="dxa"/>
          </w:tcPr>
          <w:p w14:paraId="6E1D9ED2" w14:textId="77777777" w:rsidR="000729CF" w:rsidRPr="000729CF" w:rsidRDefault="000729CF" w:rsidP="000729CF">
            <w:pPr>
              <w:spacing w:after="120"/>
              <w:rPr>
                <w:rFonts w:ascii="Arial" w:eastAsia="Calibri" w:hAnsi="Arial" w:cs="Arial"/>
                <w:sz w:val="24"/>
                <w:szCs w:val="24"/>
              </w:rPr>
            </w:pPr>
          </w:p>
        </w:tc>
      </w:tr>
    </w:tbl>
    <w:p w14:paraId="49A7F1F7" w14:textId="77777777" w:rsidR="000729CF" w:rsidRPr="000729CF" w:rsidRDefault="000729CF" w:rsidP="000729CF">
      <w:pPr>
        <w:spacing w:after="160" w:line="259" w:lineRule="auto"/>
        <w:rPr>
          <w:rFonts w:ascii="Arial" w:eastAsia="Calibri" w:hAnsi="Arial" w:cs="Arial"/>
          <w:sz w:val="24"/>
          <w:szCs w:val="24"/>
          <w:lang w:val="en-GB"/>
        </w:rPr>
      </w:pPr>
    </w:p>
    <w:p w14:paraId="4AFA6B18"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Directorate and Service Approval</w:t>
      </w:r>
    </w:p>
    <w:tbl>
      <w:tblPr>
        <w:tblStyle w:val="TableGrid"/>
        <w:tblW w:w="0" w:type="auto"/>
        <w:tblLook w:val="04A0" w:firstRow="1" w:lastRow="0" w:firstColumn="1" w:lastColumn="0" w:noHBand="0" w:noVBand="1"/>
      </w:tblPr>
      <w:tblGrid>
        <w:gridCol w:w="3681"/>
        <w:gridCol w:w="4394"/>
        <w:gridCol w:w="2381"/>
      </w:tblGrid>
      <w:tr w:rsidR="000729CF" w:rsidRPr="000729CF" w14:paraId="09E7E081" w14:textId="77777777" w:rsidTr="000729CF">
        <w:trPr>
          <w:trHeight w:val="20"/>
        </w:trPr>
        <w:tc>
          <w:tcPr>
            <w:tcW w:w="3681" w:type="dxa"/>
            <w:tcBorders>
              <w:bottom w:val="single" w:sz="4" w:space="0" w:color="auto"/>
            </w:tcBorders>
            <w:shd w:val="clear" w:color="auto" w:fill="D9D9D9"/>
          </w:tcPr>
          <w:p w14:paraId="03EB5F4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77B2B4F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 and Job Title:</w:t>
            </w:r>
          </w:p>
        </w:tc>
        <w:tc>
          <w:tcPr>
            <w:tcW w:w="2381" w:type="dxa"/>
            <w:shd w:val="clear" w:color="auto" w:fill="D9D9D9"/>
          </w:tcPr>
          <w:p w14:paraId="1DD4DB2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211D9C11" w14:textId="77777777" w:rsidTr="000729CF">
        <w:trPr>
          <w:trHeight w:val="20"/>
        </w:trPr>
        <w:tc>
          <w:tcPr>
            <w:tcW w:w="3681" w:type="dxa"/>
            <w:shd w:val="clear" w:color="auto" w:fill="E7E6E6"/>
          </w:tcPr>
          <w:p w14:paraId="1F9C61F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Responsible Lead Officer:</w:t>
            </w:r>
          </w:p>
        </w:tc>
        <w:tc>
          <w:tcPr>
            <w:tcW w:w="4394" w:type="dxa"/>
          </w:tcPr>
          <w:p w14:paraId="4D674E4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Robert Walker, Head of City Parks</w:t>
            </w:r>
          </w:p>
        </w:tc>
        <w:tc>
          <w:tcPr>
            <w:tcW w:w="2381" w:type="dxa"/>
          </w:tcPr>
          <w:p w14:paraId="0F328B7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24/01/2024</w:t>
            </w:r>
          </w:p>
        </w:tc>
      </w:tr>
      <w:tr w:rsidR="000729CF" w:rsidRPr="000729CF" w14:paraId="64432B14" w14:textId="77777777" w:rsidTr="000729CF">
        <w:trPr>
          <w:trHeight w:val="20"/>
        </w:trPr>
        <w:tc>
          <w:tcPr>
            <w:tcW w:w="3681" w:type="dxa"/>
            <w:shd w:val="clear" w:color="auto" w:fill="E7E6E6"/>
          </w:tcPr>
          <w:p w14:paraId="07F8FC5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Accountable Manager:</w:t>
            </w:r>
          </w:p>
        </w:tc>
        <w:tc>
          <w:tcPr>
            <w:tcW w:w="4394" w:type="dxa"/>
          </w:tcPr>
          <w:p w14:paraId="75F63A7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Chenine Bhathena, Assistant Director</w:t>
            </w:r>
          </w:p>
        </w:tc>
        <w:tc>
          <w:tcPr>
            <w:tcW w:w="2381" w:type="dxa"/>
          </w:tcPr>
          <w:p w14:paraId="022F1B9E" w14:textId="77777777" w:rsidR="000729CF" w:rsidRPr="000729CF" w:rsidRDefault="000729CF" w:rsidP="000729CF">
            <w:pPr>
              <w:spacing w:after="120"/>
              <w:rPr>
                <w:rFonts w:ascii="Arial" w:eastAsia="Calibri" w:hAnsi="Arial" w:cs="Arial"/>
                <w:sz w:val="24"/>
                <w:szCs w:val="24"/>
              </w:rPr>
            </w:pPr>
          </w:p>
        </w:tc>
      </w:tr>
    </w:tbl>
    <w:p w14:paraId="7FD87E53" w14:textId="77777777" w:rsidR="000729CF" w:rsidRPr="000729CF" w:rsidRDefault="000729CF" w:rsidP="000729CF">
      <w:pPr>
        <w:spacing w:after="160" w:line="259" w:lineRule="auto"/>
        <w:rPr>
          <w:rFonts w:ascii="Arial" w:eastAsia="Calibri" w:hAnsi="Arial" w:cs="Arial"/>
          <w:sz w:val="24"/>
          <w:szCs w:val="24"/>
          <w:lang w:val="en-GB"/>
        </w:rPr>
      </w:pPr>
    </w:p>
    <w:p w14:paraId="2F7321C0" w14:textId="77777777" w:rsidR="000729CF" w:rsidRPr="000729CF" w:rsidRDefault="000729CF" w:rsidP="000729CF">
      <w:pPr>
        <w:keepNext/>
        <w:keepLines/>
        <w:spacing w:before="40" w:after="160" w:line="259" w:lineRule="auto"/>
        <w:outlineLvl w:val="2"/>
        <w:rPr>
          <w:rFonts w:ascii="Arial" w:hAnsi="Arial" w:cs="Arial"/>
          <w:b/>
          <w:bCs/>
          <w:color w:val="000000"/>
          <w:sz w:val="28"/>
          <w:szCs w:val="28"/>
          <w:lang w:val="en-GB"/>
        </w:rPr>
      </w:pPr>
      <w:r w:rsidRPr="000729CF">
        <w:rPr>
          <w:rFonts w:ascii="Arial" w:hAnsi="Arial" w:cs="Arial"/>
          <w:b/>
          <w:bCs/>
          <w:color w:val="000000"/>
          <w:sz w:val="28"/>
          <w:szCs w:val="28"/>
          <w:lang w:val="en-GB"/>
        </w:rPr>
        <w:t>EDI Review and Approval:</w:t>
      </w:r>
    </w:p>
    <w:p w14:paraId="6EE2964B" w14:textId="77777777" w:rsidR="000729CF" w:rsidRPr="000729CF" w:rsidRDefault="000729CF" w:rsidP="000729CF">
      <w:pPr>
        <w:spacing w:after="160" w:line="259" w:lineRule="auto"/>
        <w:rPr>
          <w:rFonts w:ascii="Arial" w:eastAsia="Calibri" w:hAnsi="Arial" w:cs="Arial"/>
          <w:sz w:val="24"/>
          <w:szCs w:val="24"/>
          <w:lang w:val="en-GB"/>
        </w:rPr>
      </w:pPr>
    </w:p>
    <w:p w14:paraId="05ACA965" w14:textId="77777777" w:rsidR="000729CF" w:rsidRPr="000729CF" w:rsidRDefault="000729CF" w:rsidP="000729CF">
      <w:pPr>
        <w:keepNext/>
        <w:keepLines/>
        <w:spacing w:after="160" w:line="259" w:lineRule="auto"/>
        <w:ind w:left="283" w:hanging="283"/>
        <w:outlineLvl w:val="1"/>
        <w:rPr>
          <w:rFonts w:ascii="Arial" w:hAnsi="Arial" w:cs="Arial"/>
          <w:color w:val="2F5496"/>
          <w:sz w:val="24"/>
          <w:szCs w:val="24"/>
          <w:lang w:val="en-GB"/>
        </w:rPr>
      </w:pPr>
      <w:r w:rsidRPr="000729CF">
        <w:rPr>
          <w:rFonts w:ascii="Arial" w:hAnsi="Arial" w:cs="Arial"/>
          <w:color w:val="2F5496"/>
          <w:sz w:val="24"/>
          <w:szCs w:val="24"/>
          <w:lang w:val="en-GB"/>
        </w:rPr>
        <w:t>Equality Impact Assessment sign-off</w:t>
      </w:r>
    </w:p>
    <w:tbl>
      <w:tblPr>
        <w:tblStyle w:val="TableGrid"/>
        <w:tblW w:w="0" w:type="auto"/>
        <w:tblLook w:val="04A0" w:firstRow="1" w:lastRow="0" w:firstColumn="1" w:lastColumn="0" w:noHBand="0" w:noVBand="1"/>
      </w:tblPr>
      <w:tblGrid>
        <w:gridCol w:w="3681"/>
        <w:gridCol w:w="4394"/>
        <w:gridCol w:w="2381"/>
      </w:tblGrid>
      <w:tr w:rsidR="000729CF" w:rsidRPr="000729CF" w14:paraId="7AD27D0F" w14:textId="77777777" w:rsidTr="000729CF">
        <w:trPr>
          <w:trHeight w:val="20"/>
        </w:trPr>
        <w:tc>
          <w:tcPr>
            <w:tcW w:w="3681" w:type="dxa"/>
            <w:tcBorders>
              <w:bottom w:val="single" w:sz="4" w:space="0" w:color="auto"/>
            </w:tcBorders>
            <w:shd w:val="clear" w:color="auto" w:fill="D9D9D9"/>
          </w:tcPr>
          <w:p w14:paraId="4BEB3BC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1A60B14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w:t>
            </w:r>
          </w:p>
        </w:tc>
        <w:tc>
          <w:tcPr>
            <w:tcW w:w="2381" w:type="dxa"/>
            <w:shd w:val="clear" w:color="auto" w:fill="D9D9D9"/>
          </w:tcPr>
          <w:p w14:paraId="0A7D0FC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6AC4FE14" w14:textId="77777777" w:rsidTr="000729CF">
        <w:trPr>
          <w:trHeight w:val="20"/>
        </w:trPr>
        <w:tc>
          <w:tcPr>
            <w:tcW w:w="3681" w:type="dxa"/>
            <w:shd w:val="clear" w:color="auto" w:fill="E7E6E6"/>
          </w:tcPr>
          <w:p w14:paraId="7814A4C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Head of Communities, Equality, and Third Sector (CETS) Service:</w:t>
            </w:r>
          </w:p>
        </w:tc>
        <w:tc>
          <w:tcPr>
            <w:tcW w:w="4394" w:type="dxa"/>
          </w:tcPr>
          <w:p w14:paraId="4B01672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Emma McDermott</w:t>
            </w:r>
          </w:p>
        </w:tc>
        <w:tc>
          <w:tcPr>
            <w:tcW w:w="2381" w:type="dxa"/>
          </w:tcPr>
          <w:p w14:paraId="0FDEA0A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26-01-24</w:t>
            </w:r>
          </w:p>
        </w:tc>
      </w:tr>
    </w:tbl>
    <w:p w14:paraId="22542AF2" w14:textId="77777777" w:rsidR="000729CF" w:rsidRPr="000729CF" w:rsidRDefault="000729CF" w:rsidP="000729CF">
      <w:pPr>
        <w:rPr>
          <w:rFonts w:ascii="Arial" w:eastAsia="Calibri" w:hAnsi="Arial" w:cs="Arial"/>
          <w:sz w:val="22"/>
          <w:szCs w:val="22"/>
          <w:lang w:val="en-GB"/>
        </w:rPr>
      </w:pPr>
    </w:p>
    <w:p w14:paraId="12004C20" w14:textId="77777777" w:rsidR="000729CF" w:rsidRPr="000729CF" w:rsidRDefault="000729CF" w:rsidP="000729CF">
      <w:pPr>
        <w:spacing w:after="160" w:line="259" w:lineRule="auto"/>
        <w:rPr>
          <w:rFonts w:ascii="Arial" w:eastAsia="Calibri" w:hAnsi="Arial" w:cs="Arial"/>
          <w:b/>
          <w:bCs/>
          <w:sz w:val="24"/>
          <w:szCs w:val="24"/>
          <w:lang w:val="en-GB"/>
        </w:rPr>
      </w:pPr>
    </w:p>
    <w:p w14:paraId="307522AB" w14:textId="77777777" w:rsidR="000729CF" w:rsidRPr="000729CF" w:rsidRDefault="000729CF" w:rsidP="000729CF">
      <w:pPr>
        <w:keepNext/>
        <w:keepLines/>
        <w:spacing w:after="160" w:line="259" w:lineRule="auto"/>
        <w:outlineLvl w:val="1"/>
        <w:rPr>
          <w:rFonts w:ascii="Arial" w:eastAsia="Calibri" w:hAnsi="Arial" w:cs="Arial"/>
          <w:sz w:val="24"/>
          <w:szCs w:val="24"/>
          <w:lang w:val="en-GB"/>
        </w:rPr>
      </w:pPr>
    </w:p>
    <w:p w14:paraId="18BFD90F" w14:textId="77777777" w:rsidR="000729CF" w:rsidRPr="000729CF" w:rsidRDefault="000729CF" w:rsidP="000729CF">
      <w:pPr>
        <w:spacing w:after="160" w:line="259" w:lineRule="auto"/>
        <w:rPr>
          <w:rFonts w:ascii="Arial" w:eastAsia="Calibri" w:hAnsi="Arial" w:cs="Arial"/>
          <w:sz w:val="24"/>
          <w:szCs w:val="24"/>
          <w:lang w:val="en-GB"/>
        </w:rPr>
      </w:pPr>
    </w:p>
    <w:p w14:paraId="12F6CD3F"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br w:type="page"/>
      </w:r>
    </w:p>
    <w:p w14:paraId="212CB797" w14:textId="77777777" w:rsidR="000729CF" w:rsidRPr="000729CF" w:rsidRDefault="000729CF" w:rsidP="000729CF">
      <w:pPr>
        <w:keepNext/>
        <w:keepLines/>
        <w:spacing w:after="160" w:line="259" w:lineRule="auto"/>
        <w:outlineLvl w:val="0"/>
        <w:rPr>
          <w:rFonts w:ascii="Arial" w:hAnsi="Arial" w:cs="Arial"/>
          <w:b/>
          <w:bCs/>
          <w:color w:val="2F5496"/>
          <w:sz w:val="28"/>
          <w:szCs w:val="28"/>
          <w:lang w:val="en-GB"/>
        </w:rPr>
      </w:pPr>
      <w:r w:rsidRPr="000729CF">
        <w:rPr>
          <w:rFonts w:ascii="Arial" w:hAnsi="Arial" w:cs="Arial"/>
          <w:b/>
          <w:bCs/>
          <w:color w:val="2F5496"/>
          <w:sz w:val="28"/>
          <w:szCs w:val="28"/>
          <w:lang w:val="en-GB"/>
        </w:rPr>
        <w:t>Budget Equality Impact Assessment (EIA) 2024/25 – Service Users</w:t>
      </w:r>
    </w:p>
    <w:p w14:paraId="4B8BDD31" w14:textId="77777777" w:rsidR="000729CF" w:rsidRPr="000729CF" w:rsidRDefault="000729CF" w:rsidP="000729CF">
      <w:pPr>
        <w:spacing w:after="160" w:line="259" w:lineRule="auto"/>
        <w:rPr>
          <w:rFonts w:ascii="Arial" w:eastAsia="Calibri" w:hAnsi="Arial" w:cs="Arial"/>
          <w:sz w:val="24"/>
          <w:szCs w:val="24"/>
          <w:lang w:val="en-GB"/>
        </w:rPr>
      </w:pPr>
    </w:p>
    <w:p w14:paraId="4FB189A0" w14:textId="77777777" w:rsidR="000729CF" w:rsidRPr="000729CF" w:rsidRDefault="000729CF" w:rsidP="000729CF">
      <w:pPr>
        <w:keepNext/>
        <w:keepLines/>
        <w:spacing w:after="160" w:line="259" w:lineRule="auto"/>
        <w:ind w:left="720" w:hanging="360"/>
        <w:outlineLvl w:val="1"/>
        <w:rPr>
          <w:rFonts w:ascii="Arial" w:hAnsi="Arial" w:cs="Arial"/>
          <w:color w:val="2F5496"/>
          <w:sz w:val="24"/>
          <w:szCs w:val="24"/>
          <w:lang w:val="en-GB"/>
        </w:rPr>
      </w:pPr>
      <w:r w:rsidRPr="000729CF">
        <w:rPr>
          <w:rFonts w:ascii="Arial" w:hAnsi="Arial" w:cs="Arial"/>
          <w:color w:val="2F5496"/>
          <w:sz w:val="24"/>
          <w:szCs w:val="24"/>
          <w:lang w:val="en-GB"/>
        </w:rPr>
        <w:t xml:space="preserve">Budget Proposal </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6492"/>
      </w:tblGrid>
      <w:tr w:rsidR="000729CF" w:rsidRPr="000729CF" w14:paraId="653F695B"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68F99D62"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Title of budget saving being assessed:</w:t>
            </w:r>
          </w:p>
        </w:tc>
        <w:tc>
          <w:tcPr>
            <w:tcW w:w="6492" w:type="dxa"/>
            <w:shd w:val="clear" w:color="auto" w:fill="auto"/>
          </w:tcPr>
          <w:p w14:paraId="4B17A5C6" w14:textId="77777777" w:rsidR="000729CF" w:rsidRPr="000729CF" w:rsidRDefault="000729CF" w:rsidP="000729CF">
            <w:pPr>
              <w:spacing w:after="12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Increase of the Brighton Centre Facility Fee by £0.50 (from £1.50 to £2.00) per ticket sold from January 1</w:t>
            </w:r>
            <w:r w:rsidRPr="000729CF">
              <w:rPr>
                <w:rFonts w:ascii="Arial" w:hAnsi="Arial" w:cs="Arial"/>
                <w:sz w:val="24"/>
                <w:szCs w:val="24"/>
                <w:vertAlign w:val="superscript"/>
              </w:rPr>
              <w:t>st</w:t>
            </w:r>
            <w:r w:rsidRPr="000729CF">
              <w:rPr>
                <w:rFonts w:ascii="Arial" w:hAnsi="Arial" w:cs="Arial"/>
                <w:sz w:val="24"/>
                <w:szCs w:val="24"/>
              </w:rPr>
              <w:t xml:space="preserve"> 2024</w:t>
            </w:r>
          </w:p>
        </w:tc>
      </w:tr>
      <w:tr w:rsidR="000729CF" w:rsidRPr="000729CF" w14:paraId="37376127"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4CB9AC63"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Name and title of officer responsible for this EIA: </w:t>
            </w:r>
          </w:p>
        </w:tc>
        <w:tc>
          <w:tcPr>
            <w:tcW w:w="6492" w:type="dxa"/>
            <w:shd w:val="clear" w:color="auto" w:fill="auto"/>
          </w:tcPr>
          <w:p w14:paraId="0A173420"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729CF">
              <w:rPr>
                <w:rFonts w:ascii="Arial" w:hAnsi="Arial" w:cs="Arial"/>
                <w:sz w:val="24"/>
                <w:szCs w:val="24"/>
              </w:rPr>
              <w:t>Howard Barden, Head of Tourism &amp; Venues</w:t>
            </w:r>
          </w:p>
        </w:tc>
      </w:tr>
      <w:tr w:rsidR="000729CF" w:rsidRPr="000729CF" w14:paraId="405C55D6" w14:textId="77777777" w:rsidTr="000729CF">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6296F17A"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Directorate and Service Name: </w:t>
            </w:r>
          </w:p>
        </w:tc>
        <w:tc>
          <w:tcPr>
            <w:tcW w:w="6492" w:type="dxa"/>
            <w:shd w:val="clear" w:color="auto" w:fill="auto"/>
          </w:tcPr>
          <w:p w14:paraId="53BACD21" w14:textId="77777777" w:rsidR="000729CF" w:rsidRPr="000729CF" w:rsidRDefault="000729CF" w:rsidP="000729CF">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Economy, Environment &amp; Culture – Culture, Tourism &amp; Sport</w:t>
            </w:r>
          </w:p>
        </w:tc>
      </w:tr>
      <w:tr w:rsidR="000729CF" w:rsidRPr="000729CF" w14:paraId="452751C5"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3155CD55"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Budget proposal no.</w:t>
            </w:r>
          </w:p>
        </w:tc>
        <w:tc>
          <w:tcPr>
            <w:tcW w:w="6492" w:type="dxa"/>
            <w:shd w:val="clear" w:color="auto" w:fill="auto"/>
          </w:tcPr>
          <w:p w14:paraId="43B30082"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i/>
                <w:iCs/>
                <w:sz w:val="24"/>
                <w:szCs w:val="24"/>
              </w:rPr>
            </w:pPr>
            <w:r w:rsidRPr="000729CF">
              <w:rPr>
                <w:rFonts w:ascii="Arial" w:hAnsi="Arial" w:cs="Arial"/>
                <w:sz w:val="24"/>
                <w:szCs w:val="24"/>
              </w:rPr>
              <w:t>19</w:t>
            </w:r>
          </w:p>
        </w:tc>
      </w:tr>
    </w:tbl>
    <w:p w14:paraId="1078C48B" w14:textId="77777777" w:rsidR="000729CF" w:rsidRPr="000729CF" w:rsidRDefault="000729CF" w:rsidP="000729CF">
      <w:pPr>
        <w:spacing w:after="160" w:line="259" w:lineRule="auto"/>
        <w:rPr>
          <w:rFonts w:ascii="Arial" w:eastAsia="Calibri" w:hAnsi="Arial" w:cs="Arial"/>
          <w:sz w:val="24"/>
          <w:szCs w:val="24"/>
          <w:lang w:val="en-GB"/>
        </w:rPr>
      </w:pPr>
    </w:p>
    <w:p w14:paraId="0418B109"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Briefly describe the budget saving proposal: (use the wording in the budget spreadsheet and more detail if needed)</w:t>
      </w:r>
    </w:p>
    <w:tbl>
      <w:tblPr>
        <w:tblStyle w:val="TableGrid"/>
        <w:tblW w:w="0" w:type="auto"/>
        <w:tblLook w:val="04A0" w:firstRow="1" w:lastRow="0" w:firstColumn="1" w:lastColumn="0" w:noHBand="0" w:noVBand="1"/>
      </w:tblPr>
      <w:tblGrid>
        <w:gridCol w:w="10456"/>
      </w:tblGrid>
      <w:tr w:rsidR="000729CF" w:rsidRPr="000729CF" w14:paraId="07A59458" w14:textId="77777777" w:rsidTr="00BC26AB">
        <w:trPr>
          <w:trHeight w:val="851"/>
        </w:trPr>
        <w:tc>
          <w:tcPr>
            <w:tcW w:w="10456" w:type="dxa"/>
            <w:tcBorders>
              <w:bottom w:val="single" w:sz="4" w:space="0" w:color="auto"/>
            </w:tcBorders>
          </w:tcPr>
          <w:p w14:paraId="424C640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Increase of the Brighton Centre Facility Fee by £0.50 per ticket sold from £1.50 to £2.00 on all ticket sales at the Brighton Centre from January 1st, 2024.</w:t>
            </w:r>
          </w:p>
        </w:tc>
      </w:tr>
      <w:tr w:rsidR="000729CF" w:rsidRPr="000729CF" w14:paraId="0438AE43" w14:textId="77777777" w:rsidTr="00BC26AB">
        <w:trPr>
          <w:trHeight w:val="851"/>
        </w:trPr>
        <w:tc>
          <w:tcPr>
            <w:tcW w:w="10456" w:type="dxa"/>
            <w:tcBorders>
              <w:left w:val="nil"/>
              <w:right w:val="nil"/>
            </w:tcBorders>
          </w:tcPr>
          <w:p w14:paraId="7638B1DB" w14:textId="77777777" w:rsidR="000729CF" w:rsidRPr="000729CF" w:rsidRDefault="000729CF" w:rsidP="000729CF">
            <w:pPr>
              <w:spacing w:after="120"/>
              <w:rPr>
                <w:rFonts w:ascii="Arial" w:eastAsia="Calibri" w:hAnsi="Arial" w:cs="Arial"/>
                <w:sz w:val="24"/>
                <w:szCs w:val="24"/>
              </w:rPr>
            </w:pPr>
          </w:p>
          <w:p w14:paraId="780C201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Summarise the most significant impacts identified by this assessment including which groups will be disproportionally negatively affected drawing out intersectional impacts as applicable:</w:t>
            </w:r>
          </w:p>
        </w:tc>
      </w:tr>
      <w:tr w:rsidR="000729CF" w:rsidRPr="000729CF" w14:paraId="4ED21AD2" w14:textId="77777777" w:rsidTr="00BC26AB">
        <w:trPr>
          <w:trHeight w:val="851"/>
        </w:trPr>
        <w:tc>
          <w:tcPr>
            <w:tcW w:w="10456" w:type="dxa"/>
          </w:tcPr>
          <w:p w14:paraId="0D81FCF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The increase of a £0.50 facility fee will impact on ticket buyers; ticket buying for events is a personal decision and the facility fee will form part of the overall cost to attend the event. Younger people, older people, working </w:t>
            </w:r>
            <w:proofErr w:type="gramStart"/>
            <w:r w:rsidRPr="000729CF">
              <w:rPr>
                <w:rFonts w:ascii="Arial" w:eastAsia="Calibri" w:hAnsi="Arial" w:cs="Arial"/>
                <w:sz w:val="24"/>
                <w:szCs w:val="24"/>
              </w:rPr>
              <w:t>age</w:t>
            </w:r>
            <w:proofErr w:type="gramEnd"/>
            <w:r w:rsidRPr="000729CF">
              <w:rPr>
                <w:rFonts w:ascii="Arial" w:eastAsia="Calibri" w:hAnsi="Arial" w:cs="Arial"/>
                <w:sz w:val="24"/>
                <w:szCs w:val="24"/>
              </w:rPr>
              <w:t xml:space="preserve"> people on benefits, disabled people, single parent households and those in socio-economic disadvantage are likely to be impacted by circa 33% fee increase.</w:t>
            </w:r>
          </w:p>
        </w:tc>
      </w:tr>
    </w:tbl>
    <w:p w14:paraId="6D5BBFA1" w14:textId="77777777" w:rsidR="000729CF" w:rsidRPr="000729CF" w:rsidRDefault="000729CF" w:rsidP="000729CF">
      <w:pPr>
        <w:rPr>
          <w:rFonts w:ascii="Arial" w:eastAsia="Calibri" w:hAnsi="Arial" w:cs="Arial"/>
          <w:sz w:val="24"/>
          <w:szCs w:val="24"/>
          <w:lang w:val="en-GB"/>
        </w:rPr>
      </w:pPr>
    </w:p>
    <w:p w14:paraId="73D37F6B" w14:textId="77777777" w:rsidR="000729CF" w:rsidRPr="000729CF" w:rsidRDefault="000729CF" w:rsidP="000729CF">
      <w:pPr>
        <w:spacing w:after="160" w:line="259" w:lineRule="auto"/>
        <w:rPr>
          <w:rFonts w:ascii="Arial" w:eastAsia="Calibri" w:hAnsi="Arial" w:cs="Arial"/>
          <w:sz w:val="24"/>
          <w:szCs w:val="24"/>
          <w:lang w:val="en-GB"/>
        </w:rPr>
      </w:pPr>
    </w:p>
    <w:p w14:paraId="13CC167F"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Consultation, engagement and supporting EIAs</w:t>
      </w:r>
    </w:p>
    <w:p w14:paraId="1787CBE6"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consultations or engagement activities are being used to inform this assessment? </w:t>
      </w:r>
    </w:p>
    <w:p w14:paraId="4FA5EE27"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If consultation is planned or in process – state this and state when it will done/completed even if indicative. If no consultation completed or planned, state this, giving an explanation. </w:t>
      </w:r>
    </w:p>
    <w:tbl>
      <w:tblPr>
        <w:tblStyle w:val="TableGrid"/>
        <w:tblW w:w="0" w:type="auto"/>
        <w:tblLook w:val="04A0" w:firstRow="1" w:lastRow="0" w:firstColumn="1" w:lastColumn="0" w:noHBand="0" w:noVBand="1"/>
      </w:tblPr>
      <w:tblGrid>
        <w:gridCol w:w="10456"/>
      </w:tblGrid>
      <w:tr w:rsidR="000729CF" w:rsidRPr="000729CF" w14:paraId="51F9F524" w14:textId="77777777" w:rsidTr="00BC26AB">
        <w:trPr>
          <w:trHeight w:val="871"/>
        </w:trPr>
        <w:tc>
          <w:tcPr>
            <w:tcW w:w="10456" w:type="dxa"/>
          </w:tcPr>
          <w:p w14:paraId="2BAE1F7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None – this is a commercial decision and in line with industry standards and broadly in line with other venues of a similar scale in terms of what they are charging as a facility fee on ticket purchases.</w:t>
            </w:r>
          </w:p>
        </w:tc>
      </w:tr>
    </w:tbl>
    <w:p w14:paraId="7D3E48E8" w14:textId="77777777" w:rsidR="000729CF" w:rsidRPr="000729CF" w:rsidRDefault="000729CF" w:rsidP="000729CF">
      <w:pPr>
        <w:spacing w:after="160" w:line="259" w:lineRule="auto"/>
        <w:rPr>
          <w:rFonts w:ascii="Arial" w:eastAsia="Calibri" w:hAnsi="Arial" w:cs="Arial"/>
          <w:sz w:val="24"/>
          <w:szCs w:val="24"/>
          <w:lang w:val="en-GB"/>
        </w:rPr>
      </w:pPr>
    </w:p>
    <w:p w14:paraId="597FDC86" w14:textId="77777777" w:rsidR="000729CF" w:rsidRPr="000729CF" w:rsidRDefault="000729CF" w:rsidP="000729CF">
      <w:pPr>
        <w:spacing w:after="160" w:line="259" w:lineRule="auto"/>
        <w:rPr>
          <w:rFonts w:ascii="Arial" w:eastAsia="Calibri" w:hAnsi="Arial" w:cs="Arial"/>
          <w:sz w:val="24"/>
          <w:szCs w:val="24"/>
          <w:lang w:val="en-GB"/>
        </w:rPr>
      </w:pPr>
    </w:p>
    <w:p w14:paraId="193BDE6B"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other budget or service EIAs can assist/have been used to inform this assessment?</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0729CF" w:rsidRPr="000729CF" w14:paraId="5EAFD29D"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shd w:val="clear" w:color="auto" w:fill="FFFFFF"/>
          </w:tcPr>
          <w:p w14:paraId="28D06B44"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Budget Equality Impact Assessment Template 2023/24 – the introduction of a £1.50 facility fee on all tickets sold at the Brighton Centre.</w:t>
            </w:r>
          </w:p>
        </w:tc>
      </w:tr>
    </w:tbl>
    <w:p w14:paraId="1A2FB2BF" w14:textId="77777777" w:rsidR="000729CF" w:rsidRPr="000729CF" w:rsidRDefault="000729CF" w:rsidP="000729CF">
      <w:pPr>
        <w:spacing w:after="160" w:line="259" w:lineRule="auto"/>
        <w:rPr>
          <w:rFonts w:ascii="Arial" w:eastAsia="Calibri" w:hAnsi="Arial" w:cs="Arial"/>
          <w:sz w:val="24"/>
          <w:szCs w:val="24"/>
          <w:lang w:val="en-GB"/>
        </w:rPr>
      </w:pPr>
    </w:p>
    <w:p w14:paraId="32E8F778"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Current data and impact monitoring</w:t>
      </w:r>
    </w:p>
    <w:p w14:paraId="2E6A8545"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Do you currently collect and analyse the following data to enable monitoring of the impact of this proposal? </w:t>
      </w:r>
    </w:p>
    <w:p w14:paraId="47877744"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Consider all possible intersections (Delete and State Yes, No, Not Applicable)</w:t>
      </w:r>
    </w:p>
    <w:tbl>
      <w:tblPr>
        <w:tblStyle w:val="TableGrid"/>
        <w:tblW w:w="10485" w:type="dxa"/>
        <w:tblLook w:val="04A0" w:firstRow="1" w:lastRow="0" w:firstColumn="1" w:lastColumn="0" w:noHBand="0" w:noVBand="1"/>
      </w:tblPr>
      <w:tblGrid>
        <w:gridCol w:w="6658"/>
        <w:gridCol w:w="3827"/>
      </w:tblGrid>
      <w:tr w:rsidR="000729CF" w:rsidRPr="000729CF" w14:paraId="37338857" w14:textId="77777777" w:rsidTr="000729CF">
        <w:trPr>
          <w:trHeight w:val="310"/>
        </w:trPr>
        <w:tc>
          <w:tcPr>
            <w:tcW w:w="6658" w:type="dxa"/>
            <w:shd w:val="clear" w:color="auto" w:fill="E7E6E6"/>
          </w:tcPr>
          <w:p w14:paraId="32F7455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Age</w:t>
            </w:r>
          </w:p>
        </w:tc>
        <w:tc>
          <w:tcPr>
            <w:tcW w:w="3827" w:type="dxa"/>
          </w:tcPr>
          <w:p w14:paraId="532B178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r>
      <w:tr w:rsidR="000729CF" w:rsidRPr="000729CF" w14:paraId="59A0A1F8" w14:textId="77777777" w:rsidTr="000729CF">
        <w:trPr>
          <w:trHeight w:val="20"/>
        </w:trPr>
        <w:tc>
          <w:tcPr>
            <w:tcW w:w="6658" w:type="dxa"/>
            <w:shd w:val="clear" w:color="auto" w:fill="E7E6E6"/>
          </w:tcPr>
          <w:p w14:paraId="4F023EB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Disability and inclusive adjustments, coverage under equality act and not</w:t>
            </w:r>
          </w:p>
        </w:tc>
        <w:tc>
          <w:tcPr>
            <w:tcW w:w="3827" w:type="dxa"/>
          </w:tcPr>
          <w:p w14:paraId="242C7C1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57771773" w14:textId="77777777" w:rsidTr="000729CF">
        <w:trPr>
          <w:trHeight w:val="20"/>
        </w:trPr>
        <w:tc>
          <w:tcPr>
            <w:tcW w:w="6658" w:type="dxa"/>
            <w:shd w:val="clear" w:color="auto" w:fill="E7E6E6"/>
          </w:tcPr>
          <w:p w14:paraId="0272825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Ethnicity, ‘Race’, ethnic heritage (including Gypsy, Roma, Travellers)</w:t>
            </w:r>
          </w:p>
        </w:tc>
        <w:tc>
          <w:tcPr>
            <w:tcW w:w="3827" w:type="dxa"/>
          </w:tcPr>
          <w:p w14:paraId="7DFFC00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15CD33D1" w14:textId="77777777" w:rsidTr="000729CF">
        <w:trPr>
          <w:trHeight w:val="20"/>
        </w:trPr>
        <w:tc>
          <w:tcPr>
            <w:tcW w:w="6658" w:type="dxa"/>
            <w:shd w:val="clear" w:color="auto" w:fill="E7E6E6"/>
          </w:tcPr>
          <w:p w14:paraId="0ECB833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Religion, Belief, Spirituality, Faith, or Atheism</w:t>
            </w:r>
          </w:p>
        </w:tc>
        <w:tc>
          <w:tcPr>
            <w:tcW w:w="3827" w:type="dxa"/>
          </w:tcPr>
          <w:p w14:paraId="30750F0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42DC1027" w14:textId="77777777" w:rsidTr="000729CF">
        <w:trPr>
          <w:trHeight w:val="20"/>
        </w:trPr>
        <w:tc>
          <w:tcPr>
            <w:tcW w:w="6658" w:type="dxa"/>
            <w:shd w:val="clear" w:color="auto" w:fill="E7E6E6"/>
          </w:tcPr>
          <w:p w14:paraId="7C4990F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Identity and Sex (including non-binary and Intersex people)</w:t>
            </w:r>
          </w:p>
        </w:tc>
        <w:tc>
          <w:tcPr>
            <w:tcW w:w="3827" w:type="dxa"/>
          </w:tcPr>
          <w:p w14:paraId="2D4B753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493AD5DB" w14:textId="77777777" w:rsidTr="000729CF">
        <w:trPr>
          <w:trHeight w:val="20"/>
        </w:trPr>
        <w:tc>
          <w:tcPr>
            <w:tcW w:w="6658" w:type="dxa"/>
            <w:shd w:val="clear" w:color="auto" w:fill="E7E6E6"/>
          </w:tcPr>
          <w:p w14:paraId="0F646DD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3827" w:type="dxa"/>
          </w:tcPr>
          <w:p w14:paraId="1AD71B3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38C97B2D" w14:textId="77777777" w:rsidTr="000729CF">
        <w:trPr>
          <w:trHeight w:val="20"/>
        </w:trPr>
        <w:tc>
          <w:tcPr>
            <w:tcW w:w="6658" w:type="dxa"/>
            <w:shd w:val="clear" w:color="auto" w:fill="E7E6E6"/>
          </w:tcPr>
          <w:p w14:paraId="712B0F1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3827" w:type="dxa"/>
          </w:tcPr>
          <w:p w14:paraId="1BEEF21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479F6079" w14:textId="77777777" w:rsidTr="000729CF">
        <w:trPr>
          <w:trHeight w:val="20"/>
        </w:trPr>
        <w:tc>
          <w:tcPr>
            <w:tcW w:w="6658" w:type="dxa"/>
            <w:shd w:val="clear" w:color="auto" w:fill="E7E6E6"/>
          </w:tcPr>
          <w:p w14:paraId="248730A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3827" w:type="dxa"/>
          </w:tcPr>
          <w:p w14:paraId="7161950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7943719A" w14:textId="77777777" w:rsidTr="000729CF">
        <w:trPr>
          <w:trHeight w:val="20"/>
        </w:trPr>
        <w:tc>
          <w:tcPr>
            <w:tcW w:w="6658" w:type="dxa"/>
            <w:shd w:val="clear" w:color="auto" w:fill="E7E6E6"/>
          </w:tcPr>
          <w:p w14:paraId="4844D28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Pregnant people, Maternity, Paternity, Adoption, Menopause, (In)fertility (across the gender spectrum)</w:t>
            </w:r>
          </w:p>
        </w:tc>
        <w:tc>
          <w:tcPr>
            <w:tcW w:w="3827" w:type="dxa"/>
          </w:tcPr>
          <w:p w14:paraId="134C82D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75A4D876" w14:textId="77777777" w:rsidTr="000729CF">
        <w:trPr>
          <w:trHeight w:val="20"/>
        </w:trPr>
        <w:tc>
          <w:tcPr>
            <w:tcW w:w="6658" w:type="dxa"/>
            <w:shd w:val="clear" w:color="auto" w:fill="E7E6E6"/>
          </w:tcPr>
          <w:p w14:paraId="2B6A0D7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3827" w:type="dxa"/>
          </w:tcPr>
          <w:p w14:paraId="1E92827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4BBCB0A9" w14:textId="77777777" w:rsidTr="000729CF">
        <w:trPr>
          <w:trHeight w:val="20"/>
        </w:trPr>
        <w:tc>
          <w:tcPr>
            <w:tcW w:w="6658" w:type="dxa"/>
            <w:shd w:val="clear" w:color="auto" w:fill="E7E6E6"/>
          </w:tcPr>
          <w:p w14:paraId="50112C04" w14:textId="77777777" w:rsidR="000729CF" w:rsidRPr="000729CF" w:rsidRDefault="000729CF" w:rsidP="000729CF">
            <w:pPr>
              <w:spacing w:after="120"/>
              <w:rPr>
                <w:rFonts w:ascii="Arial" w:hAnsi="Arial" w:cs="Arial"/>
                <w:b/>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p>
        </w:tc>
        <w:tc>
          <w:tcPr>
            <w:tcW w:w="3827" w:type="dxa"/>
          </w:tcPr>
          <w:p w14:paraId="3DD266C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67286FDC" w14:textId="77777777" w:rsidTr="000729CF">
        <w:trPr>
          <w:trHeight w:val="20"/>
        </w:trPr>
        <w:tc>
          <w:tcPr>
            <w:tcW w:w="6658" w:type="dxa"/>
            <w:shd w:val="clear" w:color="auto" w:fill="E7E6E6"/>
          </w:tcPr>
          <w:p w14:paraId="20D2263A" w14:textId="77777777" w:rsidR="000729CF" w:rsidRPr="000729CF" w:rsidRDefault="000729CF" w:rsidP="000729CF">
            <w:pPr>
              <w:spacing w:after="120"/>
              <w:rPr>
                <w:rFonts w:ascii="Arial" w:hAnsi="Arial" w:cs="Arial"/>
                <w:b/>
                <w:sz w:val="24"/>
                <w:szCs w:val="24"/>
              </w:rPr>
            </w:pPr>
            <w:r w:rsidRPr="000729CF">
              <w:rPr>
                <w:rFonts w:ascii="Arial" w:eastAsia="Calibri" w:hAnsi="Arial" w:cs="Arial"/>
                <w:b/>
                <w:bCs/>
                <w:color w:val="000000"/>
                <w:sz w:val="24"/>
                <w:szCs w:val="24"/>
              </w:rPr>
              <w:t>Carers</w:t>
            </w:r>
          </w:p>
        </w:tc>
        <w:tc>
          <w:tcPr>
            <w:tcW w:w="3827" w:type="dxa"/>
          </w:tcPr>
          <w:p w14:paraId="391148F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Carers receive a free ticket to attend events and will not be subject to the Facility Fee charge, this is in line with industry standards.</w:t>
            </w:r>
          </w:p>
        </w:tc>
      </w:tr>
      <w:tr w:rsidR="000729CF" w:rsidRPr="000729CF" w14:paraId="18107254" w14:textId="77777777" w:rsidTr="000729CF">
        <w:trPr>
          <w:trHeight w:val="20"/>
        </w:trPr>
        <w:tc>
          <w:tcPr>
            <w:tcW w:w="6658" w:type="dxa"/>
            <w:shd w:val="clear" w:color="auto" w:fill="E7E6E6"/>
          </w:tcPr>
          <w:p w14:paraId="1558461B"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Looked after children, Care Leavers, Care and fostering experienced people</w:t>
            </w:r>
          </w:p>
        </w:tc>
        <w:tc>
          <w:tcPr>
            <w:tcW w:w="3827" w:type="dxa"/>
          </w:tcPr>
          <w:p w14:paraId="768644F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10CE52AF" w14:textId="77777777" w:rsidTr="000729CF">
        <w:trPr>
          <w:trHeight w:val="20"/>
        </w:trPr>
        <w:tc>
          <w:tcPr>
            <w:tcW w:w="6658" w:type="dxa"/>
            <w:shd w:val="clear" w:color="auto" w:fill="E7E6E6"/>
          </w:tcPr>
          <w:p w14:paraId="49FEB5C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 and   people in vulnerable situations (All aspects and intersections)</w:t>
            </w:r>
          </w:p>
        </w:tc>
        <w:tc>
          <w:tcPr>
            <w:tcW w:w="3827" w:type="dxa"/>
          </w:tcPr>
          <w:p w14:paraId="4B90E5D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089164E9" w14:textId="77777777" w:rsidTr="000729CF">
        <w:trPr>
          <w:trHeight w:val="20"/>
        </w:trPr>
        <w:tc>
          <w:tcPr>
            <w:tcW w:w="6658" w:type="dxa"/>
            <w:shd w:val="clear" w:color="auto" w:fill="E7E6E6"/>
          </w:tcPr>
          <w:p w14:paraId="5646B46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Socio-economic Disadvantage</w:t>
            </w:r>
          </w:p>
        </w:tc>
        <w:tc>
          <w:tcPr>
            <w:tcW w:w="3827" w:type="dxa"/>
          </w:tcPr>
          <w:p w14:paraId="7184A3E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59A8A618" w14:textId="77777777" w:rsidTr="000729CF">
        <w:trPr>
          <w:trHeight w:val="20"/>
        </w:trPr>
        <w:tc>
          <w:tcPr>
            <w:tcW w:w="6658" w:type="dxa"/>
            <w:shd w:val="clear" w:color="auto" w:fill="E7E6E6"/>
          </w:tcPr>
          <w:p w14:paraId="4CD8FFE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Homelessness and associated risk and vulnerability</w:t>
            </w:r>
          </w:p>
        </w:tc>
        <w:tc>
          <w:tcPr>
            <w:tcW w:w="3827" w:type="dxa"/>
          </w:tcPr>
          <w:p w14:paraId="3BDE492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4D94F67D" w14:textId="77777777" w:rsidTr="000729CF">
        <w:trPr>
          <w:trHeight w:val="20"/>
        </w:trPr>
        <w:tc>
          <w:tcPr>
            <w:tcW w:w="6658" w:type="dxa"/>
            <w:shd w:val="clear" w:color="auto" w:fill="E7E6E6"/>
          </w:tcPr>
          <w:p w14:paraId="35F8D38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3827" w:type="dxa"/>
          </w:tcPr>
          <w:p w14:paraId="25D73EE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3F515CB9" w14:textId="77777777" w:rsidTr="000729CF">
        <w:trPr>
          <w:trHeight w:val="20"/>
        </w:trPr>
        <w:tc>
          <w:tcPr>
            <w:tcW w:w="6658" w:type="dxa"/>
            <w:shd w:val="clear" w:color="auto" w:fill="E7E6E6"/>
          </w:tcPr>
          <w:p w14:paraId="66C0F9B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 (please specify here and add additional rows as needed)</w:t>
            </w:r>
          </w:p>
        </w:tc>
        <w:tc>
          <w:tcPr>
            <w:tcW w:w="3827" w:type="dxa"/>
          </w:tcPr>
          <w:p w14:paraId="1437E4C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bl>
    <w:p w14:paraId="2F5EED4A" w14:textId="77777777" w:rsidR="000729CF" w:rsidRPr="000729CF" w:rsidRDefault="000729CF" w:rsidP="000729CF">
      <w:pPr>
        <w:rPr>
          <w:rFonts w:ascii="Arial" w:eastAsia="Calibri" w:hAnsi="Arial" w:cs="Arial"/>
          <w:sz w:val="24"/>
          <w:szCs w:val="24"/>
          <w:lang w:val="en-GB"/>
        </w:rPr>
      </w:pPr>
    </w:p>
    <w:p w14:paraId="67C1FFAE"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187AA136"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338756C8"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6A18F90A"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5B16F249"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1A59CBD0"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01ECB69E"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71268CE2"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6EF7B0DD"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2F48FB4F"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1DDDC444" w14:textId="77777777" w:rsidR="000729CF" w:rsidRPr="000729CF" w:rsidRDefault="000729CF" w:rsidP="000729CF">
      <w:pPr>
        <w:rPr>
          <w:rFonts w:ascii="Arial" w:eastAsia="Calibri" w:hAnsi="Arial" w:cs="Arial"/>
          <w:sz w:val="24"/>
          <w:szCs w:val="24"/>
          <w:lang w:val="en-GB"/>
        </w:rPr>
      </w:pPr>
    </w:p>
    <w:p w14:paraId="5FBF31E1"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If you answered “NO” to any of the above, how will you gather this data to enable improved monitoring of impact for this proposal?</w:t>
      </w:r>
    </w:p>
    <w:tbl>
      <w:tblPr>
        <w:tblStyle w:val="TableGrid"/>
        <w:tblW w:w="0" w:type="auto"/>
        <w:tblLook w:val="04A0" w:firstRow="1" w:lastRow="0" w:firstColumn="1" w:lastColumn="0" w:noHBand="0" w:noVBand="1"/>
      </w:tblPr>
      <w:tblGrid>
        <w:gridCol w:w="10456"/>
      </w:tblGrid>
      <w:tr w:rsidR="000729CF" w:rsidRPr="000729CF" w14:paraId="7C521DD1" w14:textId="77777777" w:rsidTr="00BC26AB">
        <w:trPr>
          <w:trHeight w:val="757"/>
        </w:trPr>
        <w:tc>
          <w:tcPr>
            <w:tcW w:w="10456" w:type="dxa"/>
          </w:tcPr>
          <w:p w14:paraId="44E9620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Monitoring is based on ticket sales post the introduction of the £1.50 facility fee in 2023. Currently we are not seeing any reduction in the appetite for ticket purchases at the Brighton Centre. Our best gauge on this are the more marginal annual events that we host and currently there appears to be no reduction in ticket sales for these events and ticket sales remain consistent prior to the introduction of the £1.50 facility fee on tickets sold. </w:t>
            </w:r>
          </w:p>
          <w:p w14:paraId="48625F7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However, there is no evidence to say if there has not been an impact on the affordability of attending events at the Brighton Centre for customers who are on lower incomes.</w:t>
            </w:r>
          </w:p>
          <w:p w14:paraId="00F61A0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In addition, we currently have not seen any evidence of a decrease in ticket sales by customers with access requirements for events with the introduction of Facility Fees at the Brighton Centre.</w:t>
            </w:r>
          </w:p>
        </w:tc>
      </w:tr>
    </w:tbl>
    <w:p w14:paraId="754EC47F" w14:textId="77777777" w:rsidR="000729CF" w:rsidRPr="000729CF" w:rsidRDefault="000729CF" w:rsidP="000729CF">
      <w:pPr>
        <w:rPr>
          <w:rFonts w:ascii="Arial" w:eastAsia="Calibri" w:hAnsi="Arial" w:cs="Arial"/>
          <w:sz w:val="24"/>
          <w:szCs w:val="24"/>
          <w:lang w:val="en-GB"/>
        </w:rPr>
      </w:pPr>
    </w:p>
    <w:p w14:paraId="69D54554" w14:textId="77777777" w:rsidR="000729CF" w:rsidRPr="000729CF" w:rsidRDefault="000729CF" w:rsidP="000729CF">
      <w:pPr>
        <w:rPr>
          <w:rFonts w:ascii="Arial" w:eastAsia="Calibri" w:hAnsi="Arial" w:cs="Arial"/>
          <w:sz w:val="24"/>
          <w:szCs w:val="24"/>
          <w:lang w:val="en-GB"/>
        </w:rPr>
      </w:pPr>
    </w:p>
    <w:p w14:paraId="35D197D6"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are the arrangements for monitoring, and reviewing the impact of this proposal?</w:t>
      </w:r>
    </w:p>
    <w:tbl>
      <w:tblPr>
        <w:tblStyle w:val="TableGrid"/>
        <w:tblW w:w="0" w:type="auto"/>
        <w:tblLook w:val="04A0" w:firstRow="1" w:lastRow="0" w:firstColumn="1" w:lastColumn="0" w:noHBand="0" w:noVBand="1"/>
      </w:tblPr>
      <w:tblGrid>
        <w:gridCol w:w="10456"/>
      </w:tblGrid>
      <w:tr w:rsidR="000729CF" w:rsidRPr="000729CF" w14:paraId="483C6386" w14:textId="77777777" w:rsidTr="00BC26AB">
        <w:trPr>
          <w:trHeight w:val="757"/>
        </w:trPr>
        <w:tc>
          <w:tcPr>
            <w:tcW w:w="10456" w:type="dxa"/>
          </w:tcPr>
          <w:p w14:paraId="44BAAAE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None – other than above</w:t>
            </w:r>
          </w:p>
        </w:tc>
      </w:tr>
    </w:tbl>
    <w:p w14:paraId="4FC2D735" w14:textId="77777777" w:rsidR="000729CF" w:rsidRPr="000729CF" w:rsidRDefault="000729CF" w:rsidP="000729CF">
      <w:pPr>
        <w:rPr>
          <w:rFonts w:ascii="Arial" w:eastAsia="Calibri" w:hAnsi="Arial" w:cs="Arial"/>
          <w:sz w:val="24"/>
          <w:szCs w:val="24"/>
          <w:lang w:val="en-GB"/>
        </w:rPr>
      </w:pPr>
    </w:p>
    <w:p w14:paraId="00C6E9B2" w14:textId="77777777" w:rsidR="000729CF" w:rsidRPr="000729CF" w:rsidRDefault="000729CF" w:rsidP="000729CF">
      <w:pPr>
        <w:rPr>
          <w:rFonts w:ascii="Arial" w:eastAsia="Calibri" w:hAnsi="Arial" w:cs="Arial"/>
          <w:sz w:val="24"/>
          <w:szCs w:val="24"/>
          <w:lang w:val="en-GB"/>
        </w:rPr>
      </w:pPr>
    </w:p>
    <w:p w14:paraId="69FFF22E"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Impacts</w:t>
      </w:r>
    </w:p>
    <w:p w14:paraId="1AFAC879"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Briefly state source of data or data analysis being used to describe the </w:t>
      </w:r>
      <w:r w:rsidRPr="000729CF">
        <w:rPr>
          <w:rFonts w:ascii="Arial" w:eastAsia="Calibri" w:hAnsi="Arial" w:cs="Arial"/>
          <w:color w:val="000000"/>
          <w:sz w:val="24"/>
          <w:szCs w:val="24"/>
          <w:bdr w:val="none" w:sz="0" w:space="0" w:color="auto" w:frame="1"/>
          <w:lang w:val="en-GB"/>
        </w:rPr>
        <w:t xml:space="preserve">disproportionate negative impacts. </w:t>
      </w:r>
      <w:r w:rsidRPr="000729CF">
        <w:rPr>
          <w:rFonts w:ascii="Arial" w:eastAsia="Calibri" w:hAnsi="Arial" w:cs="Arial"/>
          <w:sz w:val="24"/>
          <w:szCs w:val="24"/>
          <w:lang w:val="en-GB"/>
        </w:rPr>
        <w:t xml:space="preserve">Preferably provide link to data/ analysis if open data source. </w:t>
      </w:r>
    </w:p>
    <w:tbl>
      <w:tblPr>
        <w:tblStyle w:val="TableGrid"/>
        <w:tblW w:w="10485" w:type="dxa"/>
        <w:tblLook w:val="04A0" w:firstRow="1" w:lastRow="0" w:firstColumn="1" w:lastColumn="0" w:noHBand="0" w:noVBand="1"/>
      </w:tblPr>
      <w:tblGrid>
        <w:gridCol w:w="2985"/>
        <w:gridCol w:w="2123"/>
        <w:gridCol w:w="5377"/>
      </w:tblGrid>
      <w:tr w:rsidR="000729CF" w:rsidRPr="000729CF" w14:paraId="76DF7C48" w14:textId="77777777" w:rsidTr="000729CF">
        <w:trPr>
          <w:trHeight w:val="20"/>
        </w:trPr>
        <w:tc>
          <w:tcPr>
            <w:tcW w:w="2985" w:type="dxa"/>
            <w:shd w:val="clear" w:color="auto" w:fill="E7E6E6"/>
          </w:tcPr>
          <w:p w14:paraId="21E98F4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Assess impact for different population groups</w:t>
            </w:r>
          </w:p>
        </w:tc>
        <w:tc>
          <w:tcPr>
            <w:tcW w:w="2123" w:type="dxa"/>
            <w:shd w:val="clear" w:color="auto" w:fill="E7E6E6"/>
          </w:tcPr>
          <w:p w14:paraId="1829FE3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Is there a possible disproportionate negative impact? </w:t>
            </w:r>
          </w:p>
          <w:p w14:paraId="1E0A6E02" w14:textId="77777777" w:rsidR="000729CF" w:rsidRPr="000729CF" w:rsidRDefault="000729CF" w:rsidP="000729CF">
            <w:pPr>
              <w:spacing w:after="120"/>
              <w:rPr>
                <w:rFonts w:ascii="Arial" w:eastAsia="Calibri" w:hAnsi="Arial" w:cs="Arial"/>
                <w:b/>
                <w:bCs/>
                <w:sz w:val="24"/>
                <w:szCs w:val="24"/>
              </w:rPr>
            </w:pPr>
          </w:p>
          <w:p w14:paraId="112AF70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b/>
                <w:bCs/>
                <w:sz w:val="24"/>
                <w:szCs w:val="24"/>
              </w:rPr>
              <w:t>State Yes or No</w:t>
            </w:r>
          </w:p>
        </w:tc>
        <w:tc>
          <w:tcPr>
            <w:tcW w:w="5377" w:type="dxa"/>
            <w:shd w:val="clear" w:color="auto" w:fill="E7E6E6"/>
          </w:tcPr>
          <w:p w14:paraId="3853992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Describe the potential negative impact, considering for differences within groups For example, different ethnic groups, and peoples intersecting identities e.g. disabled women of faith</w:t>
            </w:r>
          </w:p>
          <w:p w14:paraId="7A26CC7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OR</w:t>
            </w:r>
          </w:p>
          <w:p w14:paraId="3D801CD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If no impact is identified, briefly state why.</w:t>
            </w:r>
          </w:p>
        </w:tc>
      </w:tr>
      <w:tr w:rsidR="000729CF" w:rsidRPr="000729CF" w14:paraId="293A8280" w14:textId="77777777" w:rsidTr="000729CF">
        <w:trPr>
          <w:trHeight w:val="20"/>
        </w:trPr>
        <w:tc>
          <w:tcPr>
            <w:tcW w:w="2985" w:type="dxa"/>
            <w:shd w:val="clear" w:color="auto" w:fill="E7E6E6"/>
          </w:tcPr>
          <w:p w14:paraId="76AFD2F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Age </w:t>
            </w:r>
          </w:p>
          <w:p w14:paraId="523DFF1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sz w:val="24"/>
                <w:szCs w:val="24"/>
              </w:rPr>
              <w:t>including those under 16, young adults, multiple ethnicities, those with various intersections.</w:t>
            </w:r>
          </w:p>
        </w:tc>
        <w:tc>
          <w:tcPr>
            <w:tcW w:w="2123" w:type="dxa"/>
          </w:tcPr>
          <w:p w14:paraId="2F6EE9D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4D0DE5E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By increasing the facility fee, this will increase the cost to attend events at the Brighton Centre. This may impact on the affordability of attending events at the Brighton Centre for customers who are on lower and fixed incomes. This would include older people on fixed incomes, working </w:t>
            </w:r>
            <w:proofErr w:type="gramStart"/>
            <w:r w:rsidRPr="000729CF">
              <w:rPr>
                <w:rFonts w:ascii="Arial" w:eastAsia="Calibri" w:hAnsi="Arial" w:cs="Arial"/>
                <w:sz w:val="24"/>
                <w:szCs w:val="24"/>
              </w:rPr>
              <w:t>age</w:t>
            </w:r>
            <w:proofErr w:type="gramEnd"/>
            <w:r w:rsidRPr="000729CF">
              <w:rPr>
                <w:rFonts w:ascii="Arial" w:eastAsia="Calibri" w:hAnsi="Arial" w:cs="Arial"/>
                <w:sz w:val="24"/>
                <w:szCs w:val="24"/>
              </w:rPr>
              <w:t xml:space="preserve"> people on benefits and young adults in low paid employment, all living in a city with high housing costs.</w:t>
            </w:r>
          </w:p>
        </w:tc>
      </w:tr>
      <w:tr w:rsidR="000729CF" w:rsidRPr="000729CF" w14:paraId="6259E961" w14:textId="77777777" w:rsidTr="000729CF">
        <w:trPr>
          <w:trHeight w:val="20"/>
        </w:trPr>
        <w:tc>
          <w:tcPr>
            <w:tcW w:w="2985" w:type="dxa"/>
            <w:shd w:val="clear" w:color="auto" w:fill="E7E6E6"/>
          </w:tcPr>
          <w:p w14:paraId="44AD3454"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 xml:space="preserve">Disability </w:t>
            </w:r>
            <w:r w:rsidRPr="000729CF">
              <w:rPr>
                <w:rFonts w:ascii="Arial" w:eastAsia="Calibri" w:hAnsi="Arial" w:cs="Arial"/>
                <w:sz w:val="24"/>
                <w:szCs w:val="24"/>
              </w:rPr>
              <w:t>includes physical and sensory disabled, D/deaf, deafened, hard of hearing, blind, neurodiverse people, people with non-visible disabilities.</w:t>
            </w:r>
          </w:p>
        </w:tc>
        <w:tc>
          <w:tcPr>
            <w:tcW w:w="2123" w:type="dxa"/>
          </w:tcPr>
          <w:p w14:paraId="43BD4D7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505184A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increase of the facility fee may have an impact on the affordability of attending events at the Brighton Centre for customers who are on lower incomes. Disabled People are more likely to have lower incomes and spend a greater portion of their incomes on daily living expenses and therefore have less disposal income for leisure and social activities. We currently have not seen any evidence of a decrease in ticket sales for customers with access requirements for events at the Brighton Centre due to the introduction of a Facility Fee at the Brighton Centre. This is based on some of our annual repeat business shows where we have seen no impact on ticket sales from previous years when the facility fee was not in place.</w:t>
            </w:r>
          </w:p>
        </w:tc>
      </w:tr>
      <w:tr w:rsidR="000729CF" w:rsidRPr="000729CF" w14:paraId="39AC2713" w14:textId="77777777" w:rsidTr="000729CF">
        <w:trPr>
          <w:trHeight w:val="20"/>
        </w:trPr>
        <w:tc>
          <w:tcPr>
            <w:tcW w:w="2985" w:type="dxa"/>
            <w:shd w:val="clear" w:color="auto" w:fill="E7E6E6"/>
          </w:tcPr>
          <w:p w14:paraId="2E5B26B9" w14:textId="77777777" w:rsidR="000729CF" w:rsidRPr="000729CF" w:rsidRDefault="000729CF" w:rsidP="000729CF">
            <w:pPr>
              <w:keepNext/>
              <w:keepLines/>
              <w:spacing w:before="40"/>
              <w:outlineLvl w:val="2"/>
              <w:rPr>
                <w:rFonts w:ascii="Arial" w:hAnsi="Arial" w:cs="Arial"/>
                <w:color w:val="1F3763"/>
                <w:sz w:val="24"/>
                <w:szCs w:val="24"/>
              </w:rPr>
            </w:pPr>
            <w:r w:rsidRPr="000729CF">
              <w:rPr>
                <w:rFonts w:ascii="Arial" w:hAnsi="Arial" w:cs="Arial"/>
                <w:b/>
                <w:bCs/>
                <w:color w:val="000000"/>
                <w:sz w:val="24"/>
                <w:szCs w:val="24"/>
              </w:rPr>
              <w:t>Ethnicity, ‘</w:t>
            </w:r>
            <w:r w:rsidRPr="000729CF">
              <w:rPr>
                <w:rFonts w:ascii="Arial" w:hAnsi="Arial" w:cs="Arial"/>
                <w:color w:val="000000"/>
                <w:sz w:val="24"/>
                <w:szCs w:val="24"/>
              </w:rPr>
              <w:t>Race’, ethnic heritage including Gypsy, Roma, Travellers</w:t>
            </w:r>
          </w:p>
        </w:tc>
        <w:tc>
          <w:tcPr>
            <w:tcW w:w="2123" w:type="dxa"/>
          </w:tcPr>
          <w:p w14:paraId="79E9640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09AFD5DD" w14:textId="77777777" w:rsidR="000729CF" w:rsidRPr="000729CF" w:rsidRDefault="000729CF" w:rsidP="000729CF">
            <w:pPr>
              <w:spacing w:after="120"/>
              <w:rPr>
                <w:rFonts w:ascii="Arial" w:eastAsia="Calibri" w:hAnsi="Arial" w:cs="Arial"/>
                <w:sz w:val="24"/>
                <w:szCs w:val="24"/>
              </w:rPr>
            </w:pPr>
          </w:p>
        </w:tc>
      </w:tr>
      <w:tr w:rsidR="000729CF" w:rsidRPr="000729CF" w14:paraId="7632F755" w14:textId="77777777" w:rsidTr="000729CF">
        <w:trPr>
          <w:trHeight w:val="20"/>
        </w:trPr>
        <w:tc>
          <w:tcPr>
            <w:tcW w:w="2985" w:type="dxa"/>
            <w:shd w:val="clear" w:color="auto" w:fill="E7E6E6"/>
          </w:tcPr>
          <w:p w14:paraId="1C63C8B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Religion, Spirituality, Faith, Atheism, and philosophical belief </w:t>
            </w:r>
          </w:p>
        </w:tc>
        <w:tc>
          <w:tcPr>
            <w:tcW w:w="2123" w:type="dxa"/>
          </w:tcPr>
          <w:p w14:paraId="3B16D80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766AB1C6" w14:textId="77777777" w:rsidR="000729CF" w:rsidRPr="000729CF" w:rsidRDefault="000729CF" w:rsidP="000729CF">
            <w:pPr>
              <w:spacing w:after="120"/>
              <w:rPr>
                <w:rFonts w:ascii="Arial" w:eastAsia="Calibri" w:hAnsi="Arial" w:cs="Arial"/>
                <w:sz w:val="24"/>
                <w:szCs w:val="24"/>
              </w:rPr>
            </w:pPr>
          </w:p>
        </w:tc>
      </w:tr>
      <w:tr w:rsidR="000729CF" w:rsidRPr="000729CF" w14:paraId="70FA3309" w14:textId="77777777" w:rsidTr="000729CF">
        <w:trPr>
          <w:trHeight w:val="20"/>
        </w:trPr>
        <w:tc>
          <w:tcPr>
            <w:tcW w:w="2985" w:type="dxa"/>
            <w:shd w:val="clear" w:color="auto" w:fill="E7E6E6"/>
          </w:tcPr>
          <w:p w14:paraId="1C47623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Gender and Sex </w:t>
            </w:r>
            <w:r w:rsidRPr="000729CF">
              <w:rPr>
                <w:rFonts w:ascii="Arial" w:eastAsia="Calibri" w:hAnsi="Arial" w:cs="Arial"/>
                <w:sz w:val="24"/>
                <w:szCs w:val="24"/>
              </w:rPr>
              <w:t>including non-binary and intersex people</w:t>
            </w:r>
          </w:p>
        </w:tc>
        <w:tc>
          <w:tcPr>
            <w:tcW w:w="2123" w:type="dxa"/>
          </w:tcPr>
          <w:p w14:paraId="798F352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05F66E2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90% of single parent households in the city are female.  Single parent households are often on low incomes/fixed incomes.</w:t>
            </w:r>
          </w:p>
          <w:p w14:paraId="59ECEAD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By increasing the facility fee, this will increase the cost to attend events at the Brighton Centre. This may impact on the affordability of attending events at the Brighton Centre for customers who are on lower and fixed incomes.</w:t>
            </w:r>
          </w:p>
        </w:tc>
      </w:tr>
      <w:tr w:rsidR="000729CF" w:rsidRPr="000729CF" w14:paraId="4EC8814B" w14:textId="77777777" w:rsidTr="000729CF">
        <w:trPr>
          <w:trHeight w:val="20"/>
        </w:trPr>
        <w:tc>
          <w:tcPr>
            <w:tcW w:w="2985" w:type="dxa"/>
            <w:shd w:val="clear" w:color="auto" w:fill="E7E6E6"/>
          </w:tcPr>
          <w:p w14:paraId="4984E6E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2123" w:type="dxa"/>
          </w:tcPr>
          <w:p w14:paraId="0A9B889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0BD39359" w14:textId="77777777" w:rsidR="000729CF" w:rsidRPr="000729CF" w:rsidRDefault="000729CF" w:rsidP="000729CF">
            <w:pPr>
              <w:spacing w:after="120"/>
              <w:rPr>
                <w:rFonts w:ascii="Arial" w:eastAsia="Calibri" w:hAnsi="Arial" w:cs="Arial"/>
                <w:sz w:val="24"/>
                <w:szCs w:val="24"/>
              </w:rPr>
            </w:pPr>
          </w:p>
        </w:tc>
      </w:tr>
      <w:tr w:rsidR="000729CF" w:rsidRPr="000729CF" w14:paraId="32F7A5BF" w14:textId="77777777" w:rsidTr="000729CF">
        <w:trPr>
          <w:trHeight w:val="20"/>
        </w:trPr>
        <w:tc>
          <w:tcPr>
            <w:tcW w:w="2985" w:type="dxa"/>
            <w:shd w:val="clear" w:color="auto" w:fill="E7E6E6"/>
          </w:tcPr>
          <w:p w14:paraId="7D14EA6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2123" w:type="dxa"/>
          </w:tcPr>
          <w:p w14:paraId="2671F25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7C6B1453" w14:textId="77777777" w:rsidR="000729CF" w:rsidRPr="000729CF" w:rsidRDefault="000729CF" w:rsidP="000729CF">
            <w:pPr>
              <w:spacing w:after="120"/>
              <w:rPr>
                <w:rFonts w:ascii="Arial" w:eastAsia="Calibri" w:hAnsi="Arial" w:cs="Arial"/>
                <w:sz w:val="24"/>
                <w:szCs w:val="24"/>
              </w:rPr>
            </w:pPr>
          </w:p>
        </w:tc>
      </w:tr>
      <w:tr w:rsidR="000729CF" w:rsidRPr="000729CF" w14:paraId="1A7B1D0A" w14:textId="77777777" w:rsidTr="000729CF">
        <w:trPr>
          <w:trHeight w:val="20"/>
        </w:trPr>
        <w:tc>
          <w:tcPr>
            <w:tcW w:w="2985" w:type="dxa"/>
            <w:shd w:val="clear" w:color="auto" w:fill="E7E6E6"/>
          </w:tcPr>
          <w:p w14:paraId="619E51F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2123" w:type="dxa"/>
          </w:tcPr>
          <w:p w14:paraId="11BAAEA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41CAC1D7" w14:textId="77777777" w:rsidR="000729CF" w:rsidRPr="000729CF" w:rsidRDefault="000729CF" w:rsidP="000729CF">
            <w:pPr>
              <w:spacing w:after="120"/>
              <w:rPr>
                <w:rFonts w:ascii="Arial" w:eastAsia="Calibri" w:hAnsi="Arial" w:cs="Arial"/>
                <w:sz w:val="24"/>
                <w:szCs w:val="24"/>
              </w:rPr>
            </w:pPr>
          </w:p>
        </w:tc>
      </w:tr>
      <w:tr w:rsidR="000729CF" w:rsidRPr="000729CF" w14:paraId="25DFFCB8" w14:textId="77777777" w:rsidTr="000729CF">
        <w:trPr>
          <w:trHeight w:val="20"/>
        </w:trPr>
        <w:tc>
          <w:tcPr>
            <w:tcW w:w="2985" w:type="dxa"/>
            <w:shd w:val="clear" w:color="auto" w:fill="E7E6E6"/>
          </w:tcPr>
          <w:p w14:paraId="0015CA8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Pregnancy, Maternity, Paternity, Adoption, Menopause, (In)fertility </w:t>
            </w:r>
            <w:r w:rsidRPr="000729CF">
              <w:rPr>
                <w:rFonts w:ascii="Arial" w:eastAsia="Calibri" w:hAnsi="Arial" w:cs="Arial"/>
                <w:color w:val="000000"/>
                <w:sz w:val="24"/>
                <w:szCs w:val="24"/>
              </w:rPr>
              <w:t>(across intersections and non-binary gender spectrum)</w:t>
            </w:r>
          </w:p>
        </w:tc>
        <w:tc>
          <w:tcPr>
            <w:tcW w:w="2123" w:type="dxa"/>
          </w:tcPr>
          <w:p w14:paraId="5F06370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0C7955DF" w14:textId="77777777" w:rsidR="000729CF" w:rsidRPr="000729CF" w:rsidRDefault="000729CF" w:rsidP="000729CF">
            <w:pPr>
              <w:spacing w:after="120"/>
              <w:rPr>
                <w:rFonts w:ascii="Arial" w:eastAsia="Calibri" w:hAnsi="Arial" w:cs="Arial"/>
                <w:sz w:val="24"/>
                <w:szCs w:val="24"/>
              </w:rPr>
            </w:pPr>
          </w:p>
        </w:tc>
      </w:tr>
      <w:tr w:rsidR="000729CF" w:rsidRPr="000729CF" w14:paraId="1CE00E19" w14:textId="77777777" w:rsidTr="000729CF">
        <w:trPr>
          <w:trHeight w:val="20"/>
        </w:trPr>
        <w:tc>
          <w:tcPr>
            <w:tcW w:w="2985" w:type="dxa"/>
            <w:shd w:val="clear" w:color="auto" w:fill="E7E6E6"/>
          </w:tcPr>
          <w:p w14:paraId="1CEED4D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2123" w:type="dxa"/>
          </w:tcPr>
          <w:p w14:paraId="1169211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0926498B" w14:textId="77777777" w:rsidR="000729CF" w:rsidRPr="000729CF" w:rsidRDefault="000729CF" w:rsidP="000729CF">
            <w:pPr>
              <w:spacing w:after="120"/>
              <w:rPr>
                <w:rFonts w:ascii="Arial" w:eastAsia="Calibri" w:hAnsi="Arial" w:cs="Arial"/>
                <w:sz w:val="24"/>
                <w:szCs w:val="24"/>
              </w:rPr>
            </w:pPr>
          </w:p>
        </w:tc>
      </w:tr>
      <w:tr w:rsidR="000729CF" w:rsidRPr="000729CF" w14:paraId="2F83B398" w14:textId="77777777" w:rsidTr="000729CF">
        <w:trPr>
          <w:trHeight w:val="20"/>
        </w:trPr>
        <w:tc>
          <w:tcPr>
            <w:tcW w:w="2985" w:type="dxa"/>
            <w:shd w:val="clear" w:color="auto" w:fill="E7E6E6"/>
          </w:tcPr>
          <w:p w14:paraId="5A899C30" w14:textId="77777777" w:rsidR="000729CF" w:rsidRPr="000729CF" w:rsidRDefault="000729CF" w:rsidP="000729CF">
            <w:pPr>
              <w:spacing w:after="120"/>
              <w:rPr>
                <w:rFonts w:ascii="Arial" w:eastAsia="Calibri" w:hAnsi="Arial" w:cs="Arial"/>
                <w:b/>
                <w:bCs/>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r w:rsidRPr="000729CF">
              <w:rPr>
                <w:rFonts w:ascii="Arial" w:hAnsi="Arial" w:cs="Arial"/>
                <w:color w:val="000000"/>
                <w:sz w:val="24"/>
                <w:szCs w:val="24"/>
              </w:rPr>
              <w:t>considering for age, language, and various intersections</w:t>
            </w:r>
          </w:p>
        </w:tc>
        <w:tc>
          <w:tcPr>
            <w:tcW w:w="2123" w:type="dxa"/>
          </w:tcPr>
          <w:p w14:paraId="6C39C5B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7F63B780" w14:textId="77777777" w:rsidR="000729CF" w:rsidRPr="000729CF" w:rsidRDefault="000729CF" w:rsidP="000729CF">
            <w:pPr>
              <w:spacing w:after="120"/>
              <w:rPr>
                <w:rFonts w:ascii="Arial" w:eastAsia="Calibri" w:hAnsi="Arial" w:cs="Arial"/>
                <w:sz w:val="24"/>
                <w:szCs w:val="24"/>
              </w:rPr>
            </w:pPr>
          </w:p>
        </w:tc>
      </w:tr>
      <w:tr w:rsidR="000729CF" w:rsidRPr="000729CF" w14:paraId="42D4A390" w14:textId="77777777" w:rsidTr="000729CF">
        <w:trPr>
          <w:trHeight w:val="20"/>
        </w:trPr>
        <w:tc>
          <w:tcPr>
            <w:tcW w:w="2985" w:type="dxa"/>
            <w:shd w:val="clear" w:color="auto" w:fill="E7E6E6"/>
          </w:tcPr>
          <w:p w14:paraId="6A8D9F1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Carers </w:t>
            </w:r>
            <w:r w:rsidRPr="000729CF">
              <w:rPr>
                <w:rFonts w:ascii="Arial" w:hAnsi="Arial" w:cs="Arial"/>
                <w:color w:val="000000"/>
                <w:sz w:val="24"/>
                <w:szCs w:val="24"/>
              </w:rPr>
              <w:t>considering for age, language, and various intersections</w:t>
            </w:r>
          </w:p>
        </w:tc>
        <w:tc>
          <w:tcPr>
            <w:tcW w:w="2123" w:type="dxa"/>
          </w:tcPr>
          <w:p w14:paraId="561C28A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114FF0C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Carers receive a free ticket to attend events with a customer with access requirements paying a full price ticket, and the carer will not be subject to the Facility Fee charge, this is in line with industry standards.</w:t>
            </w:r>
          </w:p>
        </w:tc>
      </w:tr>
      <w:tr w:rsidR="000729CF" w:rsidRPr="000729CF" w14:paraId="0D98489C" w14:textId="77777777" w:rsidTr="000729CF">
        <w:trPr>
          <w:trHeight w:val="20"/>
        </w:trPr>
        <w:tc>
          <w:tcPr>
            <w:tcW w:w="2985" w:type="dxa"/>
            <w:shd w:val="clear" w:color="auto" w:fill="E7E6E6"/>
          </w:tcPr>
          <w:p w14:paraId="729397A9"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 xml:space="preserve">Looked after children, Care Leavers, Care and fostering experienced people </w:t>
            </w:r>
            <w:r w:rsidRPr="000729CF">
              <w:rPr>
                <w:rFonts w:ascii="Arial" w:hAnsi="Arial" w:cs="Arial"/>
                <w:color w:val="000000"/>
                <w:sz w:val="24"/>
                <w:szCs w:val="24"/>
              </w:rPr>
              <w:t>considering for age, language, and various intersections</w:t>
            </w:r>
          </w:p>
        </w:tc>
        <w:tc>
          <w:tcPr>
            <w:tcW w:w="2123" w:type="dxa"/>
          </w:tcPr>
          <w:p w14:paraId="232E321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3E458F53" w14:textId="77777777" w:rsidR="000729CF" w:rsidRPr="000729CF" w:rsidRDefault="000729CF" w:rsidP="000729CF">
            <w:pPr>
              <w:spacing w:after="120"/>
              <w:rPr>
                <w:rFonts w:ascii="Arial" w:eastAsia="Calibri" w:hAnsi="Arial" w:cs="Arial"/>
                <w:sz w:val="24"/>
                <w:szCs w:val="24"/>
              </w:rPr>
            </w:pPr>
          </w:p>
        </w:tc>
      </w:tr>
      <w:tr w:rsidR="000729CF" w:rsidRPr="000729CF" w14:paraId="6C4AB242" w14:textId="77777777" w:rsidTr="000729CF">
        <w:trPr>
          <w:trHeight w:val="960"/>
        </w:trPr>
        <w:tc>
          <w:tcPr>
            <w:tcW w:w="2985" w:type="dxa"/>
            <w:shd w:val="clear" w:color="auto" w:fill="E7E6E6"/>
          </w:tcPr>
          <w:p w14:paraId="262639E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w:t>
            </w:r>
          </w:p>
        </w:tc>
        <w:tc>
          <w:tcPr>
            <w:tcW w:w="2123" w:type="dxa"/>
          </w:tcPr>
          <w:p w14:paraId="2388135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365B6BFE" w14:textId="77777777" w:rsidR="000729CF" w:rsidRPr="000729CF" w:rsidRDefault="000729CF" w:rsidP="000729CF">
            <w:pPr>
              <w:spacing w:after="120"/>
              <w:rPr>
                <w:rFonts w:ascii="Arial" w:eastAsia="Calibri" w:hAnsi="Arial" w:cs="Arial"/>
                <w:sz w:val="24"/>
                <w:szCs w:val="24"/>
              </w:rPr>
            </w:pPr>
          </w:p>
        </w:tc>
      </w:tr>
      <w:tr w:rsidR="000729CF" w:rsidRPr="000729CF" w14:paraId="1312FCB9" w14:textId="77777777" w:rsidTr="000729CF">
        <w:trPr>
          <w:trHeight w:val="20"/>
        </w:trPr>
        <w:tc>
          <w:tcPr>
            <w:tcW w:w="2985" w:type="dxa"/>
            <w:shd w:val="clear" w:color="auto" w:fill="E7E6E6"/>
          </w:tcPr>
          <w:p w14:paraId="08A576A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Socio-economic disadvantage </w:t>
            </w:r>
            <w:r w:rsidRPr="000729CF">
              <w:rPr>
                <w:rFonts w:ascii="Arial" w:eastAsia="Calibri" w:hAnsi="Arial" w:cs="Arial"/>
                <w:color w:val="000000"/>
                <w:sz w:val="24"/>
                <w:szCs w:val="24"/>
              </w:rPr>
              <w:t>considering for age, disability, D/deaf/ blind, ethnicity, expatriate background, and various intersections</w:t>
            </w:r>
          </w:p>
        </w:tc>
        <w:tc>
          <w:tcPr>
            <w:tcW w:w="2123" w:type="dxa"/>
          </w:tcPr>
          <w:p w14:paraId="4EC5B51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11C0233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By increasing the facility fee, this will increase the cost to attend events at the Brighton Centre. This may impact on the affordability of attending events at the Brighton Centre for customers who are on lower and fixed incomes</w:t>
            </w:r>
          </w:p>
        </w:tc>
      </w:tr>
      <w:tr w:rsidR="000729CF" w:rsidRPr="000729CF" w14:paraId="053FAF7C" w14:textId="77777777" w:rsidTr="000729CF">
        <w:trPr>
          <w:trHeight w:val="20"/>
        </w:trPr>
        <w:tc>
          <w:tcPr>
            <w:tcW w:w="2985" w:type="dxa"/>
            <w:shd w:val="clear" w:color="auto" w:fill="E7E6E6"/>
          </w:tcPr>
          <w:p w14:paraId="5A760A9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Homeless and rough sleepers </w:t>
            </w:r>
            <w:r w:rsidRPr="000729CF">
              <w:rPr>
                <w:rFonts w:ascii="Arial" w:eastAsia="Calibri" w:hAnsi="Arial" w:cs="Arial"/>
                <w:color w:val="000000"/>
                <w:sz w:val="24"/>
                <w:szCs w:val="24"/>
              </w:rPr>
              <w:t>considering for age, veteran, ethnicity, language, and various intersections</w:t>
            </w:r>
          </w:p>
        </w:tc>
        <w:tc>
          <w:tcPr>
            <w:tcW w:w="2123" w:type="dxa"/>
          </w:tcPr>
          <w:p w14:paraId="7D81245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5E5BDD2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By increasing the facility fee, this will increase the cost to attend events at the Brighton Centre. This may impact on the affordability of attending events at the Brighton Centre for customers who are on lower and fixed incomes including households in temporary and emergency accommodation.</w:t>
            </w:r>
          </w:p>
        </w:tc>
      </w:tr>
      <w:tr w:rsidR="000729CF" w:rsidRPr="000729CF" w14:paraId="1F80E542" w14:textId="77777777" w:rsidTr="000729CF">
        <w:trPr>
          <w:trHeight w:val="20"/>
        </w:trPr>
        <w:tc>
          <w:tcPr>
            <w:tcW w:w="2985" w:type="dxa"/>
            <w:shd w:val="clear" w:color="auto" w:fill="E7E6E6"/>
          </w:tcPr>
          <w:p w14:paraId="773BCFC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2123" w:type="dxa"/>
          </w:tcPr>
          <w:p w14:paraId="4C9E29A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6AB0E653" w14:textId="77777777" w:rsidR="000729CF" w:rsidRPr="000729CF" w:rsidRDefault="000729CF" w:rsidP="000729CF">
            <w:pPr>
              <w:spacing w:after="120"/>
              <w:rPr>
                <w:rFonts w:ascii="Arial" w:eastAsia="Calibri" w:hAnsi="Arial" w:cs="Arial"/>
                <w:sz w:val="24"/>
                <w:szCs w:val="24"/>
              </w:rPr>
            </w:pPr>
          </w:p>
        </w:tc>
      </w:tr>
      <w:tr w:rsidR="000729CF" w:rsidRPr="000729CF" w14:paraId="1360BF61" w14:textId="77777777" w:rsidTr="000729CF">
        <w:trPr>
          <w:trHeight w:val="20"/>
        </w:trPr>
        <w:tc>
          <w:tcPr>
            <w:tcW w:w="2985" w:type="dxa"/>
            <w:shd w:val="clear" w:color="auto" w:fill="E7E6E6"/>
          </w:tcPr>
          <w:p w14:paraId="2EE7C60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 (please specify here and add additional rows as needed)</w:t>
            </w:r>
          </w:p>
        </w:tc>
        <w:tc>
          <w:tcPr>
            <w:tcW w:w="2123" w:type="dxa"/>
          </w:tcPr>
          <w:p w14:paraId="0CA5DFF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N/A</w:t>
            </w:r>
          </w:p>
        </w:tc>
        <w:tc>
          <w:tcPr>
            <w:tcW w:w="5377" w:type="dxa"/>
          </w:tcPr>
          <w:p w14:paraId="528D577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N/A</w:t>
            </w:r>
          </w:p>
        </w:tc>
      </w:tr>
    </w:tbl>
    <w:p w14:paraId="019AB599" w14:textId="77777777" w:rsidR="000729CF" w:rsidRPr="000729CF" w:rsidRDefault="000729CF" w:rsidP="000729CF">
      <w:pPr>
        <w:spacing w:after="160" w:line="259" w:lineRule="auto"/>
        <w:rPr>
          <w:rFonts w:ascii="Arial" w:eastAsia="Calibri" w:hAnsi="Arial" w:cs="Arial"/>
          <w:b/>
          <w:bCs/>
          <w:sz w:val="24"/>
          <w:szCs w:val="24"/>
          <w:lang w:val="en-GB"/>
        </w:rPr>
      </w:pPr>
    </w:p>
    <w:p w14:paraId="27355B64"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44FFD6A2"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25D9D8E3"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316237F6"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20099463"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2A8E6066"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3314F901"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46A16DEF"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3A034A1C"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2B3ED74F"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24D6C1F3" w14:textId="77777777" w:rsidR="000729CF" w:rsidRPr="000729CF" w:rsidRDefault="000729CF" w:rsidP="000729CF">
      <w:pPr>
        <w:rPr>
          <w:rFonts w:ascii="Arial" w:eastAsia="Calibri" w:hAnsi="Arial" w:cs="Arial"/>
          <w:sz w:val="24"/>
          <w:szCs w:val="24"/>
          <w:lang w:val="en-GB"/>
        </w:rPr>
      </w:pPr>
    </w:p>
    <w:p w14:paraId="5DDB4F5B"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Cumulative impacts</w:t>
      </w:r>
    </w:p>
    <w:p w14:paraId="41804C39"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Are there other budget proposals from other service areas that might worsen or mitigate the impacts from your proposal? Please give a brief description including name of other service(s).</w:t>
      </w:r>
    </w:p>
    <w:tbl>
      <w:tblPr>
        <w:tblStyle w:val="TableGrid"/>
        <w:tblW w:w="0" w:type="auto"/>
        <w:tblLook w:val="04A0" w:firstRow="1" w:lastRow="0" w:firstColumn="1" w:lastColumn="0" w:noHBand="0" w:noVBand="1"/>
      </w:tblPr>
      <w:tblGrid>
        <w:gridCol w:w="10456"/>
      </w:tblGrid>
      <w:tr w:rsidR="000729CF" w:rsidRPr="000729CF" w14:paraId="645A47D0" w14:textId="77777777" w:rsidTr="00BC26AB">
        <w:tc>
          <w:tcPr>
            <w:tcW w:w="10456" w:type="dxa"/>
          </w:tcPr>
          <w:p w14:paraId="71F8EB57"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 xml:space="preserve">Other services across the council are likely to be increasing charges and fees and therefore households/individuals on low/fixed incomes may be impacted by multiple proposals. </w:t>
            </w:r>
          </w:p>
          <w:p w14:paraId="75695121" w14:textId="77777777" w:rsidR="000729CF" w:rsidRPr="000729CF" w:rsidRDefault="000729CF" w:rsidP="000729CF">
            <w:pPr>
              <w:rPr>
                <w:rFonts w:ascii="Arial" w:eastAsia="Calibri" w:hAnsi="Arial" w:cs="Arial"/>
                <w:sz w:val="24"/>
                <w:szCs w:val="24"/>
              </w:rPr>
            </w:pPr>
          </w:p>
        </w:tc>
      </w:tr>
    </w:tbl>
    <w:p w14:paraId="7681D4E5" w14:textId="77777777" w:rsidR="000729CF" w:rsidRPr="000729CF" w:rsidRDefault="000729CF" w:rsidP="000729CF">
      <w:pPr>
        <w:spacing w:after="160" w:line="259" w:lineRule="auto"/>
        <w:rPr>
          <w:rFonts w:ascii="Arial" w:eastAsia="Calibri" w:hAnsi="Arial" w:cs="Arial"/>
          <w:sz w:val="24"/>
          <w:szCs w:val="24"/>
          <w:lang w:val="en-GB"/>
        </w:rPr>
      </w:pPr>
    </w:p>
    <w:p w14:paraId="6DD14954"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Action planning</w:t>
      </w:r>
    </w:p>
    <w:p w14:paraId="10F70A56"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SMART actions will be taken to mitigate the disproportionate impacts identified in section 3? If no mitigating action is possible, please state and explain why. Add additional rows as required. </w:t>
      </w:r>
    </w:p>
    <w:tbl>
      <w:tblPr>
        <w:tblStyle w:val="TableGrid"/>
        <w:tblW w:w="0" w:type="auto"/>
        <w:tblLook w:val="04A0" w:firstRow="1" w:lastRow="0" w:firstColumn="1" w:lastColumn="0" w:noHBand="0" w:noVBand="1"/>
      </w:tblPr>
      <w:tblGrid>
        <w:gridCol w:w="10456"/>
      </w:tblGrid>
      <w:tr w:rsidR="000729CF" w:rsidRPr="000729CF" w14:paraId="6DCB1194" w14:textId="77777777" w:rsidTr="00BC26AB">
        <w:trPr>
          <w:trHeight w:val="847"/>
        </w:trPr>
        <w:tc>
          <w:tcPr>
            <w:tcW w:w="10456" w:type="dxa"/>
          </w:tcPr>
          <w:p w14:paraId="7054519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mitigation actions are available due to: commercial decision and in line with industry standards and broadly in line with other venues of a similar scale in terms of what they are charging as a facility fee on ticket purchases.</w:t>
            </w:r>
          </w:p>
        </w:tc>
      </w:tr>
    </w:tbl>
    <w:p w14:paraId="226E4132" w14:textId="77777777" w:rsidR="000729CF" w:rsidRPr="000729CF" w:rsidRDefault="000729CF" w:rsidP="000729CF">
      <w:pPr>
        <w:spacing w:after="160" w:line="259" w:lineRule="auto"/>
        <w:rPr>
          <w:rFonts w:ascii="Arial" w:eastAsia="Calibri" w:hAnsi="Arial" w:cs="Arial"/>
          <w:sz w:val="24"/>
          <w:szCs w:val="24"/>
          <w:lang w:val="en-GB"/>
        </w:rPr>
      </w:pPr>
    </w:p>
    <w:p w14:paraId="7AC7DA53"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Outcome of your assessment</w:t>
      </w:r>
    </w:p>
    <w:p w14:paraId="600FA713"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Based on the information above give the proposal an impact score between 1 – 5. </w:t>
      </w:r>
    </w:p>
    <w:p w14:paraId="538966BB"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1= proposal has minimal impact and/or mitigating actions will significantly minimise the impact</w:t>
      </w:r>
    </w:p>
    <w:p w14:paraId="5937042D"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3= proposal will have a significant negative impact; however, mitigation actions will reduce the impact considerably.</w:t>
      </w:r>
    </w:p>
    <w:p w14:paraId="2EA80FEF"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5= proposal has significant impact and mitigating actions will have limited effect on reducing impact.</w:t>
      </w:r>
    </w:p>
    <w:p w14:paraId="007818A6" w14:textId="77777777" w:rsidR="000729CF" w:rsidRPr="000729CF" w:rsidRDefault="000729CF" w:rsidP="000729CF">
      <w:pPr>
        <w:rPr>
          <w:rFonts w:ascii="Arial" w:eastAsia="Calibri" w:hAnsi="Arial" w:cs="Arial"/>
          <w:sz w:val="24"/>
          <w:szCs w:val="24"/>
          <w:highlight w:val="yellow"/>
          <w:lang w:val="en-GB"/>
        </w:rPr>
      </w:pPr>
    </w:p>
    <w:tbl>
      <w:tblPr>
        <w:tblStyle w:val="TableGrid"/>
        <w:tblW w:w="0" w:type="auto"/>
        <w:tblLook w:val="04A0" w:firstRow="1" w:lastRow="0" w:firstColumn="1" w:lastColumn="0" w:noHBand="0" w:noVBand="1"/>
      </w:tblPr>
      <w:tblGrid>
        <w:gridCol w:w="3114"/>
        <w:gridCol w:w="7342"/>
      </w:tblGrid>
      <w:tr w:rsidR="000729CF" w:rsidRPr="000729CF" w14:paraId="3DD7ADD6" w14:textId="77777777" w:rsidTr="00BC26AB">
        <w:trPr>
          <w:trHeight w:val="152"/>
        </w:trPr>
        <w:tc>
          <w:tcPr>
            <w:tcW w:w="3114" w:type="dxa"/>
          </w:tcPr>
          <w:p w14:paraId="1A563D1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Proposal’s impact score:</w:t>
            </w:r>
          </w:p>
        </w:tc>
        <w:tc>
          <w:tcPr>
            <w:tcW w:w="7342" w:type="dxa"/>
          </w:tcPr>
          <w:p w14:paraId="7972A2A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2</w:t>
            </w:r>
          </w:p>
        </w:tc>
      </w:tr>
    </w:tbl>
    <w:p w14:paraId="1634CB07" w14:textId="77777777" w:rsidR="000729CF" w:rsidRPr="000729CF" w:rsidRDefault="000729CF" w:rsidP="000729CF">
      <w:pPr>
        <w:spacing w:after="160" w:line="259" w:lineRule="auto"/>
        <w:rPr>
          <w:rFonts w:ascii="Arial" w:eastAsia="Calibri" w:hAnsi="Arial" w:cs="Arial"/>
          <w:sz w:val="24"/>
          <w:szCs w:val="24"/>
          <w:lang w:val="en-GB"/>
        </w:rPr>
      </w:pPr>
    </w:p>
    <w:p w14:paraId="025D8EAF"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Publication</w:t>
      </w:r>
    </w:p>
    <w:p w14:paraId="5A377975"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All Equality Impact Assessments will be published. If you are recommending, and choosing not to publish your EIA, please provide a reason:</w:t>
      </w:r>
    </w:p>
    <w:tbl>
      <w:tblPr>
        <w:tblStyle w:val="TableGrid"/>
        <w:tblW w:w="0" w:type="auto"/>
        <w:tblLook w:val="04A0" w:firstRow="1" w:lastRow="0" w:firstColumn="1" w:lastColumn="0" w:noHBand="0" w:noVBand="1"/>
      </w:tblPr>
      <w:tblGrid>
        <w:gridCol w:w="10456"/>
      </w:tblGrid>
      <w:tr w:rsidR="000729CF" w:rsidRPr="000729CF" w14:paraId="0BA93015" w14:textId="77777777" w:rsidTr="00BC26AB">
        <w:trPr>
          <w:trHeight w:val="803"/>
        </w:trPr>
        <w:tc>
          <w:tcPr>
            <w:tcW w:w="10456" w:type="dxa"/>
          </w:tcPr>
          <w:p w14:paraId="1D3B6BF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n/a</w:t>
            </w:r>
          </w:p>
        </w:tc>
      </w:tr>
    </w:tbl>
    <w:p w14:paraId="74A65132" w14:textId="77777777" w:rsidR="000729CF" w:rsidRPr="000729CF" w:rsidRDefault="000729CF" w:rsidP="000729CF">
      <w:pPr>
        <w:spacing w:after="160" w:line="259" w:lineRule="auto"/>
        <w:rPr>
          <w:rFonts w:ascii="Arial" w:eastAsia="Calibri" w:hAnsi="Arial" w:cs="Arial"/>
          <w:sz w:val="24"/>
          <w:szCs w:val="24"/>
          <w:lang w:val="en-GB"/>
        </w:rPr>
      </w:pPr>
    </w:p>
    <w:p w14:paraId="2B85D484"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Directorate and Service Approval</w:t>
      </w:r>
    </w:p>
    <w:tbl>
      <w:tblPr>
        <w:tblStyle w:val="TableGrid"/>
        <w:tblW w:w="0" w:type="auto"/>
        <w:tblLook w:val="04A0" w:firstRow="1" w:lastRow="0" w:firstColumn="1" w:lastColumn="0" w:noHBand="0" w:noVBand="1"/>
      </w:tblPr>
      <w:tblGrid>
        <w:gridCol w:w="3681"/>
        <w:gridCol w:w="4394"/>
        <w:gridCol w:w="2381"/>
      </w:tblGrid>
      <w:tr w:rsidR="000729CF" w:rsidRPr="000729CF" w14:paraId="16145161" w14:textId="77777777" w:rsidTr="000729CF">
        <w:trPr>
          <w:trHeight w:val="20"/>
        </w:trPr>
        <w:tc>
          <w:tcPr>
            <w:tcW w:w="3681" w:type="dxa"/>
            <w:tcBorders>
              <w:bottom w:val="single" w:sz="4" w:space="0" w:color="auto"/>
            </w:tcBorders>
            <w:shd w:val="clear" w:color="auto" w:fill="D9D9D9"/>
          </w:tcPr>
          <w:p w14:paraId="48368E6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700256C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 and Job Title:</w:t>
            </w:r>
          </w:p>
        </w:tc>
        <w:tc>
          <w:tcPr>
            <w:tcW w:w="2381" w:type="dxa"/>
            <w:shd w:val="clear" w:color="auto" w:fill="D9D9D9"/>
          </w:tcPr>
          <w:p w14:paraId="24C78A6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179B836C" w14:textId="77777777" w:rsidTr="000729CF">
        <w:trPr>
          <w:trHeight w:val="20"/>
        </w:trPr>
        <w:tc>
          <w:tcPr>
            <w:tcW w:w="3681" w:type="dxa"/>
            <w:shd w:val="clear" w:color="auto" w:fill="E7E6E6"/>
          </w:tcPr>
          <w:p w14:paraId="2482BB2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Responsible Lead Officer:</w:t>
            </w:r>
          </w:p>
        </w:tc>
        <w:tc>
          <w:tcPr>
            <w:tcW w:w="4394" w:type="dxa"/>
          </w:tcPr>
          <w:p w14:paraId="4653650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Howard Barden, Head of Tourism &amp; Venues</w:t>
            </w:r>
          </w:p>
        </w:tc>
        <w:tc>
          <w:tcPr>
            <w:tcW w:w="2381" w:type="dxa"/>
          </w:tcPr>
          <w:p w14:paraId="0857491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11/12/2023</w:t>
            </w:r>
          </w:p>
        </w:tc>
      </w:tr>
      <w:tr w:rsidR="000729CF" w:rsidRPr="000729CF" w14:paraId="26CBF581" w14:textId="77777777" w:rsidTr="000729CF">
        <w:trPr>
          <w:trHeight w:val="20"/>
        </w:trPr>
        <w:tc>
          <w:tcPr>
            <w:tcW w:w="3681" w:type="dxa"/>
            <w:shd w:val="clear" w:color="auto" w:fill="E7E6E6"/>
          </w:tcPr>
          <w:p w14:paraId="440D831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Accountable Manager:</w:t>
            </w:r>
          </w:p>
        </w:tc>
        <w:tc>
          <w:tcPr>
            <w:tcW w:w="4394" w:type="dxa"/>
          </w:tcPr>
          <w:p w14:paraId="556A5C9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Chenine Bhathena, Assistant Director Culture, Tourism &amp; Sport</w:t>
            </w:r>
          </w:p>
        </w:tc>
        <w:tc>
          <w:tcPr>
            <w:tcW w:w="2381" w:type="dxa"/>
          </w:tcPr>
          <w:p w14:paraId="6C702F1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22/01/2024</w:t>
            </w:r>
          </w:p>
        </w:tc>
      </w:tr>
    </w:tbl>
    <w:p w14:paraId="79960F7B" w14:textId="77777777" w:rsidR="000729CF" w:rsidRPr="000729CF" w:rsidRDefault="000729CF" w:rsidP="000729CF">
      <w:pPr>
        <w:spacing w:after="160" w:line="259" w:lineRule="auto"/>
        <w:rPr>
          <w:rFonts w:ascii="Arial" w:eastAsia="Calibri" w:hAnsi="Arial" w:cs="Arial"/>
          <w:sz w:val="24"/>
          <w:szCs w:val="24"/>
          <w:lang w:val="en-GB"/>
        </w:rPr>
      </w:pPr>
    </w:p>
    <w:p w14:paraId="0CDCD5AD" w14:textId="77777777" w:rsidR="000729CF" w:rsidRPr="000729CF" w:rsidRDefault="000729CF" w:rsidP="000729CF">
      <w:pPr>
        <w:keepNext/>
        <w:keepLines/>
        <w:spacing w:before="40" w:after="160" w:line="259" w:lineRule="auto"/>
        <w:outlineLvl w:val="2"/>
        <w:rPr>
          <w:rFonts w:ascii="Arial" w:hAnsi="Arial" w:cs="Arial"/>
          <w:b/>
          <w:bCs/>
          <w:color w:val="000000"/>
          <w:sz w:val="28"/>
          <w:szCs w:val="28"/>
          <w:lang w:val="en-GB"/>
        </w:rPr>
      </w:pPr>
      <w:r w:rsidRPr="000729CF">
        <w:rPr>
          <w:rFonts w:ascii="Arial" w:hAnsi="Arial" w:cs="Arial"/>
          <w:b/>
          <w:bCs/>
          <w:color w:val="000000"/>
          <w:sz w:val="28"/>
          <w:szCs w:val="28"/>
          <w:lang w:val="en-GB"/>
        </w:rPr>
        <w:t>EDI Review and Approval:</w:t>
      </w:r>
    </w:p>
    <w:p w14:paraId="0EFE0838" w14:textId="77777777" w:rsidR="000729CF" w:rsidRPr="000729CF" w:rsidRDefault="000729CF" w:rsidP="000729CF">
      <w:pPr>
        <w:spacing w:after="160" w:line="259" w:lineRule="auto"/>
        <w:rPr>
          <w:rFonts w:ascii="Arial" w:eastAsia="Calibri" w:hAnsi="Arial" w:cs="Arial"/>
          <w:sz w:val="24"/>
          <w:szCs w:val="24"/>
          <w:lang w:val="en-GB"/>
        </w:rPr>
      </w:pPr>
    </w:p>
    <w:p w14:paraId="428E12ED" w14:textId="77777777" w:rsidR="000729CF" w:rsidRPr="000729CF" w:rsidRDefault="000729CF" w:rsidP="000729CF">
      <w:pPr>
        <w:keepNext/>
        <w:keepLines/>
        <w:spacing w:after="160" w:line="259" w:lineRule="auto"/>
        <w:ind w:left="283" w:hanging="283"/>
        <w:outlineLvl w:val="1"/>
        <w:rPr>
          <w:rFonts w:ascii="Arial" w:hAnsi="Arial" w:cs="Arial"/>
          <w:color w:val="2F5496"/>
          <w:sz w:val="24"/>
          <w:szCs w:val="24"/>
          <w:lang w:val="en-GB"/>
        </w:rPr>
      </w:pPr>
      <w:r w:rsidRPr="000729CF">
        <w:rPr>
          <w:rFonts w:ascii="Arial" w:hAnsi="Arial" w:cs="Arial"/>
          <w:color w:val="2F5496"/>
          <w:sz w:val="24"/>
          <w:szCs w:val="24"/>
          <w:lang w:val="en-GB"/>
        </w:rPr>
        <w:t>Equality Impact Assessment sign-off</w:t>
      </w:r>
    </w:p>
    <w:tbl>
      <w:tblPr>
        <w:tblStyle w:val="TableGrid"/>
        <w:tblW w:w="0" w:type="auto"/>
        <w:tblLook w:val="04A0" w:firstRow="1" w:lastRow="0" w:firstColumn="1" w:lastColumn="0" w:noHBand="0" w:noVBand="1"/>
      </w:tblPr>
      <w:tblGrid>
        <w:gridCol w:w="3681"/>
        <w:gridCol w:w="4394"/>
        <w:gridCol w:w="2381"/>
      </w:tblGrid>
      <w:tr w:rsidR="000729CF" w:rsidRPr="000729CF" w14:paraId="45A62E3D" w14:textId="77777777" w:rsidTr="000729CF">
        <w:trPr>
          <w:trHeight w:val="20"/>
        </w:trPr>
        <w:tc>
          <w:tcPr>
            <w:tcW w:w="3681" w:type="dxa"/>
            <w:tcBorders>
              <w:bottom w:val="single" w:sz="4" w:space="0" w:color="auto"/>
            </w:tcBorders>
            <w:shd w:val="clear" w:color="auto" w:fill="D9D9D9"/>
          </w:tcPr>
          <w:p w14:paraId="5F78EBF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3D01ECE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w:t>
            </w:r>
          </w:p>
        </w:tc>
        <w:tc>
          <w:tcPr>
            <w:tcW w:w="2381" w:type="dxa"/>
            <w:shd w:val="clear" w:color="auto" w:fill="D9D9D9"/>
          </w:tcPr>
          <w:p w14:paraId="0DE92E6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3BBCBDF1" w14:textId="77777777" w:rsidTr="000729CF">
        <w:trPr>
          <w:trHeight w:val="20"/>
        </w:trPr>
        <w:tc>
          <w:tcPr>
            <w:tcW w:w="3681" w:type="dxa"/>
            <w:shd w:val="clear" w:color="auto" w:fill="E7E6E6"/>
          </w:tcPr>
          <w:p w14:paraId="1348A79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Head of Communities, Equality, and Third Sector (CETS) Service:</w:t>
            </w:r>
          </w:p>
        </w:tc>
        <w:tc>
          <w:tcPr>
            <w:tcW w:w="4394" w:type="dxa"/>
          </w:tcPr>
          <w:p w14:paraId="65510B2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Emma McDermott </w:t>
            </w:r>
          </w:p>
        </w:tc>
        <w:tc>
          <w:tcPr>
            <w:tcW w:w="2381" w:type="dxa"/>
          </w:tcPr>
          <w:p w14:paraId="7125370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22-01-24</w:t>
            </w:r>
          </w:p>
        </w:tc>
      </w:tr>
    </w:tbl>
    <w:p w14:paraId="52CF9B98" w14:textId="77777777" w:rsidR="000729CF" w:rsidRPr="000729CF" w:rsidRDefault="000729CF" w:rsidP="000729CF">
      <w:pPr>
        <w:rPr>
          <w:rFonts w:ascii="Arial" w:eastAsia="Calibri" w:hAnsi="Arial" w:cs="Arial"/>
          <w:sz w:val="22"/>
          <w:szCs w:val="22"/>
          <w:lang w:val="en-GB"/>
        </w:rPr>
      </w:pPr>
    </w:p>
    <w:p w14:paraId="0190F648" w14:textId="77777777" w:rsidR="000729CF" w:rsidRPr="000729CF" w:rsidRDefault="000729CF" w:rsidP="000729CF">
      <w:pPr>
        <w:spacing w:after="160" w:line="259" w:lineRule="auto"/>
        <w:rPr>
          <w:rFonts w:ascii="Arial" w:eastAsia="Calibri" w:hAnsi="Arial" w:cs="Arial"/>
          <w:b/>
          <w:bCs/>
          <w:sz w:val="24"/>
          <w:szCs w:val="24"/>
          <w:lang w:val="en-GB"/>
        </w:rPr>
      </w:pPr>
    </w:p>
    <w:p w14:paraId="3144D663" w14:textId="77777777" w:rsidR="000729CF" w:rsidRPr="000729CF" w:rsidRDefault="000729CF" w:rsidP="000729CF">
      <w:pPr>
        <w:keepNext/>
        <w:keepLines/>
        <w:spacing w:after="160" w:line="259" w:lineRule="auto"/>
        <w:outlineLvl w:val="1"/>
        <w:rPr>
          <w:rFonts w:ascii="Arial" w:eastAsia="Calibri" w:hAnsi="Arial" w:cs="Arial"/>
          <w:sz w:val="24"/>
          <w:szCs w:val="24"/>
          <w:lang w:val="en-GB"/>
        </w:rPr>
      </w:pPr>
    </w:p>
    <w:p w14:paraId="38E17094" w14:textId="77777777" w:rsidR="000729CF" w:rsidRPr="000729CF" w:rsidRDefault="000729CF" w:rsidP="000729CF">
      <w:pPr>
        <w:spacing w:after="160" w:line="259" w:lineRule="auto"/>
        <w:rPr>
          <w:rFonts w:ascii="Arial" w:eastAsia="Calibri" w:hAnsi="Arial" w:cs="Arial"/>
          <w:sz w:val="24"/>
          <w:szCs w:val="24"/>
          <w:lang w:val="en-GB"/>
        </w:rPr>
      </w:pPr>
    </w:p>
    <w:p w14:paraId="3BA8B03A"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br w:type="page"/>
      </w:r>
    </w:p>
    <w:p w14:paraId="517D63C1" w14:textId="77777777" w:rsidR="000729CF" w:rsidRPr="000729CF" w:rsidRDefault="000729CF" w:rsidP="000729CF">
      <w:pPr>
        <w:keepNext/>
        <w:keepLines/>
        <w:spacing w:after="160" w:line="259" w:lineRule="auto"/>
        <w:outlineLvl w:val="0"/>
        <w:rPr>
          <w:rFonts w:ascii="Arial" w:hAnsi="Arial" w:cs="Arial"/>
          <w:b/>
          <w:bCs/>
          <w:color w:val="2F5496"/>
          <w:sz w:val="28"/>
          <w:szCs w:val="28"/>
          <w:lang w:val="en-GB"/>
        </w:rPr>
      </w:pPr>
      <w:r w:rsidRPr="000729CF">
        <w:rPr>
          <w:rFonts w:ascii="Arial" w:hAnsi="Arial" w:cs="Arial"/>
          <w:b/>
          <w:bCs/>
          <w:color w:val="2F5496"/>
          <w:sz w:val="28"/>
          <w:szCs w:val="28"/>
          <w:lang w:val="en-GB"/>
        </w:rPr>
        <w:t>Budget Equality Impact Assessment (EIA) 2024/25 – Service Users</w:t>
      </w:r>
    </w:p>
    <w:p w14:paraId="5268D647" w14:textId="77777777" w:rsidR="000729CF" w:rsidRPr="000729CF" w:rsidRDefault="000729CF" w:rsidP="000729CF">
      <w:pPr>
        <w:spacing w:after="160" w:line="259" w:lineRule="auto"/>
        <w:rPr>
          <w:rFonts w:ascii="Arial" w:eastAsia="Calibri" w:hAnsi="Arial" w:cs="Arial"/>
          <w:sz w:val="24"/>
          <w:szCs w:val="24"/>
          <w:lang w:val="en-GB"/>
        </w:rPr>
      </w:pPr>
    </w:p>
    <w:p w14:paraId="1AF1429A" w14:textId="77777777" w:rsidR="000729CF" w:rsidRPr="000729CF" w:rsidRDefault="000729CF" w:rsidP="000729CF">
      <w:pPr>
        <w:keepNext/>
        <w:keepLines/>
        <w:spacing w:after="160" w:line="259" w:lineRule="auto"/>
        <w:ind w:left="720" w:hanging="360"/>
        <w:outlineLvl w:val="1"/>
        <w:rPr>
          <w:rFonts w:ascii="Arial" w:hAnsi="Arial" w:cs="Arial"/>
          <w:color w:val="2F5496"/>
          <w:sz w:val="24"/>
          <w:szCs w:val="24"/>
          <w:lang w:val="en-GB"/>
        </w:rPr>
      </w:pPr>
      <w:r w:rsidRPr="000729CF">
        <w:rPr>
          <w:rFonts w:ascii="Arial" w:hAnsi="Arial" w:cs="Arial"/>
          <w:color w:val="2F5496"/>
          <w:sz w:val="24"/>
          <w:szCs w:val="24"/>
          <w:lang w:val="en-GB"/>
        </w:rPr>
        <w:t xml:space="preserve">Budget Proposal </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6492"/>
      </w:tblGrid>
      <w:tr w:rsidR="000729CF" w:rsidRPr="000729CF" w14:paraId="0BF26947"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3494DB7F"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Title of budget saving being assessed:</w:t>
            </w:r>
          </w:p>
        </w:tc>
        <w:tc>
          <w:tcPr>
            <w:tcW w:w="6492" w:type="dxa"/>
            <w:shd w:val="clear" w:color="auto" w:fill="auto"/>
          </w:tcPr>
          <w:p w14:paraId="4DB570E6" w14:textId="77777777" w:rsidR="000729CF" w:rsidRPr="000729CF" w:rsidRDefault="000729CF" w:rsidP="000729CF">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eastAsia="en-GB"/>
              </w:rPr>
            </w:pPr>
            <w:r w:rsidRPr="000729CF">
              <w:rPr>
                <w:rFonts w:ascii="Arial" w:hAnsi="Arial" w:cs="Arial"/>
                <w:sz w:val="24"/>
                <w:szCs w:val="24"/>
                <w:lang w:eastAsia="en-GB"/>
              </w:rPr>
              <w:t>Introduction of Beach Hut Transfer Fee</w:t>
            </w:r>
          </w:p>
          <w:p w14:paraId="44B9189F" w14:textId="77777777" w:rsidR="000729CF" w:rsidRPr="000729CF" w:rsidRDefault="000729CF" w:rsidP="000729CF">
            <w:pPr>
              <w:spacing w:after="12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000729CF" w:rsidRPr="000729CF" w14:paraId="08D2E1B2"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6DBD7047"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Name and title of officer responsible for this EIA: </w:t>
            </w:r>
          </w:p>
        </w:tc>
        <w:tc>
          <w:tcPr>
            <w:tcW w:w="6492" w:type="dxa"/>
            <w:shd w:val="clear" w:color="auto" w:fill="auto"/>
          </w:tcPr>
          <w:p w14:paraId="1789496F"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729CF">
              <w:rPr>
                <w:rFonts w:ascii="Arial" w:hAnsi="Arial" w:cs="Arial"/>
                <w:sz w:val="24"/>
                <w:szCs w:val="24"/>
              </w:rPr>
              <w:t>Toni Manuel, Seafront Development Manager</w:t>
            </w:r>
          </w:p>
        </w:tc>
      </w:tr>
      <w:tr w:rsidR="000729CF" w:rsidRPr="000729CF" w14:paraId="5F9F7C42" w14:textId="77777777" w:rsidTr="000729CF">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1D293040"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Directorate and Service Name: </w:t>
            </w:r>
          </w:p>
        </w:tc>
        <w:tc>
          <w:tcPr>
            <w:tcW w:w="6492" w:type="dxa"/>
            <w:shd w:val="clear" w:color="auto" w:fill="auto"/>
          </w:tcPr>
          <w:p w14:paraId="502CBEC5" w14:textId="77777777" w:rsidR="000729CF" w:rsidRPr="000729CF" w:rsidRDefault="000729CF" w:rsidP="000729CF">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Economy, Environment &amp; Culture, Culture, Tourism &amp; Sport</w:t>
            </w:r>
          </w:p>
        </w:tc>
      </w:tr>
      <w:tr w:rsidR="000729CF" w:rsidRPr="000729CF" w14:paraId="1E27047A"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046ED103"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Budget proposal no.</w:t>
            </w:r>
          </w:p>
        </w:tc>
        <w:tc>
          <w:tcPr>
            <w:tcW w:w="6492" w:type="dxa"/>
            <w:shd w:val="clear" w:color="auto" w:fill="auto"/>
          </w:tcPr>
          <w:p w14:paraId="2A551C2F"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i/>
                <w:iCs/>
                <w:sz w:val="24"/>
                <w:szCs w:val="24"/>
              </w:rPr>
            </w:pPr>
            <w:r w:rsidRPr="000729CF">
              <w:rPr>
                <w:rFonts w:ascii="Arial" w:hAnsi="Arial" w:cs="Arial"/>
                <w:sz w:val="24"/>
                <w:szCs w:val="24"/>
              </w:rPr>
              <w:t>20</w:t>
            </w:r>
          </w:p>
        </w:tc>
      </w:tr>
    </w:tbl>
    <w:p w14:paraId="59E38826" w14:textId="77777777" w:rsidR="000729CF" w:rsidRPr="000729CF" w:rsidRDefault="000729CF" w:rsidP="000729CF">
      <w:pPr>
        <w:spacing w:after="160" w:line="259" w:lineRule="auto"/>
        <w:rPr>
          <w:rFonts w:ascii="Arial" w:eastAsia="Calibri" w:hAnsi="Arial" w:cs="Arial"/>
          <w:sz w:val="24"/>
          <w:szCs w:val="24"/>
          <w:lang w:val="en-GB"/>
        </w:rPr>
      </w:pPr>
    </w:p>
    <w:p w14:paraId="08EAECC1"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Briefly describe the budget saving proposal: (use the wording in the budget spreadsheet and more detail if needed)</w:t>
      </w:r>
    </w:p>
    <w:tbl>
      <w:tblPr>
        <w:tblStyle w:val="TableGrid"/>
        <w:tblW w:w="0" w:type="auto"/>
        <w:tblLook w:val="04A0" w:firstRow="1" w:lastRow="0" w:firstColumn="1" w:lastColumn="0" w:noHBand="0" w:noVBand="1"/>
      </w:tblPr>
      <w:tblGrid>
        <w:gridCol w:w="10456"/>
      </w:tblGrid>
      <w:tr w:rsidR="000729CF" w:rsidRPr="000729CF" w14:paraId="4C79802A" w14:textId="77777777" w:rsidTr="00BC26AB">
        <w:trPr>
          <w:trHeight w:val="851"/>
        </w:trPr>
        <w:tc>
          <w:tcPr>
            <w:tcW w:w="10456" w:type="dxa"/>
            <w:tcBorders>
              <w:bottom w:val="single" w:sz="4" w:space="0" w:color="auto"/>
            </w:tcBorders>
          </w:tcPr>
          <w:p w14:paraId="37895E83" w14:textId="77777777" w:rsidR="000729CF" w:rsidRPr="000729CF" w:rsidRDefault="000729CF" w:rsidP="000729CF">
            <w:pPr>
              <w:rPr>
                <w:rFonts w:ascii="Arial" w:hAnsi="Arial" w:cs="Arial"/>
                <w:b/>
                <w:sz w:val="24"/>
                <w:szCs w:val="24"/>
                <w:lang w:eastAsia="en-GB"/>
              </w:rPr>
            </w:pPr>
            <w:r w:rsidRPr="000729CF">
              <w:rPr>
                <w:rFonts w:ascii="Arial" w:hAnsi="Arial" w:cs="Arial"/>
                <w:b/>
                <w:sz w:val="24"/>
                <w:szCs w:val="24"/>
                <w:lang w:eastAsia="en-GB"/>
              </w:rPr>
              <w:t>Introduction of Beach Hut Transfer Fee</w:t>
            </w:r>
          </w:p>
          <w:p w14:paraId="2BFB9C7C" w14:textId="77777777" w:rsidR="000729CF" w:rsidRPr="000729CF" w:rsidRDefault="000729CF" w:rsidP="000729CF">
            <w:pPr>
              <w:rPr>
                <w:rFonts w:ascii="Arial" w:hAnsi="Arial" w:cs="Arial"/>
                <w:bCs/>
                <w:sz w:val="24"/>
                <w:szCs w:val="24"/>
                <w:lang w:eastAsia="en-GB"/>
              </w:rPr>
            </w:pPr>
          </w:p>
          <w:p w14:paraId="6EAF132A" w14:textId="77777777" w:rsidR="000729CF" w:rsidRPr="000729CF" w:rsidRDefault="000729CF" w:rsidP="000729CF">
            <w:pPr>
              <w:rPr>
                <w:rFonts w:ascii="Arial" w:hAnsi="Arial" w:cs="Arial"/>
                <w:bCs/>
                <w:sz w:val="24"/>
                <w:szCs w:val="24"/>
                <w:lang w:eastAsia="en-GB"/>
              </w:rPr>
            </w:pPr>
            <w:r w:rsidRPr="000729CF">
              <w:rPr>
                <w:rFonts w:ascii="Arial" w:hAnsi="Arial" w:cs="Arial"/>
                <w:bCs/>
                <w:sz w:val="24"/>
                <w:szCs w:val="24"/>
                <w:lang w:eastAsia="en-GB"/>
              </w:rPr>
              <w:t xml:space="preserve">In November 2023 the CHSTE Committee agreed to change the beach hut administration fee from £82 to a transfer fee calculated at 10% of the sale price of the beach hut or four times the annual licence fee, whichever is greater.  Beach huts are currently for sale with a guide price or have sold for between £23,000 - £38,000.  </w:t>
            </w:r>
          </w:p>
          <w:p w14:paraId="4D7F3575" w14:textId="77777777" w:rsidR="000729CF" w:rsidRPr="000729CF" w:rsidRDefault="000729CF" w:rsidP="000729CF">
            <w:pPr>
              <w:rPr>
                <w:rFonts w:ascii="Arial" w:hAnsi="Arial" w:cs="Arial"/>
                <w:bCs/>
                <w:sz w:val="24"/>
                <w:szCs w:val="24"/>
                <w:lang w:eastAsia="en-GB"/>
              </w:rPr>
            </w:pPr>
          </w:p>
          <w:p w14:paraId="2432A571" w14:textId="77777777" w:rsidR="000729CF" w:rsidRPr="000729CF" w:rsidRDefault="000729CF" w:rsidP="000729CF">
            <w:pPr>
              <w:rPr>
                <w:rFonts w:ascii="Arial" w:hAnsi="Arial" w:cs="Arial"/>
                <w:bCs/>
                <w:sz w:val="24"/>
                <w:szCs w:val="24"/>
                <w:lang w:eastAsia="en-GB"/>
              </w:rPr>
            </w:pPr>
            <w:r w:rsidRPr="000729CF">
              <w:rPr>
                <w:rFonts w:ascii="Arial" w:hAnsi="Arial" w:cs="Arial"/>
                <w:bCs/>
                <w:sz w:val="24"/>
                <w:szCs w:val="24"/>
                <w:lang w:eastAsia="en-GB"/>
              </w:rPr>
              <w:t>The beach huts are privately owned, and the owner pays an annual licence to place the hut on council land at Hove seafront. The annual licence fee payable to the council is currently £503.60 including VAT.</w:t>
            </w:r>
          </w:p>
          <w:p w14:paraId="4601B505" w14:textId="77777777" w:rsidR="000729CF" w:rsidRPr="000729CF" w:rsidRDefault="000729CF" w:rsidP="000729CF">
            <w:pPr>
              <w:rPr>
                <w:rFonts w:ascii="Arial" w:hAnsi="Arial" w:cs="Arial"/>
                <w:bCs/>
                <w:sz w:val="24"/>
                <w:szCs w:val="24"/>
                <w:lang w:eastAsia="en-GB"/>
              </w:rPr>
            </w:pPr>
          </w:p>
          <w:p w14:paraId="4A8A59E8" w14:textId="77777777" w:rsidR="000729CF" w:rsidRPr="000729CF" w:rsidRDefault="000729CF" w:rsidP="000729CF">
            <w:pPr>
              <w:rPr>
                <w:rFonts w:ascii="Arial" w:hAnsi="Arial" w:cs="Arial"/>
                <w:bCs/>
                <w:sz w:val="24"/>
                <w:szCs w:val="24"/>
                <w:lang w:eastAsia="en-GB"/>
              </w:rPr>
            </w:pPr>
            <w:r w:rsidRPr="000729CF">
              <w:rPr>
                <w:rFonts w:ascii="Arial" w:hAnsi="Arial" w:cs="Arial"/>
                <w:bCs/>
                <w:sz w:val="24"/>
                <w:szCs w:val="24"/>
                <w:lang w:eastAsia="en-GB"/>
              </w:rPr>
              <w:t xml:space="preserve">There was no mechanism in the previous licences for increasing the administration charge / transfer fee. To introduce the transfer fee, the only option available to the council is to terminate the licences and issue new licences to the beach hut owners on different terms. This requires the consent of the owners. </w:t>
            </w:r>
          </w:p>
          <w:p w14:paraId="38A7F1FF" w14:textId="77777777" w:rsidR="000729CF" w:rsidRPr="000729CF" w:rsidRDefault="000729CF" w:rsidP="000729CF">
            <w:pPr>
              <w:rPr>
                <w:rFonts w:ascii="Arial" w:hAnsi="Arial" w:cs="Arial"/>
                <w:bCs/>
                <w:sz w:val="24"/>
                <w:szCs w:val="24"/>
                <w:lang w:eastAsia="en-GB"/>
              </w:rPr>
            </w:pPr>
          </w:p>
          <w:p w14:paraId="1DFB9FE0" w14:textId="77777777" w:rsidR="000729CF" w:rsidRPr="000729CF" w:rsidRDefault="000729CF" w:rsidP="000729CF">
            <w:pPr>
              <w:rPr>
                <w:rFonts w:ascii="Arial" w:hAnsi="Arial" w:cs="Arial"/>
                <w:bCs/>
                <w:sz w:val="24"/>
                <w:szCs w:val="24"/>
                <w:lang w:eastAsia="en-GB"/>
              </w:rPr>
            </w:pPr>
            <w:r w:rsidRPr="000729CF">
              <w:rPr>
                <w:rFonts w:ascii="Arial" w:hAnsi="Arial" w:cs="Arial"/>
                <w:bCs/>
                <w:sz w:val="24"/>
                <w:szCs w:val="24"/>
                <w:lang w:eastAsia="en-GB"/>
              </w:rPr>
              <w:t>Following a consultation process with beach hut owners, a new licence containing modernised terms including the new transfer fee was agreed by the CHSTE Committee.</w:t>
            </w:r>
            <w:r w:rsidRPr="000729CF">
              <w:rPr>
                <w:rFonts w:ascii="Arial" w:hAnsi="Arial" w:cs="Arial"/>
                <w:bCs/>
                <w:sz w:val="24"/>
                <w:szCs w:val="24"/>
              </w:rPr>
              <w:t xml:space="preserve">  The new licence is being sent to all hut owners in January 2024 to sign and return to the Seafront Office.  </w:t>
            </w:r>
            <w:r w:rsidRPr="000729CF">
              <w:rPr>
                <w:rFonts w:ascii="Arial" w:hAnsi="Arial" w:cs="Arial"/>
                <w:bCs/>
                <w:sz w:val="24"/>
                <w:szCs w:val="24"/>
                <w:lang w:eastAsia="en-GB"/>
              </w:rPr>
              <w:t xml:space="preserve">If beach hut owners do not agree to the new terms, their hut will be unlicenced and the council will have grounds to enforce and remove the hut from the site.  </w:t>
            </w:r>
          </w:p>
          <w:p w14:paraId="59311EDA" w14:textId="77777777" w:rsidR="000729CF" w:rsidRPr="000729CF" w:rsidRDefault="000729CF" w:rsidP="000729CF">
            <w:pPr>
              <w:spacing w:after="120"/>
              <w:rPr>
                <w:rFonts w:ascii="Arial" w:eastAsia="Calibri" w:hAnsi="Arial" w:cs="Arial"/>
                <w:sz w:val="24"/>
                <w:szCs w:val="24"/>
              </w:rPr>
            </w:pPr>
          </w:p>
        </w:tc>
      </w:tr>
      <w:tr w:rsidR="000729CF" w:rsidRPr="000729CF" w14:paraId="76A6B407" w14:textId="77777777" w:rsidTr="00BC26AB">
        <w:trPr>
          <w:trHeight w:val="851"/>
        </w:trPr>
        <w:tc>
          <w:tcPr>
            <w:tcW w:w="10456" w:type="dxa"/>
            <w:tcBorders>
              <w:left w:val="nil"/>
              <w:right w:val="nil"/>
            </w:tcBorders>
          </w:tcPr>
          <w:p w14:paraId="6C36A578" w14:textId="77777777" w:rsidR="000729CF" w:rsidRPr="000729CF" w:rsidRDefault="000729CF" w:rsidP="000729CF">
            <w:pPr>
              <w:spacing w:after="120"/>
              <w:rPr>
                <w:rFonts w:ascii="Arial" w:eastAsia="Calibri" w:hAnsi="Arial" w:cs="Arial"/>
                <w:sz w:val="24"/>
                <w:szCs w:val="24"/>
              </w:rPr>
            </w:pPr>
          </w:p>
          <w:p w14:paraId="0776E11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Summarise the most significant impacts identified by this assessment including which groups will be disproportionally negatively affected drawing out intersectional impacts as applicable:</w:t>
            </w:r>
          </w:p>
        </w:tc>
      </w:tr>
      <w:tr w:rsidR="000729CF" w:rsidRPr="000729CF" w14:paraId="086ED25E" w14:textId="77777777" w:rsidTr="00BC26AB">
        <w:trPr>
          <w:trHeight w:val="851"/>
        </w:trPr>
        <w:tc>
          <w:tcPr>
            <w:tcW w:w="10456" w:type="dxa"/>
          </w:tcPr>
          <w:p w14:paraId="74556DF8" w14:textId="77777777" w:rsidR="000729CF" w:rsidRPr="000729CF" w:rsidRDefault="000729CF" w:rsidP="000729CF">
            <w:pPr>
              <w:rPr>
                <w:rFonts w:ascii="Arial" w:hAnsi="Arial" w:cs="Arial"/>
                <w:bCs/>
                <w:sz w:val="24"/>
                <w:szCs w:val="24"/>
                <w:lang w:eastAsia="en-GB"/>
              </w:rPr>
            </w:pPr>
            <w:r w:rsidRPr="000729CF">
              <w:rPr>
                <w:rFonts w:ascii="Arial" w:hAnsi="Arial" w:cs="Arial"/>
                <w:bCs/>
                <w:sz w:val="24"/>
                <w:szCs w:val="24"/>
                <w:lang w:eastAsia="en-GB"/>
              </w:rPr>
              <w:t>A beach hut can only be bought by residents of Brighton &amp; Hove.  The terms of the licence state the hut cannot be re-sold for a minimum of 3 years after purchase – except under extenuating circumstances.</w:t>
            </w:r>
          </w:p>
          <w:p w14:paraId="0C68C5FF" w14:textId="77777777" w:rsidR="000729CF" w:rsidRPr="000729CF" w:rsidRDefault="000729CF" w:rsidP="000729CF">
            <w:pPr>
              <w:rPr>
                <w:rFonts w:ascii="Arial" w:hAnsi="Arial" w:cs="Arial"/>
                <w:bCs/>
                <w:sz w:val="24"/>
                <w:szCs w:val="24"/>
                <w:lang w:eastAsia="en-GB"/>
              </w:rPr>
            </w:pPr>
          </w:p>
          <w:p w14:paraId="2A8087B4" w14:textId="77777777" w:rsidR="000729CF" w:rsidRPr="000729CF" w:rsidRDefault="000729CF" w:rsidP="000729CF">
            <w:pPr>
              <w:rPr>
                <w:rFonts w:ascii="Arial" w:hAnsi="Arial" w:cs="Arial"/>
                <w:bCs/>
                <w:sz w:val="24"/>
                <w:szCs w:val="24"/>
                <w:lang w:eastAsia="en-GB"/>
              </w:rPr>
            </w:pPr>
            <w:r w:rsidRPr="000729CF">
              <w:rPr>
                <w:rFonts w:ascii="Arial" w:hAnsi="Arial" w:cs="Arial"/>
                <w:bCs/>
                <w:sz w:val="24"/>
                <w:szCs w:val="24"/>
                <w:lang w:eastAsia="en-GB"/>
              </w:rPr>
              <w:t>All existing beach hut owners would be impacted by this proposal but only if/when they choose to sell their beach hut.</w:t>
            </w:r>
          </w:p>
          <w:p w14:paraId="1FE2C37C" w14:textId="77777777" w:rsidR="000729CF" w:rsidRPr="000729CF" w:rsidRDefault="000729CF" w:rsidP="000729CF">
            <w:pPr>
              <w:rPr>
                <w:rFonts w:ascii="Arial" w:hAnsi="Arial" w:cs="Arial"/>
                <w:bCs/>
                <w:sz w:val="24"/>
                <w:szCs w:val="24"/>
                <w:lang w:eastAsia="en-GB"/>
              </w:rPr>
            </w:pPr>
          </w:p>
          <w:p w14:paraId="59721D46" w14:textId="77777777" w:rsidR="000729CF" w:rsidRPr="000729CF" w:rsidRDefault="000729CF" w:rsidP="000729CF">
            <w:pPr>
              <w:rPr>
                <w:rFonts w:ascii="Arial" w:hAnsi="Arial" w:cs="Arial"/>
                <w:bCs/>
                <w:sz w:val="24"/>
                <w:szCs w:val="24"/>
                <w:lang w:eastAsia="en-GB"/>
              </w:rPr>
            </w:pPr>
            <w:r w:rsidRPr="000729CF">
              <w:rPr>
                <w:rFonts w:ascii="Arial" w:hAnsi="Arial" w:cs="Arial"/>
                <w:bCs/>
                <w:sz w:val="24"/>
                <w:szCs w:val="24"/>
                <w:lang w:eastAsia="en-GB"/>
              </w:rPr>
              <w:t>If a hut owner wishes to leave their beach hut in their will to a family member, who is a Brighton and Hove resident, the transfer fee will not be payable.  This allows beach huts to be passed down through generations to local people without incurring additional costs.</w:t>
            </w:r>
          </w:p>
          <w:p w14:paraId="09D9ED3C" w14:textId="77777777" w:rsidR="000729CF" w:rsidRPr="000729CF" w:rsidRDefault="000729CF" w:rsidP="000729CF">
            <w:pPr>
              <w:spacing w:after="120"/>
              <w:rPr>
                <w:rFonts w:ascii="Arial" w:eastAsia="Calibri" w:hAnsi="Arial" w:cs="Arial"/>
                <w:sz w:val="24"/>
                <w:szCs w:val="24"/>
              </w:rPr>
            </w:pPr>
          </w:p>
        </w:tc>
      </w:tr>
    </w:tbl>
    <w:p w14:paraId="1E892323" w14:textId="77777777" w:rsidR="000729CF" w:rsidRPr="000729CF" w:rsidRDefault="000729CF" w:rsidP="000729CF">
      <w:pPr>
        <w:rPr>
          <w:rFonts w:ascii="Arial" w:eastAsia="Calibri" w:hAnsi="Arial" w:cs="Arial"/>
          <w:sz w:val="24"/>
          <w:szCs w:val="24"/>
          <w:lang w:val="en-GB"/>
        </w:rPr>
      </w:pPr>
    </w:p>
    <w:p w14:paraId="0E15B808" w14:textId="77777777" w:rsidR="000729CF" w:rsidRPr="000729CF" w:rsidRDefault="000729CF" w:rsidP="000729CF">
      <w:pPr>
        <w:spacing w:after="160" w:line="259" w:lineRule="auto"/>
        <w:rPr>
          <w:rFonts w:ascii="Arial" w:eastAsia="Calibri" w:hAnsi="Arial" w:cs="Arial"/>
          <w:sz w:val="24"/>
          <w:szCs w:val="24"/>
          <w:lang w:val="en-GB"/>
        </w:rPr>
      </w:pPr>
    </w:p>
    <w:p w14:paraId="7241B4DD"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Consultation, engagement and supporting EIAs</w:t>
      </w:r>
    </w:p>
    <w:p w14:paraId="5DC477B2"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consultations or engagement activities are being used to inform this assessment? </w:t>
      </w:r>
    </w:p>
    <w:p w14:paraId="5530D9C7"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If consultation is planned or in process – state this and state when it will done/completed even if indicative. If no consultation completed or planned, state this, giving an explanation. </w:t>
      </w:r>
    </w:p>
    <w:tbl>
      <w:tblPr>
        <w:tblStyle w:val="TableGrid"/>
        <w:tblW w:w="0" w:type="auto"/>
        <w:tblLook w:val="04A0" w:firstRow="1" w:lastRow="0" w:firstColumn="1" w:lastColumn="0" w:noHBand="0" w:noVBand="1"/>
      </w:tblPr>
      <w:tblGrid>
        <w:gridCol w:w="10456"/>
      </w:tblGrid>
      <w:tr w:rsidR="000729CF" w:rsidRPr="000729CF" w14:paraId="4BFDB726" w14:textId="77777777" w:rsidTr="00BC26AB">
        <w:trPr>
          <w:trHeight w:val="871"/>
        </w:trPr>
        <w:tc>
          <w:tcPr>
            <w:tcW w:w="10456" w:type="dxa"/>
          </w:tcPr>
          <w:p w14:paraId="4E1F99A2"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 xml:space="preserve">Prior to the CHSTE Committee a consultation was undertaken to provide an opportunity for all beach hut owners to input into the proposed changes to the licence.  Emails including a copy of the proposed licence were sent to all beach hut owners who have provided the council with an email address. </w:t>
            </w:r>
          </w:p>
          <w:p w14:paraId="2D55BCBC" w14:textId="77777777" w:rsidR="000729CF" w:rsidRPr="000729CF" w:rsidRDefault="000729CF" w:rsidP="000729CF">
            <w:pPr>
              <w:rPr>
                <w:rFonts w:ascii="Arial" w:eastAsia="Calibri" w:hAnsi="Arial" w:cs="Arial"/>
                <w:sz w:val="24"/>
                <w:szCs w:val="24"/>
              </w:rPr>
            </w:pPr>
          </w:p>
          <w:p w14:paraId="4D364CD1"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 xml:space="preserve">Letters were also sent to the home address (held on record by the council) of each beach hut owner to ensure that everyone received the information and had an opportunity to feedback on the proposals.  </w:t>
            </w:r>
          </w:p>
          <w:p w14:paraId="372DC392" w14:textId="77777777" w:rsidR="000729CF" w:rsidRPr="000729CF" w:rsidRDefault="000729CF" w:rsidP="000729CF">
            <w:pPr>
              <w:rPr>
                <w:rFonts w:ascii="Arial" w:eastAsia="Calibri" w:hAnsi="Arial" w:cs="Arial"/>
                <w:sz w:val="24"/>
                <w:szCs w:val="24"/>
              </w:rPr>
            </w:pPr>
          </w:p>
          <w:p w14:paraId="71B4831D"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The consultation period ran initially for three weeks. The council extended the consultation by a further four days over a weekend to allow time for any additional responses following the Hove Beach Hut Association's Annual General Meeting.</w:t>
            </w:r>
          </w:p>
          <w:p w14:paraId="3516EFE3" w14:textId="77777777" w:rsidR="000729CF" w:rsidRPr="000729CF" w:rsidRDefault="000729CF" w:rsidP="000729CF">
            <w:pPr>
              <w:rPr>
                <w:rFonts w:ascii="Arial" w:eastAsia="Calibri" w:hAnsi="Arial" w:cs="Arial"/>
                <w:sz w:val="24"/>
                <w:szCs w:val="24"/>
              </w:rPr>
            </w:pPr>
          </w:p>
        </w:tc>
      </w:tr>
    </w:tbl>
    <w:p w14:paraId="5F6804EB" w14:textId="77777777" w:rsidR="000729CF" w:rsidRPr="000729CF" w:rsidRDefault="000729CF" w:rsidP="000729CF">
      <w:pPr>
        <w:spacing w:after="160" w:line="259" w:lineRule="auto"/>
        <w:rPr>
          <w:rFonts w:ascii="Arial" w:eastAsia="Calibri" w:hAnsi="Arial" w:cs="Arial"/>
          <w:sz w:val="24"/>
          <w:szCs w:val="24"/>
          <w:lang w:val="en-GB"/>
        </w:rPr>
      </w:pPr>
    </w:p>
    <w:p w14:paraId="34919C97"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other budget or service EIAs can assist/have been used to inform this assessment?</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0729CF" w:rsidRPr="000729CF" w14:paraId="659AC4EA"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shd w:val="clear" w:color="auto" w:fill="FFFFFF"/>
          </w:tcPr>
          <w:p w14:paraId="513111F0"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None</w:t>
            </w:r>
          </w:p>
          <w:p w14:paraId="628A1028" w14:textId="77777777" w:rsidR="000729CF" w:rsidRPr="000729CF" w:rsidRDefault="000729CF" w:rsidP="000729CF">
            <w:pPr>
              <w:spacing w:after="120"/>
              <w:rPr>
                <w:rFonts w:ascii="Arial" w:hAnsi="Arial" w:cs="Arial"/>
                <w:sz w:val="24"/>
                <w:szCs w:val="24"/>
              </w:rPr>
            </w:pPr>
          </w:p>
        </w:tc>
      </w:tr>
    </w:tbl>
    <w:p w14:paraId="7D8144E8" w14:textId="77777777" w:rsidR="000729CF" w:rsidRPr="000729CF" w:rsidRDefault="000729CF" w:rsidP="000729CF">
      <w:pPr>
        <w:spacing w:after="160" w:line="259" w:lineRule="auto"/>
        <w:rPr>
          <w:rFonts w:ascii="Arial" w:eastAsia="Calibri" w:hAnsi="Arial" w:cs="Arial"/>
          <w:sz w:val="24"/>
          <w:szCs w:val="24"/>
          <w:lang w:val="en-GB"/>
        </w:rPr>
      </w:pPr>
    </w:p>
    <w:p w14:paraId="633D7ACE"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Current data and impact monitoring</w:t>
      </w:r>
    </w:p>
    <w:p w14:paraId="489D1ADC"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Do you currently collect and analyse the following data to enable monitoring of the impact of this proposal? </w:t>
      </w:r>
    </w:p>
    <w:p w14:paraId="4E1C4496"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Consider all possible intersections (Delete and State Yes, No, Not Applicable)</w:t>
      </w:r>
    </w:p>
    <w:tbl>
      <w:tblPr>
        <w:tblStyle w:val="TableGrid"/>
        <w:tblW w:w="10485" w:type="dxa"/>
        <w:tblLook w:val="04A0" w:firstRow="1" w:lastRow="0" w:firstColumn="1" w:lastColumn="0" w:noHBand="0" w:noVBand="1"/>
      </w:tblPr>
      <w:tblGrid>
        <w:gridCol w:w="6658"/>
        <w:gridCol w:w="3827"/>
      </w:tblGrid>
      <w:tr w:rsidR="000729CF" w:rsidRPr="000729CF" w14:paraId="13AB58A4" w14:textId="77777777" w:rsidTr="000729CF">
        <w:trPr>
          <w:trHeight w:val="310"/>
        </w:trPr>
        <w:tc>
          <w:tcPr>
            <w:tcW w:w="6658" w:type="dxa"/>
            <w:shd w:val="clear" w:color="auto" w:fill="E7E6E6"/>
          </w:tcPr>
          <w:p w14:paraId="2D80001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Age</w:t>
            </w:r>
          </w:p>
        </w:tc>
        <w:tc>
          <w:tcPr>
            <w:tcW w:w="3827" w:type="dxa"/>
          </w:tcPr>
          <w:p w14:paraId="229044C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r>
      <w:tr w:rsidR="000729CF" w:rsidRPr="000729CF" w14:paraId="25D757FD" w14:textId="77777777" w:rsidTr="000729CF">
        <w:trPr>
          <w:trHeight w:val="20"/>
        </w:trPr>
        <w:tc>
          <w:tcPr>
            <w:tcW w:w="6658" w:type="dxa"/>
            <w:shd w:val="clear" w:color="auto" w:fill="E7E6E6"/>
          </w:tcPr>
          <w:p w14:paraId="2F7456F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Disability and inclusive adjustments, coverage under equality act and not</w:t>
            </w:r>
          </w:p>
        </w:tc>
        <w:tc>
          <w:tcPr>
            <w:tcW w:w="3827" w:type="dxa"/>
          </w:tcPr>
          <w:p w14:paraId="1D38C48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r>
      <w:tr w:rsidR="000729CF" w:rsidRPr="000729CF" w14:paraId="4B39FC1F" w14:textId="77777777" w:rsidTr="000729CF">
        <w:trPr>
          <w:trHeight w:val="20"/>
        </w:trPr>
        <w:tc>
          <w:tcPr>
            <w:tcW w:w="6658" w:type="dxa"/>
            <w:shd w:val="clear" w:color="auto" w:fill="E7E6E6"/>
          </w:tcPr>
          <w:p w14:paraId="5157578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Ethnicity, ‘Race’, ethnic heritage (including Gypsy, Roma, Travellers)</w:t>
            </w:r>
          </w:p>
        </w:tc>
        <w:tc>
          <w:tcPr>
            <w:tcW w:w="3827" w:type="dxa"/>
          </w:tcPr>
          <w:p w14:paraId="1EC6C9D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r>
      <w:tr w:rsidR="000729CF" w:rsidRPr="000729CF" w14:paraId="54FA95BC" w14:textId="77777777" w:rsidTr="000729CF">
        <w:trPr>
          <w:trHeight w:val="20"/>
        </w:trPr>
        <w:tc>
          <w:tcPr>
            <w:tcW w:w="6658" w:type="dxa"/>
            <w:shd w:val="clear" w:color="auto" w:fill="E7E6E6"/>
          </w:tcPr>
          <w:p w14:paraId="0A8A01E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Religion, Belief, Spirituality, Faith, or Atheism</w:t>
            </w:r>
          </w:p>
        </w:tc>
        <w:tc>
          <w:tcPr>
            <w:tcW w:w="3827" w:type="dxa"/>
          </w:tcPr>
          <w:p w14:paraId="6B77260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r>
      <w:tr w:rsidR="000729CF" w:rsidRPr="000729CF" w14:paraId="3866025D" w14:textId="77777777" w:rsidTr="000729CF">
        <w:trPr>
          <w:trHeight w:val="20"/>
        </w:trPr>
        <w:tc>
          <w:tcPr>
            <w:tcW w:w="6658" w:type="dxa"/>
            <w:shd w:val="clear" w:color="auto" w:fill="E7E6E6"/>
          </w:tcPr>
          <w:p w14:paraId="2C4F3A5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Identity and Sex (including non-binary and Intersex people)</w:t>
            </w:r>
          </w:p>
        </w:tc>
        <w:tc>
          <w:tcPr>
            <w:tcW w:w="3827" w:type="dxa"/>
          </w:tcPr>
          <w:p w14:paraId="767D1A4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r>
      <w:tr w:rsidR="000729CF" w:rsidRPr="000729CF" w14:paraId="54B43658" w14:textId="77777777" w:rsidTr="000729CF">
        <w:trPr>
          <w:trHeight w:val="20"/>
        </w:trPr>
        <w:tc>
          <w:tcPr>
            <w:tcW w:w="6658" w:type="dxa"/>
            <w:shd w:val="clear" w:color="auto" w:fill="E7E6E6"/>
          </w:tcPr>
          <w:p w14:paraId="3C758B4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3827" w:type="dxa"/>
          </w:tcPr>
          <w:p w14:paraId="046C959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r>
      <w:tr w:rsidR="000729CF" w:rsidRPr="000729CF" w14:paraId="124EF897" w14:textId="77777777" w:rsidTr="000729CF">
        <w:trPr>
          <w:trHeight w:val="20"/>
        </w:trPr>
        <w:tc>
          <w:tcPr>
            <w:tcW w:w="6658" w:type="dxa"/>
            <w:shd w:val="clear" w:color="auto" w:fill="E7E6E6"/>
          </w:tcPr>
          <w:p w14:paraId="2095C26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3827" w:type="dxa"/>
          </w:tcPr>
          <w:p w14:paraId="2C4FF3F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r>
      <w:tr w:rsidR="000729CF" w:rsidRPr="000729CF" w14:paraId="72A51B93" w14:textId="77777777" w:rsidTr="000729CF">
        <w:trPr>
          <w:trHeight w:val="20"/>
        </w:trPr>
        <w:tc>
          <w:tcPr>
            <w:tcW w:w="6658" w:type="dxa"/>
            <w:shd w:val="clear" w:color="auto" w:fill="E7E6E6"/>
          </w:tcPr>
          <w:p w14:paraId="7AA3729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3827" w:type="dxa"/>
          </w:tcPr>
          <w:p w14:paraId="6B713FA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r>
      <w:tr w:rsidR="000729CF" w:rsidRPr="000729CF" w14:paraId="576B8A01" w14:textId="77777777" w:rsidTr="000729CF">
        <w:trPr>
          <w:trHeight w:val="20"/>
        </w:trPr>
        <w:tc>
          <w:tcPr>
            <w:tcW w:w="6658" w:type="dxa"/>
            <w:shd w:val="clear" w:color="auto" w:fill="E7E6E6"/>
          </w:tcPr>
          <w:p w14:paraId="431FD21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Pregnant people, Maternity, Paternity, Adoption, Menopause, (In)fertility (across the gender spectrum)</w:t>
            </w:r>
          </w:p>
        </w:tc>
        <w:tc>
          <w:tcPr>
            <w:tcW w:w="3827" w:type="dxa"/>
          </w:tcPr>
          <w:p w14:paraId="36CC51D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r>
      <w:tr w:rsidR="000729CF" w:rsidRPr="000729CF" w14:paraId="2A729F7C" w14:textId="77777777" w:rsidTr="000729CF">
        <w:trPr>
          <w:trHeight w:val="20"/>
        </w:trPr>
        <w:tc>
          <w:tcPr>
            <w:tcW w:w="6658" w:type="dxa"/>
            <w:shd w:val="clear" w:color="auto" w:fill="E7E6E6"/>
          </w:tcPr>
          <w:p w14:paraId="539A225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3827" w:type="dxa"/>
          </w:tcPr>
          <w:p w14:paraId="5B24B64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r>
      <w:tr w:rsidR="000729CF" w:rsidRPr="000729CF" w14:paraId="785054F4" w14:textId="77777777" w:rsidTr="000729CF">
        <w:trPr>
          <w:trHeight w:val="20"/>
        </w:trPr>
        <w:tc>
          <w:tcPr>
            <w:tcW w:w="6658" w:type="dxa"/>
            <w:shd w:val="clear" w:color="auto" w:fill="E7E6E6"/>
          </w:tcPr>
          <w:p w14:paraId="0A5D2706" w14:textId="77777777" w:rsidR="000729CF" w:rsidRPr="000729CF" w:rsidRDefault="000729CF" w:rsidP="000729CF">
            <w:pPr>
              <w:spacing w:after="120"/>
              <w:rPr>
                <w:rFonts w:ascii="Arial" w:hAnsi="Arial" w:cs="Arial"/>
                <w:b/>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p>
        </w:tc>
        <w:tc>
          <w:tcPr>
            <w:tcW w:w="3827" w:type="dxa"/>
          </w:tcPr>
          <w:p w14:paraId="32AED5E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r>
      <w:tr w:rsidR="000729CF" w:rsidRPr="000729CF" w14:paraId="6FA6D297" w14:textId="77777777" w:rsidTr="000729CF">
        <w:trPr>
          <w:trHeight w:val="20"/>
        </w:trPr>
        <w:tc>
          <w:tcPr>
            <w:tcW w:w="6658" w:type="dxa"/>
            <w:shd w:val="clear" w:color="auto" w:fill="E7E6E6"/>
          </w:tcPr>
          <w:p w14:paraId="3CD81FA2" w14:textId="77777777" w:rsidR="000729CF" w:rsidRPr="000729CF" w:rsidRDefault="000729CF" w:rsidP="000729CF">
            <w:pPr>
              <w:spacing w:after="120"/>
              <w:rPr>
                <w:rFonts w:ascii="Arial" w:hAnsi="Arial" w:cs="Arial"/>
                <w:b/>
                <w:sz w:val="24"/>
                <w:szCs w:val="24"/>
              </w:rPr>
            </w:pPr>
            <w:r w:rsidRPr="000729CF">
              <w:rPr>
                <w:rFonts w:ascii="Arial" w:eastAsia="Calibri" w:hAnsi="Arial" w:cs="Arial"/>
                <w:b/>
                <w:bCs/>
                <w:color w:val="000000"/>
                <w:sz w:val="24"/>
                <w:szCs w:val="24"/>
              </w:rPr>
              <w:t>Carers</w:t>
            </w:r>
          </w:p>
        </w:tc>
        <w:tc>
          <w:tcPr>
            <w:tcW w:w="3827" w:type="dxa"/>
          </w:tcPr>
          <w:p w14:paraId="4A42619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r>
      <w:tr w:rsidR="000729CF" w:rsidRPr="000729CF" w14:paraId="23AF3AD1" w14:textId="77777777" w:rsidTr="000729CF">
        <w:trPr>
          <w:trHeight w:val="20"/>
        </w:trPr>
        <w:tc>
          <w:tcPr>
            <w:tcW w:w="6658" w:type="dxa"/>
            <w:shd w:val="clear" w:color="auto" w:fill="E7E6E6"/>
          </w:tcPr>
          <w:p w14:paraId="6DE9EAE8"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Looked after children, Care Leavers, Care and fostering experienced people</w:t>
            </w:r>
          </w:p>
        </w:tc>
        <w:tc>
          <w:tcPr>
            <w:tcW w:w="3827" w:type="dxa"/>
          </w:tcPr>
          <w:p w14:paraId="41E5B07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r>
      <w:tr w:rsidR="000729CF" w:rsidRPr="000729CF" w14:paraId="73DC37A6" w14:textId="77777777" w:rsidTr="000729CF">
        <w:trPr>
          <w:trHeight w:val="20"/>
        </w:trPr>
        <w:tc>
          <w:tcPr>
            <w:tcW w:w="6658" w:type="dxa"/>
            <w:shd w:val="clear" w:color="auto" w:fill="E7E6E6"/>
          </w:tcPr>
          <w:p w14:paraId="1470344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 and   people in vulnerable situations (All aspects and intersections)</w:t>
            </w:r>
          </w:p>
        </w:tc>
        <w:tc>
          <w:tcPr>
            <w:tcW w:w="3827" w:type="dxa"/>
          </w:tcPr>
          <w:p w14:paraId="2F914A4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r>
      <w:tr w:rsidR="000729CF" w:rsidRPr="000729CF" w14:paraId="0B20C237" w14:textId="77777777" w:rsidTr="000729CF">
        <w:trPr>
          <w:trHeight w:val="20"/>
        </w:trPr>
        <w:tc>
          <w:tcPr>
            <w:tcW w:w="6658" w:type="dxa"/>
            <w:shd w:val="clear" w:color="auto" w:fill="E7E6E6"/>
          </w:tcPr>
          <w:p w14:paraId="624FC6A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Socio-economic Disadvantage</w:t>
            </w:r>
          </w:p>
        </w:tc>
        <w:tc>
          <w:tcPr>
            <w:tcW w:w="3827" w:type="dxa"/>
          </w:tcPr>
          <w:p w14:paraId="2985BFE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r>
      <w:tr w:rsidR="000729CF" w:rsidRPr="000729CF" w14:paraId="226DD3BD" w14:textId="77777777" w:rsidTr="000729CF">
        <w:trPr>
          <w:trHeight w:val="20"/>
        </w:trPr>
        <w:tc>
          <w:tcPr>
            <w:tcW w:w="6658" w:type="dxa"/>
            <w:shd w:val="clear" w:color="auto" w:fill="E7E6E6"/>
          </w:tcPr>
          <w:p w14:paraId="02C766A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Homelessness and associated risk and vulnerability</w:t>
            </w:r>
          </w:p>
        </w:tc>
        <w:tc>
          <w:tcPr>
            <w:tcW w:w="3827" w:type="dxa"/>
          </w:tcPr>
          <w:p w14:paraId="36BA417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r>
      <w:tr w:rsidR="000729CF" w:rsidRPr="000729CF" w14:paraId="464A9EBE" w14:textId="77777777" w:rsidTr="000729CF">
        <w:trPr>
          <w:trHeight w:val="20"/>
        </w:trPr>
        <w:tc>
          <w:tcPr>
            <w:tcW w:w="6658" w:type="dxa"/>
            <w:shd w:val="clear" w:color="auto" w:fill="E7E6E6"/>
          </w:tcPr>
          <w:p w14:paraId="6A60C6E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3827" w:type="dxa"/>
          </w:tcPr>
          <w:p w14:paraId="1DBBBCE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r>
      <w:tr w:rsidR="000729CF" w:rsidRPr="000729CF" w14:paraId="3235DA39" w14:textId="77777777" w:rsidTr="000729CF">
        <w:trPr>
          <w:trHeight w:val="20"/>
        </w:trPr>
        <w:tc>
          <w:tcPr>
            <w:tcW w:w="6658" w:type="dxa"/>
            <w:shd w:val="clear" w:color="auto" w:fill="E7E6E6"/>
          </w:tcPr>
          <w:p w14:paraId="37B8BB0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 (please specify here and add additional rows as needed)</w:t>
            </w:r>
          </w:p>
        </w:tc>
        <w:tc>
          <w:tcPr>
            <w:tcW w:w="3827" w:type="dxa"/>
          </w:tcPr>
          <w:p w14:paraId="44EC243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r>
    </w:tbl>
    <w:p w14:paraId="570195CC" w14:textId="77777777" w:rsidR="000729CF" w:rsidRPr="000729CF" w:rsidRDefault="000729CF" w:rsidP="000729CF">
      <w:pPr>
        <w:rPr>
          <w:rFonts w:ascii="Arial" w:eastAsia="Calibri" w:hAnsi="Arial" w:cs="Arial"/>
          <w:sz w:val="24"/>
          <w:szCs w:val="24"/>
          <w:lang w:val="en-GB"/>
        </w:rPr>
      </w:pPr>
    </w:p>
    <w:p w14:paraId="72DC8BD2"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If you answered “NO” to any of the above, how will you gather this data to enable improved monitoring of impact for this proposal?</w:t>
      </w:r>
    </w:p>
    <w:tbl>
      <w:tblPr>
        <w:tblStyle w:val="TableGrid"/>
        <w:tblW w:w="0" w:type="auto"/>
        <w:tblLook w:val="04A0" w:firstRow="1" w:lastRow="0" w:firstColumn="1" w:lastColumn="0" w:noHBand="0" w:noVBand="1"/>
      </w:tblPr>
      <w:tblGrid>
        <w:gridCol w:w="10456"/>
      </w:tblGrid>
      <w:tr w:rsidR="000729CF" w:rsidRPr="000729CF" w14:paraId="4B3B6A62" w14:textId="77777777" w:rsidTr="00BC26AB">
        <w:trPr>
          <w:trHeight w:val="757"/>
        </w:trPr>
        <w:tc>
          <w:tcPr>
            <w:tcW w:w="10456" w:type="dxa"/>
          </w:tcPr>
          <w:p w14:paraId="11ECF9E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Equality monitoring of beach hut ownership is not currently in place. The proposal is to introduce an anonymous and voluntary equality monitoring form so that future changes can be considered for equality implications.</w:t>
            </w:r>
          </w:p>
        </w:tc>
      </w:tr>
    </w:tbl>
    <w:p w14:paraId="416D012D" w14:textId="77777777" w:rsidR="000729CF" w:rsidRPr="000729CF" w:rsidRDefault="000729CF" w:rsidP="000729CF">
      <w:pPr>
        <w:rPr>
          <w:rFonts w:ascii="Arial" w:eastAsia="Calibri" w:hAnsi="Arial" w:cs="Arial"/>
          <w:sz w:val="24"/>
          <w:szCs w:val="24"/>
          <w:lang w:val="en-GB"/>
        </w:rPr>
      </w:pPr>
    </w:p>
    <w:p w14:paraId="0DD2F172"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are the arrangements for monitoring, and reviewing the impact of this proposal?</w:t>
      </w:r>
    </w:p>
    <w:tbl>
      <w:tblPr>
        <w:tblStyle w:val="TableGrid"/>
        <w:tblW w:w="0" w:type="auto"/>
        <w:tblLook w:val="04A0" w:firstRow="1" w:lastRow="0" w:firstColumn="1" w:lastColumn="0" w:noHBand="0" w:noVBand="1"/>
      </w:tblPr>
      <w:tblGrid>
        <w:gridCol w:w="10456"/>
      </w:tblGrid>
      <w:tr w:rsidR="000729CF" w:rsidRPr="000729CF" w14:paraId="448AD107" w14:textId="77777777" w:rsidTr="00BC26AB">
        <w:trPr>
          <w:trHeight w:val="757"/>
        </w:trPr>
        <w:tc>
          <w:tcPr>
            <w:tcW w:w="10456" w:type="dxa"/>
          </w:tcPr>
          <w:p w14:paraId="70854A9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volumes of beach hut sales will be monitored compared with previous years. Direct feedback from owners will also be reviewed to highlight any further impacts that were not identified through the consultation period.</w:t>
            </w:r>
          </w:p>
        </w:tc>
      </w:tr>
    </w:tbl>
    <w:p w14:paraId="1C81DB7A" w14:textId="77777777" w:rsidR="000729CF" w:rsidRPr="000729CF" w:rsidRDefault="000729CF" w:rsidP="000729CF">
      <w:pPr>
        <w:rPr>
          <w:rFonts w:ascii="Arial" w:eastAsia="Calibri" w:hAnsi="Arial" w:cs="Arial"/>
          <w:sz w:val="24"/>
          <w:szCs w:val="24"/>
          <w:lang w:val="en-GB"/>
        </w:rPr>
      </w:pPr>
    </w:p>
    <w:p w14:paraId="3CCD9A4F" w14:textId="77777777" w:rsidR="000729CF" w:rsidRPr="000729CF" w:rsidRDefault="000729CF" w:rsidP="000729CF">
      <w:pPr>
        <w:rPr>
          <w:rFonts w:ascii="Arial" w:eastAsia="Calibri" w:hAnsi="Arial" w:cs="Arial"/>
          <w:sz w:val="24"/>
          <w:szCs w:val="24"/>
          <w:lang w:val="en-GB"/>
        </w:rPr>
      </w:pPr>
    </w:p>
    <w:p w14:paraId="36A58B03"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Impacts</w:t>
      </w:r>
    </w:p>
    <w:p w14:paraId="07D2C26B" w14:textId="77777777" w:rsidR="000729CF" w:rsidRPr="000729CF" w:rsidRDefault="000729CF" w:rsidP="000729CF">
      <w:pPr>
        <w:spacing w:after="160" w:line="259" w:lineRule="auto"/>
        <w:rPr>
          <w:rFonts w:ascii="Arial" w:eastAsia="Calibri" w:hAnsi="Arial" w:cs="Arial"/>
          <w:color w:val="000000"/>
          <w:sz w:val="24"/>
          <w:szCs w:val="24"/>
          <w:shd w:val="clear" w:color="auto" w:fill="FFFFFF"/>
          <w:lang w:val="en-GB"/>
        </w:rPr>
      </w:pPr>
    </w:p>
    <w:tbl>
      <w:tblPr>
        <w:tblStyle w:val="TableGrid"/>
        <w:tblW w:w="10485" w:type="dxa"/>
        <w:tblLook w:val="04A0" w:firstRow="1" w:lastRow="0" w:firstColumn="1" w:lastColumn="0" w:noHBand="0" w:noVBand="1"/>
      </w:tblPr>
      <w:tblGrid>
        <w:gridCol w:w="2985"/>
        <w:gridCol w:w="2123"/>
        <w:gridCol w:w="5377"/>
      </w:tblGrid>
      <w:tr w:rsidR="000729CF" w:rsidRPr="000729CF" w14:paraId="5755D4C7" w14:textId="77777777" w:rsidTr="000729CF">
        <w:trPr>
          <w:trHeight w:val="20"/>
        </w:trPr>
        <w:tc>
          <w:tcPr>
            <w:tcW w:w="2985" w:type="dxa"/>
            <w:shd w:val="clear" w:color="auto" w:fill="E7E6E6"/>
          </w:tcPr>
          <w:p w14:paraId="3B792B8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Assess impact for different population groups</w:t>
            </w:r>
          </w:p>
        </w:tc>
        <w:tc>
          <w:tcPr>
            <w:tcW w:w="2123" w:type="dxa"/>
            <w:shd w:val="clear" w:color="auto" w:fill="E7E6E6"/>
          </w:tcPr>
          <w:p w14:paraId="3288D8A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Is there a possible disproportionate negative impact? </w:t>
            </w:r>
          </w:p>
          <w:p w14:paraId="46EB5D7F" w14:textId="77777777" w:rsidR="000729CF" w:rsidRPr="000729CF" w:rsidRDefault="000729CF" w:rsidP="000729CF">
            <w:pPr>
              <w:spacing w:after="120"/>
              <w:rPr>
                <w:rFonts w:ascii="Arial" w:eastAsia="Calibri" w:hAnsi="Arial" w:cs="Arial"/>
                <w:b/>
                <w:bCs/>
                <w:sz w:val="24"/>
                <w:szCs w:val="24"/>
              </w:rPr>
            </w:pPr>
          </w:p>
          <w:p w14:paraId="4E6EB62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b/>
                <w:bCs/>
                <w:sz w:val="24"/>
                <w:szCs w:val="24"/>
              </w:rPr>
              <w:t>State Yes or No</w:t>
            </w:r>
          </w:p>
        </w:tc>
        <w:tc>
          <w:tcPr>
            <w:tcW w:w="5377" w:type="dxa"/>
            <w:shd w:val="clear" w:color="auto" w:fill="E7E6E6"/>
          </w:tcPr>
          <w:p w14:paraId="084E573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Describe the potential negative impact, considering for differences within groups For example, different ethnic groups, and peoples intersecting identities e.g. disabled women of faith</w:t>
            </w:r>
          </w:p>
          <w:p w14:paraId="4074FED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OR</w:t>
            </w:r>
          </w:p>
          <w:p w14:paraId="636290B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If no impact is identified, briefly state why.</w:t>
            </w:r>
          </w:p>
        </w:tc>
      </w:tr>
      <w:tr w:rsidR="000729CF" w:rsidRPr="000729CF" w14:paraId="4CDB2374" w14:textId="77777777" w:rsidTr="000729CF">
        <w:trPr>
          <w:trHeight w:val="20"/>
        </w:trPr>
        <w:tc>
          <w:tcPr>
            <w:tcW w:w="2985" w:type="dxa"/>
            <w:shd w:val="clear" w:color="auto" w:fill="E7E6E6"/>
          </w:tcPr>
          <w:p w14:paraId="12D0C78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Age </w:t>
            </w:r>
          </w:p>
          <w:p w14:paraId="6E82B1A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sz w:val="24"/>
                <w:szCs w:val="24"/>
              </w:rPr>
              <w:t>including those under 16, young adults, multiple ethnicities, those with various intersections.</w:t>
            </w:r>
          </w:p>
        </w:tc>
        <w:tc>
          <w:tcPr>
            <w:tcW w:w="2123" w:type="dxa"/>
          </w:tcPr>
          <w:p w14:paraId="26E6FF7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Unknown</w:t>
            </w:r>
          </w:p>
        </w:tc>
        <w:tc>
          <w:tcPr>
            <w:tcW w:w="5377" w:type="dxa"/>
          </w:tcPr>
          <w:p w14:paraId="06E2FB9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data or insight available to determine impact</w:t>
            </w:r>
          </w:p>
        </w:tc>
      </w:tr>
      <w:tr w:rsidR="000729CF" w:rsidRPr="000729CF" w14:paraId="2B568DA3" w14:textId="77777777" w:rsidTr="000729CF">
        <w:trPr>
          <w:trHeight w:val="20"/>
        </w:trPr>
        <w:tc>
          <w:tcPr>
            <w:tcW w:w="2985" w:type="dxa"/>
            <w:shd w:val="clear" w:color="auto" w:fill="E7E6E6"/>
          </w:tcPr>
          <w:p w14:paraId="0DEBF12F"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 xml:space="preserve">Disability </w:t>
            </w:r>
            <w:r w:rsidRPr="000729CF">
              <w:rPr>
                <w:rFonts w:ascii="Arial" w:eastAsia="Calibri" w:hAnsi="Arial" w:cs="Arial"/>
                <w:sz w:val="24"/>
                <w:szCs w:val="24"/>
              </w:rPr>
              <w:t>includes physical and sensory disabled, D/deaf, deafened, hard of hearing, blind, neurodiverse people, people with non-visible disabilities.</w:t>
            </w:r>
          </w:p>
        </w:tc>
        <w:tc>
          <w:tcPr>
            <w:tcW w:w="2123" w:type="dxa"/>
          </w:tcPr>
          <w:p w14:paraId="2F905BF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Unknown</w:t>
            </w:r>
          </w:p>
        </w:tc>
        <w:tc>
          <w:tcPr>
            <w:tcW w:w="5377" w:type="dxa"/>
          </w:tcPr>
          <w:p w14:paraId="5024B59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data or insight available to determine impact</w:t>
            </w:r>
          </w:p>
        </w:tc>
      </w:tr>
      <w:tr w:rsidR="000729CF" w:rsidRPr="000729CF" w14:paraId="59FFD121" w14:textId="77777777" w:rsidTr="000729CF">
        <w:trPr>
          <w:trHeight w:val="20"/>
        </w:trPr>
        <w:tc>
          <w:tcPr>
            <w:tcW w:w="2985" w:type="dxa"/>
            <w:shd w:val="clear" w:color="auto" w:fill="E7E6E6"/>
          </w:tcPr>
          <w:p w14:paraId="328479C3" w14:textId="77777777" w:rsidR="000729CF" w:rsidRPr="000729CF" w:rsidRDefault="000729CF" w:rsidP="000729CF">
            <w:pPr>
              <w:keepNext/>
              <w:keepLines/>
              <w:spacing w:before="40"/>
              <w:outlineLvl w:val="2"/>
              <w:rPr>
                <w:rFonts w:ascii="Arial" w:hAnsi="Arial" w:cs="Arial"/>
                <w:color w:val="1F3763"/>
                <w:sz w:val="24"/>
                <w:szCs w:val="24"/>
              </w:rPr>
            </w:pPr>
            <w:r w:rsidRPr="000729CF">
              <w:rPr>
                <w:rFonts w:ascii="Arial" w:hAnsi="Arial" w:cs="Arial"/>
                <w:b/>
                <w:bCs/>
                <w:color w:val="000000"/>
                <w:sz w:val="24"/>
                <w:szCs w:val="24"/>
              </w:rPr>
              <w:t>Ethnicity, ‘</w:t>
            </w:r>
            <w:r w:rsidRPr="000729CF">
              <w:rPr>
                <w:rFonts w:ascii="Arial" w:hAnsi="Arial" w:cs="Arial"/>
                <w:color w:val="000000"/>
                <w:sz w:val="24"/>
                <w:szCs w:val="24"/>
              </w:rPr>
              <w:t>Race’, ethnic heritage including Gypsy, Roma, Travellers</w:t>
            </w:r>
          </w:p>
        </w:tc>
        <w:tc>
          <w:tcPr>
            <w:tcW w:w="2123" w:type="dxa"/>
          </w:tcPr>
          <w:p w14:paraId="1F3FF5A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Unknown</w:t>
            </w:r>
          </w:p>
          <w:p w14:paraId="73BEAF0C" w14:textId="77777777" w:rsidR="000729CF" w:rsidRPr="000729CF" w:rsidRDefault="000729CF" w:rsidP="000729CF">
            <w:pPr>
              <w:spacing w:after="120"/>
              <w:rPr>
                <w:rFonts w:ascii="Arial" w:eastAsia="Calibri" w:hAnsi="Arial" w:cs="Arial"/>
                <w:sz w:val="24"/>
                <w:szCs w:val="24"/>
              </w:rPr>
            </w:pPr>
          </w:p>
        </w:tc>
        <w:tc>
          <w:tcPr>
            <w:tcW w:w="5377" w:type="dxa"/>
          </w:tcPr>
          <w:p w14:paraId="754E5AD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data or insight available to determine impact</w:t>
            </w:r>
          </w:p>
        </w:tc>
      </w:tr>
      <w:tr w:rsidR="000729CF" w:rsidRPr="000729CF" w14:paraId="3B1A066A" w14:textId="77777777" w:rsidTr="000729CF">
        <w:trPr>
          <w:trHeight w:val="20"/>
        </w:trPr>
        <w:tc>
          <w:tcPr>
            <w:tcW w:w="2985" w:type="dxa"/>
            <w:shd w:val="clear" w:color="auto" w:fill="E7E6E6"/>
          </w:tcPr>
          <w:p w14:paraId="4606D5E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Religion, Spirituality, Faith, Atheism, and philosophical belief </w:t>
            </w:r>
          </w:p>
        </w:tc>
        <w:tc>
          <w:tcPr>
            <w:tcW w:w="2123" w:type="dxa"/>
          </w:tcPr>
          <w:p w14:paraId="0F48BC8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Unknown</w:t>
            </w:r>
          </w:p>
        </w:tc>
        <w:tc>
          <w:tcPr>
            <w:tcW w:w="5377" w:type="dxa"/>
          </w:tcPr>
          <w:p w14:paraId="7474ACE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data or insight available to determine impact</w:t>
            </w:r>
          </w:p>
        </w:tc>
      </w:tr>
      <w:tr w:rsidR="000729CF" w:rsidRPr="000729CF" w14:paraId="4D4E98B4" w14:textId="77777777" w:rsidTr="000729CF">
        <w:trPr>
          <w:trHeight w:val="20"/>
        </w:trPr>
        <w:tc>
          <w:tcPr>
            <w:tcW w:w="2985" w:type="dxa"/>
            <w:shd w:val="clear" w:color="auto" w:fill="E7E6E6"/>
          </w:tcPr>
          <w:p w14:paraId="7074EAF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Gender and Sex </w:t>
            </w:r>
            <w:r w:rsidRPr="000729CF">
              <w:rPr>
                <w:rFonts w:ascii="Arial" w:eastAsia="Calibri" w:hAnsi="Arial" w:cs="Arial"/>
                <w:sz w:val="24"/>
                <w:szCs w:val="24"/>
              </w:rPr>
              <w:t>including non-binary and intersex people</w:t>
            </w:r>
          </w:p>
        </w:tc>
        <w:tc>
          <w:tcPr>
            <w:tcW w:w="2123" w:type="dxa"/>
          </w:tcPr>
          <w:p w14:paraId="506628F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Unknown</w:t>
            </w:r>
          </w:p>
        </w:tc>
        <w:tc>
          <w:tcPr>
            <w:tcW w:w="5377" w:type="dxa"/>
          </w:tcPr>
          <w:p w14:paraId="7A3E910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data or insight available to determine impact</w:t>
            </w:r>
          </w:p>
        </w:tc>
      </w:tr>
      <w:tr w:rsidR="000729CF" w:rsidRPr="000729CF" w14:paraId="053B6B51" w14:textId="77777777" w:rsidTr="000729CF">
        <w:trPr>
          <w:trHeight w:val="20"/>
        </w:trPr>
        <w:tc>
          <w:tcPr>
            <w:tcW w:w="2985" w:type="dxa"/>
            <w:shd w:val="clear" w:color="auto" w:fill="E7E6E6"/>
          </w:tcPr>
          <w:p w14:paraId="5B44FF3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2123" w:type="dxa"/>
          </w:tcPr>
          <w:p w14:paraId="0100BCC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Unknown</w:t>
            </w:r>
          </w:p>
        </w:tc>
        <w:tc>
          <w:tcPr>
            <w:tcW w:w="5377" w:type="dxa"/>
          </w:tcPr>
          <w:p w14:paraId="1457BEB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data or insight available to determine impact</w:t>
            </w:r>
          </w:p>
        </w:tc>
      </w:tr>
      <w:tr w:rsidR="000729CF" w:rsidRPr="000729CF" w14:paraId="0605E1E4" w14:textId="77777777" w:rsidTr="000729CF">
        <w:trPr>
          <w:trHeight w:val="20"/>
        </w:trPr>
        <w:tc>
          <w:tcPr>
            <w:tcW w:w="2985" w:type="dxa"/>
            <w:shd w:val="clear" w:color="auto" w:fill="E7E6E6"/>
          </w:tcPr>
          <w:p w14:paraId="5390A75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2123" w:type="dxa"/>
          </w:tcPr>
          <w:p w14:paraId="6F7019B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Unknown</w:t>
            </w:r>
          </w:p>
        </w:tc>
        <w:tc>
          <w:tcPr>
            <w:tcW w:w="5377" w:type="dxa"/>
          </w:tcPr>
          <w:p w14:paraId="3A98767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data or insight available to determine impact</w:t>
            </w:r>
          </w:p>
        </w:tc>
      </w:tr>
      <w:tr w:rsidR="000729CF" w:rsidRPr="000729CF" w14:paraId="71170E18" w14:textId="77777777" w:rsidTr="000729CF">
        <w:trPr>
          <w:trHeight w:val="20"/>
        </w:trPr>
        <w:tc>
          <w:tcPr>
            <w:tcW w:w="2985" w:type="dxa"/>
            <w:shd w:val="clear" w:color="auto" w:fill="E7E6E6"/>
          </w:tcPr>
          <w:p w14:paraId="2AB7AAD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2123" w:type="dxa"/>
          </w:tcPr>
          <w:p w14:paraId="6320D63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Unknown</w:t>
            </w:r>
          </w:p>
        </w:tc>
        <w:tc>
          <w:tcPr>
            <w:tcW w:w="5377" w:type="dxa"/>
          </w:tcPr>
          <w:p w14:paraId="7DC7B27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data or insight available to determine impact</w:t>
            </w:r>
          </w:p>
        </w:tc>
      </w:tr>
      <w:tr w:rsidR="000729CF" w:rsidRPr="000729CF" w14:paraId="4C2C89FB" w14:textId="77777777" w:rsidTr="000729CF">
        <w:trPr>
          <w:trHeight w:val="20"/>
        </w:trPr>
        <w:tc>
          <w:tcPr>
            <w:tcW w:w="2985" w:type="dxa"/>
            <w:shd w:val="clear" w:color="auto" w:fill="E7E6E6"/>
          </w:tcPr>
          <w:p w14:paraId="1C84A0D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Pregnancy, Maternity, Paternity, Adoption, Menopause, (In)fertility </w:t>
            </w:r>
            <w:r w:rsidRPr="000729CF">
              <w:rPr>
                <w:rFonts w:ascii="Arial" w:eastAsia="Calibri" w:hAnsi="Arial" w:cs="Arial"/>
                <w:color w:val="000000"/>
                <w:sz w:val="24"/>
                <w:szCs w:val="24"/>
              </w:rPr>
              <w:t>(across intersections and non-binary gender spectrum)</w:t>
            </w:r>
          </w:p>
        </w:tc>
        <w:tc>
          <w:tcPr>
            <w:tcW w:w="2123" w:type="dxa"/>
          </w:tcPr>
          <w:p w14:paraId="271AFDC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Unknown</w:t>
            </w:r>
          </w:p>
        </w:tc>
        <w:tc>
          <w:tcPr>
            <w:tcW w:w="5377" w:type="dxa"/>
          </w:tcPr>
          <w:p w14:paraId="51873C9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data or insight available to determine impact</w:t>
            </w:r>
          </w:p>
        </w:tc>
      </w:tr>
      <w:tr w:rsidR="000729CF" w:rsidRPr="000729CF" w14:paraId="405F1D60" w14:textId="77777777" w:rsidTr="000729CF">
        <w:trPr>
          <w:trHeight w:val="20"/>
        </w:trPr>
        <w:tc>
          <w:tcPr>
            <w:tcW w:w="2985" w:type="dxa"/>
            <w:shd w:val="clear" w:color="auto" w:fill="E7E6E6"/>
          </w:tcPr>
          <w:p w14:paraId="63B6383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2123" w:type="dxa"/>
          </w:tcPr>
          <w:p w14:paraId="6096EA7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Unknown</w:t>
            </w:r>
          </w:p>
        </w:tc>
        <w:tc>
          <w:tcPr>
            <w:tcW w:w="5377" w:type="dxa"/>
          </w:tcPr>
          <w:p w14:paraId="18AD032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data or insight available to determine impact</w:t>
            </w:r>
          </w:p>
        </w:tc>
      </w:tr>
      <w:tr w:rsidR="000729CF" w:rsidRPr="000729CF" w14:paraId="494980D2" w14:textId="77777777" w:rsidTr="000729CF">
        <w:trPr>
          <w:trHeight w:val="20"/>
        </w:trPr>
        <w:tc>
          <w:tcPr>
            <w:tcW w:w="2985" w:type="dxa"/>
            <w:shd w:val="clear" w:color="auto" w:fill="E7E6E6"/>
          </w:tcPr>
          <w:p w14:paraId="1BF6D1C8" w14:textId="77777777" w:rsidR="000729CF" w:rsidRPr="000729CF" w:rsidRDefault="000729CF" w:rsidP="000729CF">
            <w:pPr>
              <w:spacing w:after="120"/>
              <w:rPr>
                <w:rFonts w:ascii="Arial" w:eastAsia="Calibri" w:hAnsi="Arial" w:cs="Arial"/>
                <w:b/>
                <w:bCs/>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r w:rsidRPr="000729CF">
              <w:rPr>
                <w:rFonts w:ascii="Arial" w:hAnsi="Arial" w:cs="Arial"/>
                <w:color w:val="000000"/>
                <w:sz w:val="24"/>
                <w:szCs w:val="24"/>
              </w:rPr>
              <w:t>considering for age, language, and various intersections</w:t>
            </w:r>
          </w:p>
        </w:tc>
        <w:tc>
          <w:tcPr>
            <w:tcW w:w="2123" w:type="dxa"/>
          </w:tcPr>
          <w:p w14:paraId="66DA9A5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Unknown</w:t>
            </w:r>
          </w:p>
        </w:tc>
        <w:tc>
          <w:tcPr>
            <w:tcW w:w="5377" w:type="dxa"/>
          </w:tcPr>
          <w:p w14:paraId="6B5F7CF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data or insight available to determine impact</w:t>
            </w:r>
          </w:p>
        </w:tc>
      </w:tr>
      <w:tr w:rsidR="000729CF" w:rsidRPr="000729CF" w14:paraId="2ED9EF3E" w14:textId="77777777" w:rsidTr="000729CF">
        <w:trPr>
          <w:trHeight w:val="20"/>
        </w:trPr>
        <w:tc>
          <w:tcPr>
            <w:tcW w:w="2985" w:type="dxa"/>
            <w:shd w:val="clear" w:color="auto" w:fill="E7E6E6"/>
          </w:tcPr>
          <w:p w14:paraId="23DFCC9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Carers </w:t>
            </w:r>
            <w:r w:rsidRPr="000729CF">
              <w:rPr>
                <w:rFonts w:ascii="Arial" w:hAnsi="Arial" w:cs="Arial"/>
                <w:color w:val="000000"/>
                <w:sz w:val="24"/>
                <w:szCs w:val="24"/>
              </w:rPr>
              <w:t>considering for age, language, and various intersections</w:t>
            </w:r>
          </w:p>
        </w:tc>
        <w:tc>
          <w:tcPr>
            <w:tcW w:w="2123" w:type="dxa"/>
          </w:tcPr>
          <w:p w14:paraId="5BB8573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Unknown</w:t>
            </w:r>
          </w:p>
        </w:tc>
        <w:tc>
          <w:tcPr>
            <w:tcW w:w="5377" w:type="dxa"/>
          </w:tcPr>
          <w:p w14:paraId="49F749E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data or insight available to determine impact</w:t>
            </w:r>
          </w:p>
        </w:tc>
      </w:tr>
      <w:tr w:rsidR="000729CF" w:rsidRPr="000729CF" w14:paraId="041C9CCF" w14:textId="77777777" w:rsidTr="000729CF">
        <w:trPr>
          <w:trHeight w:val="20"/>
        </w:trPr>
        <w:tc>
          <w:tcPr>
            <w:tcW w:w="2985" w:type="dxa"/>
            <w:shd w:val="clear" w:color="auto" w:fill="E7E6E6"/>
          </w:tcPr>
          <w:p w14:paraId="79BBE155"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 xml:space="preserve">Looked after children, Care Leavers, Care and fostering experienced people </w:t>
            </w:r>
            <w:r w:rsidRPr="000729CF">
              <w:rPr>
                <w:rFonts w:ascii="Arial" w:hAnsi="Arial" w:cs="Arial"/>
                <w:color w:val="000000"/>
                <w:sz w:val="24"/>
                <w:szCs w:val="24"/>
              </w:rPr>
              <w:t>considering for age, language, and various intersections</w:t>
            </w:r>
          </w:p>
        </w:tc>
        <w:tc>
          <w:tcPr>
            <w:tcW w:w="2123" w:type="dxa"/>
          </w:tcPr>
          <w:p w14:paraId="37C0627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Unknown</w:t>
            </w:r>
          </w:p>
        </w:tc>
        <w:tc>
          <w:tcPr>
            <w:tcW w:w="5377" w:type="dxa"/>
          </w:tcPr>
          <w:p w14:paraId="6A8ED20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data or insight available to determine impact</w:t>
            </w:r>
          </w:p>
        </w:tc>
      </w:tr>
      <w:tr w:rsidR="000729CF" w:rsidRPr="000729CF" w14:paraId="373093A5" w14:textId="77777777" w:rsidTr="000729CF">
        <w:trPr>
          <w:trHeight w:val="20"/>
        </w:trPr>
        <w:tc>
          <w:tcPr>
            <w:tcW w:w="2985" w:type="dxa"/>
            <w:shd w:val="clear" w:color="auto" w:fill="E7E6E6"/>
          </w:tcPr>
          <w:p w14:paraId="58B8562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w:t>
            </w:r>
          </w:p>
        </w:tc>
        <w:tc>
          <w:tcPr>
            <w:tcW w:w="2123" w:type="dxa"/>
          </w:tcPr>
          <w:p w14:paraId="32CD6B9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Unknown</w:t>
            </w:r>
          </w:p>
        </w:tc>
        <w:tc>
          <w:tcPr>
            <w:tcW w:w="5377" w:type="dxa"/>
          </w:tcPr>
          <w:p w14:paraId="0DA612E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data or insight available to determine impact</w:t>
            </w:r>
          </w:p>
        </w:tc>
      </w:tr>
      <w:tr w:rsidR="000729CF" w:rsidRPr="000729CF" w14:paraId="31C0C784" w14:textId="77777777" w:rsidTr="000729CF">
        <w:trPr>
          <w:trHeight w:val="20"/>
        </w:trPr>
        <w:tc>
          <w:tcPr>
            <w:tcW w:w="2985" w:type="dxa"/>
            <w:shd w:val="clear" w:color="auto" w:fill="E7E6E6"/>
          </w:tcPr>
          <w:p w14:paraId="5D9CE55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Socio-economic disadvantage </w:t>
            </w:r>
            <w:r w:rsidRPr="000729CF">
              <w:rPr>
                <w:rFonts w:ascii="Arial" w:eastAsia="Calibri" w:hAnsi="Arial" w:cs="Arial"/>
                <w:color w:val="000000"/>
                <w:sz w:val="24"/>
                <w:szCs w:val="24"/>
              </w:rPr>
              <w:t>considering for age, disability, D/deaf/ blind, ethnicity, expatriate background, and various intersections</w:t>
            </w:r>
          </w:p>
        </w:tc>
        <w:tc>
          <w:tcPr>
            <w:tcW w:w="2123" w:type="dxa"/>
          </w:tcPr>
          <w:p w14:paraId="6717815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Unknown</w:t>
            </w:r>
          </w:p>
        </w:tc>
        <w:tc>
          <w:tcPr>
            <w:tcW w:w="5377" w:type="dxa"/>
          </w:tcPr>
          <w:p w14:paraId="0BC8CF2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data or insight available to determine impact</w:t>
            </w:r>
          </w:p>
        </w:tc>
      </w:tr>
      <w:tr w:rsidR="000729CF" w:rsidRPr="000729CF" w14:paraId="09B147CF" w14:textId="77777777" w:rsidTr="000729CF">
        <w:trPr>
          <w:trHeight w:val="20"/>
        </w:trPr>
        <w:tc>
          <w:tcPr>
            <w:tcW w:w="2985" w:type="dxa"/>
            <w:shd w:val="clear" w:color="auto" w:fill="E7E6E6"/>
          </w:tcPr>
          <w:p w14:paraId="4BB2E87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Homeless and rough sleepers </w:t>
            </w:r>
            <w:r w:rsidRPr="000729CF">
              <w:rPr>
                <w:rFonts w:ascii="Arial" w:eastAsia="Calibri" w:hAnsi="Arial" w:cs="Arial"/>
                <w:color w:val="000000"/>
                <w:sz w:val="24"/>
                <w:szCs w:val="24"/>
              </w:rPr>
              <w:t>considering for age, veteran, ethnicity, language, and various intersections</w:t>
            </w:r>
          </w:p>
        </w:tc>
        <w:tc>
          <w:tcPr>
            <w:tcW w:w="2123" w:type="dxa"/>
          </w:tcPr>
          <w:p w14:paraId="298C40E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Unknown</w:t>
            </w:r>
          </w:p>
        </w:tc>
        <w:tc>
          <w:tcPr>
            <w:tcW w:w="5377" w:type="dxa"/>
          </w:tcPr>
          <w:p w14:paraId="04A3599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data or insight available to determine impact</w:t>
            </w:r>
          </w:p>
        </w:tc>
      </w:tr>
      <w:tr w:rsidR="000729CF" w:rsidRPr="000729CF" w14:paraId="2DA31198" w14:textId="77777777" w:rsidTr="000729CF">
        <w:trPr>
          <w:trHeight w:val="20"/>
        </w:trPr>
        <w:tc>
          <w:tcPr>
            <w:tcW w:w="2985" w:type="dxa"/>
            <w:shd w:val="clear" w:color="auto" w:fill="E7E6E6"/>
          </w:tcPr>
          <w:p w14:paraId="711C820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2123" w:type="dxa"/>
          </w:tcPr>
          <w:p w14:paraId="6DB5185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Unknown</w:t>
            </w:r>
          </w:p>
        </w:tc>
        <w:tc>
          <w:tcPr>
            <w:tcW w:w="5377" w:type="dxa"/>
          </w:tcPr>
          <w:p w14:paraId="57748F1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data or insight available to determine impact</w:t>
            </w:r>
          </w:p>
        </w:tc>
      </w:tr>
      <w:tr w:rsidR="000729CF" w:rsidRPr="000729CF" w14:paraId="0CB158A9" w14:textId="77777777" w:rsidTr="000729CF">
        <w:trPr>
          <w:trHeight w:val="20"/>
        </w:trPr>
        <w:tc>
          <w:tcPr>
            <w:tcW w:w="2985" w:type="dxa"/>
            <w:shd w:val="clear" w:color="auto" w:fill="E7E6E6"/>
          </w:tcPr>
          <w:p w14:paraId="63E6C7B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 (please specify here and add additional rows as needed)</w:t>
            </w:r>
          </w:p>
        </w:tc>
        <w:tc>
          <w:tcPr>
            <w:tcW w:w="2123" w:type="dxa"/>
          </w:tcPr>
          <w:p w14:paraId="2787921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None</w:t>
            </w:r>
          </w:p>
        </w:tc>
        <w:tc>
          <w:tcPr>
            <w:tcW w:w="5377" w:type="dxa"/>
          </w:tcPr>
          <w:p w14:paraId="16FD40F3" w14:textId="77777777" w:rsidR="000729CF" w:rsidRPr="000729CF" w:rsidRDefault="000729CF" w:rsidP="000729CF">
            <w:pPr>
              <w:spacing w:after="120"/>
              <w:rPr>
                <w:rFonts w:ascii="Arial" w:eastAsia="Calibri" w:hAnsi="Arial" w:cs="Arial"/>
                <w:sz w:val="24"/>
                <w:szCs w:val="24"/>
              </w:rPr>
            </w:pPr>
          </w:p>
        </w:tc>
      </w:tr>
    </w:tbl>
    <w:p w14:paraId="0AA30F95" w14:textId="77777777" w:rsidR="000729CF" w:rsidRPr="000729CF" w:rsidRDefault="000729CF" w:rsidP="000729CF">
      <w:pPr>
        <w:spacing w:after="160" w:line="259" w:lineRule="auto"/>
        <w:rPr>
          <w:rFonts w:ascii="Arial" w:eastAsia="Calibri" w:hAnsi="Arial" w:cs="Arial"/>
          <w:b/>
          <w:bCs/>
          <w:sz w:val="24"/>
          <w:szCs w:val="24"/>
          <w:lang w:val="en-GB"/>
        </w:rPr>
      </w:pPr>
    </w:p>
    <w:p w14:paraId="2C9985D8" w14:textId="77777777" w:rsidR="000729CF" w:rsidRPr="000729CF" w:rsidRDefault="000729CF" w:rsidP="000729CF">
      <w:pPr>
        <w:rPr>
          <w:rFonts w:ascii="Arial" w:eastAsia="Calibri" w:hAnsi="Arial" w:cs="Arial"/>
          <w:sz w:val="24"/>
          <w:szCs w:val="24"/>
          <w:lang w:val="en-GB"/>
        </w:rPr>
      </w:pPr>
    </w:p>
    <w:p w14:paraId="18B08A96"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Cumulative impacts</w:t>
      </w:r>
    </w:p>
    <w:p w14:paraId="47C14B2C"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Are there other budget proposals from other service areas that might worsen or mitigate the impacts from your proposal? Please give a brief description including name of other service(s).</w:t>
      </w:r>
    </w:p>
    <w:tbl>
      <w:tblPr>
        <w:tblStyle w:val="TableGrid"/>
        <w:tblW w:w="0" w:type="auto"/>
        <w:tblLook w:val="04A0" w:firstRow="1" w:lastRow="0" w:firstColumn="1" w:lastColumn="0" w:noHBand="0" w:noVBand="1"/>
      </w:tblPr>
      <w:tblGrid>
        <w:gridCol w:w="10456"/>
      </w:tblGrid>
      <w:tr w:rsidR="000729CF" w:rsidRPr="000729CF" w14:paraId="79C17E77" w14:textId="77777777" w:rsidTr="00BC26AB">
        <w:tc>
          <w:tcPr>
            <w:tcW w:w="10456" w:type="dxa"/>
          </w:tcPr>
          <w:p w14:paraId="5D6DB70A" w14:textId="77777777" w:rsidR="000729CF" w:rsidRPr="000729CF" w:rsidRDefault="000729CF" w:rsidP="000729CF">
            <w:pPr>
              <w:rPr>
                <w:rFonts w:ascii="Arial" w:eastAsia="Calibri" w:hAnsi="Arial" w:cs="Arial"/>
                <w:sz w:val="24"/>
                <w:szCs w:val="24"/>
              </w:rPr>
            </w:pPr>
            <w:r w:rsidRPr="000729CF">
              <w:rPr>
                <w:rFonts w:ascii="Arial" w:eastAsia="Calibri" w:hAnsi="Arial" w:cs="Arial"/>
                <w:bCs/>
                <w:sz w:val="24"/>
                <w:szCs w:val="24"/>
              </w:rPr>
              <w:t>If the annual licence fee is also increased at the same time and by more than the corporate inflation rate Beach Hut owners might feel that they are being unfairly targeted.  As the demographic of the owners is unknow it is not possible to know if there is a disproportionate impact based on protected characteristic However, it would apply to all owners equally.</w:t>
            </w:r>
          </w:p>
          <w:p w14:paraId="5513F597" w14:textId="77777777" w:rsidR="000729CF" w:rsidRPr="000729CF" w:rsidRDefault="000729CF" w:rsidP="000729CF">
            <w:pPr>
              <w:rPr>
                <w:rFonts w:ascii="Arial" w:eastAsia="Calibri" w:hAnsi="Arial" w:cs="Arial"/>
                <w:sz w:val="24"/>
                <w:szCs w:val="24"/>
              </w:rPr>
            </w:pPr>
          </w:p>
        </w:tc>
      </w:tr>
    </w:tbl>
    <w:p w14:paraId="0F1D888E" w14:textId="77777777" w:rsidR="000729CF" w:rsidRPr="000729CF" w:rsidRDefault="000729CF" w:rsidP="000729CF">
      <w:pPr>
        <w:spacing w:after="160" w:line="259" w:lineRule="auto"/>
        <w:rPr>
          <w:rFonts w:ascii="Arial" w:eastAsia="Calibri" w:hAnsi="Arial" w:cs="Arial"/>
          <w:sz w:val="24"/>
          <w:szCs w:val="24"/>
          <w:lang w:val="en-GB"/>
        </w:rPr>
      </w:pPr>
    </w:p>
    <w:p w14:paraId="7B0C63A8"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Action planning</w:t>
      </w:r>
    </w:p>
    <w:p w14:paraId="25582D74"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SMART actions will be taken to mitigate the disproportionate impacts identified in section 3? If no mitigating action is possible, please state and explain why. Add additional rows as required. </w:t>
      </w:r>
    </w:p>
    <w:tbl>
      <w:tblPr>
        <w:tblStyle w:val="TableGrid"/>
        <w:tblW w:w="0" w:type="auto"/>
        <w:tblLook w:val="04A0" w:firstRow="1" w:lastRow="0" w:firstColumn="1" w:lastColumn="0" w:noHBand="0" w:noVBand="1"/>
      </w:tblPr>
      <w:tblGrid>
        <w:gridCol w:w="10456"/>
      </w:tblGrid>
      <w:tr w:rsidR="000729CF" w:rsidRPr="000729CF" w14:paraId="6B67EC46" w14:textId="77777777" w:rsidTr="00BC26AB">
        <w:trPr>
          <w:trHeight w:val="847"/>
        </w:trPr>
        <w:tc>
          <w:tcPr>
            <w:tcW w:w="10456" w:type="dxa"/>
          </w:tcPr>
          <w:p w14:paraId="42D473B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SMART Action 1: introduce an equality monitoring form for beach hut owners</w:t>
            </w:r>
          </w:p>
        </w:tc>
      </w:tr>
    </w:tbl>
    <w:p w14:paraId="0CE02D7F" w14:textId="77777777" w:rsidR="000729CF" w:rsidRPr="000729CF" w:rsidRDefault="000729CF" w:rsidP="000729CF">
      <w:pPr>
        <w:spacing w:after="160" w:line="259" w:lineRule="auto"/>
        <w:rPr>
          <w:rFonts w:ascii="Arial" w:eastAsia="Calibri" w:hAnsi="Arial" w:cs="Arial"/>
          <w:sz w:val="24"/>
          <w:szCs w:val="24"/>
          <w:lang w:val="en-GB"/>
        </w:rPr>
      </w:pPr>
    </w:p>
    <w:p w14:paraId="0F3E228D"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Outcome of your assessment</w:t>
      </w:r>
    </w:p>
    <w:p w14:paraId="5DC044A7"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Based on the information above give the proposal an impact score between 1 – 5. </w:t>
      </w:r>
    </w:p>
    <w:p w14:paraId="341694CF"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1= proposal has minimal impact and/or mitigating actions will significantly minimise the impact</w:t>
      </w:r>
    </w:p>
    <w:p w14:paraId="61579061"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3= proposal will have a significant negative impact; however, mitigation actions will reduce the impact considerably.</w:t>
      </w:r>
    </w:p>
    <w:p w14:paraId="774AC881"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5= proposal has significant impact and mitigating actions will have limited effect on reducing impact.</w:t>
      </w:r>
    </w:p>
    <w:p w14:paraId="0AFAF2F4" w14:textId="77777777" w:rsidR="000729CF" w:rsidRPr="000729CF" w:rsidRDefault="000729CF" w:rsidP="000729CF">
      <w:pPr>
        <w:rPr>
          <w:rFonts w:ascii="Arial" w:eastAsia="Calibri" w:hAnsi="Arial" w:cs="Arial"/>
          <w:sz w:val="24"/>
          <w:szCs w:val="24"/>
          <w:highlight w:val="yellow"/>
          <w:lang w:val="en-GB"/>
        </w:rPr>
      </w:pPr>
    </w:p>
    <w:tbl>
      <w:tblPr>
        <w:tblStyle w:val="TableGrid"/>
        <w:tblW w:w="0" w:type="auto"/>
        <w:tblLook w:val="04A0" w:firstRow="1" w:lastRow="0" w:firstColumn="1" w:lastColumn="0" w:noHBand="0" w:noVBand="1"/>
      </w:tblPr>
      <w:tblGrid>
        <w:gridCol w:w="3114"/>
        <w:gridCol w:w="7342"/>
      </w:tblGrid>
      <w:tr w:rsidR="000729CF" w:rsidRPr="000729CF" w14:paraId="468E298F" w14:textId="77777777" w:rsidTr="00BC26AB">
        <w:trPr>
          <w:trHeight w:val="152"/>
        </w:trPr>
        <w:tc>
          <w:tcPr>
            <w:tcW w:w="3114" w:type="dxa"/>
          </w:tcPr>
          <w:p w14:paraId="5847384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Proposal’s impact score:</w:t>
            </w:r>
          </w:p>
        </w:tc>
        <w:tc>
          <w:tcPr>
            <w:tcW w:w="7342" w:type="dxa"/>
          </w:tcPr>
          <w:p w14:paraId="3F47F4F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1</w:t>
            </w:r>
          </w:p>
        </w:tc>
      </w:tr>
    </w:tbl>
    <w:p w14:paraId="56DD2DC3" w14:textId="77777777" w:rsidR="000729CF" w:rsidRPr="000729CF" w:rsidRDefault="000729CF" w:rsidP="000729CF">
      <w:pPr>
        <w:spacing w:after="160" w:line="259" w:lineRule="auto"/>
        <w:rPr>
          <w:rFonts w:ascii="Arial" w:eastAsia="Calibri" w:hAnsi="Arial" w:cs="Arial"/>
          <w:sz w:val="24"/>
          <w:szCs w:val="24"/>
          <w:lang w:val="en-GB"/>
        </w:rPr>
      </w:pPr>
    </w:p>
    <w:p w14:paraId="7E31715F"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Publication</w:t>
      </w:r>
    </w:p>
    <w:p w14:paraId="49D73A0E"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All Equality Impact Assessments will be published. If you are recommending, and choosing not to publish your EIA, please provide a reason:</w:t>
      </w:r>
    </w:p>
    <w:tbl>
      <w:tblPr>
        <w:tblStyle w:val="TableGrid"/>
        <w:tblW w:w="0" w:type="auto"/>
        <w:tblLook w:val="04A0" w:firstRow="1" w:lastRow="0" w:firstColumn="1" w:lastColumn="0" w:noHBand="0" w:noVBand="1"/>
      </w:tblPr>
      <w:tblGrid>
        <w:gridCol w:w="10456"/>
      </w:tblGrid>
      <w:tr w:rsidR="000729CF" w:rsidRPr="000729CF" w14:paraId="4C5BD526" w14:textId="77777777" w:rsidTr="00BC26AB">
        <w:trPr>
          <w:trHeight w:val="803"/>
        </w:trPr>
        <w:tc>
          <w:tcPr>
            <w:tcW w:w="10456" w:type="dxa"/>
          </w:tcPr>
          <w:p w14:paraId="60DAFE54" w14:textId="77777777" w:rsidR="000729CF" w:rsidRPr="000729CF" w:rsidRDefault="000729CF" w:rsidP="000729CF">
            <w:pPr>
              <w:spacing w:after="120"/>
              <w:rPr>
                <w:rFonts w:ascii="Arial" w:eastAsia="Calibri" w:hAnsi="Arial" w:cs="Arial"/>
                <w:sz w:val="24"/>
                <w:szCs w:val="24"/>
              </w:rPr>
            </w:pPr>
          </w:p>
        </w:tc>
      </w:tr>
    </w:tbl>
    <w:p w14:paraId="7A0CFD93" w14:textId="77777777" w:rsidR="000729CF" w:rsidRPr="000729CF" w:rsidRDefault="000729CF" w:rsidP="000729CF">
      <w:pPr>
        <w:spacing w:after="160" w:line="259" w:lineRule="auto"/>
        <w:rPr>
          <w:rFonts w:ascii="Arial" w:eastAsia="Calibri" w:hAnsi="Arial" w:cs="Arial"/>
          <w:sz w:val="24"/>
          <w:szCs w:val="24"/>
          <w:lang w:val="en-GB"/>
        </w:rPr>
      </w:pPr>
    </w:p>
    <w:p w14:paraId="5F68EA62"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Directorate and Service Approval</w:t>
      </w:r>
    </w:p>
    <w:tbl>
      <w:tblPr>
        <w:tblStyle w:val="TableGrid"/>
        <w:tblW w:w="0" w:type="auto"/>
        <w:tblLook w:val="04A0" w:firstRow="1" w:lastRow="0" w:firstColumn="1" w:lastColumn="0" w:noHBand="0" w:noVBand="1"/>
      </w:tblPr>
      <w:tblGrid>
        <w:gridCol w:w="3681"/>
        <w:gridCol w:w="4394"/>
        <w:gridCol w:w="2381"/>
      </w:tblGrid>
      <w:tr w:rsidR="000729CF" w:rsidRPr="000729CF" w14:paraId="0089469F" w14:textId="77777777" w:rsidTr="000729CF">
        <w:trPr>
          <w:trHeight w:val="20"/>
        </w:trPr>
        <w:tc>
          <w:tcPr>
            <w:tcW w:w="3681" w:type="dxa"/>
            <w:tcBorders>
              <w:bottom w:val="single" w:sz="4" w:space="0" w:color="auto"/>
            </w:tcBorders>
            <w:shd w:val="clear" w:color="auto" w:fill="D9D9D9"/>
          </w:tcPr>
          <w:p w14:paraId="56F4A6B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02AC90A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 and Job Title:</w:t>
            </w:r>
          </w:p>
        </w:tc>
        <w:tc>
          <w:tcPr>
            <w:tcW w:w="2381" w:type="dxa"/>
            <w:shd w:val="clear" w:color="auto" w:fill="D9D9D9"/>
          </w:tcPr>
          <w:p w14:paraId="313605C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750EC70B" w14:textId="77777777" w:rsidTr="000729CF">
        <w:trPr>
          <w:trHeight w:val="20"/>
        </w:trPr>
        <w:tc>
          <w:tcPr>
            <w:tcW w:w="3681" w:type="dxa"/>
            <w:shd w:val="clear" w:color="auto" w:fill="E7E6E6"/>
          </w:tcPr>
          <w:p w14:paraId="2D66EE4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Responsible Lead Officer:</w:t>
            </w:r>
          </w:p>
        </w:tc>
        <w:tc>
          <w:tcPr>
            <w:tcW w:w="4394" w:type="dxa"/>
          </w:tcPr>
          <w:p w14:paraId="60CFA2D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Toni Manuel, Seafront Development Manager</w:t>
            </w:r>
          </w:p>
        </w:tc>
        <w:tc>
          <w:tcPr>
            <w:tcW w:w="2381" w:type="dxa"/>
          </w:tcPr>
          <w:p w14:paraId="18A7B67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11/12/23</w:t>
            </w:r>
          </w:p>
        </w:tc>
      </w:tr>
      <w:tr w:rsidR="000729CF" w:rsidRPr="000729CF" w14:paraId="4C2568E8" w14:textId="77777777" w:rsidTr="000729CF">
        <w:trPr>
          <w:trHeight w:val="20"/>
        </w:trPr>
        <w:tc>
          <w:tcPr>
            <w:tcW w:w="3681" w:type="dxa"/>
            <w:shd w:val="clear" w:color="auto" w:fill="E7E6E6"/>
          </w:tcPr>
          <w:p w14:paraId="52F6E17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Accountable Manager:</w:t>
            </w:r>
          </w:p>
        </w:tc>
        <w:tc>
          <w:tcPr>
            <w:tcW w:w="4394" w:type="dxa"/>
          </w:tcPr>
          <w:p w14:paraId="64345E6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Mark Fisher, Head of Sport &amp; Leisure</w:t>
            </w:r>
          </w:p>
        </w:tc>
        <w:tc>
          <w:tcPr>
            <w:tcW w:w="2381" w:type="dxa"/>
          </w:tcPr>
          <w:p w14:paraId="481797B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23-01-24</w:t>
            </w:r>
          </w:p>
        </w:tc>
      </w:tr>
    </w:tbl>
    <w:p w14:paraId="5236630C" w14:textId="77777777" w:rsidR="000729CF" w:rsidRPr="000729CF" w:rsidRDefault="000729CF" w:rsidP="000729CF">
      <w:pPr>
        <w:spacing w:after="160" w:line="259" w:lineRule="auto"/>
        <w:rPr>
          <w:rFonts w:ascii="Arial" w:eastAsia="Calibri" w:hAnsi="Arial" w:cs="Arial"/>
          <w:sz w:val="24"/>
          <w:szCs w:val="24"/>
          <w:lang w:val="en-GB"/>
        </w:rPr>
      </w:pPr>
    </w:p>
    <w:p w14:paraId="0B82AA3D" w14:textId="77777777" w:rsidR="000729CF" w:rsidRPr="000729CF" w:rsidRDefault="000729CF" w:rsidP="000729CF">
      <w:pPr>
        <w:keepNext/>
        <w:keepLines/>
        <w:spacing w:before="40" w:after="160" w:line="259" w:lineRule="auto"/>
        <w:outlineLvl w:val="2"/>
        <w:rPr>
          <w:rFonts w:ascii="Arial" w:hAnsi="Arial" w:cs="Arial"/>
          <w:b/>
          <w:bCs/>
          <w:color w:val="000000"/>
          <w:sz w:val="28"/>
          <w:szCs w:val="28"/>
          <w:lang w:val="en-GB"/>
        </w:rPr>
      </w:pPr>
      <w:r w:rsidRPr="000729CF">
        <w:rPr>
          <w:rFonts w:ascii="Arial" w:hAnsi="Arial" w:cs="Arial"/>
          <w:b/>
          <w:bCs/>
          <w:color w:val="000000"/>
          <w:sz w:val="28"/>
          <w:szCs w:val="28"/>
          <w:lang w:val="en-GB"/>
        </w:rPr>
        <w:t>EDI Review and Approval:</w:t>
      </w:r>
    </w:p>
    <w:p w14:paraId="2EC9A8B3" w14:textId="77777777" w:rsidR="000729CF" w:rsidRPr="000729CF" w:rsidRDefault="000729CF" w:rsidP="000729CF">
      <w:pPr>
        <w:spacing w:after="160" w:line="259" w:lineRule="auto"/>
        <w:rPr>
          <w:rFonts w:ascii="Arial" w:eastAsia="Calibri" w:hAnsi="Arial" w:cs="Arial"/>
          <w:sz w:val="24"/>
          <w:szCs w:val="24"/>
          <w:lang w:val="en-GB"/>
        </w:rPr>
      </w:pPr>
    </w:p>
    <w:p w14:paraId="095999E5" w14:textId="77777777" w:rsidR="000729CF" w:rsidRPr="000729CF" w:rsidRDefault="000729CF" w:rsidP="000729CF">
      <w:pPr>
        <w:keepNext/>
        <w:keepLines/>
        <w:spacing w:after="160" w:line="259" w:lineRule="auto"/>
        <w:ind w:left="283" w:hanging="283"/>
        <w:outlineLvl w:val="1"/>
        <w:rPr>
          <w:rFonts w:ascii="Arial" w:hAnsi="Arial" w:cs="Arial"/>
          <w:color w:val="2F5496"/>
          <w:sz w:val="24"/>
          <w:szCs w:val="24"/>
          <w:lang w:val="en-GB"/>
        </w:rPr>
      </w:pPr>
      <w:r w:rsidRPr="000729CF">
        <w:rPr>
          <w:rFonts w:ascii="Arial" w:hAnsi="Arial" w:cs="Arial"/>
          <w:color w:val="2F5496"/>
          <w:sz w:val="24"/>
          <w:szCs w:val="24"/>
          <w:lang w:val="en-GB"/>
        </w:rPr>
        <w:t>Equality Impact Assessment sign-off</w:t>
      </w:r>
    </w:p>
    <w:tbl>
      <w:tblPr>
        <w:tblStyle w:val="TableGrid"/>
        <w:tblW w:w="0" w:type="auto"/>
        <w:tblLook w:val="04A0" w:firstRow="1" w:lastRow="0" w:firstColumn="1" w:lastColumn="0" w:noHBand="0" w:noVBand="1"/>
      </w:tblPr>
      <w:tblGrid>
        <w:gridCol w:w="3681"/>
        <w:gridCol w:w="4394"/>
        <w:gridCol w:w="2381"/>
      </w:tblGrid>
      <w:tr w:rsidR="000729CF" w:rsidRPr="000729CF" w14:paraId="62E76D1A" w14:textId="77777777" w:rsidTr="000729CF">
        <w:trPr>
          <w:trHeight w:val="20"/>
        </w:trPr>
        <w:tc>
          <w:tcPr>
            <w:tcW w:w="3681" w:type="dxa"/>
            <w:tcBorders>
              <w:bottom w:val="single" w:sz="4" w:space="0" w:color="auto"/>
            </w:tcBorders>
            <w:shd w:val="clear" w:color="auto" w:fill="D9D9D9"/>
          </w:tcPr>
          <w:p w14:paraId="4D71A8E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1C688C8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w:t>
            </w:r>
          </w:p>
        </w:tc>
        <w:tc>
          <w:tcPr>
            <w:tcW w:w="2381" w:type="dxa"/>
            <w:shd w:val="clear" w:color="auto" w:fill="D9D9D9"/>
          </w:tcPr>
          <w:p w14:paraId="71E46AF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03E7FD08" w14:textId="77777777" w:rsidTr="000729CF">
        <w:trPr>
          <w:trHeight w:val="20"/>
        </w:trPr>
        <w:tc>
          <w:tcPr>
            <w:tcW w:w="3681" w:type="dxa"/>
            <w:shd w:val="clear" w:color="auto" w:fill="E7E6E6"/>
          </w:tcPr>
          <w:p w14:paraId="6351584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Head of Communities, Equality, and Third Sector (CETS) Service:</w:t>
            </w:r>
          </w:p>
        </w:tc>
        <w:tc>
          <w:tcPr>
            <w:tcW w:w="4394" w:type="dxa"/>
          </w:tcPr>
          <w:p w14:paraId="42B4BA3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Emma McDermott</w:t>
            </w:r>
          </w:p>
        </w:tc>
        <w:tc>
          <w:tcPr>
            <w:tcW w:w="2381" w:type="dxa"/>
          </w:tcPr>
          <w:p w14:paraId="2A57C33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23-01-24</w:t>
            </w:r>
          </w:p>
        </w:tc>
      </w:tr>
    </w:tbl>
    <w:p w14:paraId="75E2C14B" w14:textId="77777777" w:rsidR="000729CF" w:rsidRPr="000729CF" w:rsidRDefault="000729CF" w:rsidP="000729CF">
      <w:pPr>
        <w:rPr>
          <w:rFonts w:ascii="Arial" w:eastAsia="Calibri" w:hAnsi="Arial" w:cs="Arial"/>
          <w:sz w:val="22"/>
          <w:szCs w:val="22"/>
          <w:lang w:val="en-GB"/>
        </w:rPr>
      </w:pPr>
    </w:p>
    <w:p w14:paraId="171E4C97" w14:textId="77777777" w:rsidR="000729CF" w:rsidRPr="000729CF" w:rsidRDefault="000729CF" w:rsidP="000729CF">
      <w:pPr>
        <w:spacing w:after="160" w:line="259" w:lineRule="auto"/>
        <w:rPr>
          <w:rFonts w:ascii="Arial" w:eastAsia="Calibri" w:hAnsi="Arial" w:cs="Arial"/>
          <w:b/>
          <w:bCs/>
          <w:sz w:val="24"/>
          <w:szCs w:val="24"/>
          <w:lang w:val="en-GB"/>
        </w:rPr>
      </w:pPr>
    </w:p>
    <w:p w14:paraId="006CF787"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br w:type="page"/>
      </w:r>
    </w:p>
    <w:p w14:paraId="6F60B222" w14:textId="77777777" w:rsidR="000729CF" w:rsidRPr="000729CF" w:rsidRDefault="000729CF" w:rsidP="000729CF">
      <w:pPr>
        <w:keepNext/>
        <w:keepLines/>
        <w:spacing w:after="160" w:line="259" w:lineRule="auto"/>
        <w:outlineLvl w:val="0"/>
        <w:rPr>
          <w:rFonts w:ascii="Arial" w:hAnsi="Arial" w:cs="Arial"/>
          <w:b/>
          <w:bCs/>
          <w:color w:val="2F5496"/>
          <w:sz w:val="28"/>
          <w:szCs w:val="28"/>
          <w:lang w:val="en-GB"/>
        </w:rPr>
      </w:pPr>
      <w:r w:rsidRPr="000729CF">
        <w:rPr>
          <w:rFonts w:ascii="Arial" w:hAnsi="Arial" w:cs="Arial"/>
          <w:b/>
          <w:bCs/>
          <w:color w:val="2F5496"/>
          <w:sz w:val="28"/>
          <w:szCs w:val="28"/>
          <w:lang w:val="en-GB"/>
        </w:rPr>
        <w:t>Budget Equality Impact Assessment (EIA) 2024/25 – Service Users</w:t>
      </w:r>
    </w:p>
    <w:p w14:paraId="6B9EB61D" w14:textId="77777777" w:rsidR="000729CF" w:rsidRPr="000729CF" w:rsidRDefault="000729CF" w:rsidP="000729CF">
      <w:pPr>
        <w:spacing w:after="160" w:line="259" w:lineRule="auto"/>
        <w:rPr>
          <w:rFonts w:ascii="Arial" w:eastAsia="Calibri" w:hAnsi="Arial" w:cs="Arial"/>
          <w:sz w:val="24"/>
          <w:szCs w:val="24"/>
          <w:lang w:val="en-GB"/>
        </w:rPr>
      </w:pPr>
    </w:p>
    <w:p w14:paraId="42BD7457" w14:textId="77777777" w:rsidR="000729CF" w:rsidRPr="000729CF" w:rsidRDefault="000729CF" w:rsidP="000729CF">
      <w:pPr>
        <w:keepNext/>
        <w:keepLines/>
        <w:spacing w:after="160" w:line="259" w:lineRule="auto"/>
        <w:ind w:left="720" w:hanging="360"/>
        <w:outlineLvl w:val="1"/>
        <w:rPr>
          <w:rFonts w:ascii="Arial" w:hAnsi="Arial" w:cs="Arial"/>
          <w:color w:val="2F5496"/>
          <w:sz w:val="24"/>
          <w:szCs w:val="24"/>
          <w:lang w:val="en-GB"/>
        </w:rPr>
      </w:pPr>
      <w:r w:rsidRPr="000729CF">
        <w:rPr>
          <w:rFonts w:ascii="Arial" w:hAnsi="Arial" w:cs="Arial"/>
          <w:color w:val="2F5496"/>
          <w:sz w:val="24"/>
          <w:szCs w:val="24"/>
          <w:lang w:val="en-GB"/>
        </w:rPr>
        <w:t xml:space="preserve">Budget Proposal </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6492"/>
      </w:tblGrid>
      <w:tr w:rsidR="000729CF" w:rsidRPr="000729CF" w14:paraId="672798D7"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7925068B"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Title of budget saving being assessed:</w:t>
            </w:r>
          </w:p>
        </w:tc>
        <w:tc>
          <w:tcPr>
            <w:tcW w:w="6492" w:type="dxa"/>
            <w:shd w:val="clear" w:color="auto" w:fill="auto"/>
          </w:tcPr>
          <w:p w14:paraId="1C78F3A4" w14:textId="77777777" w:rsidR="000729CF" w:rsidRPr="000729CF" w:rsidRDefault="000729CF" w:rsidP="000729CF">
            <w:pPr>
              <w:spacing w:after="12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Homelessness and Housing Needs Service Transformation Programme</w:t>
            </w:r>
          </w:p>
        </w:tc>
      </w:tr>
      <w:tr w:rsidR="000729CF" w:rsidRPr="000729CF" w14:paraId="59650F25"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751F6E22"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Name and title of officer responsible for this EIA: </w:t>
            </w:r>
          </w:p>
        </w:tc>
        <w:tc>
          <w:tcPr>
            <w:tcW w:w="6492" w:type="dxa"/>
            <w:shd w:val="clear" w:color="auto" w:fill="auto"/>
          </w:tcPr>
          <w:p w14:paraId="51D0FC1F"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729CF">
              <w:rPr>
                <w:rFonts w:ascii="Arial" w:hAnsi="Arial" w:cs="Arial"/>
                <w:sz w:val="24"/>
                <w:szCs w:val="24"/>
              </w:rPr>
              <w:t>Paul Cooper, Assistant Director for Housing Needs and Supply</w:t>
            </w:r>
          </w:p>
        </w:tc>
      </w:tr>
      <w:tr w:rsidR="000729CF" w:rsidRPr="000729CF" w14:paraId="1659AE0F" w14:textId="77777777" w:rsidTr="000729CF">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1502EF23"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Directorate and Service Name: </w:t>
            </w:r>
          </w:p>
        </w:tc>
        <w:tc>
          <w:tcPr>
            <w:tcW w:w="6492" w:type="dxa"/>
            <w:shd w:val="clear" w:color="auto" w:fill="auto"/>
          </w:tcPr>
          <w:p w14:paraId="2C9CCC63" w14:textId="77777777" w:rsidR="000729CF" w:rsidRPr="000729CF" w:rsidRDefault="000729CF" w:rsidP="000729CF">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Housing, Neighbourhoods and Communities, Homelessness Service</w:t>
            </w:r>
          </w:p>
        </w:tc>
      </w:tr>
      <w:tr w:rsidR="000729CF" w:rsidRPr="000729CF" w14:paraId="7298C61F"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097742DB"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Budget proposal no.</w:t>
            </w:r>
          </w:p>
        </w:tc>
        <w:tc>
          <w:tcPr>
            <w:tcW w:w="6492" w:type="dxa"/>
            <w:shd w:val="clear" w:color="auto" w:fill="auto"/>
          </w:tcPr>
          <w:p w14:paraId="3F4C7106"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729CF">
              <w:rPr>
                <w:rFonts w:ascii="Arial" w:hAnsi="Arial" w:cs="Arial"/>
                <w:sz w:val="24"/>
                <w:szCs w:val="24"/>
              </w:rPr>
              <w:t>21</w:t>
            </w:r>
          </w:p>
        </w:tc>
      </w:tr>
    </w:tbl>
    <w:p w14:paraId="69F59662" w14:textId="77777777" w:rsidR="000729CF" w:rsidRPr="000729CF" w:rsidRDefault="000729CF" w:rsidP="000729CF">
      <w:pPr>
        <w:spacing w:after="160" w:line="259" w:lineRule="auto"/>
        <w:rPr>
          <w:rFonts w:ascii="Arial" w:eastAsia="Calibri" w:hAnsi="Arial" w:cs="Arial"/>
          <w:sz w:val="24"/>
          <w:szCs w:val="24"/>
          <w:lang w:val="en-GB"/>
        </w:rPr>
      </w:pPr>
    </w:p>
    <w:p w14:paraId="0D972903"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Briefly describe the budget saving proposal: (use the wording in the budget spreadsheet and more detail if needed)</w:t>
      </w:r>
    </w:p>
    <w:tbl>
      <w:tblPr>
        <w:tblStyle w:val="TableGrid"/>
        <w:tblW w:w="0" w:type="auto"/>
        <w:tblLook w:val="04A0" w:firstRow="1" w:lastRow="0" w:firstColumn="1" w:lastColumn="0" w:noHBand="0" w:noVBand="1"/>
      </w:tblPr>
      <w:tblGrid>
        <w:gridCol w:w="10456"/>
      </w:tblGrid>
      <w:tr w:rsidR="000729CF" w:rsidRPr="000729CF" w14:paraId="3F70209D" w14:textId="77777777" w:rsidTr="00BC26AB">
        <w:trPr>
          <w:trHeight w:val="851"/>
        </w:trPr>
        <w:tc>
          <w:tcPr>
            <w:tcW w:w="10456" w:type="dxa"/>
            <w:tcBorders>
              <w:bottom w:val="single" w:sz="4" w:space="0" w:color="auto"/>
            </w:tcBorders>
          </w:tcPr>
          <w:p w14:paraId="7B0D11C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budget saving proposal is £285K for Homelessness and Temporary/ Supported Accommodation services.</w:t>
            </w:r>
          </w:p>
        </w:tc>
      </w:tr>
      <w:tr w:rsidR="000729CF" w:rsidRPr="000729CF" w14:paraId="3CAE5498" w14:textId="77777777" w:rsidTr="00BC26AB">
        <w:trPr>
          <w:trHeight w:val="851"/>
        </w:trPr>
        <w:tc>
          <w:tcPr>
            <w:tcW w:w="10456" w:type="dxa"/>
            <w:tcBorders>
              <w:left w:val="nil"/>
              <w:right w:val="nil"/>
            </w:tcBorders>
          </w:tcPr>
          <w:p w14:paraId="4BA003B9" w14:textId="77777777" w:rsidR="000729CF" w:rsidRPr="000729CF" w:rsidRDefault="000729CF" w:rsidP="000729CF">
            <w:pPr>
              <w:spacing w:after="120"/>
              <w:rPr>
                <w:rFonts w:ascii="Arial" w:eastAsia="Calibri" w:hAnsi="Arial" w:cs="Arial"/>
                <w:sz w:val="24"/>
                <w:szCs w:val="24"/>
              </w:rPr>
            </w:pPr>
          </w:p>
          <w:p w14:paraId="54BB9E2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Summarise the most significant impacts identified by this assessment including which groups will be disproportionally negatively affected drawing out intersectional impacts as applicable:</w:t>
            </w:r>
          </w:p>
        </w:tc>
      </w:tr>
      <w:tr w:rsidR="000729CF" w:rsidRPr="000729CF" w14:paraId="62A90ADB" w14:textId="77777777" w:rsidTr="00BC26AB">
        <w:trPr>
          <w:trHeight w:val="851"/>
        </w:trPr>
        <w:tc>
          <w:tcPr>
            <w:tcW w:w="10456" w:type="dxa"/>
          </w:tcPr>
          <w:p w14:paraId="06F027A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proposed changes are not anticipated to have specific impact on any groups. The Homelessness Transformation Programme has been predicated around the customer journey, improving access to services and support and reducing the number of ‘hand-offs’ of a client between officers. Therefore, although the service redesign will generate savings, it has also been developed with the principle of an improved customer journey at its heart.</w:t>
            </w:r>
          </w:p>
          <w:p w14:paraId="462F1D98" w14:textId="77777777" w:rsidR="000729CF" w:rsidRPr="000729CF" w:rsidRDefault="000729CF" w:rsidP="000729CF">
            <w:pPr>
              <w:spacing w:after="120"/>
              <w:rPr>
                <w:rFonts w:ascii="Arial" w:eastAsia="Calibri" w:hAnsi="Arial" w:cs="Arial"/>
                <w:sz w:val="24"/>
                <w:szCs w:val="24"/>
              </w:rPr>
            </w:pPr>
          </w:p>
          <w:p w14:paraId="188F32D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savings outlined originate from streamlining the current structure with the aim of establishing a robust middle management tier to better support front line staff. The existing number of M9 management roles is considered unfit for purpose, contributing to a top heavy, flat structure that lacks the capacity to offer daily supervision and support required by front line staff. These changes are intended to empower staff to deliver services more effectively, enhancing support for clients.</w:t>
            </w:r>
          </w:p>
          <w:p w14:paraId="489DA3FD" w14:textId="77777777" w:rsidR="000729CF" w:rsidRPr="000729CF" w:rsidRDefault="000729CF" w:rsidP="000729CF">
            <w:pPr>
              <w:spacing w:after="120"/>
              <w:rPr>
                <w:rFonts w:ascii="Arial" w:eastAsia="Calibri" w:hAnsi="Arial" w:cs="Arial"/>
                <w:sz w:val="24"/>
                <w:szCs w:val="24"/>
              </w:rPr>
            </w:pPr>
          </w:p>
        </w:tc>
      </w:tr>
    </w:tbl>
    <w:p w14:paraId="0A126D9F" w14:textId="77777777" w:rsidR="000729CF" w:rsidRPr="000729CF" w:rsidRDefault="000729CF" w:rsidP="000729CF">
      <w:pPr>
        <w:rPr>
          <w:rFonts w:ascii="Arial" w:eastAsia="Calibri" w:hAnsi="Arial" w:cs="Arial"/>
          <w:sz w:val="24"/>
          <w:szCs w:val="24"/>
          <w:lang w:val="en-GB"/>
        </w:rPr>
      </w:pPr>
    </w:p>
    <w:p w14:paraId="00041C1F" w14:textId="77777777" w:rsidR="000729CF" w:rsidRPr="000729CF" w:rsidRDefault="000729CF" w:rsidP="000729CF">
      <w:pPr>
        <w:spacing w:after="160" w:line="259" w:lineRule="auto"/>
        <w:rPr>
          <w:rFonts w:ascii="Arial" w:eastAsia="Calibri" w:hAnsi="Arial" w:cs="Arial"/>
          <w:sz w:val="24"/>
          <w:szCs w:val="24"/>
          <w:lang w:val="en-GB"/>
        </w:rPr>
      </w:pPr>
    </w:p>
    <w:p w14:paraId="38B77CF2"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Consultation, engagement and supporting EIAs</w:t>
      </w:r>
    </w:p>
    <w:p w14:paraId="724125C8"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consultations or engagement activities are being used to inform this assessment? </w:t>
      </w:r>
    </w:p>
    <w:p w14:paraId="48535780"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If consultation is planned or in process – state this and state when it will done/completed even if indicative. If no consultation completed or planned, state this, giving an explanation. </w:t>
      </w:r>
    </w:p>
    <w:tbl>
      <w:tblPr>
        <w:tblStyle w:val="TableGrid"/>
        <w:tblW w:w="0" w:type="auto"/>
        <w:tblLook w:val="04A0" w:firstRow="1" w:lastRow="0" w:firstColumn="1" w:lastColumn="0" w:noHBand="0" w:noVBand="1"/>
      </w:tblPr>
      <w:tblGrid>
        <w:gridCol w:w="10456"/>
      </w:tblGrid>
      <w:tr w:rsidR="000729CF" w:rsidRPr="000729CF" w14:paraId="119DB4AD" w14:textId="77777777" w:rsidTr="00BC26AB">
        <w:trPr>
          <w:trHeight w:val="871"/>
        </w:trPr>
        <w:tc>
          <w:tcPr>
            <w:tcW w:w="10456" w:type="dxa"/>
          </w:tcPr>
          <w:p w14:paraId="4050AE6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current phase (phase 2) of the redesign, has been informed by information, assessments and surveys undertaken during phase one.</w:t>
            </w:r>
          </w:p>
          <w:p w14:paraId="72407F2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methodology has been driven by;</w:t>
            </w:r>
          </w:p>
          <w:p w14:paraId="2F5A3F00" w14:textId="77777777" w:rsidR="000729CF" w:rsidRPr="000729CF" w:rsidRDefault="000729CF" w:rsidP="00CE70A3">
            <w:pPr>
              <w:numPr>
                <w:ilvl w:val="0"/>
                <w:numId w:val="119"/>
              </w:numPr>
              <w:spacing w:after="120"/>
              <w:rPr>
                <w:rFonts w:ascii="Arial" w:eastAsia="Calibri" w:hAnsi="Arial" w:cs="Arial"/>
                <w:sz w:val="24"/>
                <w:szCs w:val="24"/>
              </w:rPr>
            </w:pPr>
            <w:r w:rsidRPr="000729CF">
              <w:rPr>
                <w:rFonts w:ascii="Arial" w:eastAsia="Calibri" w:hAnsi="Arial" w:cs="Arial"/>
                <w:sz w:val="24"/>
                <w:szCs w:val="24"/>
              </w:rPr>
              <w:t>Identify relevant data available for clients.</w:t>
            </w:r>
          </w:p>
          <w:p w14:paraId="342FC262" w14:textId="77777777" w:rsidR="000729CF" w:rsidRPr="000729CF" w:rsidRDefault="000729CF" w:rsidP="00CE70A3">
            <w:pPr>
              <w:numPr>
                <w:ilvl w:val="0"/>
                <w:numId w:val="119"/>
              </w:numPr>
              <w:spacing w:after="120"/>
              <w:rPr>
                <w:rFonts w:ascii="Arial" w:eastAsia="Calibri" w:hAnsi="Arial" w:cs="Arial"/>
                <w:sz w:val="24"/>
                <w:szCs w:val="24"/>
              </w:rPr>
            </w:pPr>
            <w:r w:rsidRPr="000729CF">
              <w:rPr>
                <w:rFonts w:ascii="Arial" w:eastAsia="Calibri" w:hAnsi="Arial" w:cs="Arial"/>
                <w:sz w:val="24"/>
                <w:szCs w:val="24"/>
              </w:rPr>
              <w:t>Review existing documentation.</w:t>
            </w:r>
          </w:p>
          <w:p w14:paraId="27410C36" w14:textId="77777777" w:rsidR="000729CF" w:rsidRPr="000729CF" w:rsidRDefault="000729CF" w:rsidP="00CE70A3">
            <w:pPr>
              <w:numPr>
                <w:ilvl w:val="0"/>
                <w:numId w:val="119"/>
              </w:numPr>
              <w:spacing w:after="120"/>
              <w:rPr>
                <w:rFonts w:ascii="Arial" w:eastAsia="Calibri" w:hAnsi="Arial" w:cs="Arial"/>
                <w:sz w:val="24"/>
                <w:szCs w:val="24"/>
              </w:rPr>
            </w:pPr>
            <w:r w:rsidRPr="000729CF">
              <w:rPr>
                <w:rFonts w:ascii="Arial" w:eastAsia="Calibri" w:hAnsi="Arial" w:cs="Arial"/>
                <w:sz w:val="24"/>
                <w:szCs w:val="24"/>
              </w:rPr>
              <w:t>Engagement of key stakeholders</w:t>
            </w:r>
          </w:p>
          <w:p w14:paraId="057E2898" w14:textId="77777777" w:rsidR="000729CF" w:rsidRPr="000729CF" w:rsidRDefault="000729CF" w:rsidP="00CE70A3">
            <w:pPr>
              <w:numPr>
                <w:ilvl w:val="0"/>
                <w:numId w:val="119"/>
              </w:numPr>
              <w:spacing w:after="120"/>
              <w:rPr>
                <w:rFonts w:ascii="Arial" w:eastAsia="Calibri" w:hAnsi="Arial" w:cs="Arial"/>
                <w:sz w:val="24"/>
                <w:szCs w:val="24"/>
              </w:rPr>
            </w:pPr>
            <w:r w:rsidRPr="000729CF">
              <w:rPr>
                <w:rFonts w:ascii="Arial" w:eastAsia="Calibri" w:hAnsi="Arial" w:cs="Arial"/>
                <w:sz w:val="24"/>
                <w:szCs w:val="24"/>
              </w:rPr>
              <w:t>User surveys and interviews with clients</w:t>
            </w:r>
          </w:p>
          <w:p w14:paraId="53E812CE" w14:textId="77777777" w:rsidR="000729CF" w:rsidRPr="000729CF" w:rsidRDefault="000729CF" w:rsidP="00CE70A3">
            <w:pPr>
              <w:numPr>
                <w:ilvl w:val="0"/>
                <w:numId w:val="119"/>
              </w:numPr>
              <w:spacing w:after="120"/>
              <w:rPr>
                <w:rFonts w:ascii="Arial" w:eastAsia="Calibri" w:hAnsi="Arial" w:cs="Arial"/>
                <w:sz w:val="24"/>
                <w:szCs w:val="24"/>
              </w:rPr>
            </w:pPr>
            <w:r w:rsidRPr="000729CF">
              <w:rPr>
                <w:rFonts w:ascii="Arial" w:eastAsia="Calibri" w:hAnsi="Arial" w:cs="Arial"/>
                <w:sz w:val="24"/>
                <w:szCs w:val="24"/>
              </w:rPr>
              <w:t>Analysis of demographic data to understand the client base.</w:t>
            </w:r>
          </w:p>
          <w:p w14:paraId="09263C89" w14:textId="77777777" w:rsidR="000729CF" w:rsidRPr="000729CF" w:rsidRDefault="000729CF" w:rsidP="00CE70A3">
            <w:pPr>
              <w:numPr>
                <w:ilvl w:val="0"/>
                <w:numId w:val="119"/>
              </w:numPr>
              <w:spacing w:after="120"/>
              <w:rPr>
                <w:rFonts w:ascii="Arial" w:eastAsia="Calibri" w:hAnsi="Arial" w:cs="Arial"/>
                <w:sz w:val="24"/>
                <w:szCs w:val="24"/>
              </w:rPr>
            </w:pPr>
            <w:r w:rsidRPr="000729CF">
              <w:rPr>
                <w:rFonts w:ascii="Arial" w:eastAsia="Calibri" w:hAnsi="Arial" w:cs="Arial"/>
                <w:sz w:val="24"/>
                <w:szCs w:val="24"/>
              </w:rPr>
              <w:t>Review policies and procedures.</w:t>
            </w:r>
          </w:p>
          <w:p w14:paraId="1AED032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By gathering this data and insights, the recommendations proposed provide a solid foundation for understanding the impact on clients.</w:t>
            </w:r>
          </w:p>
        </w:tc>
      </w:tr>
    </w:tbl>
    <w:p w14:paraId="6A29005A" w14:textId="77777777" w:rsidR="000729CF" w:rsidRPr="000729CF" w:rsidRDefault="000729CF" w:rsidP="000729CF">
      <w:pPr>
        <w:spacing w:after="160" w:line="259" w:lineRule="auto"/>
        <w:rPr>
          <w:rFonts w:ascii="Arial" w:eastAsia="Calibri" w:hAnsi="Arial" w:cs="Arial"/>
          <w:sz w:val="24"/>
          <w:szCs w:val="24"/>
          <w:lang w:val="en-GB"/>
        </w:rPr>
      </w:pPr>
    </w:p>
    <w:p w14:paraId="41FF5CAE"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other budget or service EIAs can assist/have been used to inform this assessment?</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0729CF" w:rsidRPr="000729CF" w14:paraId="39F78E7A"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shd w:val="clear" w:color="auto" w:fill="FFFFFF"/>
          </w:tcPr>
          <w:p w14:paraId="7C934CD5"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None</w:t>
            </w:r>
          </w:p>
        </w:tc>
      </w:tr>
    </w:tbl>
    <w:p w14:paraId="6921A4FA" w14:textId="77777777" w:rsidR="000729CF" w:rsidRPr="000729CF" w:rsidRDefault="000729CF" w:rsidP="000729CF">
      <w:pPr>
        <w:spacing w:after="160" w:line="259" w:lineRule="auto"/>
        <w:rPr>
          <w:rFonts w:ascii="Arial" w:eastAsia="Calibri" w:hAnsi="Arial" w:cs="Arial"/>
          <w:sz w:val="24"/>
          <w:szCs w:val="24"/>
          <w:lang w:val="en-GB"/>
        </w:rPr>
      </w:pPr>
    </w:p>
    <w:p w14:paraId="4AC2EFAC"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Current data and impact monitoring</w:t>
      </w:r>
    </w:p>
    <w:p w14:paraId="3371860E"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Do you currently collect and analyse the following data to enable monitoring of the impact of this proposal? </w:t>
      </w:r>
    </w:p>
    <w:p w14:paraId="2530A87F"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Consider all possible intersections (Delete and State Yes, No, Not Applicable)</w:t>
      </w:r>
    </w:p>
    <w:tbl>
      <w:tblPr>
        <w:tblStyle w:val="TableGrid"/>
        <w:tblW w:w="10485" w:type="dxa"/>
        <w:tblLook w:val="04A0" w:firstRow="1" w:lastRow="0" w:firstColumn="1" w:lastColumn="0" w:noHBand="0" w:noVBand="1"/>
      </w:tblPr>
      <w:tblGrid>
        <w:gridCol w:w="6658"/>
        <w:gridCol w:w="3827"/>
      </w:tblGrid>
      <w:tr w:rsidR="000729CF" w:rsidRPr="000729CF" w14:paraId="1A4C2CB6" w14:textId="77777777" w:rsidTr="000729CF">
        <w:trPr>
          <w:trHeight w:val="310"/>
        </w:trPr>
        <w:tc>
          <w:tcPr>
            <w:tcW w:w="6658" w:type="dxa"/>
            <w:shd w:val="clear" w:color="auto" w:fill="E7E6E6"/>
          </w:tcPr>
          <w:p w14:paraId="56BCC8B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Age</w:t>
            </w:r>
          </w:p>
        </w:tc>
        <w:tc>
          <w:tcPr>
            <w:tcW w:w="3827" w:type="dxa"/>
          </w:tcPr>
          <w:p w14:paraId="236CA6E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56A41F10" w14:textId="77777777" w:rsidTr="000729CF">
        <w:trPr>
          <w:trHeight w:val="20"/>
        </w:trPr>
        <w:tc>
          <w:tcPr>
            <w:tcW w:w="6658" w:type="dxa"/>
            <w:shd w:val="clear" w:color="auto" w:fill="E7E6E6"/>
          </w:tcPr>
          <w:p w14:paraId="775C037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Disability and inclusive adjustments, coverage under equality act and not</w:t>
            </w:r>
          </w:p>
        </w:tc>
        <w:tc>
          <w:tcPr>
            <w:tcW w:w="3827" w:type="dxa"/>
          </w:tcPr>
          <w:p w14:paraId="1FFD61F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405C9CB1" w14:textId="77777777" w:rsidTr="000729CF">
        <w:trPr>
          <w:trHeight w:val="20"/>
        </w:trPr>
        <w:tc>
          <w:tcPr>
            <w:tcW w:w="6658" w:type="dxa"/>
            <w:shd w:val="clear" w:color="auto" w:fill="E7E6E6"/>
          </w:tcPr>
          <w:p w14:paraId="71489CF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Ethnicity, ‘Race’, ethnic heritage (including Gypsy, Roma, Travellers)</w:t>
            </w:r>
          </w:p>
        </w:tc>
        <w:tc>
          <w:tcPr>
            <w:tcW w:w="3827" w:type="dxa"/>
          </w:tcPr>
          <w:p w14:paraId="09BA04F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797399F8" w14:textId="77777777" w:rsidTr="000729CF">
        <w:trPr>
          <w:trHeight w:val="20"/>
        </w:trPr>
        <w:tc>
          <w:tcPr>
            <w:tcW w:w="6658" w:type="dxa"/>
            <w:shd w:val="clear" w:color="auto" w:fill="E7E6E6"/>
          </w:tcPr>
          <w:p w14:paraId="3BF417E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Religion, Belief, Spirituality, Faith, or Atheism</w:t>
            </w:r>
          </w:p>
        </w:tc>
        <w:tc>
          <w:tcPr>
            <w:tcW w:w="3827" w:type="dxa"/>
          </w:tcPr>
          <w:p w14:paraId="1E45DE7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r>
      <w:tr w:rsidR="000729CF" w:rsidRPr="000729CF" w14:paraId="62678A83" w14:textId="77777777" w:rsidTr="000729CF">
        <w:trPr>
          <w:trHeight w:val="20"/>
        </w:trPr>
        <w:tc>
          <w:tcPr>
            <w:tcW w:w="6658" w:type="dxa"/>
            <w:shd w:val="clear" w:color="auto" w:fill="E7E6E6"/>
          </w:tcPr>
          <w:p w14:paraId="62E6C82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Identity and Sex (including non-binary and Intersex people)</w:t>
            </w:r>
          </w:p>
        </w:tc>
        <w:tc>
          <w:tcPr>
            <w:tcW w:w="3827" w:type="dxa"/>
          </w:tcPr>
          <w:p w14:paraId="4A98C91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18E28CB2" w14:textId="77777777" w:rsidTr="000729CF">
        <w:trPr>
          <w:trHeight w:val="20"/>
        </w:trPr>
        <w:tc>
          <w:tcPr>
            <w:tcW w:w="6658" w:type="dxa"/>
            <w:shd w:val="clear" w:color="auto" w:fill="E7E6E6"/>
          </w:tcPr>
          <w:p w14:paraId="3939B9E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3827" w:type="dxa"/>
          </w:tcPr>
          <w:p w14:paraId="769DA57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7C25362D" w14:textId="77777777" w:rsidTr="000729CF">
        <w:trPr>
          <w:trHeight w:val="20"/>
        </w:trPr>
        <w:tc>
          <w:tcPr>
            <w:tcW w:w="6658" w:type="dxa"/>
            <w:shd w:val="clear" w:color="auto" w:fill="E7E6E6"/>
          </w:tcPr>
          <w:p w14:paraId="463C4BE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3827" w:type="dxa"/>
          </w:tcPr>
          <w:p w14:paraId="1237A79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07AAB46E" w14:textId="77777777" w:rsidTr="000729CF">
        <w:trPr>
          <w:trHeight w:val="20"/>
        </w:trPr>
        <w:tc>
          <w:tcPr>
            <w:tcW w:w="6658" w:type="dxa"/>
            <w:shd w:val="clear" w:color="auto" w:fill="E7E6E6"/>
          </w:tcPr>
          <w:p w14:paraId="3A9C52E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3827" w:type="dxa"/>
          </w:tcPr>
          <w:p w14:paraId="1A248FB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r>
      <w:tr w:rsidR="000729CF" w:rsidRPr="000729CF" w14:paraId="3AA52759" w14:textId="77777777" w:rsidTr="000729CF">
        <w:trPr>
          <w:trHeight w:val="20"/>
        </w:trPr>
        <w:tc>
          <w:tcPr>
            <w:tcW w:w="6658" w:type="dxa"/>
            <w:shd w:val="clear" w:color="auto" w:fill="E7E6E6"/>
          </w:tcPr>
          <w:p w14:paraId="3AD89BF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Pregnant people, Maternity, Paternity, Adoption, Menopause, (In)fertility (across the gender spectrum)</w:t>
            </w:r>
          </w:p>
        </w:tc>
        <w:tc>
          <w:tcPr>
            <w:tcW w:w="3827" w:type="dxa"/>
          </w:tcPr>
          <w:p w14:paraId="22E4B29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47CC7F1A" w14:textId="77777777" w:rsidTr="000729CF">
        <w:trPr>
          <w:trHeight w:val="20"/>
        </w:trPr>
        <w:tc>
          <w:tcPr>
            <w:tcW w:w="6658" w:type="dxa"/>
            <w:shd w:val="clear" w:color="auto" w:fill="E7E6E6"/>
          </w:tcPr>
          <w:p w14:paraId="6CE353E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3827" w:type="dxa"/>
          </w:tcPr>
          <w:p w14:paraId="6816A53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5B40A304" w14:textId="77777777" w:rsidTr="000729CF">
        <w:trPr>
          <w:trHeight w:val="20"/>
        </w:trPr>
        <w:tc>
          <w:tcPr>
            <w:tcW w:w="6658" w:type="dxa"/>
            <w:shd w:val="clear" w:color="auto" w:fill="E7E6E6"/>
          </w:tcPr>
          <w:p w14:paraId="0B34DFAA" w14:textId="77777777" w:rsidR="000729CF" w:rsidRPr="000729CF" w:rsidRDefault="000729CF" w:rsidP="000729CF">
            <w:pPr>
              <w:spacing w:after="120"/>
              <w:rPr>
                <w:rFonts w:ascii="Arial" w:hAnsi="Arial" w:cs="Arial"/>
                <w:b/>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p>
        </w:tc>
        <w:tc>
          <w:tcPr>
            <w:tcW w:w="3827" w:type="dxa"/>
          </w:tcPr>
          <w:p w14:paraId="067540B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0421E8DD" w14:textId="77777777" w:rsidTr="000729CF">
        <w:trPr>
          <w:trHeight w:val="20"/>
        </w:trPr>
        <w:tc>
          <w:tcPr>
            <w:tcW w:w="6658" w:type="dxa"/>
            <w:shd w:val="clear" w:color="auto" w:fill="E7E6E6"/>
          </w:tcPr>
          <w:p w14:paraId="59BAB7EE" w14:textId="77777777" w:rsidR="000729CF" w:rsidRPr="000729CF" w:rsidRDefault="000729CF" w:rsidP="000729CF">
            <w:pPr>
              <w:spacing w:after="120"/>
              <w:rPr>
                <w:rFonts w:ascii="Arial" w:hAnsi="Arial" w:cs="Arial"/>
                <w:b/>
                <w:sz w:val="24"/>
                <w:szCs w:val="24"/>
              </w:rPr>
            </w:pPr>
            <w:r w:rsidRPr="000729CF">
              <w:rPr>
                <w:rFonts w:ascii="Arial" w:eastAsia="Calibri" w:hAnsi="Arial" w:cs="Arial"/>
                <w:b/>
                <w:bCs/>
                <w:color w:val="000000"/>
                <w:sz w:val="24"/>
                <w:szCs w:val="24"/>
              </w:rPr>
              <w:t>Carers</w:t>
            </w:r>
          </w:p>
        </w:tc>
        <w:tc>
          <w:tcPr>
            <w:tcW w:w="3827" w:type="dxa"/>
          </w:tcPr>
          <w:p w14:paraId="6B2EF96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352EAB4D" w14:textId="77777777" w:rsidTr="000729CF">
        <w:trPr>
          <w:trHeight w:val="20"/>
        </w:trPr>
        <w:tc>
          <w:tcPr>
            <w:tcW w:w="6658" w:type="dxa"/>
            <w:shd w:val="clear" w:color="auto" w:fill="E7E6E6"/>
          </w:tcPr>
          <w:p w14:paraId="23EF2C0C"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Looked after children, Care Leavers, Care and fostering experienced people</w:t>
            </w:r>
          </w:p>
        </w:tc>
        <w:tc>
          <w:tcPr>
            <w:tcW w:w="3827" w:type="dxa"/>
          </w:tcPr>
          <w:p w14:paraId="29797FF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3FA3C7B4" w14:textId="77777777" w:rsidTr="000729CF">
        <w:trPr>
          <w:trHeight w:val="20"/>
        </w:trPr>
        <w:tc>
          <w:tcPr>
            <w:tcW w:w="6658" w:type="dxa"/>
            <w:shd w:val="clear" w:color="auto" w:fill="E7E6E6"/>
          </w:tcPr>
          <w:p w14:paraId="5A6E85E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 and people in vulnerable situations (All aspects and intersections)</w:t>
            </w:r>
          </w:p>
        </w:tc>
        <w:tc>
          <w:tcPr>
            <w:tcW w:w="3827" w:type="dxa"/>
          </w:tcPr>
          <w:p w14:paraId="5D1311E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0F7C86BC" w14:textId="77777777" w:rsidTr="000729CF">
        <w:trPr>
          <w:trHeight w:val="20"/>
        </w:trPr>
        <w:tc>
          <w:tcPr>
            <w:tcW w:w="6658" w:type="dxa"/>
            <w:shd w:val="clear" w:color="auto" w:fill="E7E6E6"/>
          </w:tcPr>
          <w:p w14:paraId="093121F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Socio-economic Disadvantage</w:t>
            </w:r>
          </w:p>
        </w:tc>
        <w:tc>
          <w:tcPr>
            <w:tcW w:w="3827" w:type="dxa"/>
          </w:tcPr>
          <w:p w14:paraId="3CF148A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1D1B56F3" w14:textId="77777777" w:rsidTr="000729CF">
        <w:trPr>
          <w:trHeight w:val="20"/>
        </w:trPr>
        <w:tc>
          <w:tcPr>
            <w:tcW w:w="6658" w:type="dxa"/>
            <w:shd w:val="clear" w:color="auto" w:fill="E7E6E6"/>
          </w:tcPr>
          <w:p w14:paraId="374994E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Homelessness and associated risk and vulnerability</w:t>
            </w:r>
          </w:p>
        </w:tc>
        <w:tc>
          <w:tcPr>
            <w:tcW w:w="3827" w:type="dxa"/>
          </w:tcPr>
          <w:p w14:paraId="1CE1CA5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1118716D" w14:textId="77777777" w:rsidTr="000729CF">
        <w:trPr>
          <w:trHeight w:val="20"/>
        </w:trPr>
        <w:tc>
          <w:tcPr>
            <w:tcW w:w="6658" w:type="dxa"/>
            <w:shd w:val="clear" w:color="auto" w:fill="E7E6E6"/>
          </w:tcPr>
          <w:p w14:paraId="3CE373B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3827" w:type="dxa"/>
          </w:tcPr>
          <w:p w14:paraId="7CDBA36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 Not applicable</w:t>
            </w:r>
          </w:p>
        </w:tc>
      </w:tr>
      <w:tr w:rsidR="000729CF" w:rsidRPr="000729CF" w14:paraId="7F81AEA1" w14:textId="77777777" w:rsidTr="000729CF">
        <w:trPr>
          <w:trHeight w:val="20"/>
        </w:trPr>
        <w:tc>
          <w:tcPr>
            <w:tcW w:w="6658" w:type="dxa"/>
            <w:shd w:val="clear" w:color="auto" w:fill="E7E6E6"/>
          </w:tcPr>
          <w:p w14:paraId="71C40F5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 (please specify here and add additional rows as needed)</w:t>
            </w:r>
          </w:p>
        </w:tc>
        <w:tc>
          <w:tcPr>
            <w:tcW w:w="3827" w:type="dxa"/>
          </w:tcPr>
          <w:p w14:paraId="098CF43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bl>
    <w:p w14:paraId="2D154FB9" w14:textId="77777777" w:rsidR="000729CF" w:rsidRPr="000729CF" w:rsidRDefault="000729CF" w:rsidP="000729CF">
      <w:pPr>
        <w:rPr>
          <w:rFonts w:ascii="Arial" w:eastAsia="Calibri" w:hAnsi="Arial" w:cs="Arial"/>
          <w:sz w:val="24"/>
          <w:szCs w:val="24"/>
          <w:lang w:val="en-GB"/>
        </w:rPr>
      </w:pPr>
    </w:p>
    <w:p w14:paraId="25A04227"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101692C2"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4D08E5FB"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696BAF4A"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6330934E"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599006FA"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05689764"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18848064"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2E3E447C"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25D61FD1"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228F5571" w14:textId="77777777" w:rsidR="000729CF" w:rsidRPr="000729CF" w:rsidRDefault="000729CF" w:rsidP="000729CF">
      <w:pPr>
        <w:rPr>
          <w:rFonts w:ascii="Arial" w:eastAsia="Calibri" w:hAnsi="Arial" w:cs="Arial"/>
          <w:sz w:val="24"/>
          <w:szCs w:val="24"/>
          <w:lang w:val="en-GB"/>
        </w:rPr>
      </w:pPr>
    </w:p>
    <w:p w14:paraId="6FCD9296"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If you answered “NO” to any of the above, how will you gather this data to enable improved monitoring of impact for this proposal?</w:t>
      </w:r>
    </w:p>
    <w:tbl>
      <w:tblPr>
        <w:tblStyle w:val="TableGrid"/>
        <w:tblW w:w="0" w:type="auto"/>
        <w:tblLook w:val="04A0" w:firstRow="1" w:lastRow="0" w:firstColumn="1" w:lastColumn="0" w:noHBand="0" w:noVBand="1"/>
      </w:tblPr>
      <w:tblGrid>
        <w:gridCol w:w="10456"/>
      </w:tblGrid>
      <w:tr w:rsidR="000729CF" w:rsidRPr="000729CF" w14:paraId="67251DDD" w14:textId="77777777" w:rsidTr="00BC26AB">
        <w:trPr>
          <w:trHeight w:val="757"/>
        </w:trPr>
        <w:tc>
          <w:tcPr>
            <w:tcW w:w="10456" w:type="dxa"/>
          </w:tcPr>
          <w:p w14:paraId="3C7D69B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Transformation team has collaborated closely with the Performance Analyst to collect data, uncovering gaps in the current data collection process. This concern has been raised, and active engagement is in place to work in collaboration with the IT Project Management Team. The objective is to ensure that the procurement of the next IT platform has the capacity to furnish the necessary data. This enhancement aims to facilitate more effective monitoring of impacts and inform future changes.</w:t>
            </w:r>
          </w:p>
          <w:p w14:paraId="324DA0F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As a crucial part of the proposal, a key suggestion is to create client tools aimed at capturing information more accurately. This initiative aims to enhance the service offer in a way that is inclusive and informed. </w:t>
            </w:r>
          </w:p>
        </w:tc>
      </w:tr>
    </w:tbl>
    <w:p w14:paraId="15F783F9" w14:textId="77777777" w:rsidR="000729CF" w:rsidRPr="000729CF" w:rsidRDefault="000729CF" w:rsidP="000729CF">
      <w:pPr>
        <w:rPr>
          <w:rFonts w:ascii="Arial" w:eastAsia="Calibri" w:hAnsi="Arial" w:cs="Arial"/>
          <w:sz w:val="24"/>
          <w:szCs w:val="24"/>
          <w:lang w:val="en-GB"/>
        </w:rPr>
      </w:pPr>
    </w:p>
    <w:p w14:paraId="538EB562" w14:textId="77777777" w:rsidR="000729CF" w:rsidRPr="000729CF" w:rsidRDefault="000729CF" w:rsidP="000729CF">
      <w:pPr>
        <w:rPr>
          <w:rFonts w:ascii="Arial" w:eastAsia="Calibri" w:hAnsi="Arial" w:cs="Arial"/>
          <w:sz w:val="24"/>
          <w:szCs w:val="24"/>
          <w:lang w:val="en-GB"/>
        </w:rPr>
      </w:pPr>
    </w:p>
    <w:p w14:paraId="24D146D9"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are the arrangements for monitoring, and reviewing the impact of this proposal?</w:t>
      </w:r>
    </w:p>
    <w:tbl>
      <w:tblPr>
        <w:tblStyle w:val="TableGrid"/>
        <w:tblW w:w="0" w:type="auto"/>
        <w:tblLook w:val="04A0" w:firstRow="1" w:lastRow="0" w:firstColumn="1" w:lastColumn="0" w:noHBand="0" w:noVBand="1"/>
      </w:tblPr>
      <w:tblGrid>
        <w:gridCol w:w="10456"/>
      </w:tblGrid>
      <w:tr w:rsidR="000729CF" w:rsidRPr="000729CF" w14:paraId="24A0A975" w14:textId="77777777" w:rsidTr="00BC26AB">
        <w:trPr>
          <w:trHeight w:val="757"/>
        </w:trPr>
        <w:tc>
          <w:tcPr>
            <w:tcW w:w="10456" w:type="dxa"/>
          </w:tcPr>
          <w:p w14:paraId="0B97A8E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Key areas proposed.</w:t>
            </w:r>
          </w:p>
          <w:p w14:paraId="543891D8" w14:textId="77777777" w:rsidR="000729CF" w:rsidRPr="000729CF" w:rsidRDefault="000729CF" w:rsidP="00CE70A3">
            <w:pPr>
              <w:numPr>
                <w:ilvl w:val="0"/>
                <w:numId w:val="120"/>
              </w:numPr>
              <w:spacing w:after="120"/>
              <w:rPr>
                <w:rFonts w:ascii="Arial" w:eastAsia="Calibri" w:hAnsi="Arial" w:cs="Arial"/>
                <w:sz w:val="24"/>
                <w:szCs w:val="24"/>
              </w:rPr>
            </w:pPr>
            <w:r w:rsidRPr="000729CF">
              <w:rPr>
                <w:rFonts w:ascii="Arial" w:eastAsia="Calibri" w:hAnsi="Arial" w:cs="Arial"/>
                <w:sz w:val="24"/>
                <w:szCs w:val="24"/>
              </w:rPr>
              <w:t>Define clear KPIs and objectives for the service.</w:t>
            </w:r>
          </w:p>
          <w:p w14:paraId="193FEE14" w14:textId="77777777" w:rsidR="000729CF" w:rsidRPr="000729CF" w:rsidRDefault="000729CF" w:rsidP="00CE70A3">
            <w:pPr>
              <w:numPr>
                <w:ilvl w:val="0"/>
                <w:numId w:val="120"/>
              </w:numPr>
              <w:spacing w:after="120"/>
              <w:rPr>
                <w:rFonts w:ascii="Arial" w:eastAsia="Calibri" w:hAnsi="Arial" w:cs="Arial"/>
                <w:sz w:val="24"/>
                <w:szCs w:val="24"/>
              </w:rPr>
            </w:pPr>
            <w:r w:rsidRPr="000729CF">
              <w:rPr>
                <w:rFonts w:ascii="Arial" w:eastAsia="Calibri" w:hAnsi="Arial" w:cs="Arial"/>
                <w:sz w:val="24"/>
                <w:szCs w:val="24"/>
              </w:rPr>
              <w:t>Incorporate Diversity and inclusion from the start. Ensure diversity and inclusion considerations are integrated into the project from the planning phase.</w:t>
            </w:r>
          </w:p>
          <w:p w14:paraId="449D2A3D" w14:textId="77777777" w:rsidR="000729CF" w:rsidRPr="000729CF" w:rsidRDefault="000729CF" w:rsidP="00CE70A3">
            <w:pPr>
              <w:numPr>
                <w:ilvl w:val="0"/>
                <w:numId w:val="120"/>
              </w:numPr>
              <w:spacing w:after="120"/>
              <w:rPr>
                <w:rFonts w:ascii="Arial" w:eastAsia="Calibri" w:hAnsi="Arial" w:cs="Arial"/>
                <w:sz w:val="24"/>
                <w:szCs w:val="24"/>
              </w:rPr>
            </w:pPr>
            <w:r w:rsidRPr="000729CF">
              <w:rPr>
                <w:rFonts w:ascii="Arial" w:eastAsia="Calibri" w:hAnsi="Arial" w:cs="Arial"/>
                <w:sz w:val="24"/>
                <w:szCs w:val="24"/>
              </w:rPr>
              <w:t>Identify key stakeholders and representatives from the protected characteristic groups to participate in the transformation project.</w:t>
            </w:r>
          </w:p>
          <w:p w14:paraId="5C6A501B" w14:textId="77777777" w:rsidR="000729CF" w:rsidRPr="000729CF" w:rsidRDefault="000729CF" w:rsidP="00CE70A3">
            <w:pPr>
              <w:numPr>
                <w:ilvl w:val="0"/>
                <w:numId w:val="120"/>
              </w:numPr>
              <w:spacing w:after="120"/>
              <w:rPr>
                <w:rFonts w:ascii="Arial" w:eastAsia="Calibri" w:hAnsi="Arial" w:cs="Arial"/>
                <w:sz w:val="24"/>
                <w:szCs w:val="24"/>
              </w:rPr>
            </w:pPr>
            <w:r w:rsidRPr="000729CF">
              <w:rPr>
                <w:rFonts w:ascii="Arial" w:eastAsia="Calibri" w:hAnsi="Arial" w:cs="Arial"/>
                <w:sz w:val="24"/>
                <w:szCs w:val="24"/>
              </w:rPr>
              <w:t>Regular Data collection. Implement a robust data collection system that includes information specific to clients with protected characteristics.</w:t>
            </w:r>
          </w:p>
          <w:p w14:paraId="759015DD" w14:textId="77777777" w:rsidR="000729CF" w:rsidRPr="000729CF" w:rsidRDefault="000729CF" w:rsidP="00CE70A3">
            <w:pPr>
              <w:numPr>
                <w:ilvl w:val="0"/>
                <w:numId w:val="120"/>
              </w:numPr>
              <w:spacing w:after="120"/>
              <w:rPr>
                <w:rFonts w:ascii="Arial" w:eastAsia="Calibri" w:hAnsi="Arial" w:cs="Arial"/>
                <w:sz w:val="24"/>
                <w:szCs w:val="24"/>
              </w:rPr>
            </w:pPr>
            <w:r w:rsidRPr="000729CF">
              <w:rPr>
                <w:rFonts w:ascii="Arial" w:eastAsia="Calibri" w:hAnsi="Arial" w:cs="Arial"/>
                <w:sz w:val="24"/>
                <w:szCs w:val="24"/>
              </w:rPr>
              <w:t>Analyse trends and track progress.</w:t>
            </w:r>
          </w:p>
          <w:p w14:paraId="33A3BB5E" w14:textId="77777777" w:rsidR="000729CF" w:rsidRPr="000729CF" w:rsidRDefault="000729CF" w:rsidP="00CE70A3">
            <w:pPr>
              <w:numPr>
                <w:ilvl w:val="0"/>
                <w:numId w:val="120"/>
              </w:numPr>
              <w:spacing w:after="120"/>
              <w:rPr>
                <w:rFonts w:ascii="Arial" w:eastAsia="Calibri" w:hAnsi="Arial" w:cs="Arial"/>
                <w:sz w:val="24"/>
                <w:szCs w:val="24"/>
              </w:rPr>
            </w:pPr>
            <w:r w:rsidRPr="000729CF">
              <w:rPr>
                <w:rFonts w:ascii="Arial" w:eastAsia="Calibri" w:hAnsi="Arial" w:cs="Arial"/>
                <w:sz w:val="24"/>
                <w:szCs w:val="24"/>
              </w:rPr>
              <w:t>Conduct focus groups, surveys, or interviews to understand experiences from the client perspective.</w:t>
            </w:r>
          </w:p>
          <w:p w14:paraId="2B57D732" w14:textId="77777777" w:rsidR="000729CF" w:rsidRPr="000729CF" w:rsidRDefault="000729CF" w:rsidP="00CE70A3">
            <w:pPr>
              <w:numPr>
                <w:ilvl w:val="0"/>
                <w:numId w:val="120"/>
              </w:numPr>
              <w:spacing w:after="120"/>
              <w:rPr>
                <w:rFonts w:ascii="Arial" w:eastAsia="Calibri" w:hAnsi="Arial" w:cs="Arial"/>
                <w:sz w:val="24"/>
                <w:szCs w:val="24"/>
              </w:rPr>
            </w:pPr>
            <w:r w:rsidRPr="000729CF">
              <w:rPr>
                <w:rFonts w:ascii="Arial" w:eastAsia="Calibri" w:hAnsi="Arial" w:cs="Arial"/>
                <w:sz w:val="24"/>
                <w:szCs w:val="24"/>
              </w:rPr>
              <w:t xml:space="preserve">Diversity training – Provide all staff on diversity and inclusion. Ensure all staff members are aware of the potential impact on clients with various protected characteristics. </w:t>
            </w:r>
          </w:p>
          <w:p w14:paraId="63E76F08" w14:textId="77777777" w:rsidR="000729CF" w:rsidRPr="000729CF" w:rsidRDefault="000729CF" w:rsidP="00CE70A3">
            <w:pPr>
              <w:numPr>
                <w:ilvl w:val="0"/>
                <w:numId w:val="120"/>
              </w:numPr>
              <w:spacing w:after="120"/>
              <w:rPr>
                <w:rFonts w:ascii="Arial" w:eastAsia="Calibri" w:hAnsi="Arial" w:cs="Arial"/>
                <w:sz w:val="24"/>
                <w:szCs w:val="24"/>
              </w:rPr>
            </w:pPr>
            <w:r w:rsidRPr="000729CF">
              <w:rPr>
                <w:rFonts w:ascii="Arial" w:eastAsia="Calibri" w:hAnsi="Arial" w:cs="Arial"/>
                <w:sz w:val="24"/>
                <w:szCs w:val="24"/>
              </w:rPr>
              <w:t>Compliance with Legal standards – Ensure the proposed changes are aligned to legal requirements related to protecting clients with specific characteristics.</w:t>
            </w:r>
          </w:p>
          <w:p w14:paraId="409B65E4" w14:textId="77777777" w:rsidR="000729CF" w:rsidRPr="000729CF" w:rsidRDefault="000729CF" w:rsidP="000729CF">
            <w:pPr>
              <w:spacing w:after="120"/>
              <w:ind w:left="720"/>
              <w:rPr>
                <w:rFonts w:ascii="Arial" w:eastAsia="Calibri" w:hAnsi="Arial" w:cs="Arial"/>
                <w:sz w:val="24"/>
                <w:szCs w:val="24"/>
              </w:rPr>
            </w:pPr>
          </w:p>
        </w:tc>
      </w:tr>
    </w:tbl>
    <w:p w14:paraId="4291A7E0" w14:textId="77777777" w:rsidR="000729CF" w:rsidRPr="000729CF" w:rsidRDefault="000729CF" w:rsidP="000729CF">
      <w:pPr>
        <w:rPr>
          <w:rFonts w:ascii="Arial" w:eastAsia="Calibri" w:hAnsi="Arial" w:cs="Arial"/>
          <w:sz w:val="24"/>
          <w:szCs w:val="24"/>
          <w:lang w:val="en-GB"/>
        </w:rPr>
      </w:pPr>
    </w:p>
    <w:p w14:paraId="68E202F5" w14:textId="77777777" w:rsidR="000729CF" w:rsidRPr="000729CF" w:rsidRDefault="000729CF" w:rsidP="000729CF">
      <w:pPr>
        <w:rPr>
          <w:rFonts w:ascii="Arial" w:eastAsia="Calibri" w:hAnsi="Arial" w:cs="Arial"/>
          <w:sz w:val="24"/>
          <w:szCs w:val="24"/>
          <w:lang w:val="en-GB"/>
        </w:rPr>
      </w:pPr>
    </w:p>
    <w:p w14:paraId="41984EE4"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Impacts</w:t>
      </w:r>
    </w:p>
    <w:p w14:paraId="0B174B29"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Briefly state source of data or data analysis being used to describe the </w:t>
      </w:r>
      <w:r w:rsidRPr="000729CF">
        <w:rPr>
          <w:rFonts w:ascii="Arial" w:eastAsia="Calibri" w:hAnsi="Arial" w:cs="Arial"/>
          <w:color w:val="000000"/>
          <w:sz w:val="24"/>
          <w:szCs w:val="24"/>
          <w:bdr w:val="none" w:sz="0" w:space="0" w:color="auto" w:frame="1"/>
          <w:lang w:val="en-GB"/>
        </w:rPr>
        <w:t xml:space="preserve">disproportionate negative impacts. </w:t>
      </w:r>
      <w:r w:rsidRPr="000729CF">
        <w:rPr>
          <w:rFonts w:ascii="Arial" w:eastAsia="Calibri" w:hAnsi="Arial" w:cs="Arial"/>
          <w:sz w:val="24"/>
          <w:szCs w:val="24"/>
          <w:lang w:val="en-GB"/>
        </w:rPr>
        <w:t xml:space="preserve">Preferably provide link to data/ analysis if open data source. </w:t>
      </w:r>
    </w:p>
    <w:p w14:paraId="17AB1E91"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Data and analysis sources may include (not an exhaustive list):</w:t>
      </w:r>
    </w:p>
    <w:p w14:paraId="1AC05CC5" w14:textId="77777777" w:rsidR="000729CF" w:rsidRPr="000729CF" w:rsidRDefault="000729CF" w:rsidP="00CE70A3">
      <w:pPr>
        <w:numPr>
          <w:ilvl w:val="1"/>
          <w:numId w:val="100"/>
        </w:numPr>
        <w:spacing w:after="160" w:line="259" w:lineRule="auto"/>
        <w:contextualSpacing/>
        <w:rPr>
          <w:rFonts w:ascii="Arial" w:eastAsia="Calibri" w:hAnsi="Arial" w:cs="Arial"/>
          <w:sz w:val="24"/>
          <w:szCs w:val="24"/>
          <w:u w:val="single"/>
          <w:lang w:val="en-GB"/>
        </w:rPr>
      </w:pPr>
      <w:r w:rsidRPr="000729CF">
        <w:rPr>
          <w:rFonts w:ascii="Arial" w:eastAsia="Calibri" w:hAnsi="Arial" w:cs="Arial"/>
          <w:b/>
          <w:bCs/>
          <w:sz w:val="24"/>
          <w:szCs w:val="24"/>
          <w:lang w:val="en-GB"/>
        </w:rPr>
        <w:t>Consider a wide range (including but not limited to):</w:t>
      </w:r>
    </w:p>
    <w:p w14:paraId="60B3BEF7" w14:textId="77777777" w:rsidR="000729CF" w:rsidRPr="000729CF" w:rsidRDefault="00000000" w:rsidP="00CE70A3">
      <w:pPr>
        <w:numPr>
          <w:ilvl w:val="2"/>
          <w:numId w:val="100"/>
        </w:numPr>
        <w:spacing w:after="160" w:line="259" w:lineRule="auto"/>
        <w:contextualSpacing/>
        <w:rPr>
          <w:rFonts w:ascii="Arial" w:eastAsia="Calibri" w:hAnsi="Arial" w:cs="Arial"/>
          <w:color w:val="000000"/>
          <w:sz w:val="24"/>
          <w:szCs w:val="24"/>
          <w:shd w:val="clear" w:color="auto" w:fill="FFFFFF"/>
          <w:lang w:val="en-GB"/>
        </w:rPr>
      </w:pPr>
      <w:hyperlink r:id="rId41" w:history="1">
        <w:r w:rsidR="000729CF" w:rsidRPr="000729CF">
          <w:rPr>
            <w:rFonts w:ascii="Arial" w:eastAsia="Calibri" w:hAnsi="Arial" w:cs="Arial"/>
            <w:color w:val="0563C1"/>
            <w:sz w:val="24"/>
            <w:szCs w:val="24"/>
            <w:u w:val="single"/>
            <w:shd w:val="clear" w:color="auto" w:fill="FFFFFF"/>
            <w:lang w:val="en-GB"/>
          </w:rPr>
          <w:t>Census</w:t>
        </w:r>
      </w:hyperlink>
      <w:r w:rsidR="000729CF" w:rsidRPr="000729CF">
        <w:rPr>
          <w:rFonts w:ascii="Arial" w:eastAsia="Calibri" w:hAnsi="Arial" w:cs="Arial"/>
          <w:color w:val="000000"/>
          <w:sz w:val="24"/>
          <w:szCs w:val="24"/>
          <w:shd w:val="clear" w:color="auto" w:fill="FFFFFF"/>
          <w:lang w:val="en-GB"/>
        </w:rPr>
        <w:t xml:space="preserve"> and </w:t>
      </w:r>
      <w:hyperlink r:id="rId42" w:history="1">
        <w:r w:rsidR="000729CF" w:rsidRPr="000729CF">
          <w:rPr>
            <w:rFonts w:ascii="Arial" w:eastAsia="Calibri" w:hAnsi="Arial" w:cs="Arial"/>
            <w:color w:val="0563C1"/>
            <w:sz w:val="24"/>
            <w:szCs w:val="24"/>
            <w:u w:val="single"/>
            <w:shd w:val="clear" w:color="auto" w:fill="FFFFFF"/>
            <w:lang w:val="en-GB"/>
          </w:rPr>
          <w:t>local intelligence data</w:t>
        </w:r>
      </w:hyperlink>
    </w:p>
    <w:p w14:paraId="6AB1FBEB" w14:textId="77777777" w:rsidR="000729CF" w:rsidRPr="000729CF" w:rsidRDefault="000729CF" w:rsidP="00CE70A3">
      <w:pPr>
        <w:numPr>
          <w:ilvl w:val="2"/>
          <w:numId w:val="100"/>
        </w:numPr>
        <w:spacing w:after="160" w:line="259" w:lineRule="auto"/>
        <w:contextualSpacing/>
        <w:rPr>
          <w:rFonts w:ascii="Arial" w:eastAsia="Calibri" w:hAnsi="Arial" w:cs="Arial"/>
          <w:color w:val="000000"/>
          <w:sz w:val="24"/>
          <w:szCs w:val="24"/>
          <w:shd w:val="clear" w:color="auto" w:fill="FFFFFF"/>
          <w:lang w:val="en-GB"/>
        </w:rPr>
      </w:pPr>
      <w:r w:rsidRPr="000729CF">
        <w:rPr>
          <w:rFonts w:ascii="Arial" w:eastAsia="Calibri" w:hAnsi="Arial" w:cs="Arial"/>
          <w:color w:val="000000"/>
          <w:sz w:val="24"/>
          <w:szCs w:val="24"/>
          <w:shd w:val="clear" w:color="auto" w:fill="FFFFFF"/>
          <w:lang w:val="en-GB"/>
        </w:rPr>
        <w:t xml:space="preserve">Service specific data </w:t>
      </w:r>
    </w:p>
    <w:p w14:paraId="491A5FAE" w14:textId="77777777" w:rsidR="000729CF" w:rsidRPr="000729CF" w:rsidRDefault="000729CF" w:rsidP="00CE70A3">
      <w:pPr>
        <w:numPr>
          <w:ilvl w:val="2"/>
          <w:numId w:val="100"/>
        </w:numPr>
        <w:spacing w:after="160" w:line="259" w:lineRule="auto"/>
        <w:contextualSpacing/>
        <w:rPr>
          <w:rFonts w:ascii="Arial" w:eastAsia="Calibri" w:hAnsi="Arial" w:cs="Arial"/>
          <w:color w:val="000000"/>
          <w:sz w:val="24"/>
          <w:szCs w:val="24"/>
          <w:shd w:val="clear" w:color="auto" w:fill="FFFFFF"/>
          <w:lang w:val="en-GB"/>
        </w:rPr>
      </w:pPr>
      <w:r w:rsidRPr="000729CF">
        <w:rPr>
          <w:rFonts w:ascii="Arial" w:eastAsia="Calibri" w:hAnsi="Arial" w:cs="Arial"/>
          <w:color w:val="000000"/>
          <w:sz w:val="24"/>
          <w:szCs w:val="24"/>
          <w:shd w:val="clear" w:color="auto" w:fill="FFFFFF"/>
          <w:lang w:val="en-GB"/>
        </w:rPr>
        <w:t xml:space="preserve">Community consultations </w:t>
      </w:r>
    </w:p>
    <w:p w14:paraId="13D572FA" w14:textId="77777777" w:rsidR="000729CF" w:rsidRPr="000729CF" w:rsidRDefault="000729CF" w:rsidP="00CE70A3">
      <w:pPr>
        <w:numPr>
          <w:ilvl w:val="2"/>
          <w:numId w:val="100"/>
        </w:numPr>
        <w:spacing w:after="160" w:line="259" w:lineRule="auto"/>
        <w:contextualSpacing/>
        <w:rPr>
          <w:rFonts w:ascii="Arial" w:eastAsia="Calibri" w:hAnsi="Arial" w:cs="Arial"/>
          <w:color w:val="000000"/>
          <w:sz w:val="24"/>
          <w:szCs w:val="24"/>
          <w:shd w:val="clear" w:color="auto" w:fill="FFFFFF"/>
          <w:lang w:val="en-GB"/>
        </w:rPr>
      </w:pPr>
      <w:r w:rsidRPr="000729CF">
        <w:rPr>
          <w:rFonts w:ascii="Arial" w:eastAsia="Calibri" w:hAnsi="Arial" w:cs="Arial"/>
          <w:color w:val="000000"/>
          <w:sz w:val="24"/>
          <w:szCs w:val="24"/>
          <w:shd w:val="clear" w:color="auto" w:fill="FFFFFF"/>
          <w:lang w:val="en-GB"/>
        </w:rPr>
        <w:t>Insights from customer feedback including complaints and survey results</w:t>
      </w:r>
    </w:p>
    <w:p w14:paraId="7EA88F59" w14:textId="77777777" w:rsidR="000729CF" w:rsidRPr="000729CF" w:rsidRDefault="000729CF" w:rsidP="00CE70A3">
      <w:pPr>
        <w:numPr>
          <w:ilvl w:val="2"/>
          <w:numId w:val="100"/>
        </w:numPr>
        <w:spacing w:after="160" w:line="259" w:lineRule="auto"/>
        <w:contextualSpacing/>
        <w:rPr>
          <w:rFonts w:ascii="Arial" w:eastAsia="Calibri" w:hAnsi="Arial" w:cs="Arial"/>
          <w:color w:val="000000"/>
          <w:sz w:val="24"/>
          <w:szCs w:val="24"/>
          <w:shd w:val="clear" w:color="auto" w:fill="FFFFFF"/>
          <w:lang w:val="en-GB"/>
        </w:rPr>
      </w:pPr>
      <w:r w:rsidRPr="000729CF">
        <w:rPr>
          <w:rFonts w:ascii="Arial" w:eastAsia="Calibri" w:hAnsi="Arial" w:cs="Arial"/>
          <w:color w:val="000000"/>
          <w:sz w:val="24"/>
          <w:szCs w:val="24"/>
          <w:shd w:val="clear" w:color="auto" w:fill="FFFFFF"/>
          <w:lang w:val="en-GB"/>
        </w:rPr>
        <w:t>Lived experiences and qualitative data</w:t>
      </w:r>
    </w:p>
    <w:p w14:paraId="239041D2" w14:textId="77777777" w:rsidR="000729CF" w:rsidRPr="000729CF" w:rsidRDefault="00000000" w:rsidP="00CE70A3">
      <w:pPr>
        <w:numPr>
          <w:ilvl w:val="2"/>
          <w:numId w:val="100"/>
        </w:numPr>
        <w:spacing w:after="160" w:line="259" w:lineRule="auto"/>
        <w:contextualSpacing/>
        <w:rPr>
          <w:rFonts w:ascii="Arial" w:eastAsia="Calibri" w:hAnsi="Arial" w:cs="Arial"/>
          <w:color w:val="000000"/>
          <w:sz w:val="24"/>
          <w:szCs w:val="24"/>
          <w:u w:val="single"/>
          <w:shd w:val="clear" w:color="auto" w:fill="FFFFFF"/>
          <w:lang w:val="en-GB"/>
        </w:rPr>
      </w:pPr>
      <w:hyperlink r:id="rId43" w:history="1">
        <w:r w:rsidR="000729CF" w:rsidRPr="000729CF">
          <w:rPr>
            <w:rFonts w:ascii="Arial" w:eastAsia="Calibri" w:hAnsi="Arial" w:cs="Arial"/>
            <w:color w:val="0563C1"/>
            <w:sz w:val="24"/>
            <w:szCs w:val="24"/>
            <w:u w:val="single"/>
            <w:shd w:val="clear" w:color="auto" w:fill="FFFFFF"/>
            <w:lang w:val="en-GB"/>
          </w:rPr>
          <w:t>Joint Strategic Needs Assessment (JSNA) data</w:t>
        </w:r>
      </w:hyperlink>
    </w:p>
    <w:p w14:paraId="7039CBC2" w14:textId="77777777" w:rsidR="000729CF" w:rsidRPr="000729CF" w:rsidRDefault="00000000" w:rsidP="00CE70A3">
      <w:pPr>
        <w:numPr>
          <w:ilvl w:val="2"/>
          <w:numId w:val="100"/>
        </w:numPr>
        <w:spacing w:after="160" w:line="259" w:lineRule="auto"/>
        <w:contextualSpacing/>
        <w:rPr>
          <w:rFonts w:ascii="Arial" w:eastAsia="Calibri" w:hAnsi="Arial" w:cs="Arial"/>
          <w:color w:val="000000"/>
          <w:sz w:val="24"/>
          <w:szCs w:val="24"/>
          <w:shd w:val="clear" w:color="auto" w:fill="FFFFFF"/>
          <w:lang w:val="en-GB"/>
        </w:rPr>
      </w:pPr>
      <w:hyperlink r:id="rId44" w:history="1">
        <w:r w:rsidR="000729CF" w:rsidRPr="000729CF">
          <w:rPr>
            <w:rFonts w:ascii="Arial" w:eastAsia="Calibri" w:hAnsi="Arial" w:cs="Arial"/>
            <w:color w:val="0563C1"/>
            <w:sz w:val="24"/>
            <w:szCs w:val="24"/>
            <w:u w:val="single"/>
            <w:shd w:val="clear" w:color="auto" w:fill="FFFFFF"/>
            <w:lang w:val="en-GB"/>
          </w:rPr>
          <w:t>Health Inequalities data</w:t>
        </w:r>
      </w:hyperlink>
    </w:p>
    <w:p w14:paraId="744AD3B3" w14:textId="77777777" w:rsidR="000729CF" w:rsidRPr="000729CF" w:rsidRDefault="000729CF" w:rsidP="00CE70A3">
      <w:pPr>
        <w:numPr>
          <w:ilvl w:val="2"/>
          <w:numId w:val="100"/>
        </w:numPr>
        <w:spacing w:after="160" w:line="259" w:lineRule="auto"/>
        <w:contextualSpacing/>
        <w:rPr>
          <w:rFonts w:ascii="Arial" w:eastAsia="Calibri" w:hAnsi="Arial" w:cs="Arial"/>
          <w:color w:val="000000"/>
          <w:sz w:val="24"/>
          <w:szCs w:val="24"/>
          <w:shd w:val="clear" w:color="auto" w:fill="FFFFFF"/>
          <w:lang w:val="en-GB"/>
        </w:rPr>
      </w:pPr>
      <w:r w:rsidRPr="000729CF">
        <w:rPr>
          <w:rFonts w:ascii="Arial" w:eastAsia="Calibri" w:hAnsi="Arial" w:cs="Arial"/>
          <w:color w:val="000000"/>
          <w:sz w:val="24"/>
          <w:szCs w:val="24"/>
          <w:shd w:val="clear" w:color="auto" w:fill="FFFFFF"/>
          <w:lang w:val="en-GB"/>
        </w:rPr>
        <w:t>Good practice research</w:t>
      </w:r>
    </w:p>
    <w:p w14:paraId="75A86E8A" w14:textId="77777777" w:rsidR="000729CF" w:rsidRPr="000729CF" w:rsidRDefault="000729CF" w:rsidP="00CE70A3">
      <w:pPr>
        <w:numPr>
          <w:ilvl w:val="2"/>
          <w:numId w:val="100"/>
        </w:numPr>
        <w:spacing w:after="160" w:line="259" w:lineRule="auto"/>
        <w:contextualSpacing/>
        <w:rPr>
          <w:rFonts w:ascii="Arial" w:eastAsia="Calibri" w:hAnsi="Arial" w:cs="Arial"/>
          <w:color w:val="000000"/>
          <w:sz w:val="24"/>
          <w:szCs w:val="24"/>
          <w:shd w:val="clear" w:color="auto" w:fill="FFFFFF"/>
          <w:lang w:val="en-GB"/>
        </w:rPr>
      </w:pPr>
      <w:r w:rsidRPr="000729CF">
        <w:rPr>
          <w:rFonts w:ascii="Arial" w:eastAsia="Calibri" w:hAnsi="Arial" w:cs="Arial"/>
          <w:color w:val="000000"/>
          <w:sz w:val="24"/>
          <w:szCs w:val="24"/>
          <w:shd w:val="clear" w:color="auto" w:fill="FFFFFF"/>
          <w:lang w:val="en-GB"/>
        </w:rPr>
        <w:t>National data and reports relevant to the service</w:t>
      </w:r>
    </w:p>
    <w:p w14:paraId="59A58F5B" w14:textId="77777777" w:rsidR="000729CF" w:rsidRPr="000729CF" w:rsidRDefault="000729CF" w:rsidP="00CE70A3">
      <w:pPr>
        <w:numPr>
          <w:ilvl w:val="2"/>
          <w:numId w:val="100"/>
        </w:numPr>
        <w:spacing w:after="160" w:line="259" w:lineRule="auto"/>
        <w:contextualSpacing/>
        <w:rPr>
          <w:rFonts w:ascii="Arial" w:eastAsia="Calibri" w:hAnsi="Arial" w:cs="Arial"/>
          <w:color w:val="000000"/>
          <w:sz w:val="24"/>
          <w:szCs w:val="24"/>
          <w:shd w:val="clear" w:color="auto" w:fill="FFFFFF"/>
          <w:lang w:val="en-GB"/>
        </w:rPr>
      </w:pPr>
      <w:r w:rsidRPr="000729CF">
        <w:rPr>
          <w:rFonts w:ascii="Arial" w:eastAsia="Calibri" w:hAnsi="Arial" w:cs="Arial"/>
          <w:color w:val="000000"/>
          <w:sz w:val="24"/>
          <w:szCs w:val="24"/>
          <w:shd w:val="clear" w:color="auto" w:fill="FFFFFF"/>
          <w:lang w:val="en-GB"/>
        </w:rPr>
        <w:t xml:space="preserve">Workforce, leaver, and recruitment data, surveys, insights </w:t>
      </w:r>
    </w:p>
    <w:p w14:paraId="3F796D33" w14:textId="77777777" w:rsidR="000729CF" w:rsidRPr="000729CF" w:rsidRDefault="000729CF" w:rsidP="00CE70A3">
      <w:pPr>
        <w:numPr>
          <w:ilvl w:val="2"/>
          <w:numId w:val="100"/>
        </w:numPr>
        <w:spacing w:after="160" w:line="259" w:lineRule="auto"/>
        <w:contextualSpacing/>
        <w:rPr>
          <w:rFonts w:ascii="Arial" w:eastAsia="Calibri" w:hAnsi="Arial" w:cs="Arial"/>
          <w:color w:val="000000"/>
          <w:sz w:val="24"/>
          <w:szCs w:val="24"/>
          <w:shd w:val="clear" w:color="auto" w:fill="FFFFFF"/>
          <w:lang w:val="en-GB"/>
        </w:rPr>
      </w:pPr>
      <w:r w:rsidRPr="000729CF">
        <w:rPr>
          <w:rFonts w:ascii="Arial" w:eastAsia="Calibri" w:hAnsi="Arial" w:cs="Arial"/>
          <w:sz w:val="24"/>
          <w:szCs w:val="24"/>
          <w:lang w:val="en-GB"/>
        </w:rPr>
        <w:t>Feedback from internal ‘staff as residents’ consultations</w:t>
      </w:r>
    </w:p>
    <w:p w14:paraId="305F20E2" w14:textId="77777777" w:rsidR="000729CF" w:rsidRPr="000729CF" w:rsidRDefault="000729CF" w:rsidP="00CE70A3">
      <w:pPr>
        <w:numPr>
          <w:ilvl w:val="2"/>
          <w:numId w:val="100"/>
        </w:numPr>
        <w:spacing w:after="160" w:line="259" w:lineRule="auto"/>
        <w:contextualSpacing/>
        <w:rPr>
          <w:rFonts w:ascii="Arial" w:eastAsia="Calibri" w:hAnsi="Arial" w:cs="Arial"/>
          <w:color w:val="000000"/>
          <w:sz w:val="24"/>
          <w:szCs w:val="24"/>
          <w:shd w:val="clear" w:color="auto" w:fill="FFFFFF"/>
          <w:lang w:val="en-GB"/>
        </w:rPr>
      </w:pPr>
      <w:r w:rsidRPr="000729CF">
        <w:rPr>
          <w:rFonts w:ascii="Arial" w:eastAsia="Calibri" w:hAnsi="Arial" w:cs="Arial"/>
          <w:color w:val="000000"/>
          <w:sz w:val="24"/>
          <w:szCs w:val="24"/>
          <w:shd w:val="clear" w:color="auto" w:fill="FFFFFF"/>
          <w:lang w:val="en-GB"/>
        </w:rPr>
        <w:t>Insights, gaps, and data analyses on intersectionality, accessibility, sustainability requirements, and impacts.</w:t>
      </w:r>
    </w:p>
    <w:p w14:paraId="4C7D5265" w14:textId="77777777" w:rsidR="000729CF" w:rsidRPr="000729CF" w:rsidRDefault="000729CF" w:rsidP="00CE70A3">
      <w:pPr>
        <w:numPr>
          <w:ilvl w:val="2"/>
          <w:numId w:val="100"/>
        </w:numPr>
        <w:spacing w:after="160" w:line="259" w:lineRule="auto"/>
        <w:contextualSpacing/>
        <w:rPr>
          <w:rFonts w:ascii="Arial" w:eastAsia="Calibri" w:hAnsi="Arial" w:cs="Arial"/>
          <w:color w:val="000000"/>
          <w:sz w:val="24"/>
          <w:szCs w:val="24"/>
          <w:shd w:val="clear" w:color="auto" w:fill="FFFFFF"/>
          <w:lang w:val="en-GB"/>
        </w:rPr>
      </w:pPr>
      <w:r w:rsidRPr="000729CF">
        <w:rPr>
          <w:rFonts w:ascii="Arial" w:eastAsia="Calibri" w:hAnsi="Arial" w:cs="Arial"/>
          <w:color w:val="000000"/>
          <w:sz w:val="24"/>
          <w:szCs w:val="24"/>
          <w:lang w:val="en-GB"/>
        </w:rPr>
        <w:t xml:space="preserve">Insights, gaps, and data analyses on ‘who’ the most </w:t>
      </w:r>
      <w:proofErr w:type="spellStart"/>
      <w:r w:rsidRPr="000729CF">
        <w:rPr>
          <w:rFonts w:ascii="Arial" w:eastAsia="Calibri" w:hAnsi="Arial" w:cs="Arial"/>
          <w:color w:val="000000"/>
          <w:sz w:val="24"/>
          <w:szCs w:val="24"/>
          <w:lang w:val="en-GB"/>
        </w:rPr>
        <w:t>intersectionally</w:t>
      </w:r>
      <w:proofErr w:type="spellEnd"/>
      <w:r w:rsidRPr="000729CF">
        <w:rPr>
          <w:rFonts w:ascii="Arial" w:eastAsia="Calibri" w:hAnsi="Arial" w:cs="Arial"/>
          <w:color w:val="000000"/>
          <w:sz w:val="24"/>
          <w:szCs w:val="24"/>
          <w:lang w:val="en-GB"/>
        </w:rPr>
        <w:t xml:space="preserve"> marginalised and excluded under-represented people and communities are in the context of this EIA.</w:t>
      </w:r>
    </w:p>
    <w:tbl>
      <w:tblPr>
        <w:tblStyle w:val="TableGrid"/>
        <w:tblW w:w="10485" w:type="dxa"/>
        <w:tblLook w:val="04A0" w:firstRow="1" w:lastRow="0" w:firstColumn="1" w:lastColumn="0" w:noHBand="0" w:noVBand="1"/>
      </w:tblPr>
      <w:tblGrid>
        <w:gridCol w:w="2985"/>
        <w:gridCol w:w="2123"/>
        <w:gridCol w:w="5377"/>
      </w:tblGrid>
      <w:tr w:rsidR="000729CF" w:rsidRPr="000729CF" w14:paraId="4A6740DC" w14:textId="77777777" w:rsidTr="000729CF">
        <w:trPr>
          <w:trHeight w:val="20"/>
        </w:trPr>
        <w:tc>
          <w:tcPr>
            <w:tcW w:w="2985" w:type="dxa"/>
            <w:shd w:val="clear" w:color="auto" w:fill="E7E6E6"/>
          </w:tcPr>
          <w:p w14:paraId="7ECED3C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Assess impact for different population groups</w:t>
            </w:r>
          </w:p>
        </w:tc>
        <w:tc>
          <w:tcPr>
            <w:tcW w:w="2123" w:type="dxa"/>
            <w:shd w:val="clear" w:color="auto" w:fill="E7E6E6"/>
          </w:tcPr>
          <w:p w14:paraId="5F9FEA3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Is there a possible disproportionate negative impact? </w:t>
            </w:r>
          </w:p>
          <w:p w14:paraId="14E80C61" w14:textId="77777777" w:rsidR="000729CF" w:rsidRPr="000729CF" w:rsidRDefault="000729CF" w:rsidP="000729CF">
            <w:pPr>
              <w:spacing w:after="120"/>
              <w:rPr>
                <w:rFonts w:ascii="Arial" w:eastAsia="Calibri" w:hAnsi="Arial" w:cs="Arial"/>
                <w:b/>
                <w:bCs/>
                <w:sz w:val="24"/>
                <w:szCs w:val="24"/>
              </w:rPr>
            </w:pPr>
          </w:p>
          <w:p w14:paraId="252FB00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b/>
                <w:bCs/>
                <w:sz w:val="24"/>
                <w:szCs w:val="24"/>
              </w:rPr>
              <w:t>State Yes or No</w:t>
            </w:r>
          </w:p>
        </w:tc>
        <w:tc>
          <w:tcPr>
            <w:tcW w:w="5377" w:type="dxa"/>
            <w:shd w:val="clear" w:color="auto" w:fill="E7E6E6"/>
          </w:tcPr>
          <w:p w14:paraId="31806DE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Describe the potential negative impact, considering for differences within groups For example, different ethnic groups, and peoples intersecting identities e.g. disabled women of faith</w:t>
            </w:r>
          </w:p>
          <w:p w14:paraId="2706338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OR</w:t>
            </w:r>
          </w:p>
          <w:p w14:paraId="33F49E3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If no impact is identified, briefly state why.</w:t>
            </w:r>
          </w:p>
        </w:tc>
      </w:tr>
      <w:tr w:rsidR="000729CF" w:rsidRPr="000729CF" w14:paraId="012AF60A" w14:textId="77777777" w:rsidTr="000729CF">
        <w:trPr>
          <w:trHeight w:val="20"/>
        </w:trPr>
        <w:tc>
          <w:tcPr>
            <w:tcW w:w="2985" w:type="dxa"/>
            <w:shd w:val="clear" w:color="auto" w:fill="E7E6E6"/>
          </w:tcPr>
          <w:p w14:paraId="7630025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Age </w:t>
            </w:r>
          </w:p>
          <w:p w14:paraId="2AD6122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sz w:val="24"/>
                <w:szCs w:val="24"/>
              </w:rPr>
              <w:t>including those under 16, young adults, multiple ethnicities, those with various intersections.</w:t>
            </w:r>
          </w:p>
        </w:tc>
        <w:tc>
          <w:tcPr>
            <w:tcW w:w="2123" w:type="dxa"/>
          </w:tcPr>
          <w:p w14:paraId="7183408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534E62A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proposed changes are not anticipated to impact the named groups. The target operating model is designed to optimise the customer journey, placing the customer at the forefront of our approach. This prioritisation is geared towards fostering positive outcomes and ensuring an improved experience for individuals accessing the service.</w:t>
            </w:r>
          </w:p>
        </w:tc>
      </w:tr>
      <w:tr w:rsidR="000729CF" w:rsidRPr="000729CF" w14:paraId="0F4608AA" w14:textId="77777777" w:rsidTr="000729CF">
        <w:trPr>
          <w:trHeight w:val="20"/>
        </w:trPr>
        <w:tc>
          <w:tcPr>
            <w:tcW w:w="2985" w:type="dxa"/>
            <w:shd w:val="clear" w:color="auto" w:fill="E7E6E6"/>
          </w:tcPr>
          <w:p w14:paraId="682D838B"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 xml:space="preserve">Disability </w:t>
            </w:r>
            <w:r w:rsidRPr="000729CF">
              <w:rPr>
                <w:rFonts w:ascii="Arial" w:eastAsia="Calibri" w:hAnsi="Arial" w:cs="Arial"/>
                <w:sz w:val="24"/>
                <w:szCs w:val="24"/>
              </w:rPr>
              <w:t>includes physical and sensory disabled, D/deaf, deafened, hard of hearing, blind, neurodiverse people, people with non-visible disabilities.</w:t>
            </w:r>
          </w:p>
        </w:tc>
        <w:tc>
          <w:tcPr>
            <w:tcW w:w="2123" w:type="dxa"/>
          </w:tcPr>
          <w:p w14:paraId="351C684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1DD8551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proposed changes are not anticipated to impact the named groups. The target operating model is designed to optimise the customer journey, placing the customer at the forefront of our approach. This prioritisation is geared towards fostering positive outcomes and ensuring an improved experience for individuals accessing the service.</w:t>
            </w:r>
          </w:p>
        </w:tc>
      </w:tr>
      <w:tr w:rsidR="000729CF" w:rsidRPr="000729CF" w14:paraId="327D724F" w14:textId="77777777" w:rsidTr="000729CF">
        <w:trPr>
          <w:trHeight w:val="20"/>
        </w:trPr>
        <w:tc>
          <w:tcPr>
            <w:tcW w:w="2985" w:type="dxa"/>
            <w:shd w:val="clear" w:color="auto" w:fill="E7E6E6"/>
          </w:tcPr>
          <w:p w14:paraId="0CC70E0B" w14:textId="77777777" w:rsidR="000729CF" w:rsidRPr="000729CF" w:rsidRDefault="000729CF" w:rsidP="000729CF">
            <w:pPr>
              <w:keepNext/>
              <w:keepLines/>
              <w:spacing w:before="40"/>
              <w:outlineLvl w:val="2"/>
              <w:rPr>
                <w:rFonts w:ascii="Arial" w:hAnsi="Arial" w:cs="Arial"/>
                <w:color w:val="1F3763"/>
                <w:sz w:val="24"/>
                <w:szCs w:val="24"/>
              </w:rPr>
            </w:pPr>
            <w:r w:rsidRPr="000729CF">
              <w:rPr>
                <w:rFonts w:ascii="Arial" w:hAnsi="Arial" w:cs="Arial"/>
                <w:b/>
                <w:bCs/>
                <w:color w:val="000000"/>
                <w:sz w:val="24"/>
                <w:szCs w:val="24"/>
              </w:rPr>
              <w:t>Ethnicity, ‘</w:t>
            </w:r>
            <w:r w:rsidRPr="000729CF">
              <w:rPr>
                <w:rFonts w:ascii="Arial" w:hAnsi="Arial" w:cs="Arial"/>
                <w:color w:val="000000"/>
                <w:sz w:val="24"/>
                <w:szCs w:val="24"/>
              </w:rPr>
              <w:t>Race’, ethnic heritage including Gypsy, Roma, Travellers</w:t>
            </w:r>
          </w:p>
        </w:tc>
        <w:tc>
          <w:tcPr>
            <w:tcW w:w="2123" w:type="dxa"/>
          </w:tcPr>
          <w:p w14:paraId="4B727CE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022DCF7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proposed changes are not anticipated to impact the named groups. The target operating model is designed to optimise the customer journey, placing the customer at the forefront of our approach. This prioritisation is geared towards fostering positive outcomes and ensuring an improved experience for individuals accessing the service.</w:t>
            </w:r>
          </w:p>
        </w:tc>
      </w:tr>
      <w:tr w:rsidR="000729CF" w:rsidRPr="000729CF" w14:paraId="28629325" w14:textId="77777777" w:rsidTr="000729CF">
        <w:trPr>
          <w:trHeight w:val="20"/>
        </w:trPr>
        <w:tc>
          <w:tcPr>
            <w:tcW w:w="2985" w:type="dxa"/>
            <w:shd w:val="clear" w:color="auto" w:fill="E7E6E6"/>
          </w:tcPr>
          <w:p w14:paraId="1197054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Religion, Spirituality, Faith, Atheism, and philosophical belief </w:t>
            </w:r>
          </w:p>
        </w:tc>
        <w:tc>
          <w:tcPr>
            <w:tcW w:w="2123" w:type="dxa"/>
          </w:tcPr>
          <w:p w14:paraId="69B1AD8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NA</w:t>
            </w:r>
          </w:p>
        </w:tc>
        <w:tc>
          <w:tcPr>
            <w:tcW w:w="5377" w:type="dxa"/>
          </w:tcPr>
          <w:p w14:paraId="605B449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Data not available</w:t>
            </w:r>
          </w:p>
        </w:tc>
      </w:tr>
      <w:tr w:rsidR="000729CF" w:rsidRPr="000729CF" w14:paraId="200489FC" w14:textId="77777777" w:rsidTr="000729CF">
        <w:trPr>
          <w:trHeight w:val="20"/>
        </w:trPr>
        <w:tc>
          <w:tcPr>
            <w:tcW w:w="2985" w:type="dxa"/>
            <w:shd w:val="clear" w:color="auto" w:fill="E7E6E6"/>
          </w:tcPr>
          <w:p w14:paraId="68B3C0D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Gender and Sex </w:t>
            </w:r>
            <w:r w:rsidRPr="000729CF">
              <w:rPr>
                <w:rFonts w:ascii="Arial" w:eastAsia="Calibri" w:hAnsi="Arial" w:cs="Arial"/>
                <w:sz w:val="24"/>
                <w:szCs w:val="24"/>
              </w:rPr>
              <w:t>including non-binary and intersex people</w:t>
            </w:r>
          </w:p>
        </w:tc>
        <w:tc>
          <w:tcPr>
            <w:tcW w:w="2123" w:type="dxa"/>
          </w:tcPr>
          <w:p w14:paraId="52F8EB9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3273D02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proposed changes are not anticipated to impact the named groups. The target operating model is designed to optimise the customer journey, placing the customer at the forefront of our approach. This prioritisation is geared towards fostering positive outcomes and ensuring an improved experience for individuals accessing the service.</w:t>
            </w:r>
          </w:p>
        </w:tc>
      </w:tr>
      <w:tr w:rsidR="000729CF" w:rsidRPr="000729CF" w14:paraId="3C5BCE14" w14:textId="77777777" w:rsidTr="000729CF">
        <w:trPr>
          <w:trHeight w:val="20"/>
        </w:trPr>
        <w:tc>
          <w:tcPr>
            <w:tcW w:w="2985" w:type="dxa"/>
            <w:shd w:val="clear" w:color="auto" w:fill="E7E6E6"/>
          </w:tcPr>
          <w:p w14:paraId="692E560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2123" w:type="dxa"/>
          </w:tcPr>
          <w:p w14:paraId="31A6F6F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6D5DA3A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proposed changes are not anticipated to impact the named groups. The target operating model is designed to optimise the customer journey, placing the customer at the forefront of our approach. This prioritisation is geared towards fostering positive outcomes and ensuring an improved experience for individuals accessing the service.</w:t>
            </w:r>
          </w:p>
        </w:tc>
      </w:tr>
      <w:tr w:rsidR="000729CF" w:rsidRPr="000729CF" w14:paraId="79CCA86A" w14:textId="77777777" w:rsidTr="000729CF">
        <w:trPr>
          <w:trHeight w:val="20"/>
        </w:trPr>
        <w:tc>
          <w:tcPr>
            <w:tcW w:w="2985" w:type="dxa"/>
            <w:shd w:val="clear" w:color="auto" w:fill="E7E6E6"/>
          </w:tcPr>
          <w:p w14:paraId="28FDA6B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2123" w:type="dxa"/>
          </w:tcPr>
          <w:p w14:paraId="25F17EF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3CA0A45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proposed changes are not anticipated to impact the named groups. The target operating model is designed to optimise the customer journey, placing the customer at the forefront of our approach. This prioritisation is geared towards fostering positive outcomes and ensuring an improved experience for individuals accessing the service.</w:t>
            </w:r>
          </w:p>
        </w:tc>
      </w:tr>
      <w:tr w:rsidR="000729CF" w:rsidRPr="000729CF" w14:paraId="77B3A21F" w14:textId="77777777" w:rsidTr="000729CF">
        <w:trPr>
          <w:trHeight w:val="20"/>
        </w:trPr>
        <w:tc>
          <w:tcPr>
            <w:tcW w:w="2985" w:type="dxa"/>
            <w:shd w:val="clear" w:color="auto" w:fill="E7E6E6"/>
          </w:tcPr>
          <w:p w14:paraId="3B65E76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2123" w:type="dxa"/>
          </w:tcPr>
          <w:p w14:paraId="4F6B9F8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NA</w:t>
            </w:r>
          </w:p>
        </w:tc>
        <w:tc>
          <w:tcPr>
            <w:tcW w:w="5377" w:type="dxa"/>
          </w:tcPr>
          <w:p w14:paraId="6ED4E07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Data not available</w:t>
            </w:r>
          </w:p>
        </w:tc>
      </w:tr>
      <w:tr w:rsidR="000729CF" w:rsidRPr="000729CF" w14:paraId="33B059F8" w14:textId="77777777" w:rsidTr="000729CF">
        <w:trPr>
          <w:trHeight w:val="20"/>
        </w:trPr>
        <w:tc>
          <w:tcPr>
            <w:tcW w:w="2985" w:type="dxa"/>
            <w:shd w:val="clear" w:color="auto" w:fill="E7E6E6"/>
          </w:tcPr>
          <w:p w14:paraId="415F735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Pregnancy, Maternity, Paternity, Adoption, Menopause, (In)fertility </w:t>
            </w:r>
            <w:r w:rsidRPr="000729CF">
              <w:rPr>
                <w:rFonts w:ascii="Arial" w:eastAsia="Calibri" w:hAnsi="Arial" w:cs="Arial"/>
                <w:color w:val="000000"/>
                <w:sz w:val="24"/>
                <w:szCs w:val="24"/>
              </w:rPr>
              <w:t>(across intersections and non-binary gender spectrum)</w:t>
            </w:r>
          </w:p>
        </w:tc>
        <w:tc>
          <w:tcPr>
            <w:tcW w:w="2123" w:type="dxa"/>
          </w:tcPr>
          <w:p w14:paraId="05D81EE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4F2759E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proposed changes are not anticipated to impact the named groups. The target operating model is designed to optimise the customer journey, placing the customer at the forefront of our approach. This prioritisation is geared towards fostering positive outcomes and ensuring an improved experience for individuals accessing the service.</w:t>
            </w:r>
          </w:p>
        </w:tc>
      </w:tr>
      <w:tr w:rsidR="000729CF" w:rsidRPr="000729CF" w14:paraId="74C4ADC7" w14:textId="77777777" w:rsidTr="000729CF">
        <w:trPr>
          <w:trHeight w:val="20"/>
        </w:trPr>
        <w:tc>
          <w:tcPr>
            <w:tcW w:w="2985" w:type="dxa"/>
            <w:shd w:val="clear" w:color="auto" w:fill="E7E6E6"/>
          </w:tcPr>
          <w:p w14:paraId="0F78464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2123" w:type="dxa"/>
          </w:tcPr>
          <w:p w14:paraId="142CDAB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17CED4C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proposed changes are not anticipated to impact the named groups. The target operating model is designed to optimise the customer journey, placing the customer at the forefront of our approach. This prioritisation is geared towards fostering positive outcomes and ensuring an improved experience for individuals accessing the service.</w:t>
            </w:r>
          </w:p>
        </w:tc>
      </w:tr>
      <w:tr w:rsidR="000729CF" w:rsidRPr="000729CF" w14:paraId="5B0EDBF0" w14:textId="77777777" w:rsidTr="000729CF">
        <w:trPr>
          <w:trHeight w:val="20"/>
        </w:trPr>
        <w:tc>
          <w:tcPr>
            <w:tcW w:w="2985" w:type="dxa"/>
            <w:shd w:val="clear" w:color="auto" w:fill="E7E6E6"/>
          </w:tcPr>
          <w:p w14:paraId="384B97F1" w14:textId="77777777" w:rsidR="000729CF" w:rsidRPr="000729CF" w:rsidRDefault="000729CF" w:rsidP="000729CF">
            <w:pPr>
              <w:spacing w:after="120"/>
              <w:rPr>
                <w:rFonts w:ascii="Arial" w:eastAsia="Calibri" w:hAnsi="Arial" w:cs="Arial"/>
                <w:b/>
                <w:bCs/>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r w:rsidRPr="000729CF">
              <w:rPr>
                <w:rFonts w:ascii="Arial" w:hAnsi="Arial" w:cs="Arial"/>
                <w:color w:val="000000"/>
                <w:sz w:val="24"/>
                <w:szCs w:val="24"/>
              </w:rPr>
              <w:t>considering for age, language, and various intersections</w:t>
            </w:r>
          </w:p>
        </w:tc>
        <w:tc>
          <w:tcPr>
            <w:tcW w:w="2123" w:type="dxa"/>
          </w:tcPr>
          <w:p w14:paraId="4710BAB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67D7C0D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proposed changes are not anticipated to impact the named groups. The target operating model is designed to optimise the customer journey, placing the customer at the forefront of our approach. This prioritisation is geared towards fostering positive outcomes and ensuring an improved experience for individuals accessing the service.</w:t>
            </w:r>
          </w:p>
        </w:tc>
      </w:tr>
      <w:tr w:rsidR="000729CF" w:rsidRPr="000729CF" w14:paraId="57BFA334" w14:textId="77777777" w:rsidTr="000729CF">
        <w:trPr>
          <w:trHeight w:val="20"/>
        </w:trPr>
        <w:tc>
          <w:tcPr>
            <w:tcW w:w="2985" w:type="dxa"/>
            <w:shd w:val="clear" w:color="auto" w:fill="E7E6E6"/>
          </w:tcPr>
          <w:p w14:paraId="6418777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Carers </w:t>
            </w:r>
            <w:r w:rsidRPr="000729CF">
              <w:rPr>
                <w:rFonts w:ascii="Arial" w:hAnsi="Arial" w:cs="Arial"/>
                <w:color w:val="000000"/>
                <w:sz w:val="24"/>
                <w:szCs w:val="24"/>
              </w:rPr>
              <w:t>considering for age, language, and various intersections</w:t>
            </w:r>
          </w:p>
        </w:tc>
        <w:tc>
          <w:tcPr>
            <w:tcW w:w="2123" w:type="dxa"/>
          </w:tcPr>
          <w:p w14:paraId="19AC75B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082D952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proposed changes are not anticipated to impact the named groups. The target operating model is designed to optimise the customer journey, placing the customer at the forefront of our approach. This prioritisation is geared towards fostering positive outcomes and ensuring an improved experience for individuals accessing the service.</w:t>
            </w:r>
          </w:p>
        </w:tc>
      </w:tr>
      <w:tr w:rsidR="000729CF" w:rsidRPr="000729CF" w14:paraId="7E3F83DB" w14:textId="77777777" w:rsidTr="000729CF">
        <w:trPr>
          <w:trHeight w:val="20"/>
        </w:trPr>
        <w:tc>
          <w:tcPr>
            <w:tcW w:w="2985" w:type="dxa"/>
            <w:shd w:val="clear" w:color="auto" w:fill="E7E6E6"/>
          </w:tcPr>
          <w:p w14:paraId="6DE4D7E8"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 xml:space="preserve">Looked after children, Care Leavers, Care and fostering experienced people </w:t>
            </w:r>
            <w:r w:rsidRPr="000729CF">
              <w:rPr>
                <w:rFonts w:ascii="Arial" w:hAnsi="Arial" w:cs="Arial"/>
                <w:color w:val="000000"/>
                <w:sz w:val="24"/>
                <w:szCs w:val="24"/>
              </w:rPr>
              <w:t>considering for age, language, and various intersections</w:t>
            </w:r>
          </w:p>
        </w:tc>
        <w:tc>
          <w:tcPr>
            <w:tcW w:w="2123" w:type="dxa"/>
          </w:tcPr>
          <w:p w14:paraId="7F3BCD3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343C095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proposed changes are not anticipated to impact the named groups. The target operating model is designed to optimise the customer journey, placing the customer at the forefront of our approach. This prioritisation is geared towards fostering positive outcomes and ensuring an improved experience for individuals accessing the service.</w:t>
            </w:r>
          </w:p>
        </w:tc>
      </w:tr>
      <w:tr w:rsidR="000729CF" w:rsidRPr="000729CF" w14:paraId="057963BA" w14:textId="77777777" w:rsidTr="000729CF">
        <w:trPr>
          <w:trHeight w:val="20"/>
        </w:trPr>
        <w:tc>
          <w:tcPr>
            <w:tcW w:w="2985" w:type="dxa"/>
            <w:shd w:val="clear" w:color="auto" w:fill="E7E6E6"/>
          </w:tcPr>
          <w:p w14:paraId="65B2514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w:t>
            </w:r>
          </w:p>
        </w:tc>
        <w:tc>
          <w:tcPr>
            <w:tcW w:w="2123" w:type="dxa"/>
          </w:tcPr>
          <w:p w14:paraId="04E61B2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0AAC0CF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proposed changes are not anticipated to impact the named groups. The target operating model is designed to optimise the customer journey, placing the customer at the forefront of our approach. This prioritisation is geared towards fostering positive outcomes and ensuring an improved experience for individuals accessing the service.</w:t>
            </w:r>
          </w:p>
        </w:tc>
      </w:tr>
      <w:tr w:rsidR="000729CF" w:rsidRPr="000729CF" w14:paraId="0C6605C8" w14:textId="77777777" w:rsidTr="000729CF">
        <w:trPr>
          <w:trHeight w:val="20"/>
        </w:trPr>
        <w:tc>
          <w:tcPr>
            <w:tcW w:w="2985" w:type="dxa"/>
            <w:shd w:val="clear" w:color="auto" w:fill="E7E6E6"/>
          </w:tcPr>
          <w:p w14:paraId="1CF398C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Socio-economic disadvantage </w:t>
            </w:r>
            <w:r w:rsidRPr="000729CF">
              <w:rPr>
                <w:rFonts w:ascii="Arial" w:eastAsia="Calibri" w:hAnsi="Arial" w:cs="Arial"/>
                <w:color w:val="000000"/>
                <w:sz w:val="24"/>
                <w:szCs w:val="24"/>
              </w:rPr>
              <w:t>considering for age, disability, D/deaf/ blind, ethnicity, expatriate background, and various intersections</w:t>
            </w:r>
          </w:p>
        </w:tc>
        <w:tc>
          <w:tcPr>
            <w:tcW w:w="2123" w:type="dxa"/>
          </w:tcPr>
          <w:p w14:paraId="483A068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751A48C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proposed changes are not anticipated to impact the named groups. The target operating model is designed to optimise the customer journey, placing the customer at the forefront of our approach. This prioritisation is geared towards fostering positive outcomes and ensuring an improved experience for individuals accessing the service.</w:t>
            </w:r>
          </w:p>
        </w:tc>
      </w:tr>
      <w:tr w:rsidR="000729CF" w:rsidRPr="000729CF" w14:paraId="19E09672" w14:textId="77777777" w:rsidTr="000729CF">
        <w:trPr>
          <w:trHeight w:val="20"/>
        </w:trPr>
        <w:tc>
          <w:tcPr>
            <w:tcW w:w="2985" w:type="dxa"/>
            <w:shd w:val="clear" w:color="auto" w:fill="E7E6E6"/>
          </w:tcPr>
          <w:p w14:paraId="40F8924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Homeless and rough sleepers </w:t>
            </w:r>
            <w:r w:rsidRPr="000729CF">
              <w:rPr>
                <w:rFonts w:ascii="Arial" w:eastAsia="Calibri" w:hAnsi="Arial" w:cs="Arial"/>
                <w:color w:val="000000"/>
                <w:sz w:val="24"/>
                <w:szCs w:val="24"/>
              </w:rPr>
              <w:t>considering for age, veteran, ethnicity, language, and various intersections</w:t>
            </w:r>
          </w:p>
        </w:tc>
        <w:tc>
          <w:tcPr>
            <w:tcW w:w="2123" w:type="dxa"/>
          </w:tcPr>
          <w:p w14:paraId="1B0FEE8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4D3F8BB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proposed changes are not anticipated to impact the named groups. The target operating model is designed to optimise the customer journey, placing the customer at the forefront of our approach. This prioritisation is geared towards fostering positive outcomes and ensuring an improved experience for individuals accessing the service.</w:t>
            </w:r>
          </w:p>
        </w:tc>
      </w:tr>
      <w:tr w:rsidR="000729CF" w:rsidRPr="000729CF" w14:paraId="0F346B97" w14:textId="77777777" w:rsidTr="000729CF">
        <w:trPr>
          <w:trHeight w:val="20"/>
        </w:trPr>
        <w:tc>
          <w:tcPr>
            <w:tcW w:w="2985" w:type="dxa"/>
            <w:shd w:val="clear" w:color="auto" w:fill="E7E6E6"/>
          </w:tcPr>
          <w:p w14:paraId="57F8638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2123" w:type="dxa"/>
          </w:tcPr>
          <w:p w14:paraId="6F0E791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NA</w:t>
            </w:r>
          </w:p>
        </w:tc>
        <w:tc>
          <w:tcPr>
            <w:tcW w:w="5377" w:type="dxa"/>
          </w:tcPr>
          <w:p w14:paraId="19488C20" w14:textId="77777777" w:rsidR="000729CF" w:rsidRPr="000729CF" w:rsidRDefault="000729CF" w:rsidP="000729CF">
            <w:pPr>
              <w:spacing w:after="120"/>
              <w:rPr>
                <w:rFonts w:ascii="Arial" w:eastAsia="Calibri" w:hAnsi="Arial" w:cs="Arial"/>
                <w:sz w:val="24"/>
                <w:szCs w:val="24"/>
              </w:rPr>
            </w:pPr>
          </w:p>
        </w:tc>
      </w:tr>
      <w:tr w:rsidR="000729CF" w:rsidRPr="000729CF" w14:paraId="2D333A1B" w14:textId="77777777" w:rsidTr="000729CF">
        <w:trPr>
          <w:trHeight w:val="20"/>
        </w:trPr>
        <w:tc>
          <w:tcPr>
            <w:tcW w:w="2985" w:type="dxa"/>
            <w:shd w:val="clear" w:color="auto" w:fill="E7E6E6"/>
          </w:tcPr>
          <w:p w14:paraId="691029A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 (please specify here and add additional rows as needed)</w:t>
            </w:r>
          </w:p>
        </w:tc>
        <w:tc>
          <w:tcPr>
            <w:tcW w:w="2123" w:type="dxa"/>
          </w:tcPr>
          <w:p w14:paraId="2C1B463C" w14:textId="77777777" w:rsidR="000729CF" w:rsidRPr="000729CF" w:rsidRDefault="000729CF" w:rsidP="000729CF">
            <w:pPr>
              <w:spacing w:after="120"/>
              <w:rPr>
                <w:rFonts w:ascii="Arial" w:eastAsia="Calibri" w:hAnsi="Arial" w:cs="Arial"/>
                <w:sz w:val="24"/>
                <w:szCs w:val="24"/>
              </w:rPr>
            </w:pPr>
          </w:p>
        </w:tc>
        <w:tc>
          <w:tcPr>
            <w:tcW w:w="5377" w:type="dxa"/>
          </w:tcPr>
          <w:p w14:paraId="2D623FB8" w14:textId="77777777" w:rsidR="000729CF" w:rsidRPr="000729CF" w:rsidRDefault="000729CF" w:rsidP="000729CF">
            <w:pPr>
              <w:spacing w:after="120"/>
              <w:rPr>
                <w:rFonts w:ascii="Arial" w:eastAsia="Calibri" w:hAnsi="Arial" w:cs="Arial"/>
                <w:sz w:val="24"/>
                <w:szCs w:val="24"/>
              </w:rPr>
            </w:pPr>
          </w:p>
        </w:tc>
      </w:tr>
    </w:tbl>
    <w:p w14:paraId="2148E37E" w14:textId="77777777" w:rsidR="000729CF" w:rsidRPr="000729CF" w:rsidRDefault="000729CF" w:rsidP="000729CF">
      <w:pPr>
        <w:spacing w:after="160" w:line="259" w:lineRule="auto"/>
        <w:rPr>
          <w:rFonts w:ascii="Arial" w:eastAsia="Calibri" w:hAnsi="Arial" w:cs="Arial"/>
          <w:b/>
          <w:bCs/>
          <w:sz w:val="24"/>
          <w:szCs w:val="24"/>
          <w:lang w:val="en-GB"/>
        </w:rPr>
      </w:pPr>
    </w:p>
    <w:p w14:paraId="044C2FC5"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79D1479E"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6CB57B4C"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0947F90A"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2929B3CD"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3FE377AB"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1472BDCE"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10E843C8"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397D0F1F"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0DB9EC56"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30AC4B14" w14:textId="77777777" w:rsidR="000729CF" w:rsidRPr="000729CF" w:rsidRDefault="000729CF" w:rsidP="000729CF">
      <w:pPr>
        <w:rPr>
          <w:rFonts w:ascii="Arial" w:eastAsia="Calibri" w:hAnsi="Arial" w:cs="Arial"/>
          <w:sz w:val="24"/>
          <w:szCs w:val="24"/>
          <w:lang w:val="en-GB"/>
        </w:rPr>
      </w:pPr>
    </w:p>
    <w:p w14:paraId="5CC8FBB5"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Cumulative impacts</w:t>
      </w:r>
    </w:p>
    <w:p w14:paraId="256D267F"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Are there other budget proposals from other service areas that might worsen or mitigate the impacts from your proposal? Please give a brief description including name of other service(s).</w:t>
      </w:r>
    </w:p>
    <w:tbl>
      <w:tblPr>
        <w:tblStyle w:val="TableGrid"/>
        <w:tblW w:w="0" w:type="auto"/>
        <w:tblLook w:val="04A0" w:firstRow="1" w:lastRow="0" w:firstColumn="1" w:lastColumn="0" w:noHBand="0" w:noVBand="1"/>
      </w:tblPr>
      <w:tblGrid>
        <w:gridCol w:w="10456"/>
      </w:tblGrid>
      <w:tr w:rsidR="000729CF" w:rsidRPr="000729CF" w14:paraId="7F300C75" w14:textId="77777777" w:rsidTr="00BC26AB">
        <w:tc>
          <w:tcPr>
            <w:tcW w:w="10456" w:type="dxa"/>
          </w:tcPr>
          <w:p w14:paraId="676AA482" w14:textId="77777777" w:rsidR="000729CF" w:rsidRPr="000729CF" w:rsidRDefault="000729CF" w:rsidP="000729CF">
            <w:pPr>
              <w:rPr>
                <w:rFonts w:ascii="Arial" w:eastAsia="Calibri" w:hAnsi="Arial" w:cs="Arial"/>
                <w:sz w:val="24"/>
                <w:szCs w:val="24"/>
              </w:rPr>
            </w:pPr>
          </w:p>
          <w:p w14:paraId="01360F48"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Not applicable</w:t>
            </w:r>
          </w:p>
          <w:p w14:paraId="11F500E5" w14:textId="77777777" w:rsidR="000729CF" w:rsidRPr="000729CF" w:rsidRDefault="000729CF" w:rsidP="000729CF">
            <w:pPr>
              <w:rPr>
                <w:rFonts w:ascii="Arial" w:eastAsia="Calibri" w:hAnsi="Arial" w:cs="Arial"/>
                <w:sz w:val="24"/>
                <w:szCs w:val="24"/>
              </w:rPr>
            </w:pPr>
          </w:p>
        </w:tc>
      </w:tr>
    </w:tbl>
    <w:p w14:paraId="715AE3D8" w14:textId="77777777" w:rsidR="000729CF" w:rsidRPr="000729CF" w:rsidRDefault="000729CF" w:rsidP="000729CF">
      <w:pPr>
        <w:spacing w:after="160" w:line="259" w:lineRule="auto"/>
        <w:rPr>
          <w:rFonts w:ascii="Arial" w:eastAsia="Calibri" w:hAnsi="Arial" w:cs="Arial"/>
          <w:sz w:val="24"/>
          <w:szCs w:val="24"/>
          <w:lang w:val="en-GB"/>
        </w:rPr>
      </w:pPr>
    </w:p>
    <w:p w14:paraId="46E3B6F3"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Action planning</w:t>
      </w:r>
    </w:p>
    <w:p w14:paraId="28EE6E42"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SMART actions will be taken to mitigate the disproportionate impacts identified in section 3? If no mitigating action is possible, please state and explain why. Add additional rows as required. </w:t>
      </w:r>
    </w:p>
    <w:tbl>
      <w:tblPr>
        <w:tblStyle w:val="TableGrid"/>
        <w:tblW w:w="0" w:type="auto"/>
        <w:tblLook w:val="04A0" w:firstRow="1" w:lastRow="0" w:firstColumn="1" w:lastColumn="0" w:noHBand="0" w:noVBand="1"/>
      </w:tblPr>
      <w:tblGrid>
        <w:gridCol w:w="10456"/>
      </w:tblGrid>
      <w:tr w:rsidR="000729CF" w:rsidRPr="000729CF" w14:paraId="0A60BEB8" w14:textId="77777777" w:rsidTr="00BC26AB">
        <w:trPr>
          <w:trHeight w:val="847"/>
        </w:trPr>
        <w:tc>
          <w:tcPr>
            <w:tcW w:w="10456" w:type="dxa"/>
          </w:tcPr>
          <w:p w14:paraId="5E08959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mitigation actions are available due to no disproportionate negative impacts on any one group or </w:t>
            </w:r>
            <w:proofErr w:type="spellStart"/>
            <w:r w:rsidRPr="000729CF">
              <w:rPr>
                <w:rFonts w:ascii="Arial" w:eastAsia="Calibri" w:hAnsi="Arial" w:cs="Arial"/>
                <w:sz w:val="24"/>
                <w:szCs w:val="24"/>
              </w:rPr>
              <w:t>intersectionally</w:t>
            </w:r>
            <w:proofErr w:type="spellEnd"/>
            <w:r w:rsidRPr="000729CF">
              <w:rPr>
                <w:rFonts w:ascii="Arial" w:eastAsia="Calibri" w:hAnsi="Arial" w:cs="Arial"/>
                <w:sz w:val="24"/>
                <w:szCs w:val="24"/>
              </w:rPr>
              <w:t>.</w:t>
            </w:r>
          </w:p>
        </w:tc>
      </w:tr>
      <w:tr w:rsidR="000729CF" w:rsidRPr="000729CF" w14:paraId="308881DD" w14:textId="77777777" w:rsidTr="00BC26AB">
        <w:trPr>
          <w:trHeight w:val="847"/>
        </w:trPr>
        <w:tc>
          <w:tcPr>
            <w:tcW w:w="10456" w:type="dxa"/>
          </w:tcPr>
          <w:p w14:paraId="3C81570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SMART action 1:</w:t>
            </w:r>
          </w:p>
          <w:p w14:paraId="48F4C4F8" w14:textId="77777777" w:rsidR="000729CF" w:rsidRPr="000729CF" w:rsidRDefault="000729CF" w:rsidP="000729CF">
            <w:pPr>
              <w:spacing w:after="120"/>
              <w:ind w:left="360"/>
              <w:rPr>
                <w:rFonts w:ascii="Arial" w:eastAsia="Calibri" w:hAnsi="Arial" w:cs="Arial"/>
                <w:sz w:val="24"/>
                <w:szCs w:val="24"/>
              </w:rPr>
            </w:pPr>
            <w:r w:rsidRPr="000729CF">
              <w:rPr>
                <w:rFonts w:ascii="Arial" w:eastAsia="Calibri" w:hAnsi="Arial" w:cs="Arial"/>
                <w:sz w:val="24"/>
                <w:szCs w:val="24"/>
              </w:rPr>
              <w:t xml:space="preserve">Although no disproportionate negative impacts have been identified the following will be established to understand and respond to clients experience of the service: </w:t>
            </w:r>
          </w:p>
          <w:p w14:paraId="7135299E" w14:textId="77777777" w:rsidR="000729CF" w:rsidRPr="000729CF" w:rsidRDefault="000729CF" w:rsidP="00CE70A3">
            <w:pPr>
              <w:numPr>
                <w:ilvl w:val="0"/>
                <w:numId w:val="120"/>
              </w:numPr>
              <w:spacing w:after="120"/>
              <w:rPr>
                <w:rFonts w:ascii="Arial" w:eastAsia="Calibri" w:hAnsi="Arial" w:cs="Arial"/>
                <w:sz w:val="24"/>
                <w:szCs w:val="24"/>
              </w:rPr>
            </w:pPr>
            <w:r w:rsidRPr="000729CF">
              <w:rPr>
                <w:rFonts w:ascii="Arial" w:eastAsia="Calibri" w:hAnsi="Arial" w:cs="Arial"/>
                <w:sz w:val="24"/>
                <w:szCs w:val="24"/>
              </w:rPr>
              <w:t>Define clear KPIs and objectives for the service.</w:t>
            </w:r>
          </w:p>
          <w:p w14:paraId="1F8A9633" w14:textId="77777777" w:rsidR="000729CF" w:rsidRPr="000729CF" w:rsidRDefault="000729CF" w:rsidP="00CE70A3">
            <w:pPr>
              <w:numPr>
                <w:ilvl w:val="0"/>
                <w:numId w:val="120"/>
              </w:numPr>
              <w:spacing w:after="120"/>
              <w:rPr>
                <w:rFonts w:ascii="Arial" w:eastAsia="Calibri" w:hAnsi="Arial" w:cs="Arial"/>
                <w:sz w:val="24"/>
                <w:szCs w:val="24"/>
              </w:rPr>
            </w:pPr>
            <w:r w:rsidRPr="000729CF">
              <w:rPr>
                <w:rFonts w:ascii="Arial" w:eastAsia="Calibri" w:hAnsi="Arial" w:cs="Arial"/>
                <w:sz w:val="24"/>
                <w:szCs w:val="24"/>
              </w:rPr>
              <w:t>Incorporate Diversity and inclusion from the start. Ensure diversity and inclusion considerations are integrated into the project from the planning phase.</w:t>
            </w:r>
          </w:p>
          <w:p w14:paraId="22B0E97D" w14:textId="77777777" w:rsidR="000729CF" w:rsidRPr="000729CF" w:rsidRDefault="000729CF" w:rsidP="00CE70A3">
            <w:pPr>
              <w:numPr>
                <w:ilvl w:val="0"/>
                <w:numId w:val="120"/>
              </w:numPr>
              <w:spacing w:after="120"/>
              <w:rPr>
                <w:rFonts w:ascii="Arial" w:eastAsia="Calibri" w:hAnsi="Arial" w:cs="Arial"/>
                <w:sz w:val="24"/>
                <w:szCs w:val="24"/>
              </w:rPr>
            </w:pPr>
            <w:r w:rsidRPr="000729CF">
              <w:rPr>
                <w:rFonts w:ascii="Arial" w:eastAsia="Calibri" w:hAnsi="Arial" w:cs="Arial"/>
                <w:sz w:val="24"/>
                <w:szCs w:val="24"/>
              </w:rPr>
              <w:t>Identify key stakeholders and representatives from the protected characteristic groups to participate in the transformation project.</w:t>
            </w:r>
          </w:p>
          <w:p w14:paraId="77FA1468" w14:textId="77777777" w:rsidR="000729CF" w:rsidRPr="000729CF" w:rsidRDefault="000729CF" w:rsidP="00CE70A3">
            <w:pPr>
              <w:numPr>
                <w:ilvl w:val="0"/>
                <w:numId w:val="120"/>
              </w:numPr>
              <w:spacing w:after="120"/>
              <w:rPr>
                <w:rFonts w:ascii="Arial" w:eastAsia="Calibri" w:hAnsi="Arial" w:cs="Arial"/>
                <w:sz w:val="24"/>
                <w:szCs w:val="24"/>
              </w:rPr>
            </w:pPr>
            <w:r w:rsidRPr="000729CF">
              <w:rPr>
                <w:rFonts w:ascii="Arial" w:eastAsia="Calibri" w:hAnsi="Arial" w:cs="Arial"/>
                <w:sz w:val="24"/>
                <w:szCs w:val="24"/>
              </w:rPr>
              <w:t>Regular Data collection. Implement a robust data collection system that includes information specific to clients with protected characteristics.</w:t>
            </w:r>
          </w:p>
          <w:p w14:paraId="4FEDDC3B" w14:textId="77777777" w:rsidR="000729CF" w:rsidRPr="000729CF" w:rsidRDefault="000729CF" w:rsidP="00CE70A3">
            <w:pPr>
              <w:numPr>
                <w:ilvl w:val="0"/>
                <w:numId w:val="120"/>
              </w:numPr>
              <w:spacing w:after="120"/>
              <w:rPr>
                <w:rFonts w:ascii="Arial" w:eastAsia="Calibri" w:hAnsi="Arial" w:cs="Arial"/>
                <w:sz w:val="24"/>
                <w:szCs w:val="24"/>
              </w:rPr>
            </w:pPr>
            <w:r w:rsidRPr="000729CF">
              <w:rPr>
                <w:rFonts w:ascii="Arial" w:eastAsia="Calibri" w:hAnsi="Arial" w:cs="Arial"/>
                <w:sz w:val="24"/>
                <w:szCs w:val="24"/>
              </w:rPr>
              <w:t>Analyse trends and track progress.</w:t>
            </w:r>
          </w:p>
          <w:p w14:paraId="7326A669" w14:textId="77777777" w:rsidR="000729CF" w:rsidRPr="000729CF" w:rsidRDefault="000729CF" w:rsidP="00CE70A3">
            <w:pPr>
              <w:numPr>
                <w:ilvl w:val="0"/>
                <w:numId w:val="120"/>
              </w:numPr>
              <w:spacing w:after="120"/>
              <w:rPr>
                <w:rFonts w:ascii="Arial" w:eastAsia="Calibri" w:hAnsi="Arial" w:cs="Arial"/>
                <w:sz w:val="24"/>
                <w:szCs w:val="24"/>
              </w:rPr>
            </w:pPr>
            <w:r w:rsidRPr="000729CF">
              <w:rPr>
                <w:rFonts w:ascii="Arial" w:eastAsia="Calibri" w:hAnsi="Arial" w:cs="Arial"/>
                <w:sz w:val="24"/>
                <w:szCs w:val="24"/>
              </w:rPr>
              <w:t>Conduct focus groups, surveys, or interviews to understand experiences from the client perspective.</w:t>
            </w:r>
          </w:p>
          <w:p w14:paraId="2CCB0853" w14:textId="77777777" w:rsidR="000729CF" w:rsidRPr="000729CF" w:rsidRDefault="000729CF" w:rsidP="00CE70A3">
            <w:pPr>
              <w:numPr>
                <w:ilvl w:val="0"/>
                <w:numId w:val="120"/>
              </w:numPr>
              <w:spacing w:after="120"/>
              <w:rPr>
                <w:rFonts w:ascii="Arial" w:eastAsia="Calibri" w:hAnsi="Arial" w:cs="Arial"/>
                <w:sz w:val="24"/>
                <w:szCs w:val="24"/>
              </w:rPr>
            </w:pPr>
            <w:r w:rsidRPr="000729CF">
              <w:rPr>
                <w:rFonts w:ascii="Arial" w:eastAsia="Calibri" w:hAnsi="Arial" w:cs="Arial"/>
                <w:sz w:val="24"/>
                <w:szCs w:val="24"/>
              </w:rPr>
              <w:t xml:space="preserve">Diversity training – Provide all staff on diversity and inclusion. Ensure all staff members are aware of the potential impact on clients with various protected characteristics. </w:t>
            </w:r>
          </w:p>
          <w:p w14:paraId="040B2D80" w14:textId="77777777" w:rsidR="000729CF" w:rsidRPr="000729CF" w:rsidRDefault="000729CF" w:rsidP="00CE70A3">
            <w:pPr>
              <w:numPr>
                <w:ilvl w:val="0"/>
                <w:numId w:val="120"/>
              </w:numPr>
              <w:spacing w:after="120"/>
              <w:rPr>
                <w:rFonts w:ascii="Arial" w:eastAsia="Calibri" w:hAnsi="Arial" w:cs="Arial"/>
                <w:sz w:val="24"/>
                <w:szCs w:val="24"/>
              </w:rPr>
            </w:pPr>
            <w:r w:rsidRPr="000729CF">
              <w:rPr>
                <w:rFonts w:ascii="Arial" w:eastAsia="Calibri" w:hAnsi="Arial" w:cs="Arial"/>
                <w:sz w:val="24"/>
                <w:szCs w:val="24"/>
              </w:rPr>
              <w:t>Compliance with Legal standards – Ensure the proposed changes are aligned to legal requirements related to protecting clients with specific characteristics.</w:t>
            </w:r>
          </w:p>
          <w:p w14:paraId="3BDD36B5" w14:textId="77777777" w:rsidR="000729CF" w:rsidRPr="000729CF" w:rsidRDefault="000729CF" w:rsidP="000729CF">
            <w:pPr>
              <w:spacing w:after="120"/>
              <w:ind w:left="360"/>
              <w:rPr>
                <w:rFonts w:ascii="Arial" w:eastAsia="Calibri" w:hAnsi="Arial" w:cs="Arial"/>
                <w:b/>
                <w:bCs/>
                <w:sz w:val="24"/>
                <w:szCs w:val="24"/>
              </w:rPr>
            </w:pPr>
          </w:p>
        </w:tc>
      </w:tr>
      <w:tr w:rsidR="000729CF" w:rsidRPr="000729CF" w14:paraId="551C16D7" w14:textId="77777777" w:rsidTr="00BC26AB">
        <w:trPr>
          <w:trHeight w:val="847"/>
        </w:trPr>
        <w:tc>
          <w:tcPr>
            <w:tcW w:w="10456" w:type="dxa"/>
          </w:tcPr>
          <w:p w14:paraId="7FEAD96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SMART action 2: Additionally, the service has already established a task and finish group has been established to understand any inequalities based on households protected characteristics living in temporary accommodation, establish any events or actions which could have disproportionately impacted these groups resulting in them requiring temporary accommodation, and to work up any relevant mitigating actions to reduce this impact. The Task and Finish group, consisting of staff from all levels within the service, will commence in February and run for up to 4 months.</w:t>
            </w:r>
          </w:p>
          <w:p w14:paraId="6FA2D6EC" w14:textId="77777777" w:rsidR="000729CF" w:rsidRPr="000729CF" w:rsidRDefault="000729CF" w:rsidP="000729CF">
            <w:pPr>
              <w:spacing w:after="120"/>
              <w:ind w:left="360"/>
              <w:rPr>
                <w:rFonts w:ascii="Arial" w:eastAsia="Calibri" w:hAnsi="Arial" w:cs="Arial"/>
                <w:sz w:val="24"/>
                <w:szCs w:val="24"/>
              </w:rPr>
            </w:pPr>
          </w:p>
        </w:tc>
      </w:tr>
    </w:tbl>
    <w:p w14:paraId="31A520BB" w14:textId="77777777" w:rsidR="000729CF" w:rsidRPr="000729CF" w:rsidRDefault="000729CF" w:rsidP="000729CF">
      <w:pPr>
        <w:spacing w:after="160" w:line="259" w:lineRule="auto"/>
        <w:rPr>
          <w:rFonts w:ascii="Arial" w:eastAsia="Calibri" w:hAnsi="Arial" w:cs="Arial"/>
          <w:sz w:val="24"/>
          <w:szCs w:val="24"/>
          <w:lang w:val="en-GB"/>
        </w:rPr>
      </w:pPr>
    </w:p>
    <w:p w14:paraId="26E56B9E"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Outcome of your assessment</w:t>
      </w:r>
    </w:p>
    <w:p w14:paraId="4A5E6364"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Based on the information above give the proposal an impact score between 1 – 5. </w:t>
      </w:r>
    </w:p>
    <w:p w14:paraId="2217C8C0"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1= proposal has minimal impact and/or mitigating actions will significantly minimise the impact</w:t>
      </w:r>
    </w:p>
    <w:p w14:paraId="057D23ED"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3= proposal will have a significant negative impact; however, mitigation actions will reduce the impact considerably.</w:t>
      </w:r>
    </w:p>
    <w:p w14:paraId="2CD7FB17"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5= proposal has significant impact and mitigating actions will have limited effect on reducing impact.</w:t>
      </w:r>
    </w:p>
    <w:p w14:paraId="74C85979" w14:textId="77777777" w:rsidR="000729CF" w:rsidRPr="000729CF" w:rsidRDefault="000729CF" w:rsidP="000729CF">
      <w:pPr>
        <w:rPr>
          <w:rFonts w:ascii="Arial" w:eastAsia="Calibri" w:hAnsi="Arial" w:cs="Arial"/>
          <w:sz w:val="24"/>
          <w:szCs w:val="24"/>
          <w:highlight w:val="yellow"/>
          <w:lang w:val="en-GB"/>
        </w:rPr>
      </w:pPr>
    </w:p>
    <w:tbl>
      <w:tblPr>
        <w:tblStyle w:val="TableGrid"/>
        <w:tblW w:w="0" w:type="auto"/>
        <w:tblLook w:val="04A0" w:firstRow="1" w:lastRow="0" w:firstColumn="1" w:lastColumn="0" w:noHBand="0" w:noVBand="1"/>
      </w:tblPr>
      <w:tblGrid>
        <w:gridCol w:w="3114"/>
        <w:gridCol w:w="7342"/>
      </w:tblGrid>
      <w:tr w:rsidR="000729CF" w:rsidRPr="000729CF" w14:paraId="5467B855" w14:textId="77777777" w:rsidTr="00BC26AB">
        <w:trPr>
          <w:trHeight w:val="152"/>
        </w:trPr>
        <w:tc>
          <w:tcPr>
            <w:tcW w:w="3114" w:type="dxa"/>
          </w:tcPr>
          <w:p w14:paraId="451D790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Proposal’s impact score:</w:t>
            </w:r>
          </w:p>
        </w:tc>
        <w:tc>
          <w:tcPr>
            <w:tcW w:w="7342" w:type="dxa"/>
          </w:tcPr>
          <w:p w14:paraId="16B90E5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1</w:t>
            </w:r>
          </w:p>
        </w:tc>
      </w:tr>
    </w:tbl>
    <w:p w14:paraId="2A176C79" w14:textId="77777777" w:rsidR="000729CF" w:rsidRPr="000729CF" w:rsidRDefault="000729CF" w:rsidP="000729CF">
      <w:pPr>
        <w:spacing w:after="160" w:line="259" w:lineRule="auto"/>
        <w:rPr>
          <w:rFonts w:ascii="Arial" w:eastAsia="Calibri" w:hAnsi="Arial" w:cs="Arial"/>
          <w:sz w:val="24"/>
          <w:szCs w:val="24"/>
          <w:lang w:val="en-GB"/>
        </w:rPr>
      </w:pPr>
    </w:p>
    <w:p w14:paraId="5FA91E65"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Publication</w:t>
      </w:r>
    </w:p>
    <w:p w14:paraId="75FFEA9F"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All Equality Impact Assessments will be published. If you are recommending, and choosing not to publish your EIA, please provide a reason:</w:t>
      </w:r>
    </w:p>
    <w:tbl>
      <w:tblPr>
        <w:tblStyle w:val="TableGrid"/>
        <w:tblW w:w="0" w:type="auto"/>
        <w:tblLook w:val="04A0" w:firstRow="1" w:lastRow="0" w:firstColumn="1" w:lastColumn="0" w:noHBand="0" w:noVBand="1"/>
      </w:tblPr>
      <w:tblGrid>
        <w:gridCol w:w="10456"/>
      </w:tblGrid>
      <w:tr w:rsidR="000729CF" w:rsidRPr="000729CF" w14:paraId="17287E00" w14:textId="77777777" w:rsidTr="00BC26AB">
        <w:trPr>
          <w:trHeight w:val="803"/>
        </w:trPr>
        <w:tc>
          <w:tcPr>
            <w:tcW w:w="10456" w:type="dxa"/>
          </w:tcPr>
          <w:p w14:paraId="75D8BF1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Confirmed for publication by Paul Cooper, Assistant Director Housing Needs &amp; Supply </w:t>
            </w:r>
          </w:p>
        </w:tc>
      </w:tr>
    </w:tbl>
    <w:p w14:paraId="07767DFA" w14:textId="77777777" w:rsidR="000729CF" w:rsidRPr="000729CF" w:rsidRDefault="000729CF" w:rsidP="000729CF">
      <w:pPr>
        <w:spacing w:after="160" w:line="259" w:lineRule="auto"/>
        <w:rPr>
          <w:rFonts w:ascii="Arial" w:eastAsia="Calibri" w:hAnsi="Arial" w:cs="Arial"/>
          <w:sz w:val="24"/>
          <w:szCs w:val="24"/>
          <w:lang w:val="en-GB"/>
        </w:rPr>
      </w:pPr>
    </w:p>
    <w:p w14:paraId="67CB873B"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Directorate and Service Approval</w:t>
      </w:r>
    </w:p>
    <w:tbl>
      <w:tblPr>
        <w:tblStyle w:val="TableGrid"/>
        <w:tblW w:w="0" w:type="auto"/>
        <w:tblLook w:val="04A0" w:firstRow="1" w:lastRow="0" w:firstColumn="1" w:lastColumn="0" w:noHBand="0" w:noVBand="1"/>
      </w:tblPr>
      <w:tblGrid>
        <w:gridCol w:w="3681"/>
        <w:gridCol w:w="4394"/>
        <w:gridCol w:w="2381"/>
      </w:tblGrid>
      <w:tr w:rsidR="000729CF" w:rsidRPr="000729CF" w14:paraId="4A23B156" w14:textId="77777777" w:rsidTr="000729CF">
        <w:trPr>
          <w:trHeight w:val="20"/>
        </w:trPr>
        <w:tc>
          <w:tcPr>
            <w:tcW w:w="3681" w:type="dxa"/>
            <w:tcBorders>
              <w:bottom w:val="single" w:sz="4" w:space="0" w:color="auto"/>
            </w:tcBorders>
            <w:shd w:val="clear" w:color="auto" w:fill="D9D9D9"/>
          </w:tcPr>
          <w:p w14:paraId="060FD11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27D5B72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 and Job Title:</w:t>
            </w:r>
          </w:p>
        </w:tc>
        <w:tc>
          <w:tcPr>
            <w:tcW w:w="2381" w:type="dxa"/>
            <w:shd w:val="clear" w:color="auto" w:fill="D9D9D9"/>
          </w:tcPr>
          <w:p w14:paraId="4CE00B7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105A01C6" w14:textId="77777777" w:rsidTr="000729CF">
        <w:trPr>
          <w:trHeight w:val="20"/>
        </w:trPr>
        <w:tc>
          <w:tcPr>
            <w:tcW w:w="3681" w:type="dxa"/>
            <w:shd w:val="clear" w:color="auto" w:fill="E7E6E6"/>
          </w:tcPr>
          <w:p w14:paraId="56570E6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Responsible Lead Officer:</w:t>
            </w:r>
          </w:p>
        </w:tc>
        <w:tc>
          <w:tcPr>
            <w:tcW w:w="4394" w:type="dxa"/>
          </w:tcPr>
          <w:p w14:paraId="64D151C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Paul Cooper, Assistant Director Housing Needs &amp; Supply</w:t>
            </w:r>
          </w:p>
        </w:tc>
        <w:tc>
          <w:tcPr>
            <w:tcW w:w="2381" w:type="dxa"/>
          </w:tcPr>
          <w:p w14:paraId="4D3BF60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24 January 2024</w:t>
            </w:r>
          </w:p>
        </w:tc>
      </w:tr>
      <w:tr w:rsidR="000729CF" w:rsidRPr="000729CF" w14:paraId="343DA9AB" w14:textId="77777777" w:rsidTr="000729CF">
        <w:trPr>
          <w:trHeight w:val="20"/>
        </w:trPr>
        <w:tc>
          <w:tcPr>
            <w:tcW w:w="3681" w:type="dxa"/>
            <w:shd w:val="clear" w:color="auto" w:fill="E7E6E6"/>
          </w:tcPr>
          <w:p w14:paraId="6802C83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Accountable Manager:</w:t>
            </w:r>
          </w:p>
        </w:tc>
        <w:tc>
          <w:tcPr>
            <w:tcW w:w="4394" w:type="dxa"/>
          </w:tcPr>
          <w:p w14:paraId="4DC8DF0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Paul Cooper, Assistant Director Housing Needs &amp; Supply</w:t>
            </w:r>
          </w:p>
        </w:tc>
        <w:tc>
          <w:tcPr>
            <w:tcW w:w="2381" w:type="dxa"/>
          </w:tcPr>
          <w:p w14:paraId="2E209D4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24 January 2024</w:t>
            </w:r>
          </w:p>
        </w:tc>
      </w:tr>
    </w:tbl>
    <w:p w14:paraId="3CA2E3E8" w14:textId="77777777" w:rsidR="000729CF" w:rsidRPr="000729CF" w:rsidRDefault="000729CF" w:rsidP="000729CF">
      <w:pPr>
        <w:spacing w:after="160" w:line="259" w:lineRule="auto"/>
        <w:rPr>
          <w:rFonts w:ascii="Arial" w:eastAsia="Calibri" w:hAnsi="Arial" w:cs="Arial"/>
          <w:sz w:val="24"/>
          <w:szCs w:val="24"/>
          <w:lang w:val="en-GB"/>
        </w:rPr>
      </w:pPr>
    </w:p>
    <w:p w14:paraId="500E0C81" w14:textId="77777777" w:rsidR="000729CF" w:rsidRPr="000729CF" w:rsidRDefault="000729CF" w:rsidP="000729CF">
      <w:pPr>
        <w:keepNext/>
        <w:keepLines/>
        <w:spacing w:before="40" w:after="160" w:line="259" w:lineRule="auto"/>
        <w:outlineLvl w:val="2"/>
        <w:rPr>
          <w:rFonts w:ascii="Arial" w:hAnsi="Arial" w:cs="Arial"/>
          <w:b/>
          <w:bCs/>
          <w:color w:val="000000"/>
          <w:sz w:val="28"/>
          <w:szCs w:val="28"/>
          <w:lang w:val="en-GB"/>
        </w:rPr>
      </w:pPr>
      <w:r w:rsidRPr="000729CF">
        <w:rPr>
          <w:rFonts w:ascii="Arial" w:hAnsi="Arial" w:cs="Arial"/>
          <w:b/>
          <w:bCs/>
          <w:color w:val="000000"/>
          <w:sz w:val="28"/>
          <w:szCs w:val="28"/>
          <w:lang w:val="en-GB"/>
        </w:rPr>
        <w:t>EDI Review and Approval:</w:t>
      </w:r>
    </w:p>
    <w:p w14:paraId="460286CE" w14:textId="77777777" w:rsidR="000729CF" w:rsidRPr="000729CF" w:rsidRDefault="000729CF" w:rsidP="000729CF">
      <w:pPr>
        <w:spacing w:after="160" w:line="259" w:lineRule="auto"/>
        <w:rPr>
          <w:rFonts w:ascii="Arial" w:eastAsia="Calibri" w:hAnsi="Arial" w:cs="Arial"/>
          <w:sz w:val="24"/>
          <w:szCs w:val="24"/>
          <w:lang w:val="en-GB"/>
        </w:rPr>
      </w:pPr>
    </w:p>
    <w:p w14:paraId="69FA73C9" w14:textId="77777777" w:rsidR="000729CF" w:rsidRPr="000729CF" w:rsidRDefault="000729CF" w:rsidP="000729CF">
      <w:pPr>
        <w:keepNext/>
        <w:keepLines/>
        <w:spacing w:after="160" w:line="259" w:lineRule="auto"/>
        <w:ind w:left="283" w:hanging="283"/>
        <w:outlineLvl w:val="1"/>
        <w:rPr>
          <w:rFonts w:ascii="Arial" w:hAnsi="Arial" w:cs="Arial"/>
          <w:color w:val="2F5496"/>
          <w:sz w:val="24"/>
          <w:szCs w:val="24"/>
          <w:lang w:val="en-GB"/>
        </w:rPr>
      </w:pPr>
      <w:r w:rsidRPr="000729CF">
        <w:rPr>
          <w:rFonts w:ascii="Arial" w:hAnsi="Arial" w:cs="Arial"/>
          <w:color w:val="2F5496"/>
          <w:sz w:val="24"/>
          <w:szCs w:val="24"/>
          <w:lang w:val="en-GB"/>
        </w:rPr>
        <w:t>Equality Impact Assessment sign-off</w:t>
      </w:r>
    </w:p>
    <w:tbl>
      <w:tblPr>
        <w:tblStyle w:val="TableGrid"/>
        <w:tblW w:w="0" w:type="auto"/>
        <w:tblLook w:val="04A0" w:firstRow="1" w:lastRow="0" w:firstColumn="1" w:lastColumn="0" w:noHBand="0" w:noVBand="1"/>
      </w:tblPr>
      <w:tblGrid>
        <w:gridCol w:w="3681"/>
        <w:gridCol w:w="4394"/>
        <w:gridCol w:w="2381"/>
      </w:tblGrid>
      <w:tr w:rsidR="000729CF" w:rsidRPr="000729CF" w14:paraId="5124F682" w14:textId="77777777" w:rsidTr="000729CF">
        <w:trPr>
          <w:trHeight w:val="20"/>
        </w:trPr>
        <w:tc>
          <w:tcPr>
            <w:tcW w:w="3681" w:type="dxa"/>
            <w:tcBorders>
              <w:bottom w:val="single" w:sz="4" w:space="0" w:color="auto"/>
            </w:tcBorders>
            <w:shd w:val="clear" w:color="auto" w:fill="D9D9D9"/>
          </w:tcPr>
          <w:p w14:paraId="4838D5E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4772469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w:t>
            </w:r>
          </w:p>
        </w:tc>
        <w:tc>
          <w:tcPr>
            <w:tcW w:w="2381" w:type="dxa"/>
            <w:shd w:val="clear" w:color="auto" w:fill="D9D9D9"/>
          </w:tcPr>
          <w:p w14:paraId="060A387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27CD65D9" w14:textId="77777777" w:rsidTr="000729CF">
        <w:trPr>
          <w:trHeight w:val="20"/>
        </w:trPr>
        <w:tc>
          <w:tcPr>
            <w:tcW w:w="3681" w:type="dxa"/>
            <w:shd w:val="clear" w:color="auto" w:fill="E7E6E6"/>
          </w:tcPr>
          <w:p w14:paraId="1211CBC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Head of Communities, Equality, and Third Sector (CETS) Service:</w:t>
            </w:r>
          </w:p>
        </w:tc>
        <w:tc>
          <w:tcPr>
            <w:tcW w:w="4394" w:type="dxa"/>
          </w:tcPr>
          <w:p w14:paraId="4FC3FA2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Emma McDermott</w:t>
            </w:r>
          </w:p>
        </w:tc>
        <w:tc>
          <w:tcPr>
            <w:tcW w:w="2381" w:type="dxa"/>
          </w:tcPr>
          <w:p w14:paraId="2C61322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25-01-24</w:t>
            </w:r>
          </w:p>
        </w:tc>
      </w:tr>
    </w:tbl>
    <w:p w14:paraId="0DC8F659" w14:textId="77777777" w:rsidR="000729CF" w:rsidRPr="000729CF" w:rsidRDefault="000729CF" w:rsidP="000729CF">
      <w:pPr>
        <w:rPr>
          <w:rFonts w:ascii="Arial" w:eastAsia="Calibri" w:hAnsi="Arial" w:cs="Arial"/>
          <w:sz w:val="22"/>
          <w:szCs w:val="22"/>
          <w:lang w:val="en-GB"/>
        </w:rPr>
      </w:pPr>
    </w:p>
    <w:p w14:paraId="719F76DE" w14:textId="77777777" w:rsidR="000729CF" w:rsidRPr="000729CF" w:rsidRDefault="000729CF" w:rsidP="000729CF">
      <w:pPr>
        <w:spacing w:after="160" w:line="259" w:lineRule="auto"/>
        <w:rPr>
          <w:rFonts w:ascii="Arial" w:eastAsia="Calibri" w:hAnsi="Arial" w:cs="Arial"/>
          <w:b/>
          <w:bCs/>
          <w:sz w:val="24"/>
          <w:szCs w:val="24"/>
          <w:lang w:val="en-GB"/>
        </w:rPr>
      </w:pPr>
    </w:p>
    <w:p w14:paraId="0DA007E1" w14:textId="77777777" w:rsidR="000729CF" w:rsidRPr="000729CF" w:rsidRDefault="000729CF" w:rsidP="000729CF">
      <w:pPr>
        <w:keepNext/>
        <w:keepLines/>
        <w:spacing w:after="160" w:line="259" w:lineRule="auto"/>
        <w:outlineLvl w:val="1"/>
        <w:rPr>
          <w:rFonts w:ascii="Arial" w:eastAsia="Calibri" w:hAnsi="Arial" w:cs="Arial"/>
          <w:sz w:val="24"/>
          <w:szCs w:val="24"/>
          <w:lang w:val="en-GB"/>
        </w:rPr>
      </w:pPr>
    </w:p>
    <w:p w14:paraId="4F5B0580" w14:textId="77777777" w:rsidR="000729CF" w:rsidRPr="000729CF" w:rsidRDefault="000729CF" w:rsidP="000729CF">
      <w:pPr>
        <w:spacing w:after="160" w:line="259" w:lineRule="auto"/>
        <w:rPr>
          <w:rFonts w:ascii="Arial" w:eastAsia="Calibri" w:hAnsi="Arial" w:cs="Arial"/>
          <w:sz w:val="24"/>
          <w:szCs w:val="24"/>
          <w:lang w:val="en-GB"/>
        </w:rPr>
      </w:pPr>
    </w:p>
    <w:p w14:paraId="71EED344"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br w:type="page"/>
      </w:r>
    </w:p>
    <w:p w14:paraId="722BDAC0" w14:textId="77777777" w:rsidR="000729CF" w:rsidRPr="000729CF" w:rsidRDefault="000729CF" w:rsidP="000729CF">
      <w:pPr>
        <w:keepNext/>
        <w:keepLines/>
        <w:spacing w:after="160" w:line="259" w:lineRule="auto"/>
        <w:outlineLvl w:val="0"/>
        <w:rPr>
          <w:rFonts w:ascii="Arial" w:hAnsi="Arial" w:cs="Arial"/>
          <w:b/>
          <w:bCs/>
          <w:color w:val="2F5496"/>
          <w:sz w:val="28"/>
          <w:szCs w:val="28"/>
          <w:lang w:val="en-GB"/>
        </w:rPr>
      </w:pPr>
      <w:r w:rsidRPr="000729CF">
        <w:rPr>
          <w:rFonts w:ascii="Arial" w:hAnsi="Arial" w:cs="Arial"/>
          <w:b/>
          <w:bCs/>
          <w:color w:val="2F5496"/>
          <w:sz w:val="28"/>
          <w:szCs w:val="28"/>
          <w:lang w:val="en-GB"/>
        </w:rPr>
        <w:t>Budget Equality Impact Assessment (EIA) 2024/25 – Service Users</w:t>
      </w:r>
    </w:p>
    <w:p w14:paraId="1773EC1E" w14:textId="77777777" w:rsidR="000729CF" w:rsidRPr="000729CF" w:rsidRDefault="000729CF" w:rsidP="000729CF">
      <w:pPr>
        <w:spacing w:after="160" w:line="259" w:lineRule="auto"/>
        <w:rPr>
          <w:rFonts w:ascii="Arial" w:eastAsia="Calibri" w:hAnsi="Arial" w:cs="Arial"/>
          <w:sz w:val="24"/>
          <w:szCs w:val="24"/>
          <w:lang w:val="en-GB"/>
        </w:rPr>
      </w:pPr>
    </w:p>
    <w:p w14:paraId="5535F1D2" w14:textId="77777777" w:rsidR="000729CF" w:rsidRPr="000729CF" w:rsidRDefault="000729CF" w:rsidP="000729CF">
      <w:pPr>
        <w:keepNext/>
        <w:keepLines/>
        <w:spacing w:after="160" w:line="259" w:lineRule="auto"/>
        <w:ind w:left="720" w:hanging="360"/>
        <w:outlineLvl w:val="1"/>
        <w:rPr>
          <w:rFonts w:ascii="Arial" w:hAnsi="Arial" w:cs="Arial"/>
          <w:color w:val="2F5496"/>
          <w:sz w:val="24"/>
          <w:szCs w:val="24"/>
          <w:lang w:val="en-GB"/>
        </w:rPr>
      </w:pPr>
      <w:r w:rsidRPr="000729CF">
        <w:rPr>
          <w:rFonts w:ascii="Arial" w:hAnsi="Arial" w:cs="Arial"/>
          <w:color w:val="2F5496"/>
          <w:sz w:val="24"/>
          <w:szCs w:val="24"/>
          <w:lang w:val="en-GB"/>
        </w:rPr>
        <w:t xml:space="preserve">Budget Proposal </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6492"/>
      </w:tblGrid>
      <w:tr w:rsidR="000729CF" w:rsidRPr="000729CF" w14:paraId="334C4CCE"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118AE49A"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Title of budget saving being assessed:</w:t>
            </w:r>
          </w:p>
        </w:tc>
        <w:tc>
          <w:tcPr>
            <w:tcW w:w="6492" w:type="dxa"/>
            <w:shd w:val="clear" w:color="auto" w:fill="auto"/>
          </w:tcPr>
          <w:p w14:paraId="18709D39" w14:textId="77777777" w:rsidR="000729CF" w:rsidRPr="000729CF" w:rsidRDefault="000729CF" w:rsidP="000729CF">
            <w:pPr>
              <w:spacing w:after="12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Review and reduce the range of services commissioned through Supported Accommodation to achieve a saving of £521K</w:t>
            </w:r>
          </w:p>
        </w:tc>
      </w:tr>
      <w:tr w:rsidR="000729CF" w:rsidRPr="000729CF" w14:paraId="455FD6BA"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112B3E0D"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Name and title of officer responsible for this EIA: </w:t>
            </w:r>
          </w:p>
        </w:tc>
        <w:tc>
          <w:tcPr>
            <w:tcW w:w="6492" w:type="dxa"/>
            <w:shd w:val="clear" w:color="auto" w:fill="auto"/>
          </w:tcPr>
          <w:p w14:paraId="42F82993"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729CF">
              <w:rPr>
                <w:rFonts w:ascii="Arial" w:hAnsi="Arial" w:cs="Arial"/>
                <w:sz w:val="24"/>
                <w:szCs w:val="24"/>
              </w:rPr>
              <w:t>Adam Salmon – Rough Sleeping and Single Homeless Commissioning Lead</w:t>
            </w:r>
          </w:p>
        </w:tc>
      </w:tr>
      <w:tr w:rsidR="000729CF" w:rsidRPr="000729CF" w14:paraId="269B776C" w14:textId="77777777" w:rsidTr="000729CF">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08BD6DBF"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Directorate and Service Name: </w:t>
            </w:r>
          </w:p>
        </w:tc>
        <w:tc>
          <w:tcPr>
            <w:tcW w:w="6492" w:type="dxa"/>
            <w:shd w:val="clear" w:color="auto" w:fill="auto"/>
          </w:tcPr>
          <w:p w14:paraId="6627F97F" w14:textId="77777777" w:rsidR="000729CF" w:rsidRPr="000729CF" w:rsidRDefault="000729CF" w:rsidP="000729CF">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Housing, Neighbourhoods and Communities - Housing Needs &amp; Supply Commissioning Team</w:t>
            </w:r>
          </w:p>
        </w:tc>
      </w:tr>
      <w:tr w:rsidR="000729CF" w:rsidRPr="000729CF" w14:paraId="6F4AE647"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35412E7F"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Budget proposal no.</w:t>
            </w:r>
          </w:p>
        </w:tc>
        <w:tc>
          <w:tcPr>
            <w:tcW w:w="6492" w:type="dxa"/>
            <w:shd w:val="clear" w:color="auto" w:fill="auto"/>
          </w:tcPr>
          <w:p w14:paraId="20A183D3"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729CF">
              <w:rPr>
                <w:rFonts w:ascii="Arial" w:hAnsi="Arial" w:cs="Arial"/>
                <w:sz w:val="24"/>
                <w:szCs w:val="24"/>
              </w:rPr>
              <w:t>22</w:t>
            </w:r>
          </w:p>
        </w:tc>
      </w:tr>
    </w:tbl>
    <w:p w14:paraId="27712D94" w14:textId="77777777" w:rsidR="000729CF" w:rsidRPr="000729CF" w:rsidRDefault="000729CF" w:rsidP="000729CF">
      <w:pPr>
        <w:spacing w:after="160" w:line="259" w:lineRule="auto"/>
        <w:rPr>
          <w:rFonts w:ascii="Arial" w:eastAsia="Calibri" w:hAnsi="Arial" w:cs="Arial"/>
          <w:sz w:val="24"/>
          <w:szCs w:val="24"/>
          <w:lang w:val="en-GB"/>
        </w:rPr>
      </w:pPr>
    </w:p>
    <w:p w14:paraId="3BEE3CF0"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Briefly describe the budget saving proposal: (use the wording in the budget spreadsheet and more detail if needed)</w:t>
      </w:r>
    </w:p>
    <w:tbl>
      <w:tblPr>
        <w:tblStyle w:val="TableGrid"/>
        <w:tblW w:w="0" w:type="auto"/>
        <w:tblLook w:val="04A0" w:firstRow="1" w:lastRow="0" w:firstColumn="1" w:lastColumn="0" w:noHBand="0" w:noVBand="1"/>
      </w:tblPr>
      <w:tblGrid>
        <w:gridCol w:w="10456"/>
      </w:tblGrid>
      <w:tr w:rsidR="000729CF" w:rsidRPr="000729CF" w14:paraId="0E8CFDBC" w14:textId="77777777" w:rsidTr="00BC26AB">
        <w:trPr>
          <w:trHeight w:val="851"/>
        </w:trPr>
        <w:tc>
          <w:tcPr>
            <w:tcW w:w="10456" w:type="dxa"/>
            <w:tcBorders>
              <w:bottom w:val="single" w:sz="4" w:space="0" w:color="auto"/>
            </w:tcBorders>
          </w:tcPr>
          <w:p w14:paraId="3DA4A98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proposal is in three parts:</w:t>
            </w:r>
          </w:p>
          <w:p w14:paraId="7108F19D" w14:textId="77777777" w:rsidR="000729CF" w:rsidRPr="000729CF" w:rsidRDefault="000729CF" w:rsidP="00CE70A3">
            <w:pPr>
              <w:numPr>
                <w:ilvl w:val="0"/>
                <w:numId w:val="121"/>
              </w:numPr>
              <w:spacing w:after="120"/>
              <w:rPr>
                <w:rFonts w:ascii="Arial" w:eastAsia="Calibri" w:hAnsi="Arial" w:cs="Arial"/>
                <w:sz w:val="24"/>
                <w:szCs w:val="24"/>
              </w:rPr>
            </w:pPr>
            <w:r w:rsidRPr="000729CF">
              <w:rPr>
                <w:rFonts w:ascii="Arial" w:eastAsia="Calibri" w:hAnsi="Arial" w:cs="Arial"/>
                <w:sz w:val="24"/>
                <w:szCs w:val="24"/>
              </w:rPr>
              <w:t xml:space="preserve">The £364K saving that has arisen from the closure of the St. Patricks High Support Rough Sleepers Hostel. This closure is as result of the current landlord seeking to dispose of the building because it’s economically unviable to maintain and repair. Realistically the building, a former church, requires a one-off expenditure of significant value and then an ongoing programme of maintenance of similar magnitude. </w:t>
            </w:r>
          </w:p>
          <w:p w14:paraId="7F2A161B" w14:textId="77777777" w:rsidR="000729CF" w:rsidRPr="000729CF" w:rsidRDefault="000729CF" w:rsidP="000729CF">
            <w:pPr>
              <w:spacing w:after="120"/>
              <w:ind w:left="720"/>
              <w:rPr>
                <w:rFonts w:ascii="Arial" w:eastAsia="Calibri" w:hAnsi="Arial" w:cs="Arial"/>
                <w:sz w:val="24"/>
                <w:szCs w:val="24"/>
              </w:rPr>
            </w:pPr>
            <w:r w:rsidRPr="000729CF">
              <w:rPr>
                <w:rFonts w:ascii="Arial" w:eastAsia="Calibri" w:hAnsi="Arial" w:cs="Arial"/>
                <w:sz w:val="24"/>
                <w:szCs w:val="24"/>
              </w:rPr>
              <w:t xml:space="preserve">We did explore moving the service to another building but were originally unable to identify a potential replacement within the available budget envelope. </w:t>
            </w:r>
          </w:p>
          <w:p w14:paraId="0C9F169A" w14:textId="77777777" w:rsidR="000729CF" w:rsidRPr="000729CF" w:rsidRDefault="000729CF" w:rsidP="00CE70A3">
            <w:pPr>
              <w:numPr>
                <w:ilvl w:val="0"/>
                <w:numId w:val="121"/>
              </w:numPr>
              <w:spacing w:after="120"/>
              <w:rPr>
                <w:rFonts w:ascii="Arial" w:eastAsia="Calibri" w:hAnsi="Arial" w:cs="Arial"/>
                <w:sz w:val="24"/>
                <w:szCs w:val="24"/>
              </w:rPr>
            </w:pPr>
            <w:r w:rsidRPr="000729CF">
              <w:rPr>
                <w:rFonts w:ascii="Arial" w:eastAsia="Calibri" w:hAnsi="Arial" w:cs="Arial"/>
                <w:sz w:val="24"/>
                <w:szCs w:val="24"/>
              </w:rPr>
              <w:t>To decommission the Reconnection work we currently commission the First Base Rough Sleepers Day Centre to deliver on our behalf, saving £58K. This is a general contribution to the overall running costs of the day centre, rather than specific funding for specific posts.</w:t>
            </w:r>
          </w:p>
          <w:p w14:paraId="4E32D11C" w14:textId="77777777" w:rsidR="000729CF" w:rsidRPr="000729CF" w:rsidRDefault="000729CF" w:rsidP="00CE70A3">
            <w:pPr>
              <w:numPr>
                <w:ilvl w:val="0"/>
                <w:numId w:val="121"/>
              </w:numPr>
              <w:spacing w:after="120"/>
              <w:rPr>
                <w:rFonts w:ascii="Arial" w:eastAsia="Calibri" w:hAnsi="Arial" w:cs="Arial"/>
                <w:sz w:val="24"/>
                <w:szCs w:val="24"/>
              </w:rPr>
            </w:pPr>
            <w:r w:rsidRPr="000729CF">
              <w:rPr>
                <w:rFonts w:ascii="Arial" w:eastAsia="Calibri" w:hAnsi="Arial" w:cs="Arial"/>
                <w:sz w:val="24"/>
                <w:szCs w:val="24"/>
              </w:rPr>
              <w:t>To decommission the Young Person’s Housing Advice element of the Youth Advice Gateway, currently being provided through YMCA/</w:t>
            </w:r>
            <w:proofErr w:type="spellStart"/>
            <w:r w:rsidRPr="000729CF">
              <w:rPr>
                <w:rFonts w:ascii="Arial" w:eastAsia="Calibri" w:hAnsi="Arial" w:cs="Arial"/>
                <w:sz w:val="24"/>
                <w:szCs w:val="24"/>
              </w:rPr>
              <w:t>Downslink</w:t>
            </w:r>
            <w:proofErr w:type="spellEnd"/>
            <w:r w:rsidRPr="000729CF">
              <w:rPr>
                <w:rFonts w:ascii="Arial" w:eastAsia="Calibri" w:hAnsi="Arial" w:cs="Arial"/>
                <w:sz w:val="24"/>
                <w:szCs w:val="24"/>
              </w:rPr>
              <w:t xml:space="preserve"> (YAC). The pathway into accommodation, such as </w:t>
            </w:r>
            <w:proofErr w:type="spellStart"/>
            <w:r w:rsidRPr="000729CF">
              <w:rPr>
                <w:rFonts w:ascii="Arial" w:eastAsia="Calibri" w:hAnsi="Arial" w:cs="Arial"/>
                <w:sz w:val="24"/>
                <w:szCs w:val="24"/>
              </w:rPr>
              <w:t>Nightstop</w:t>
            </w:r>
            <w:proofErr w:type="spellEnd"/>
            <w:r w:rsidRPr="000729CF">
              <w:rPr>
                <w:rFonts w:ascii="Arial" w:eastAsia="Calibri" w:hAnsi="Arial" w:cs="Arial"/>
                <w:sz w:val="24"/>
                <w:szCs w:val="24"/>
              </w:rPr>
              <w:t>, and also family mediation, will continue and will be put out to tender. The urgent need to find savings has meant commissioning priorities have focused on providers who are directly providing accommodation and/or contributing to reducing financial pressures on statutory services. The Young Person’s Housing Advice element does not significantly impact either of these priorities. Ceasing to commission this aspect of the service will generate a saving of £100k. (NB: Three month’s formal notice will be issued meaning the service will finish in July and a transition plan will be worked up with the provider.</w:t>
            </w:r>
          </w:p>
        </w:tc>
      </w:tr>
      <w:tr w:rsidR="000729CF" w:rsidRPr="000729CF" w14:paraId="72B92D6E" w14:textId="77777777" w:rsidTr="00BC26AB">
        <w:trPr>
          <w:trHeight w:val="851"/>
        </w:trPr>
        <w:tc>
          <w:tcPr>
            <w:tcW w:w="10456" w:type="dxa"/>
            <w:tcBorders>
              <w:left w:val="nil"/>
              <w:right w:val="nil"/>
            </w:tcBorders>
          </w:tcPr>
          <w:p w14:paraId="51EED19D" w14:textId="77777777" w:rsidR="000729CF" w:rsidRPr="000729CF" w:rsidRDefault="000729CF" w:rsidP="000729CF">
            <w:pPr>
              <w:spacing w:after="120"/>
              <w:rPr>
                <w:rFonts w:ascii="Arial" w:eastAsia="Calibri" w:hAnsi="Arial" w:cs="Arial"/>
                <w:sz w:val="24"/>
                <w:szCs w:val="24"/>
              </w:rPr>
            </w:pPr>
          </w:p>
          <w:p w14:paraId="51EC565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Summarise the most significant impacts identified by this assessment including which groups will be disproportionally negatively affected drawing out intersectional impacts as applicable:</w:t>
            </w:r>
          </w:p>
        </w:tc>
      </w:tr>
      <w:tr w:rsidR="000729CF" w:rsidRPr="000729CF" w14:paraId="5E40E996" w14:textId="77777777" w:rsidTr="00BC26AB">
        <w:trPr>
          <w:trHeight w:val="851"/>
        </w:trPr>
        <w:tc>
          <w:tcPr>
            <w:tcW w:w="10456" w:type="dxa"/>
          </w:tcPr>
          <w:p w14:paraId="4510CF65" w14:textId="77777777" w:rsidR="000729CF" w:rsidRPr="000729CF" w:rsidRDefault="000729CF" w:rsidP="00CE70A3">
            <w:pPr>
              <w:numPr>
                <w:ilvl w:val="0"/>
                <w:numId w:val="122"/>
              </w:numPr>
              <w:spacing w:after="120"/>
              <w:rPr>
                <w:rFonts w:ascii="Arial" w:eastAsia="Calibri" w:hAnsi="Arial" w:cs="Arial"/>
                <w:sz w:val="24"/>
                <w:szCs w:val="24"/>
              </w:rPr>
            </w:pPr>
            <w:r w:rsidRPr="000729CF">
              <w:rPr>
                <w:rFonts w:ascii="Arial" w:eastAsia="Calibri" w:hAnsi="Arial" w:cs="Arial"/>
                <w:sz w:val="24"/>
                <w:szCs w:val="24"/>
              </w:rPr>
              <w:t xml:space="preserve">The loss of St. Pats will reduce the number of high support hostel bedspaces we have for rough sleepers by 24 out of 76, a 32% reduction. This is a significant loss of provision that will, because of the nature of the service disproportionally negatively affect rough sleepers, and in particular older and more entrenched rough sleepers. This is largely driven by the lack of a suitable building within budget. However, discussions are ongoing with HASC to unlock other provision within the stock, (in particular ‘hospital discharge’) which will offer some mitigation. </w:t>
            </w:r>
          </w:p>
          <w:p w14:paraId="30F1280A" w14:textId="77777777" w:rsidR="000729CF" w:rsidRPr="000729CF" w:rsidRDefault="000729CF" w:rsidP="00CE70A3">
            <w:pPr>
              <w:numPr>
                <w:ilvl w:val="0"/>
                <w:numId w:val="122"/>
              </w:numPr>
              <w:spacing w:after="120"/>
              <w:rPr>
                <w:rFonts w:ascii="Arial" w:eastAsia="Calibri" w:hAnsi="Arial" w:cs="Arial"/>
                <w:sz w:val="24"/>
                <w:szCs w:val="24"/>
              </w:rPr>
            </w:pPr>
            <w:r w:rsidRPr="000729CF">
              <w:rPr>
                <w:rFonts w:ascii="Arial" w:eastAsia="Calibri" w:hAnsi="Arial" w:cs="Arial"/>
                <w:sz w:val="24"/>
                <w:szCs w:val="24"/>
              </w:rPr>
              <w:t xml:space="preserve">First Base provide one part of the council’s reconnection offer. Because this operates from the Day Centre, it tends to pick-up the </w:t>
            </w:r>
            <w:proofErr w:type="gramStart"/>
            <w:r w:rsidRPr="000729CF">
              <w:rPr>
                <w:rFonts w:ascii="Arial" w:eastAsia="Calibri" w:hAnsi="Arial" w:cs="Arial"/>
                <w:sz w:val="24"/>
                <w:szCs w:val="24"/>
              </w:rPr>
              <w:t>more rough</w:t>
            </w:r>
            <w:proofErr w:type="gramEnd"/>
            <w:r w:rsidRPr="000729CF">
              <w:rPr>
                <w:rFonts w:ascii="Arial" w:eastAsia="Calibri" w:hAnsi="Arial" w:cs="Arial"/>
                <w:sz w:val="24"/>
                <w:szCs w:val="24"/>
              </w:rPr>
              <w:t xml:space="preserve"> sleepers who are new to the city and may not have yet engaged with street outreach services. Not being picked up and reconnected at First Base would risk extending the period of time they sleep rough, exacerbating their needs and vulnerability and increasing the risk that they establish a greater dependency on services. However, as reconnections capacity is covered by other commissioned services, this risk is mitigated.</w:t>
            </w:r>
          </w:p>
          <w:p w14:paraId="2E99D303" w14:textId="77777777" w:rsidR="000729CF" w:rsidRPr="000729CF" w:rsidRDefault="000729CF" w:rsidP="00CE70A3">
            <w:pPr>
              <w:numPr>
                <w:ilvl w:val="0"/>
                <w:numId w:val="122"/>
              </w:numPr>
              <w:spacing w:after="120"/>
              <w:rPr>
                <w:rFonts w:ascii="Arial" w:eastAsia="Calibri" w:hAnsi="Arial" w:cs="Arial"/>
                <w:sz w:val="24"/>
                <w:szCs w:val="24"/>
              </w:rPr>
            </w:pPr>
            <w:r w:rsidRPr="000729CF">
              <w:rPr>
                <w:rFonts w:ascii="Arial" w:eastAsia="Calibri" w:hAnsi="Arial" w:cs="Arial"/>
                <w:sz w:val="24"/>
                <w:szCs w:val="24"/>
              </w:rPr>
              <w:t>Decommissioning a bespoke Young Person’s Housing Advice Service for single people under 26, will have an impact to this group. However, this is a non-statutory service. The Homelessness Transformation Programme, and subsequent redesign of Housing Needs, due to be implemented in July, has been predicated upon improving the customer journey, and additional capacity has been factored in to increase statutory duties around homelessness prevention and relief to this cohort.</w:t>
            </w:r>
          </w:p>
        </w:tc>
      </w:tr>
    </w:tbl>
    <w:p w14:paraId="7B4E14FA" w14:textId="77777777" w:rsidR="000729CF" w:rsidRPr="000729CF" w:rsidRDefault="000729CF" w:rsidP="000729CF">
      <w:pPr>
        <w:rPr>
          <w:rFonts w:ascii="Arial" w:eastAsia="Calibri" w:hAnsi="Arial" w:cs="Arial"/>
          <w:sz w:val="24"/>
          <w:szCs w:val="24"/>
          <w:lang w:val="en-GB"/>
        </w:rPr>
      </w:pPr>
    </w:p>
    <w:p w14:paraId="7D87B3D3" w14:textId="77777777" w:rsidR="000729CF" w:rsidRPr="000729CF" w:rsidRDefault="000729CF" w:rsidP="000729CF">
      <w:pPr>
        <w:spacing w:after="160" w:line="259" w:lineRule="auto"/>
        <w:rPr>
          <w:rFonts w:ascii="Arial" w:eastAsia="Calibri" w:hAnsi="Arial" w:cs="Arial"/>
          <w:sz w:val="24"/>
          <w:szCs w:val="24"/>
          <w:lang w:val="en-GB"/>
        </w:rPr>
      </w:pPr>
    </w:p>
    <w:p w14:paraId="5A0AB357"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Consultation, engagement and supporting EIAs</w:t>
      </w:r>
    </w:p>
    <w:p w14:paraId="678EFD06"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consultations or engagement activities are being used to inform this assessment? </w:t>
      </w:r>
    </w:p>
    <w:p w14:paraId="738DC903"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If consultation is planned or in process – state this and state when it will done/completed even if indicative. If no consultation completed or planned, state this, giving an explanation. </w:t>
      </w:r>
    </w:p>
    <w:tbl>
      <w:tblPr>
        <w:tblStyle w:val="TableGrid"/>
        <w:tblW w:w="0" w:type="auto"/>
        <w:tblLook w:val="04A0" w:firstRow="1" w:lastRow="0" w:firstColumn="1" w:lastColumn="0" w:noHBand="0" w:noVBand="1"/>
      </w:tblPr>
      <w:tblGrid>
        <w:gridCol w:w="10456"/>
      </w:tblGrid>
      <w:tr w:rsidR="000729CF" w:rsidRPr="000729CF" w14:paraId="49049230" w14:textId="77777777" w:rsidTr="00BC26AB">
        <w:trPr>
          <w:trHeight w:val="871"/>
        </w:trPr>
        <w:tc>
          <w:tcPr>
            <w:tcW w:w="10456" w:type="dxa"/>
          </w:tcPr>
          <w:p w14:paraId="21655F4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A structured programme of consultation, with both internal and external stakeholders was undertaken at the beginning of the recommissioning process to inform the shape of the Rough Sleeper and Single Homeless services going forward and an element of redesign/transformation of the Rough Sleeper and Single Homeless Pathway. There has also been an ongoing consultation with existing and potential new providers as an integral component of the soft market testing exercise, the first stage of the formal tendering process.</w:t>
            </w:r>
          </w:p>
        </w:tc>
      </w:tr>
    </w:tbl>
    <w:p w14:paraId="4F691726" w14:textId="77777777" w:rsidR="000729CF" w:rsidRPr="000729CF" w:rsidRDefault="000729CF" w:rsidP="000729CF">
      <w:pPr>
        <w:spacing w:after="160" w:line="259" w:lineRule="auto"/>
        <w:rPr>
          <w:rFonts w:ascii="Arial" w:eastAsia="Calibri" w:hAnsi="Arial" w:cs="Arial"/>
          <w:sz w:val="24"/>
          <w:szCs w:val="24"/>
          <w:lang w:val="en-GB"/>
        </w:rPr>
      </w:pPr>
    </w:p>
    <w:p w14:paraId="0DA9F33C"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other budget or service EIAs can assist/have been used to inform this assessment?</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0729CF" w:rsidRPr="000729CF" w14:paraId="2BD2F30F"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shd w:val="clear" w:color="auto" w:fill="FFFFFF"/>
          </w:tcPr>
          <w:p w14:paraId="4BE503E3"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Homelessness Transformation Programme EIA (in relation to statutory advice and assistance being offered to U26 year olds).</w:t>
            </w:r>
          </w:p>
        </w:tc>
      </w:tr>
    </w:tbl>
    <w:p w14:paraId="56C346E3" w14:textId="77777777" w:rsidR="000729CF" w:rsidRPr="000729CF" w:rsidRDefault="000729CF" w:rsidP="000729CF">
      <w:pPr>
        <w:spacing w:after="160" w:line="259" w:lineRule="auto"/>
        <w:rPr>
          <w:rFonts w:ascii="Arial" w:eastAsia="Calibri" w:hAnsi="Arial" w:cs="Arial"/>
          <w:sz w:val="24"/>
          <w:szCs w:val="24"/>
          <w:lang w:val="en-GB"/>
        </w:rPr>
      </w:pPr>
    </w:p>
    <w:p w14:paraId="1C835466"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Current data and impact monitoring</w:t>
      </w:r>
    </w:p>
    <w:p w14:paraId="7549900A"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Do you currently collect and analyse the following data to enable monitoring of the impact of this proposal? </w:t>
      </w:r>
    </w:p>
    <w:p w14:paraId="2227B84F"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Consider all possible intersections (Delete and State Yes, No, Not Applicable)</w:t>
      </w:r>
    </w:p>
    <w:tbl>
      <w:tblPr>
        <w:tblStyle w:val="TableGrid"/>
        <w:tblW w:w="10485" w:type="dxa"/>
        <w:tblLook w:val="04A0" w:firstRow="1" w:lastRow="0" w:firstColumn="1" w:lastColumn="0" w:noHBand="0" w:noVBand="1"/>
      </w:tblPr>
      <w:tblGrid>
        <w:gridCol w:w="6658"/>
        <w:gridCol w:w="3827"/>
      </w:tblGrid>
      <w:tr w:rsidR="000729CF" w:rsidRPr="000729CF" w14:paraId="53618500" w14:textId="77777777" w:rsidTr="000729CF">
        <w:trPr>
          <w:trHeight w:val="310"/>
        </w:trPr>
        <w:tc>
          <w:tcPr>
            <w:tcW w:w="6658" w:type="dxa"/>
            <w:shd w:val="clear" w:color="auto" w:fill="E7E6E6"/>
          </w:tcPr>
          <w:p w14:paraId="68D67F1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Age</w:t>
            </w:r>
          </w:p>
        </w:tc>
        <w:tc>
          <w:tcPr>
            <w:tcW w:w="3827" w:type="dxa"/>
          </w:tcPr>
          <w:p w14:paraId="07D6B81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2DB4C68D" w14:textId="77777777" w:rsidTr="000729CF">
        <w:trPr>
          <w:trHeight w:val="20"/>
        </w:trPr>
        <w:tc>
          <w:tcPr>
            <w:tcW w:w="6658" w:type="dxa"/>
            <w:shd w:val="clear" w:color="auto" w:fill="E7E6E6"/>
          </w:tcPr>
          <w:p w14:paraId="5F383CB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Disability and inclusive adjustments, coverage under equality act and not</w:t>
            </w:r>
          </w:p>
        </w:tc>
        <w:tc>
          <w:tcPr>
            <w:tcW w:w="3827" w:type="dxa"/>
          </w:tcPr>
          <w:p w14:paraId="0B7F4CD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106BF8B1" w14:textId="77777777" w:rsidTr="000729CF">
        <w:trPr>
          <w:trHeight w:val="20"/>
        </w:trPr>
        <w:tc>
          <w:tcPr>
            <w:tcW w:w="6658" w:type="dxa"/>
            <w:shd w:val="clear" w:color="auto" w:fill="E7E6E6"/>
          </w:tcPr>
          <w:p w14:paraId="0B31EA4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Ethnicity, ‘Race’, ethnic heritage (including Gypsy, Roma, Travellers)</w:t>
            </w:r>
          </w:p>
        </w:tc>
        <w:tc>
          <w:tcPr>
            <w:tcW w:w="3827" w:type="dxa"/>
          </w:tcPr>
          <w:p w14:paraId="14F4DA6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60FCA752" w14:textId="77777777" w:rsidTr="000729CF">
        <w:trPr>
          <w:trHeight w:val="20"/>
        </w:trPr>
        <w:tc>
          <w:tcPr>
            <w:tcW w:w="6658" w:type="dxa"/>
            <w:shd w:val="clear" w:color="auto" w:fill="E7E6E6"/>
          </w:tcPr>
          <w:p w14:paraId="19304C2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Religion, Belief, Spirituality, Faith, or Atheism</w:t>
            </w:r>
          </w:p>
        </w:tc>
        <w:tc>
          <w:tcPr>
            <w:tcW w:w="3827" w:type="dxa"/>
          </w:tcPr>
          <w:p w14:paraId="6CE67AA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6DFF0808" w14:textId="77777777" w:rsidTr="000729CF">
        <w:trPr>
          <w:trHeight w:val="20"/>
        </w:trPr>
        <w:tc>
          <w:tcPr>
            <w:tcW w:w="6658" w:type="dxa"/>
            <w:shd w:val="clear" w:color="auto" w:fill="E7E6E6"/>
          </w:tcPr>
          <w:p w14:paraId="57ABCD6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Identity and Sex (including non-binary and Intersex people)</w:t>
            </w:r>
          </w:p>
        </w:tc>
        <w:tc>
          <w:tcPr>
            <w:tcW w:w="3827" w:type="dxa"/>
          </w:tcPr>
          <w:p w14:paraId="74F4CA3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6D7B9763" w14:textId="77777777" w:rsidTr="000729CF">
        <w:trPr>
          <w:trHeight w:val="20"/>
        </w:trPr>
        <w:tc>
          <w:tcPr>
            <w:tcW w:w="6658" w:type="dxa"/>
            <w:shd w:val="clear" w:color="auto" w:fill="E7E6E6"/>
          </w:tcPr>
          <w:p w14:paraId="6BE4099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3827" w:type="dxa"/>
          </w:tcPr>
          <w:p w14:paraId="2650312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28ED9D65" w14:textId="77777777" w:rsidTr="000729CF">
        <w:trPr>
          <w:trHeight w:val="20"/>
        </w:trPr>
        <w:tc>
          <w:tcPr>
            <w:tcW w:w="6658" w:type="dxa"/>
            <w:shd w:val="clear" w:color="auto" w:fill="E7E6E6"/>
          </w:tcPr>
          <w:p w14:paraId="396B9D7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3827" w:type="dxa"/>
          </w:tcPr>
          <w:p w14:paraId="7084924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6DE2A533" w14:textId="77777777" w:rsidTr="000729CF">
        <w:trPr>
          <w:trHeight w:val="20"/>
        </w:trPr>
        <w:tc>
          <w:tcPr>
            <w:tcW w:w="6658" w:type="dxa"/>
            <w:shd w:val="clear" w:color="auto" w:fill="E7E6E6"/>
          </w:tcPr>
          <w:p w14:paraId="3EBBE44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3827" w:type="dxa"/>
          </w:tcPr>
          <w:p w14:paraId="4930BD8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3E90E974" w14:textId="77777777" w:rsidTr="000729CF">
        <w:trPr>
          <w:trHeight w:val="20"/>
        </w:trPr>
        <w:tc>
          <w:tcPr>
            <w:tcW w:w="6658" w:type="dxa"/>
            <w:shd w:val="clear" w:color="auto" w:fill="E7E6E6"/>
          </w:tcPr>
          <w:p w14:paraId="2AE87D3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Pregnant people, Maternity, Paternity, Adoption, Menopause, (In)fertility (across the gender spectrum)</w:t>
            </w:r>
          </w:p>
        </w:tc>
        <w:tc>
          <w:tcPr>
            <w:tcW w:w="3827" w:type="dxa"/>
          </w:tcPr>
          <w:p w14:paraId="341902E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2A1E70B9" w14:textId="77777777" w:rsidTr="000729CF">
        <w:trPr>
          <w:trHeight w:val="20"/>
        </w:trPr>
        <w:tc>
          <w:tcPr>
            <w:tcW w:w="6658" w:type="dxa"/>
            <w:shd w:val="clear" w:color="auto" w:fill="E7E6E6"/>
          </w:tcPr>
          <w:p w14:paraId="5858CDF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3827" w:type="dxa"/>
          </w:tcPr>
          <w:p w14:paraId="61E1AFB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3D002F37" w14:textId="77777777" w:rsidTr="000729CF">
        <w:trPr>
          <w:trHeight w:val="20"/>
        </w:trPr>
        <w:tc>
          <w:tcPr>
            <w:tcW w:w="6658" w:type="dxa"/>
            <w:shd w:val="clear" w:color="auto" w:fill="E7E6E6"/>
          </w:tcPr>
          <w:p w14:paraId="6CD724FF" w14:textId="77777777" w:rsidR="000729CF" w:rsidRPr="000729CF" w:rsidRDefault="000729CF" w:rsidP="000729CF">
            <w:pPr>
              <w:spacing w:after="120"/>
              <w:rPr>
                <w:rFonts w:ascii="Arial" w:hAnsi="Arial" w:cs="Arial"/>
                <w:b/>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p>
        </w:tc>
        <w:tc>
          <w:tcPr>
            <w:tcW w:w="3827" w:type="dxa"/>
          </w:tcPr>
          <w:p w14:paraId="14B348E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6F2759D5" w14:textId="77777777" w:rsidTr="000729CF">
        <w:trPr>
          <w:trHeight w:val="20"/>
        </w:trPr>
        <w:tc>
          <w:tcPr>
            <w:tcW w:w="6658" w:type="dxa"/>
            <w:shd w:val="clear" w:color="auto" w:fill="E7E6E6"/>
          </w:tcPr>
          <w:p w14:paraId="4B202965" w14:textId="77777777" w:rsidR="000729CF" w:rsidRPr="000729CF" w:rsidRDefault="000729CF" w:rsidP="000729CF">
            <w:pPr>
              <w:spacing w:after="120"/>
              <w:rPr>
                <w:rFonts w:ascii="Arial" w:hAnsi="Arial" w:cs="Arial"/>
                <w:b/>
                <w:sz w:val="24"/>
                <w:szCs w:val="24"/>
              </w:rPr>
            </w:pPr>
            <w:r w:rsidRPr="000729CF">
              <w:rPr>
                <w:rFonts w:ascii="Arial" w:eastAsia="Calibri" w:hAnsi="Arial" w:cs="Arial"/>
                <w:b/>
                <w:bCs/>
                <w:color w:val="000000"/>
                <w:sz w:val="24"/>
                <w:szCs w:val="24"/>
              </w:rPr>
              <w:t>Carers</w:t>
            </w:r>
          </w:p>
        </w:tc>
        <w:tc>
          <w:tcPr>
            <w:tcW w:w="3827" w:type="dxa"/>
          </w:tcPr>
          <w:p w14:paraId="2BE0EE6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16BDBA12" w14:textId="77777777" w:rsidTr="000729CF">
        <w:trPr>
          <w:trHeight w:val="20"/>
        </w:trPr>
        <w:tc>
          <w:tcPr>
            <w:tcW w:w="6658" w:type="dxa"/>
            <w:shd w:val="clear" w:color="auto" w:fill="E7E6E6"/>
          </w:tcPr>
          <w:p w14:paraId="53AE2DD9"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Looked after children, Care Leavers, Care and fostering experienced people</w:t>
            </w:r>
          </w:p>
        </w:tc>
        <w:tc>
          <w:tcPr>
            <w:tcW w:w="3827" w:type="dxa"/>
          </w:tcPr>
          <w:p w14:paraId="5C21C63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5A24ABB4" w14:textId="77777777" w:rsidTr="000729CF">
        <w:trPr>
          <w:trHeight w:val="20"/>
        </w:trPr>
        <w:tc>
          <w:tcPr>
            <w:tcW w:w="6658" w:type="dxa"/>
            <w:shd w:val="clear" w:color="auto" w:fill="E7E6E6"/>
          </w:tcPr>
          <w:p w14:paraId="0797FDB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 and people in vulnerable situations (All aspects and intersections)</w:t>
            </w:r>
          </w:p>
        </w:tc>
        <w:tc>
          <w:tcPr>
            <w:tcW w:w="3827" w:type="dxa"/>
          </w:tcPr>
          <w:p w14:paraId="6CECF94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0289C77E" w14:textId="77777777" w:rsidTr="000729CF">
        <w:trPr>
          <w:trHeight w:val="20"/>
        </w:trPr>
        <w:tc>
          <w:tcPr>
            <w:tcW w:w="6658" w:type="dxa"/>
            <w:shd w:val="clear" w:color="auto" w:fill="E7E6E6"/>
          </w:tcPr>
          <w:p w14:paraId="4BDC032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Socio-economic Disadvantage</w:t>
            </w:r>
          </w:p>
        </w:tc>
        <w:tc>
          <w:tcPr>
            <w:tcW w:w="3827" w:type="dxa"/>
          </w:tcPr>
          <w:p w14:paraId="527235E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273FB17C" w14:textId="77777777" w:rsidTr="000729CF">
        <w:trPr>
          <w:trHeight w:val="20"/>
        </w:trPr>
        <w:tc>
          <w:tcPr>
            <w:tcW w:w="6658" w:type="dxa"/>
            <w:shd w:val="clear" w:color="auto" w:fill="E7E6E6"/>
          </w:tcPr>
          <w:p w14:paraId="7AB6DC9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Homelessness and associated risk and vulnerability</w:t>
            </w:r>
          </w:p>
        </w:tc>
        <w:tc>
          <w:tcPr>
            <w:tcW w:w="3827" w:type="dxa"/>
          </w:tcPr>
          <w:p w14:paraId="5438EF4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09C9F018" w14:textId="77777777" w:rsidTr="000729CF">
        <w:trPr>
          <w:trHeight w:val="20"/>
        </w:trPr>
        <w:tc>
          <w:tcPr>
            <w:tcW w:w="6658" w:type="dxa"/>
            <w:shd w:val="clear" w:color="auto" w:fill="E7E6E6"/>
          </w:tcPr>
          <w:p w14:paraId="5188BB3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3827" w:type="dxa"/>
          </w:tcPr>
          <w:p w14:paraId="0582E64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0E9E4001" w14:textId="77777777" w:rsidTr="000729CF">
        <w:trPr>
          <w:trHeight w:val="20"/>
        </w:trPr>
        <w:tc>
          <w:tcPr>
            <w:tcW w:w="6658" w:type="dxa"/>
            <w:shd w:val="clear" w:color="auto" w:fill="E7E6E6"/>
          </w:tcPr>
          <w:p w14:paraId="230C6D3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 (please specify here and add additional rows as needed)</w:t>
            </w:r>
          </w:p>
        </w:tc>
        <w:tc>
          <w:tcPr>
            <w:tcW w:w="3827" w:type="dxa"/>
          </w:tcPr>
          <w:p w14:paraId="2EC675B4" w14:textId="77777777" w:rsidR="000729CF" w:rsidRPr="000729CF" w:rsidRDefault="000729CF" w:rsidP="000729CF">
            <w:pPr>
              <w:spacing w:after="120"/>
              <w:rPr>
                <w:rFonts w:ascii="Arial" w:eastAsia="Calibri" w:hAnsi="Arial" w:cs="Arial"/>
                <w:sz w:val="24"/>
                <w:szCs w:val="24"/>
              </w:rPr>
            </w:pPr>
          </w:p>
        </w:tc>
      </w:tr>
    </w:tbl>
    <w:p w14:paraId="680A1005" w14:textId="77777777" w:rsidR="000729CF" w:rsidRPr="000729CF" w:rsidRDefault="000729CF" w:rsidP="000729CF">
      <w:pPr>
        <w:rPr>
          <w:rFonts w:ascii="Arial" w:eastAsia="Calibri" w:hAnsi="Arial" w:cs="Arial"/>
          <w:sz w:val="24"/>
          <w:szCs w:val="24"/>
          <w:lang w:val="en-GB"/>
        </w:rPr>
      </w:pPr>
    </w:p>
    <w:p w14:paraId="65158FB8"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07376202"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72B7AA3C"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0B0AB2E4"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347D884E"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4EE2EA02"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7238281D"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6F67D51F"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7D67F860"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18B06D4B"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435D97CF" w14:textId="77777777" w:rsidR="000729CF" w:rsidRPr="000729CF" w:rsidRDefault="000729CF" w:rsidP="000729CF">
      <w:pPr>
        <w:rPr>
          <w:rFonts w:ascii="Arial" w:eastAsia="Calibri" w:hAnsi="Arial" w:cs="Arial"/>
          <w:sz w:val="24"/>
          <w:szCs w:val="24"/>
          <w:lang w:val="en-GB"/>
        </w:rPr>
      </w:pPr>
    </w:p>
    <w:p w14:paraId="7895B790"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If you answered “NO” to any of the above, how will you gather this data to enable improved monitoring of impact for this proposal?</w:t>
      </w:r>
    </w:p>
    <w:tbl>
      <w:tblPr>
        <w:tblStyle w:val="TableGrid"/>
        <w:tblW w:w="0" w:type="auto"/>
        <w:tblLook w:val="04A0" w:firstRow="1" w:lastRow="0" w:firstColumn="1" w:lastColumn="0" w:noHBand="0" w:noVBand="1"/>
      </w:tblPr>
      <w:tblGrid>
        <w:gridCol w:w="10456"/>
      </w:tblGrid>
      <w:tr w:rsidR="000729CF" w:rsidRPr="000729CF" w14:paraId="1F82388E" w14:textId="77777777" w:rsidTr="00BC26AB">
        <w:trPr>
          <w:trHeight w:val="757"/>
        </w:trPr>
        <w:tc>
          <w:tcPr>
            <w:tcW w:w="10456" w:type="dxa"/>
          </w:tcPr>
          <w:p w14:paraId="22B0079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While we don’t currently collect monitoring data on our rough sleepers’ Religion, Belief, Spirituality, Faith, or Atheism. We will explore how we might add this to our current data collection.</w:t>
            </w:r>
          </w:p>
          <w:p w14:paraId="561F5A6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We don’t collect monitoring data on Marriage and Civil Partnership as our rough sleepers’ provision treats all service users as being essentially single homeless. If they have families, they access the statutory housing options service. We are reviewing our practice with respect to how we engage with couples and will as part and parcel of this review explore collecting monitoring data on our rough sleepers’ Marriage and Civil Partnership status.</w:t>
            </w:r>
          </w:p>
          <w:p w14:paraId="0BDC36F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None of our rough sleepers have carers or active caring responsibilities, even where a rough sleeper had had caring responsibilities prior to becoming a rough sleeper, it wouldn’t be practicable for them to maintain such a responsibility while rough sleeping, hence our identifying the collection of monitoring data for this characteristic as not applicable.</w:t>
            </w:r>
          </w:p>
          <w:p w14:paraId="1A35DD9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All of our rough sleepers are significantly socio-economically disadvantaged and marginalised by default hence our also identifying the collection of monitoring data for this characteristic as not applicable.</w:t>
            </w:r>
          </w:p>
        </w:tc>
      </w:tr>
    </w:tbl>
    <w:p w14:paraId="61C0657E" w14:textId="77777777" w:rsidR="000729CF" w:rsidRPr="000729CF" w:rsidRDefault="000729CF" w:rsidP="000729CF">
      <w:pPr>
        <w:rPr>
          <w:rFonts w:ascii="Arial" w:eastAsia="Calibri" w:hAnsi="Arial" w:cs="Arial"/>
          <w:sz w:val="24"/>
          <w:szCs w:val="24"/>
          <w:lang w:val="en-GB"/>
        </w:rPr>
      </w:pPr>
    </w:p>
    <w:p w14:paraId="2D027EAC" w14:textId="77777777" w:rsidR="000729CF" w:rsidRPr="000729CF" w:rsidRDefault="000729CF" w:rsidP="000729CF">
      <w:pPr>
        <w:rPr>
          <w:rFonts w:ascii="Arial" w:eastAsia="Calibri" w:hAnsi="Arial" w:cs="Arial"/>
          <w:sz w:val="24"/>
          <w:szCs w:val="24"/>
          <w:lang w:val="en-GB"/>
        </w:rPr>
      </w:pPr>
    </w:p>
    <w:p w14:paraId="53C2558A"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are the arrangements for monitoring, and reviewing the impact of this proposal?</w:t>
      </w:r>
    </w:p>
    <w:tbl>
      <w:tblPr>
        <w:tblStyle w:val="TableGrid"/>
        <w:tblW w:w="0" w:type="auto"/>
        <w:tblLook w:val="04A0" w:firstRow="1" w:lastRow="0" w:firstColumn="1" w:lastColumn="0" w:noHBand="0" w:noVBand="1"/>
      </w:tblPr>
      <w:tblGrid>
        <w:gridCol w:w="10456"/>
      </w:tblGrid>
      <w:tr w:rsidR="000729CF" w:rsidRPr="000729CF" w14:paraId="308CE5CE" w14:textId="77777777" w:rsidTr="00BC26AB">
        <w:trPr>
          <w:trHeight w:val="757"/>
        </w:trPr>
        <w:tc>
          <w:tcPr>
            <w:tcW w:w="10456" w:type="dxa"/>
          </w:tcPr>
          <w:p w14:paraId="61586CC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We collect monitoring data through the </w:t>
            </w:r>
            <w:proofErr w:type="spellStart"/>
            <w:r w:rsidRPr="000729CF">
              <w:rPr>
                <w:rFonts w:ascii="Arial" w:eastAsia="Calibri" w:hAnsi="Arial" w:cs="Arial"/>
                <w:sz w:val="24"/>
                <w:szCs w:val="24"/>
              </w:rPr>
              <w:t>BThink</w:t>
            </w:r>
            <w:proofErr w:type="spellEnd"/>
            <w:r w:rsidRPr="000729CF">
              <w:rPr>
                <w:rFonts w:ascii="Arial" w:eastAsia="Calibri" w:hAnsi="Arial" w:cs="Arial"/>
                <w:sz w:val="24"/>
                <w:szCs w:val="24"/>
              </w:rPr>
              <w:t xml:space="preserve"> Client Data System we use for the collection and storage of all our rough sleeper services related data and Home Connections* for our statutory homeless services. We will use data within these systems to monitor and review the impact of these proposals.</w:t>
            </w:r>
          </w:p>
          <w:p w14:paraId="1852838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Home Connections system is currently under review, and a new system being commissioned. Through the tendering process, this may continue to be Home Connections, or could be something entirely different. If another system operates in future, this will become the data source.)</w:t>
            </w:r>
          </w:p>
        </w:tc>
      </w:tr>
    </w:tbl>
    <w:p w14:paraId="2858CACE" w14:textId="77777777" w:rsidR="000729CF" w:rsidRPr="000729CF" w:rsidRDefault="000729CF" w:rsidP="000729CF">
      <w:pPr>
        <w:rPr>
          <w:rFonts w:ascii="Arial" w:eastAsia="Calibri" w:hAnsi="Arial" w:cs="Arial"/>
          <w:sz w:val="24"/>
          <w:szCs w:val="24"/>
          <w:lang w:val="en-GB"/>
        </w:rPr>
      </w:pPr>
    </w:p>
    <w:p w14:paraId="716918CD" w14:textId="77777777" w:rsidR="000729CF" w:rsidRPr="000729CF" w:rsidRDefault="000729CF" w:rsidP="000729CF">
      <w:pPr>
        <w:rPr>
          <w:rFonts w:ascii="Arial" w:eastAsia="Calibri" w:hAnsi="Arial" w:cs="Arial"/>
          <w:sz w:val="24"/>
          <w:szCs w:val="24"/>
          <w:lang w:val="en-GB"/>
        </w:rPr>
      </w:pPr>
    </w:p>
    <w:p w14:paraId="67E953C0"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Impacts</w:t>
      </w:r>
    </w:p>
    <w:p w14:paraId="7D3EE083"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Briefly state source of data or data analysis being used to describe the </w:t>
      </w:r>
      <w:r w:rsidRPr="000729CF">
        <w:rPr>
          <w:rFonts w:ascii="Arial" w:eastAsia="Calibri" w:hAnsi="Arial" w:cs="Arial"/>
          <w:color w:val="000000"/>
          <w:sz w:val="24"/>
          <w:szCs w:val="24"/>
          <w:bdr w:val="none" w:sz="0" w:space="0" w:color="auto" w:frame="1"/>
          <w:lang w:val="en-GB"/>
        </w:rPr>
        <w:t xml:space="preserve">disproportionate negative impacts. </w:t>
      </w:r>
      <w:r w:rsidRPr="000729CF">
        <w:rPr>
          <w:rFonts w:ascii="Arial" w:eastAsia="Calibri" w:hAnsi="Arial" w:cs="Arial"/>
          <w:sz w:val="24"/>
          <w:szCs w:val="24"/>
          <w:lang w:val="en-GB"/>
        </w:rPr>
        <w:t xml:space="preserve">Preferably provide link to data/ analysis if open data source. </w:t>
      </w:r>
    </w:p>
    <w:p w14:paraId="7037F3C7" w14:textId="77777777" w:rsidR="000729CF" w:rsidRPr="000729CF" w:rsidRDefault="000729CF" w:rsidP="000729CF">
      <w:pPr>
        <w:spacing w:after="160" w:line="259" w:lineRule="auto"/>
        <w:rPr>
          <w:rFonts w:ascii="Arial" w:eastAsia="Calibri" w:hAnsi="Arial" w:cs="Arial"/>
          <w:color w:val="000000"/>
          <w:sz w:val="24"/>
          <w:szCs w:val="24"/>
          <w:shd w:val="clear" w:color="auto" w:fill="FFFFFF"/>
          <w:lang w:val="en-GB"/>
        </w:rPr>
      </w:pPr>
    </w:p>
    <w:tbl>
      <w:tblPr>
        <w:tblStyle w:val="TableGrid"/>
        <w:tblW w:w="10485" w:type="dxa"/>
        <w:tblLook w:val="04A0" w:firstRow="1" w:lastRow="0" w:firstColumn="1" w:lastColumn="0" w:noHBand="0" w:noVBand="1"/>
      </w:tblPr>
      <w:tblGrid>
        <w:gridCol w:w="2985"/>
        <w:gridCol w:w="2123"/>
        <w:gridCol w:w="5377"/>
      </w:tblGrid>
      <w:tr w:rsidR="000729CF" w:rsidRPr="000729CF" w14:paraId="26931134" w14:textId="77777777" w:rsidTr="000729CF">
        <w:trPr>
          <w:trHeight w:val="20"/>
        </w:trPr>
        <w:tc>
          <w:tcPr>
            <w:tcW w:w="2985" w:type="dxa"/>
            <w:shd w:val="clear" w:color="auto" w:fill="E7E6E6"/>
          </w:tcPr>
          <w:p w14:paraId="2D90129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Assess impact for different population groups</w:t>
            </w:r>
          </w:p>
        </w:tc>
        <w:tc>
          <w:tcPr>
            <w:tcW w:w="2123" w:type="dxa"/>
            <w:shd w:val="clear" w:color="auto" w:fill="E7E6E6"/>
          </w:tcPr>
          <w:p w14:paraId="0B267AC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Is there a possible disproportionate negative impact? </w:t>
            </w:r>
          </w:p>
          <w:p w14:paraId="5E412684" w14:textId="77777777" w:rsidR="000729CF" w:rsidRPr="000729CF" w:rsidRDefault="000729CF" w:rsidP="000729CF">
            <w:pPr>
              <w:spacing w:after="120"/>
              <w:rPr>
                <w:rFonts w:ascii="Arial" w:eastAsia="Calibri" w:hAnsi="Arial" w:cs="Arial"/>
                <w:b/>
                <w:bCs/>
                <w:sz w:val="24"/>
                <w:szCs w:val="24"/>
              </w:rPr>
            </w:pPr>
          </w:p>
          <w:p w14:paraId="046F8A5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b/>
                <w:bCs/>
                <w:sz w:val="24"/>
                <w:szCs w:val="24"/>
              </w:rPr>
              <w:t>State Yes or No</w:t>
            </w:r>
          </w:p>
        </w:tc>
        <w:tc>
          <w:tcPr>
            <w:tcW w:w="5377" w:type="dxa"/>
            <w:shd w:val="clear" w:color="auto" w:fill="E7E6E6"/>
          </w:tcPr>
          <w:p w14:paraId="461A22A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Describe the potential negative impact, considering for differences within groups For example, different ethnic groups, and peoples intersecting identities e.g. disabled women of faith</w:t>
            </w:r>
          </w:p>
          <w:p w14:paraId="73AF9F8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OR</w:t>
            </w:r>
          </w:p>
          <w:p w14:paraId="3388EA5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If no impact is identified, briefly state why.</w:t>
            </w:r>
          </w:p>
        </w:tc>
      </w:tr>
      <w:tr w:rsidR="000729CF" w:rsidRPr="000729CF" w14:paraId="498BFD3A" w14:textId="77777777" w:rsidTr="000729CF">
        <w:trPr>
          <w:trHeight w:val="20"/>
        </w:trPr>
        <w:tc>
          <w:tcPr>
            <w:tcW w:w="2985" w:type="dxa"/>
            <w:shd w:val="clear" w:color="auto" w:fill="E7E6E6"/>
          </w:tcPr>
          <w:p w14:paraId="7307CC8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Age </w:t>
            </w:r>
          </w:p>
          <w:p w14:paraId="0D3F6D8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sz w:val="24"/>
                <w:szCs w:val="24"/>
              </w:rPr>
              <w:t>including those under 16, young adults, multiple ethnicities, those with various intersections.</w:t>
            </w:r>
          </w:p>
        </w:tc>
        <w:tc>
          <w:tcPr>
            <w:tcW w:w="2123" w:type="dxa"/>
          </w:tcPr>
          <w:p w14:paraId="5559BD5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6EC0AE2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closure of St. Pats will likely have a disproportionate negative impact on older, high need, rough sleepers, relative to their composition of the populations as they constitute a disproportionately high proportion of those needing the support of St. Pats, so referred there. However, in mitigation, there are ongoing discussions with HASC on a wider systematic offer to single people with Multiple Compound Needs (MCN)</w:t>
            </w:r>
          </w:p>
          <w:p w14:paraId="70E522CB" w14:textId="77777777" w:rsidR="000729CF" w:rsidRPr="000729CF" w:rsidRDefault="000729CF" w:rsidP="000729CF">
            <w:pPr>
              <w:spacing w:after="120"/>
              <w:rPr>
                <w:rFonts w:ascii="Arial" w:eastAsia="Calibri" w:hAnsi="Arial" w:cs="Arial"/>
                <w:sz w:val="24"/>
                <w:szCs w:val="24"/>
              </w:rPr>
            </w:pPr>
          </w:p>
          <w:p w14:paraId="2174BAD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There is no identifiable age-related disproportionate impact of the loss of the First Base Reconnection work, it will negatively impact equally across the equality groups. </w:t>
            </w:r>
          </w:p>
          <w:p w14:paraId="1631602B" w14:textId="77777777" w:rsidR="000729CF" w:rsidRPr="000729CF" w:rsidRDefault="000729CF" w:rsidP="000729CF">
            <w:pPr>
              <w:spacing w:after="120"/>
              <w:rPr>
                <w:rFonts w:ascii="Arial" w:eastAsia="Calibri" w:hAnsi="Arial" w:cs="Arial"/>
                <w:sz w:val="24"/>
                <w:szCs w:val="24"/>
              </w:rPr>
            </w:pPr>
          </w:p>
          <w:p w14:paraId="7F4307B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loss of the auxiliary housing advice and support service of YAC will, relative to the general population, disproportionately negatively affect young people as it’s a young peoples’ service. However, in mitigation, capacity within statutory services has been increased to better support this cohort.</w:t>
            </w:r>
          </w:p>
        </w:tc>
      </w:tr>
      <w:tr w:rsidR="000729CF" w:rsidRPr="000729CF" w14:paraId="1F6B7F15" w14:textId="77777777" w:rsidTr="000729CF">
        <w:trPr>
          <w:trHeight w:val="20"/>
        </w:trPr>
        <w:tc>
          <w:tcPr>
            <w:tcW w:w="2985" w:type="dxa"/>
            <w:shd w:val="clear" w:color="auto" w:fill="E7E6E6"/>
          </w:tcPr>
          <w:p w14:paraId="1A7E7CC1"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 xml:space="preserve">Disability </w:t>
            </w:r>
            <w:r w:rsidRPr="000729CF">
              <w:rPr>
                <w:rFonts w:ascii="Arial" w:eastAsia="Calibri" w:hAnsi="Arial" w:cs="Arial"/>
                <w:sz w:val="24"/>
                <w:szCs w:val="24"/>
              </w:rPr>
              <w:t>includes physical and sensory disabled, D/deaf, deafened, hard of hearing, blind, neurodiverse people, people with non-visible disabilities.</w:t>
            </w:r>
          </w:p>
        </w:tc>
        <w:tc>
          <w:tcPr>
            <w:tcW w:w="2123" w:type="dxa"/>
          </w:tcPr>
          <w:p w14:paraId="0184B40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5AFC62E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In as much that the rough sleeping population experiences a proportionately greater level of disability and life limiting conditions relative to the general population, all three proposals will have a disability related disproportionate impact. However, it should also be noted that disability (as per this context) is a vulnerability which will be taken into consideration when determining ‘priority need’, and through this a duty to provide interim accommodation.</w:t>
            </w:r>
          </w:p>
        </w:tc>
      </w:tr>
      <w:tr w:rsidR="000729CF" w:rsidRPr="000729CF" w14:paraId="4D2CD26E" w14:textId="77777777" w:rsidTr="000729CF">
        <w:trPr>
          <w:trHeight w:val="20"/>
        </w:trPr>
        <w:tc>
          <w:tcPr>
            <w:tcW w:w="2985" w:type="dxa"/>
            <w:shd w:val="clear" w:color="auto" w:fill="E7E6E6"/>
          </w:tcPr>
          <w:p w14:paraId="79F6FFEC" w14:textId="77777777" w:rsidR="000729CF" w:rsidRPr="000729CF" w:rsidRDefault="000729CF" w:rsidP="000729CF">
            <w:pPr>
              <w:keepNext/>
              <w:keepLines/>
              <w:spacing w:before="40"/>
              <w:outlineLvl w:val="2"/>
              <w:rPr>
                <w:rFonts w:ascii="Arial" w:hAnsi="Arial" w:cs="Arial"/>
                <w:color w:val="1F3763"/>
                <w:sz w:val="24"/>
                <w:szCs w:val="24"/>
              </w:rPr>
            </w:pPr>
            <w:r w:rsidRPr="000729CF">
              <w:rPr>
                <w:rFonts w:ascii="Arial" w:hAnsi="Arial" w:cs="Arial"/>
                <w:b/>
                <w:bCs/>
                <w:color w:val="000000"/>
                <w:sz w:val="24"/>
                <w:szCs w:val="24"/>
              </w:rPr>
              <w:t>Ethnicity, ‘</w:t>
            </w:r>
            <w:r w:rsidRPr="000729CF">
              <w:rPr>
                <w:rFonts w:ascii="Arial" w:hAnsi="Arial" w:cs="Arial"/>
                <w:color w:val="000000"/>
                <w:sz w:val="24"/>
                <w:szCs w:val="24"/>
              </w:rPr>
              <w:t>Race’, ethnic heritage including Gypsy, Roma, Travellers</w:t>
            </w:r>
          </w:p>
        </w:tc>
        <w:tc>
          <w:tcPr>
            <w:tcW w:w="2123" w:type="dxa"/>
          </w:tcPr>
          <w:p w14:paraId="13C502E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080C859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There is a higher proportion of Black and Black British people in our rough sleeping population compared to the local population (6% vs 2%) as such any proposal impacting rough sleepers will disproportionately negatively impact the Black and Black British demographic.</w:t>
            </w:r>
          </w:p>
          <w:p w14:paraId="636D1A5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This will be impacted by national immigration policy and included individuals with no recourse to public funds. </w:t>
            </w:r>
          </w:p>
          <w:p w14:paraId="6B984F7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Note this numbers are small 56 out of 644 individuals in 2023/4.</w:t>
            </w:r>
          </w:p>
        </w:tc>
      </w:tr>
      <w:tr w:rsidR="000729CF" w:rsidRPr="000729CF" w14:paraId="44427F6F" w14:textId="77777777" w:rsidTr="000729CF">
        <w:trPr>
          <w:trHeight w:val="20"/>
        </w:trPr>
        <w:tc>
          <w:tcPr>
            <w:tcW w:w="2985" w:type="dxa"/>
            <w:shd w:val="clear" w:color="auto" w:fill="E7E6E6"/>
          </w:tcPr>
          <w:p w14:paraId="4B91B64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Religion, Spirituality, Faith, Atheism, and philosophical belief </w:t>
            </w:r>
          </w:p>
        </w:tc>
        <w:tc>
          <w:tcPr>
            <w:tcW w:w="2123" w:type="dxa"/>
          </w:tcPr>
          <w:p w14:paraId="300AA65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Unknown </w:t>
            </w:r>
          </w:p>
        </w:tc>
        <w:tc>
          <w:tcPr>
            <w:tcW w:w="5377" w:type="dxa"/>
          </w:tcPr>
          <w:p w14:paraId="239C750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data or insight available to determined impact. </w:t>
            </w:r>
          </w:p>
        </w:tc>
      </w:tr>
      <w:tr w:rsidR="000729CF" w:rsidRPr="000729CF" w14:paraId="2F113128" w14:textId="77777777" w:rsidTr="000729CF">
        <w:trPr>
          <w:trHeight w:val="20"/>
        </w:trPr>
        <w:tc>
          <w:tcPr>
            <w:tcW w:w="2985" w:type="dxa"/>
            <w:shd w:val="clear" w:color="auto" w:fill="E7E6E6"/>
          </w:tcPr>
          <w:p w14:paraId="461FA2C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Gender and Sex </w:t>
            </w:r>
            <w:r w:rsidRPr="000729CF">
              <w:rPr>
                <w:rFonts w:ascii="Arial" w:eastAsia="Calibri" w:hAnsi="Arial" w:cs="Arial"/>
                <w:sz w:val="24"/>
                <w:szCs w:val="24"/>
              </w:rPr>
              <w:t>including non-binary and intersex people</w:t>
            </w:r>
          </w:p>
        </w:tc>
        <w:tc>
          <w:tcPr>
            <w:tcW w:w="2123" w:type="dxa"/>
          </w:tcPr>
          <w:p w14:paraId="46B3D9B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7CB4619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In as much that a disproportionately number of men sleep rough compared to their proportion of the general population, all three proposals will have a disproportionately negative impact on men.</w:t>
            </w:r>
          </w:p>
        </w:tc>
      </w:tr>
      <w:tr w:rsidR="000729CF" w:rsidRPr="000729CF" w14:paraId="3E969E3C" w14:textId="77777777" w:rsidTr="000729CF">
        <w:trPr>
          <w:trHeight w:val="20"/>
        </w:trPr>
        <w:tc>
          <w:tcPr>
            <w:tcW w:w="2985" w:type="dxa"/>
            <w:shd w:val="clear" w:color="auto" w:fill="E7E6E6"/>
          </w:tcPr>
          <w:p w14:paraId="419787B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2123" w:type="dxa"/>
          </w:tcPr>
          <w:p w14:paraId="6D3DB26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72F1BAC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There is no identifiable gender reassignment related disproportionate impact of the loss of all three services.</w:t>
            </w:r>
          </w:p>
        </w:tc>
      </w:tr>
      <w:tr w:rsidR="000729CF" w:rsidRPr="000729CF" w14:paraId="5B96B938" w14:textId="77777777" w:rsidTr="000729CF">
        <w:trPr>
          <w:trHeight w:val="20"/>
        </w:trPr>
        <w:tc>
          <w:tcPr>
            <w:tcW w:w="2985" w:type="dxa"/>
            <w:shd w:val="clear" w:color="auto" w:fill="E7E6E6"/>
          </w:tcPr>
          <w:p w14:paraId="3341441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2123" w:type="dxa"/>
          </w:tcPr>
          <w:p w14:paraId="69DD9CC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75D3DB7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There is no identifiable sexual orientation related disproportionate impact of the loss of all three services.</w:t>
            </w:r>
          </w:p>
        </w:tc>
      </w:tr>
      <w:tr w:rsidR="000729CF" w:rsidRPr="000729CF" w14:paraId="5AAC4091" w14:textId="77777777" w:rsidTr="000729CF">
        <w:trPr>
          <w:trHeight w:val="20"/>
        </w:trPr>
        <w:tc>
          <w:tcPr>
            <w:tcW w:w="2985" w:type="dxa"/>
            <w:shd w:val="clear" w:color="auto" w:fill="E7E6E6"/>
          </w:tcPr>
          <w:p w14:paraId="404C8FA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2123" w:type="dxa"/>
          </w:tcPr>
          <w:p w14:paraId="542FF29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4E7ADE3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There is no identifiable marriage or civil partnership related disproportionate impact of the loss of all three services.</w:t>
            </w:r>
          </w:p>
        </w:tc>
      </w:tr>
      <w:tr w:rsidR="000729CF" w:rsidRPr="000729CF" w14:paraId="4185D00A" w14:textId="77777777" w:rsidTr="000729CF">
        <w:trPr>
          <w:trHeight w:val="20"/>
        </w:trPr>
        <w:tc>
          <w:tcPr>
            <w:tcW w:w="2985" w:type="dxa"/>
            <w:shd w:val="clear" w:color="auto" w:fill="E7E6E6"/>
          </w:tcPr>
          <w:p w14:paraId="1D35F14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Pregnancy, Maternity, Paternity, Adoption, Menopause, (In)fertility </w:t>
            </w:r>
            <w:r w:rsidRPr="000729CF">
              <w:rPr>
                <w:rFonts w:ascii="Arial" w:eastAsia="Calibri" w:hAnsi="Arial" w:cs="Arial"/>
                <w:color w:val="000000"/>
                <w:sz w:val="24"/>
                <w:szCs w:val="24"/>
              </w:rPr>
              <w:t>(across intersections and non-binary gender spectrum)</w:t>
            </w:r>
          </w:p>
        </w:tc>
        <w:tc>
          <w:tcPr>
            <w:tcW w:w="2123" w:type="dxa"/>
          </w:tcPr>
          <w:p w14:paraId="39766BF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0F18B28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There is no identifiable </w:t>
            </w:r>
            <w:r w:rsidRPr="000729CF">
              <w:rPr>
                <w:rFonts w:ascii="Arial" w:eastAsia="Calibri" w:hAnsi="Arial" w:cs="Arial"/>
                <w:color w:val="000000"/>
                <w:sz w:val="24"/>
                <w:szCs w:val="24"/>
              </w:rPr>
              <w:t xml:space="preserve">Pregnancy, Maternity, Paternity, Adoption, Menopause or (In)fertility </w:t>
            </w:r>
            <w:r w:rsidRPr="000729CF">
              <w:rPr>
                <w:rFonts w:ascii="Arial" w:eastAsia="Calibri" w:hAnsi="Arial" w:cs="Arial"/>
                <w:sz w:val="24"/>
                <w:szCs w:val="24"/>
              </w:rPr>
              <w:t>related disproportionate impact of the loss of any of the three services.</w:t>
            </w:r>
          </w:p>
        </w:tc>
      </w:tr>
      <w:tr w:rsidR="000729CF" w:rsidRPr="000729CF" w14:paraId="21745DC1" w14:textId="77777777" w:rsidTr="000729CF">
        <w:trPr>
          <w:trHeight w:val="20"/>
        </w:trPr>
        <w:tc>
          <w:tcPr>
            <w:tcW w:w="2985" w:type="dxa"/>
            <w:shd w:val="clear" w:color="auto" w:fill="E7E6E6"/>
          </w:tcPr>
          <w:p w14:paraId="458AF82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2123" w:type="dxa"/>
          </w:tcPr>
          <w:p w14:paraId="7F5EFF4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7A74447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There is no identifiable Armed Forces Personnel, their families or Veterans related disproportionate impact of the loss of all three services, </w:t>
            </w:r>
          </w:p>
          <w:p w14:paraId="5972BAC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However, it should also be noted that disability (as per this context) is a vulnerability which will be taken into consideration when determining ‘priority need’, and through this a duty to provide interim accommodation.</w:t>
            </w:r>
          </w:p>
        </w:tc>
      </w:tr>
      <w:tr w:rsidR="000729CF" w:rsidRPr="000729CF" w14:paraId="6948BCFF" w14:textId="77777777" w:rsidTr="000729CF">
        <w:trPr>
          <w:trHeight w:val="20"/>
        </w:trPr>
        <w:tc>
          <w:tcPr>
            <w:tcW w:w="2985" w:type="dxa"/>
            <w:shd w:val="clear" w:color="auto" w:fill="E7E6E6"/>
          </w:tcPr>
          <w:p w14:paraId="083D7974" w14:textId="77777777" w:rsidR="000729CF" w:rsidRPr="000729CF" w:rsidRDefault="000729CF" w:rsidP="000729CF">
            <w:pPr>
              <w:spacing w:after="120"/>
              <w:rPr>
                <w:rFonts w:ascii="Arial" w:eastAsia="Calibri" w:hAnsi="Arial" w:cs="Arial"/>
                <w:b/>
                <w:bCs/>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r w:rsidRPr="000729CF">
              <w:rPr>
                <w:rFonts w:ascii="Arial" w:hAnsi="Arial" w:cs="Arial"/>
                <w:color w:val="000000"/>
                <w:sz w:val="24"/>
                <w:szCs w:val="24"/>
              </w:rPr>
              <w:t>considering for age, language, and various intersections</w:t>
            </w:r>
          </w:p>
        </w:tc>
        <w:tc>
          <w:tcPr>
            <w:tcW w:w="2123" w:type="dxa"/>
          </w:tcPr>
          <w:p w14:paraId="3968FD6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0BCF37D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There is no identifiable Expatriates, Migrants, Asylum Seekers or Refugees related disproportionate impact of the St. Pats or First Base Reconnection service losses.</w:t>
            </w:r>
          </w:p>
          <w:p w14:paraId="279DBC2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loss of the Young Person’s Housing Advice Service will disproportionately negatively affect migrants, asylum seekers and refugees as they contribute, relative to their composition of the local population, a greater proportion of the demographic utilising this service.</w:t>
            </w:r>
          </w:p>
        </w:tc>
      </w:tr>
      <w:tr w:rsidR="000729CF" w:rsidRPr="000729CF" w14:paraId="7C0DEBE6" w14:textId="77777777" w:rsidTr="000729CF">
        <w:trPr>
          <w:trHeight w:val="20"/>
        </w:trPr>
        <w:tc>
          <w:tcPr>
            <w:tcW w:w="2985" w:type="dxa"/>
            <w:shd w:val="clear" w:color="auto" w:fill="E7E6E6"/>
          </w:tcPr>
          <w:p w14:paraId="26877AC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Carers </w:t>
            </w:r>
            <w:r w:rsidRPr="000729CF">
              <w:rPr>
                <w:rFonts w:ascii="Arial" w:hAnsi="Arial" w:cs="Arial"/>
                <w:color w:val="000000"/>
                <w:sz w:val="24"/>
                <w:szCs w:val="24"/>
              </w:rPr>
              <w:t>considering for age, language, and various intersections</w:t>
            </w:r>
          </w:p>
        </w:tc>
        <w:tc>
          <w:tcPr>
            <w:tcW w:w="2123" w:type="dxa"/>
          </w:tcPr>
          <w:p w14:paraId="367CD1B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6D87567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There is no identifiable carers related disproportionate impact of the loss of all three services, it will negatively impact equally across the cohort, in which carers are, relative to their composition of the local population, likely under-represented.</w:t>
            </w:r>
          </w:p>
        </w:tc>
      </w:tr>
      <w:tr w:rsidR="000729CF" w:rsidRPr="000729CF" w14:paraId="4183D3AD" w14:textId="77777777" w:rsidTr="000729CF">
        <w:trPr>
          <w:trHeight w:val="20"/>
        </w:trPr>
        <w:tc>
          <w:tcPr>
            <w:tcW w:w="2985" w:type="dxa"/>
            <w:shd w:val="clear" w:color="auto" w:fill="E7E6E6"/>
          </w:tcPr>
          <w:p w14:paraId="3D1FC560"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 xml:space="preserve">Looked after children, Care Leavers, Care and fostering experienced people </w:t>
            </w:r>
            <w:r w:rsidRPr="000729CF">
              <w:rPr>
                <w:rFonts w:ascii="Arial" w:hAnsi="Arial" w:cs="Arial"/>
                <w:color w:val="000000"/>
                <w:sz w:val="24"/>
                <w:szCs w:val="24"/>
              </w:rPr>
              <w:t>considering for age, language, and various intersections</w:t>
            </w:r>
          </w:p>
        </w:tc>
        <w:tc>
          <w:tcPr>
            <w:tcW w:w="2123" w:type="dxa"/>
          </w:tcPr>
          <w:p w14:paraId="06E3C03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6A524E6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There is no identifiable Looked after children, Care Leavers, Care or fostering experienced people related disproportionate impact of the St. Pats or First Base Reconnection service losses.</w:t>
            </w:r>
          </w:p>
          <w:p w14:paraId="7297B83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council already offers additional provision to care experienced young people. As well as a statutory duty being owed (in some circumstances), former care leavers are a recognised priority group within the Allocations Policy, and under the TA Placements Policy, prioritised for transfer back into Brighton &amp; Hove if (by exception) they are initially placed outside the city. Care experienced young people are also only offered non-contained TA, when self-contained is not available, and again prioritised for a transfer when a self-contained unit is identified. The ‘16/17 year old protocol’ (‘Southwark Judgement’) has been re-written in conjunction with Children’s Social Care, and a revised ‘Care Leavers Housing Protocol’ is due to be approved in the next month (again in conjunction with FCL)</w:t>
            </w:r>
          </w:p>
        </w:tc>
      </w:tr>
      <w:tr w:rsidR="000729CF" w:rsidRPr="000729CF" w14:paraId="1A9BB014" w14:textId="77777777" w:rsidTr="000729CF">
        <w:trPr>
          <w:trHeight w:val="20"/>
        </w:trPr>
        <w:tc>
          <w:tcPr>
            <w:tcW w:w="2985" w:type="dxa"/>
            <w:shd w:val="clear" w:color="auto" w:fill="E7E6E6"/>
          </w:tcPr>
          <w:p w14:paraId="795C73A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w:t>
            </w:r>
          </w:p>
        </w:tc>
        <w:tc>
          <w:tcPr>
            <w:tcW w:w="2123" w:type="dxa"/>
          </w:tcPr>
          <w:p w14:paraId="6ACEC04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18B2B37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There is no identifiable domestic and/or sexual abuse and violence survivors related disproportionate impact of the loss of all three services.</w:t>
            </w:r>
          </w:p>
        </w:tc>
      </w:tr>
      <w:tr w:rsidR="000729CF" w:rsidRPr="000729CF" w14:paraId="68B1E3DF" w14:textId="77777777" w:rsidTr="000729CF">
        <w:trPr>
          <w:trHeight w:val="20"/>
        </w:trPr>
        <w:tc>
          <w:tcPr>
            <w:tcW w:w="2985" w:type="dxa"/>
            <w:shd w:val="clear" w:color="auto" w:fill="E7E6E6"/>
          </w:tcPr>
          <w:p w14:paraId="61BEAC8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Socio-economic disadvantage </w:t>
            </w:r>
            <w:r w:rsidRPr="000729CF">
              <w:rPr>
                <w:rFonts w:ascii="Arial" w:eastAsia="Calibri" w:hAnsi="Arial" w:cs="Arial"/>
                <w:color w:val="000000"/>
                <w:sz w:val="24"/>
                <w:szCs w:val="24"/>
              </w:rPr>
              <w:t>considering for age, disability, D/deaf/ blind, ethnicity, expatriate background, and various intersections</w:t>
            </w:r>
          </w:p>
        </w:tc>
        <w:tc>
          <w:tcPr>
            <w:tcW w:w="2123" w:type="dxa"/>
          </w:tcPr>
          <w:p w14:paraId="6AEEB3C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6272C9B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In as much as there is a far greater prevalence of socio-economic disadvantage among those using these services, compared to its prevalence in the local general population, the loss of all three services will have a disproportionately negative impact on people experiencing socio-economic disadvantage.</w:t>
            </w:r>
          </w:p>
        </w:tc>
      </w:tr>
      <w:tr w:rsidR="000729CF" w:rsidRPr="000729CF" w14:paraId="68D1A5EB" w14:textId="77777777" w:rsidTr="000729CF">
        <w:trPr>
          <w:trHeight w:val="20"/>
        </w:trPr>
        <w:tc>
          <w:tcPr>
            <w:tcW w:w="2985" w:type="dxa"/>
            <w:shd w:val="clear" w:color="auto" w:fill="E7E6E6"/>
          </w:tcPr>
          <w:p w14:paraId="0B7FD32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Homeless and rough sleepers </w:t>
            </w:r>
            <w:r w:rsidRPr="000729CF">
              <w:rPr>
                <w:rFonts w:ascii="Arial" w:eastAsia="Calibri" w:hAnsi="Arial" w:cs="Arial"/>
                <w:color w:val="000000"/>
                <w:sz w:val="24"/>
                <w:szCs w:val="24"/>
              </w:rPr>
              <w:t>considering for age, veteran, ethnicity, language, and various intersections</w:t>
            </w:r>
          </w:p>
        </w:tc>
        <w:tc>
          <w:tcPr>
            <w:tcW w:w="2123" w:type="dxa"/>
          </w:tcPr>
          <w:p w14:paraId="41D463A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0BFFA10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In as much as all three services specifically meet the needs of single homeless and rough sleepers, the loss of all three services will have a disproportionately negative impact on single homeless and rough sleepers.</w:t>
            </w:r>
          </w:p>
        </w:tc>
      </w:tr>
      <w:tr w:rsidR="000729CF" w:rsidRPr="000729CF" w14:paraId="3D6DEF60" w14:textId="77777777" w:rsidTr="000729CF">
        <w:trPr>
          <w:trHeight w:val="20"/>
        </w:trPr>
        <w:tc>
          <w:tcPr>
            <w:tcW w:w="2985" w:type="dxa"/>
            <w:shd w:val="clear" w:color="auto" w:fill="E7E6E6"/>
          </w:tcPr>
          <w:p w14:paraId="4DD7056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2123" w:type="dxa"/>
          </w:tcPr>
          <w:p w14:paraId="4CF83DB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6A64F09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There is no identifiable human rights related disproportionate impact of the loss of all three services, it will negatively impact equally across the cohort.</w:t>
            </w:r>
          </w:p>
        </w:tc>
      </w:tr>
      <w:tr w:rsidR="000729CF" w:rsidRPr="000729CF" w14:paraId="72E41187" w14:textId="77777777" w:rsidTr="000729CF">
        <w:trPr>
          <w:trHeight w:val="20"/>
        </w:trPr>
        <w:tc>
          <w:tcPr>
            <w:tcW w:w="2985" w:type="dxa"/>
            <w:shd w:val="clear" w:color="auto" w:fill="E7E6E6"/>
          </w:tcPr>
          <w:p w14:paraId="3D8503A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 (please specify here and add additional rows as needed)</w:t>
            </w:r>
          </w:p>
        </w:tc>
        <w:tc>
          <w:tcPr>
            <w:tcW w:w="2123" w:type="dxa"/>
          </w:tcPr>
          <w:p w14:paraId="32E9E5FA" w14:textId="77777777" w:rsidR="000729CF" w:rsidRPr="000729CF" w:rsidRDefault="000729CF" w:rsidP="000729CF">
            <w:pPr>
              <w:spacing w:after="120"/>
              <w:rPr>
                <w:rFonts w:ascii="Arial" w:eastAsia="Calibri" w:hAnsi="Arial" w:cs="Arial"/>
                <w:sz w:val="24"/>
                <w:szCs w:val="24"/>
              </w:rPr>
            </w:pPr>
          </w:p>
        </w:tc>
        <w:tc>
          <w:tcPr>
            <w:tcW w:w="5377" w:type="dxa"/>
          </w:tcPr>
          <w:p w14:paraId="52286629" w14:textId="77777777" w:rsidR="000729CF" w:rsidRPr="000729CF" w:rsidRDefault="000729CF" w:rsidP="000729CF">
            <w:pPr>
              <w:spacing w:after="120"/>
              <w:rPr>
                <w:rFonts w:ascii="Arial" w:eastAsia="Calibri" w:hAnsi="Arial" w:cs="Arial"/>
                <w:sz w:val="24"/>
                <w:szCs w:val="24"/>
              </w:rPr>
            </w:pPr>
          </w:p>
        </w:tc>
      </w:tr>
    </w:tbl>
    <w:p w14:paraId="328151B1" w14:textId="77777777" w:rsidR="000729CF" w:rsidRPr="000729CF" w:rsidRDefault="000729CF" w:rsidP="000729CF">
      <w:pPr>
        <w:spacing w:after="160" w:line="259" w:lineRule="auto"/>
        <w:rPr>
          <w:rFonts w:ascii="Arial" w:eastAsia="Calibri" w:hAnsi="Arial" w:cs="Arial"/>
          <w:b/>
          <w:bCs/>
          <w:sz w:val="24"/>
          <w:szCs w:val="24"/>
          <w:lang w:val="en-GB"/>
        </w:rPr>
      </w:pPr>
    </w:p>
    <w:p w14:paraId="2627D1A3"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60A227FD"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47E50394"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37C72978"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6E8EBF3A"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754AFDB7"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58F45A2D"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31346490"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4202B796"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7D49D612"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14A675EA" w14:textId="77777777" w:rsidR="000729CF" w:rsidRPr="000729CF" w:rsidRDefault="000729CF" w:rsidP="000729CF">
      <w:pPr>
        <w:rPr>
          <w:rFonts w:ascii="Arial" w:eastAsia="Calibri" w:hAnsi="Arial" w:cs="Arial"/>
          <w:sz w:val="24"/>
          <w:szCs w:val="24"/>
          <w:lang w:val="en-GB"/>
        </w:rPr>
      </w:pPr>
    </w:p>
    <w:p w14:paraId="510651C5"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Cumulative impacts</w:t>
      </w:r>
    </w:p>
    <w:p w14:paraId="7A7BE282"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Are there other budget proposals from other service areas that might worsen or mitigate the impacts from your proposal? Please give a brief description including name of other service(s).</w:t>
      </w:r>
    </w:p>
    <w:tbl>
      <w:tblPr>
        <w:tblStyle w:val="TableGrid"/>
        <w:tblW w:w="0" w:type="auto"/>
        <w:tblLook w:val="04A0" w:firstRow="1" w:lastRow="0" w:firstColumn="1" w:lastColumn="0" w:noHBand="0" w:noVBand="1"/>
      </w:tblPr>
      <w:tblGrid>
        <w:gridCol w:w="10456"/>
      </w:tblGrid>
      <w:tr w:rsidR="000729CF" w:rsidRPr="000729CF" w14:paraId="03ACD85B" w14:textId="77777777" w:rsidTr="00BC26AB">
        <w:tc>
          <w:tcPr>
            <w:tcW w:w="10456" w:type="dxa"/>
          </w:tcPr>
          <w:p w14:paraId="7DAD7D4C"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None know</w:t>
            </w:r>
          </w:p>
        </w:tc>
      </w:tr>
    </w:tbl>
    <w:p w14:paraId="18F4C565" w14:textId="77777777" w:rsidR="000729CF" w:rsidRPr="000729CF" w:rsidRDefault="000729CF" w:rsidP="000729CF">
      <w:pPr>
        <w:spacing w:after="160" w:line="259" w:lineRule="auto"/>
        <w:rPr>
          <w:rFonts w:ascii="Arial" w:eastAsia="Calibri" w:hAnsi="Arial" w:cs="Arial"/>
          <w:sz w:val="24"/>
          <w:szCs w:val="24"/>
          <w:lang w:val="en-GB"/>
        </w:rPr>
      </w:pPr>
    </w:p>
    <w:p w14:paraId="01457F39"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Action planning</w:t>
      </w:r>
    </w:p>
    <w:p w14:paraId="622E64C7"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SMART actions will be taken to mitigate the disproportionate impacts identified in section 3? If no mitigating action is possible, please state and explain why. Add additional rows as required. </w:t>
      </w:r>
    </w:p>
    <w:tbl>
      <w:tblPr>
        <w:tblStyle w:val="TableGrid"/>
        <w:tblW w:w="0" w:type="auto"/>
        <w:tblLook w:val="04A0" w:firstRow="1" w:lastRow="0" w:firstColumn="1" w:lastColumn="0" w:noHBand="0" w:noVBand="1"/>
      </w:tblPr>
      <w:tblGrid>
        <w:gridCol w:w="10456"/>
      </w:tblGrid>
      <w:tr w:rsidR="000729CF" w:rsidRPr="000729CF" w14:paraId="444373FE" w14:textId="77777777" w:rsidTr="00BC26AB">
        <w:trPr>
          <w:trHeight w:val="847"/>
        </w:trPr>
        <w:tc>
          <w:tcPr>
            <w:tcW w:w="10456" w:type="dxa"/>
          </w:tcPr>
          <w:p w14:paraId="28DD138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SMART action 1: The council is actively pursuing the possibility of repurposing/bidding for future Rough Sleeper Initiative grant funding to grant fund the day centre activities of First Base.</w:t>
            </w:r>
          </w:p>
        </w:tc>
      </w:tr>
      <w:tr w:rsidR="000729CF" w:rsidRPr="000729CF" w14:paraId="3CE93A0D" w14:textId="77777777" w:rsidTr="00BC26AB">
        <w:trPr>
          <w:trHeight w:val="847"/>
        </w:trPr>
        <w:tc>
          <w:tcPr>
            <w:tcW w:w="10456" w:type="dxa"/>
          </w:tcPr>
          <w:p w14:paraId="6AC5AF7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further mitigation actions are available due to: (1) We have no alternative building to which to move the St. Pats service, which is suitable and within resources. If a suitable building within resources were identified, this could be reviewed.</w:t>
            </w:r>
          </w:p>
        </w:tc>
      </w:tr>
    </w:tbl>
    <w:p w14:paraId="5A64EC0C" w14:textId="77777777" w:rsidR="000729CF" w:rsidRPr="000729CF" w:rsidRDefault="000729CF" w:rsidP="000729CF">
      <w:pPr>
        <w:spacing w:after="160" w:line="259" w:lineRule="auto"/>
        <w:rPr>
          <w:rFonts w:ascii="Arial" w:eastAsia="Calibri" w:hAnsi="Arial" w:cs="Arial"/>
          <w:sz w:val="24"/>
          <w:szCs w:val="24"/>
          <w:lang w:val="en-GB"/>
        </w:rPr>
      </w:pPr>
    </w:p>
    <w:p w14:paraId="6CC074B4"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Outcome of your assessment</w:t>
      </w:r>
    </w:p>
    <w:p w14:paraId="2E4A1042"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Based on the information above give the proposal an impact score between 1 – 5. </w:t>
      </w:r>
    </w:p>
    <w:p w14:paraId="6A5E78FC"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1= proposal has minimal impact and/or mitigating actions will significantly minimise the impact</w:t>
      </w:r>
    </w:p>
    <w:p w14:paraId="4554408D"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3= proposal will have a significant negative impact; however, mitigation actions will reduce the impact considerably.</w:t>
      </w:r>
    </w:p>
    <w:p w14:paraId="4C3D355E"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5= proposal has significant impact and mitigating actions will have limited effect on reducing impact.</w:t>
      </w:r>
    </w:p>
    <w:p w14:paraId="63353050" w14:textId="77777777" w:rsidR="000729CF" w:rsidRPr="000729CF" w:rsidRDefault="000729CF" w:rsidP="000729CF">
      <w:pPr>
        <w:rPr>
          <w:rFonts w:ascii="Arial" w:eastAsia="Calibri" w:hAnsi="Arial" w:cs="Arial"/>
          <w:sz w:val="24"/>
          <w:szCs w:val="24"/>
          <w:highlight w:val="yellow"/>
          <w:lang w:val="en-GB"/>
        </w:rPr>
      </w:pPr>
    </w:p>
    <w:tbl>
      <w:tblPr>
        <w:tblStyle w:val="TableGrid"/>
        <w:tblW w:w="0" w:type="auto"/>
        <w:tblLook w:val="04A0" w:firstRow="1" w:lastRow="0" w:firstColumn="1" w:lastColumn="0" w:noHBand="0" w:noVBand="1"/>
      </w:tblPr>
      <w:tblGrid>
        <w:gridCol w:w="3114"/>
        <w:gridCol w:w="7342"/>
      </w:tblGrid>
      <w:tr w:rsidR="000729CF" w:rsidRPr="000729CF" w14:paraId="735506B7" w14:textId="77777777" w:rsidTr="00BC26AB">
        <w:trPr>
          <w:trHeight w:val="152"/>
        </w:trPr>
        <w:tc>
          <w:tcPr>
            <w:tcW w:w="3114" w:type="dxa"/>
          </w:tcPr>
          <w:p w14:paraId="0A8B4CC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Proposal’s impact score:</w:t>
            </w:r>
          </w:p>
        </w:tc>
        <w:tc>
          <w:tcPr>
            <w:tcW w:w="7342" w:type="dxa"/>
          </w:tcPr>
          <w:p w14:paraId="1D0C138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3</w:t>
            </w:r>
          </w:p>
        </w:tc>
      </w:tr>
    </w:tbl>
    <w:p w14:paraId="1FEF85EE" w14:textId="77777777" w:rsidR="000729CF" w:rsidRPr="000729CF" w:rsidRDefault="000729CF" w:rsidP="000729CF">
      <w:pPr>
        <w:spacing w:after="160" w:line="259" w:lineRule="auto"/>
        <w:rPr>
          <w:rFonts w:ascii="Arial" w:eastAsia="Calibri" w:hAnsi="Arial" w:cs="Arial"/>
          <w:sz w:val="24"/>
          <w:szCs w:val="24"/>
          <w:lang w:val="en-GB"/>
        </w:rPr>
      </w:pPr>
    </w:p>
    <w:p w14:paraId="42F1C138"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Publication</w:t>
      </w:r>
    </w:p>
    <w:p w14:paraId="4F8E5F4E"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All Equality Impact Assessments will be published. If you are recommending, and choosing not to publish your EIA, please provide a reason:</w:t>
      </w:r>
    </w:p>
    <w:tbl>
      <w:tblPr>
        <w:tblStyle w:val="TableGrid"/>
        <w:tblW w:w="0" w:type="auto"/>
        <w:tblLook w:val="04A0" w:firstRow="1" w:lastRow="0" w:firstColumn="1" w:lastColumn="0" w:noHBand="0" w:noVBand="1"/>
      </w:tblPr>
      <w:tblGrid>
        <w:gridCol w:w="10456"/>
      </w:tblGrid>
      <w:tr w:rsidR="000729CF" w:rsidRPr="000729CF" w14:paraId="0A1D97C4" w14:textId="77777777" w:rsidTr="00BC26AB">
        <w:trPr>
          <w:trHeight w:val="803"/>
        </w:trPr>
        <w:tc>
          <w:tcPr>
            <w:tcW w:w="10456" w:type="dxa"/>
          </w:tcPr>
          <w:p w14:paraId="23EB04A3" w14:textId="77777777" w:rsidR="000729CF" w:rsidRPr="000729CF" w:rsidRDefault="000729CF" w:rsidP="000729CF">
            <w:pPr>
              <w:spacing w:after="120"/>
              <w:rPr>
                <w:rFonts w:ascii="Arial" w:eastAsia="Calibri" w:hAnsi="Arial" w:cs="Arial"/>
                <w:sz w:val="24"/>
                <w:szCs w:val="24"/>
              </w:rPr>
            </w:pPr>
          </w:p>
        </w:tc>
      </w:tr>
    </w:tbl>
    <w:p w14:paraId="2C53F6AC" w14:textId="77777777" w:rsidR="000729CF" w:rsidRPr="000729CF" w:rsidRDefault="000729CF" w:rsidP="000729CF">
      <w:pPr>
        <w:spacing w:after="160" w:line="259" w:lineRule="auto"/>
        <w:rPr>
          <w:rFonts w:ascii="Arial" w:eastAsia="Calibri" w:hAnsi="Arial" w:cs="Arial"/>
          <w:sz w:val="24"/>
          <w:szCs w:val="24"/>
          <w:lang w:val="en-GB"/>
        </w:rPr>
      </w:pPr>
    </w:p>
    <w:p w14:paraId="2C2AEE5D"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Directorate and Service Approval</w:t>
      </w:r>
    </w:p>
    <w:tbl>
      <w:tblPr>
        <w:tblStyle w:val="TableGrid"/>
        <w:tblW w:w="0" w:type="auto"/>
        <w:tblLook w:val="04A0" w:firstRow="1" w:lastRow="0" w:firstColumn="1" w:lastColumn="0" w:noHBand="0" w:noVBand="1"/>
      </w:tblPr>
      <w:tblGrid>
        <w:gridCol w:w="3681"/>
        <w:gridCol w:w="4394"/>
        <w:gridCol w:w="2381"/>
      </w:tblGrid>
      <w:tr w:rsidR="000729CF" w:rsidRPr="000729CF" w14:paraId="33CE23DD" w14:textId="77777777" w:rsidTr="000729CF">
        <w:trPr>
          <w:trHeight w:val="20"/>
        </w:trPr>
        <w:tc>
          <w:tcPr>
            <w:tcW w:w="3681" w:type="dxa"/>
            <w:tcBorders>
              <w:bottom w:val="single" w:sz="4" w:space="0" w:color="auto"/>
            </w:tcBorders>
            <w:shd w:val="clear" w:color="auto" w:fill="D9D9D9"/>
          </w:tcPr>
          <w:p w14:paraId="0607436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5FB0685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 and Job Title:</w:t>
            </w:r>
          </w:p>
        </w:tc>
        <w:tc>
          <w:tcPr>
            <w:tcW w:w="2381" w:type="dxa"/>
            <w:shd w:val="clear" w:color="auto" w:fill="D9D9D9"/>
          </w:tcPr>
          <w:p w14:paraId="0D9F500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2E3A8BB0" w14:textId="77777777" w:rsidTr="000729CF">
        <w:trPr>
          <w:trHeight w:val="20"/>
        </w:trPr>
        <w:tc>
          <w:tcPr>
            <w:tcW w:w="3681" w:type="dxa"/>
            <w:shd w:val="clear" w:color="auto" w:fill="E7E6E6"/>
          </w:tcPr>
          <w:p w14:paraId="0642B0C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Responsible Lead Officer:</w:t>
            </w:r>
          </w:p>
        </w:tc>
        <w:tc>
          <w:tcPr>
            <w:tcW w:w="4394" w:type="dxa"/>
          </w:tcPr>
          <w:p w14:paraId="47846D7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Adam Salmon Rough Sleeping and Single Homeless Commissioning Lead</w:t>
            </w:r>
          </w:p>
        </w:tc>
        <w:tc>
          <w:tcPr>
            <w:tcW w:w="2381" w:type="dxa"/>
          </w:tcPr>
          <w:p w14:paraId="3E67C69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24-01-24</w:t>
            </w:r>
          </w:p>
        </w:tc>
      </w:tr>
      <w:tr w:rsidR="000729CF" w:rsidRPr="000729CF" w14:paraId="14CC4758" w14:textId="77777777" w:rsidTr="000729CF">
        <w:trPr>
          <w:trHeight w:val="20"/>
        </w:trPr>
        <w:tc>
          <w:tcPr>
            <w:tcW w:w="3681" w:type="dxa"/>
            <w:shd w:val="clear" w:color="auto" w:fill="E7E6E6"/>
          </w:tcPr>
          <w:p w14:paraId="170DA9F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Accountable Manager:</w:t>
            </w:r>
          </w:p>
        </w:tc>
        <w:tc>
          <w:tcPr>
            <w:tcW w:w="4394" w:type="dxa"/>
          </w:tcPr>
          <w:p w14:paraId="023D559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Paul Cooper Assistant Director Housing Needs and Supply</w:t>
            </w:r>
          </w:p>
        </w:tc>
        <w:tc>
          <w:tcPr>
            <w:tcW w:w="2381" w:type="dxa"/>
          </w:tcPr>
          <w:p w14:paraId="0608A5C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24-01-24</w:t>
            </w:r>
          </w:p>
        </w:tc>
      </w:tr>
    </w:tbl>
    <w:p w14:paraId="7BD9BE18" w14:textId="77777777" w:rsidR="000729CF" w:rsidRPr="000729CF" w:rsidRDefault="000729CF" w:rsidP="000729CF">
      <w:pPr>
        <w:spacing w:after="160" w:line="259" w:lineRule="auto"/>
        <w:rPr>
          <w:rFonts w:ascii="Arial" w:eastAsia="Calibri" w:hAnsi="Arial" w:cs="Arial"/>
          <w:sz w:val="24"/>
          <w:szCs w:val="24"/>
          <w:lang w:val="en-GB"/>
        </w:rPr>
      </w:pPr>
    </w:p>
    <w:p w14:paraId="6B5E8614" w14:textId="77777777" w:rsidR="000729CF" w:rsidRPr="000729CF" w:rsidRDefault="000729CF" w:rsidP="000729CF">
      <w:pPr>
        <w:keepNext/>
        <w:keepLines/>
        <w:spacing w:before="40" w:after="160" w:line="259" w:lineRule="auto"/>
        <w:outlineLvl w:val="2"/>
        <w:rPr>
          <w:rFonts w:ascii="Arial" w:hAnsi="Arial" w:cs="Arial"/>
          <w:b/>
          <w:bCs/>
          <w:color w:val="000000"/>
          <w:sz w:val="28"/>
          <w:szCs w:val="28"/>
          <w:lang w:val="en-GB"/>
        </w:rPr>
      </w:pPr>
      <w:r w:rsidRPr="000729CF">
        <w:rPr>
          <w:rFonts w:ascii="Arial" w:hAnsi="Arial" w:cs="Arial"/>
          <w:b/>
          <w:bCs/>
          <w:color w:val="000000"/>
          <w:sz w:val="28"/>
          <w:szCs w:val="28"/>
          <w:lang w:val="en-GB"/>
        </w:rPr>
        <w:t>EDI Review and Approval:</w:t>
      </w:r>
    </w:p>
    <w:p w14:paraId="244AB051" w14:textId="77777777" w:rsidR="000729CF" w:rsidRPr="000729CF" w:rsidRDefault="000729CF" w:rsidP="000729CF">
      <w:pPr>
        <w:spacing w:after="160" w:line="259" w:lineRule="auto"/>
        <w:rPr>
          <w:rFonts w:ascii="Arial" w:eastAsia="Calibri" w:hAnsi="Arial" w:cs="Arial"/>
          <w:sz w:val="24"/>
          <w:szCs w:val="24"/>
          <w:lang w:val="en-GB"/>
        </w:rPr>
      </w:pPr>
    </w:p>
    <w:p w14:paraId="605AE16D" w14:textId="77777777" w:rsidR="000729CF" w:rsidRPr="000729CF" w:rsidRDefault="000729CF" w:rsidP="000729CF">
      <w:pPr>
        <w:keepNext/>
        <w:keepLines/>
        <w:spacing w:after="160" w:line="259" w:lineRule="auto"/>
        <w:ind w:left="283" w:hanging="283"/>
        <w:outlineLvl w:val="1"/>
        <w:rPr>
          <w:rFonts w:ascii="Arial" w:hAnsi="Arial" w:cs="Arial"/>
          <w:color w:val="2F5496"/>
          <w:sz w:val="24"/>
          <w:szCs w:val="24"/>
          <w:lang w:val="en-GB"/>
        </w:rPr>
      </w:pPr>
      <w:r w:rsidRPr="000729CF">
        <w:rPr>
          <w:rFonts w:ascii="Arial" w:hAnsi="Arial" w:cs="Arial"/>
          <w:color w:val="2F5496"/>
          <w:sz w:val="24"/>
          <w:szCs w:val="24"/>
          <w:lang w:val="en-GB"/>
        </w:rPr>
        <w:t>Equality Impact Assessment sign-off</w:t>
      </w:r>
    </w:p>
    <w:tbl>
      <w:tblPr>
        <w:tblStyle w:val="TableGrid"/>
        <w:tblW w:w="0" w:type="auto"/>
        <w:tblLook w:val="04A0" w:firstRow="1" w:lastRow="0" w:firstColumn="1" w:lastColumn="0" w:noHBand="0" w:noVBand="1"/>
      </w:tblPr>
      <w:tblGrid>
        <w:gridCol w:w="3681"/>
        <w:gridCol w:w="4394"/>
        <w:gridCol w:w="2381"/>
      </w:tblGrid>
      <w:tr w:rsidR="000729CF" w:rsidRPr="000729CF" w14:paraId="734172E9" w14:textId="77777777" w:rsidTr="000729CF">
        <w:trPr>
          <w:trHeight w:val="20"/>
        </w:trPr>
        <w:tc>
          <w:tcPr>
            <w:tcW w:w="3681" w:type="dxa"/>
            <w:tcBorders>
              <w:bottom w:val="single" w:sz="4" w:space="0" w:color="auto"/>
            </w:tcBorders>
            <w:shd w:val="clear" w:color="auto" w:fill="D9D9D9"/>
          </w:tcPr>
          <w:p w14:paraId="1986EFD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68AAB08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w:t>
            </w:r>
          </w:p>
        </w:tc>
        <w:tc>
          <w:tcPr>
            <w:tcW w:w="2381" w:type="dxa"/>
            <w:shd w:val="clear" w:color="auto" w:fill="D9D9D9"/>
          </w:tcPr>
          <w:p w14:paraId="77437DE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604C423A" w14:textId="77777777" w:rsidTr="000729CF">
        <w:trPr>
          <w:trHeight w:val="20"/>
        </w:trPr>
        <w:tc>
          <w:tcPr>
            <w:tcW w:w="3681" w:type="dxa"/>
            <w:shd w:val="clear" w:color="auto" w:fill="E7E6E6"/>
          </w:tcPr>
          <w:p w14:paraId="30E241D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Head of Communities, Equality, and Third Sector (CETS) Service:</w:t>
            </w:r>
          </w:p>
        </w:tc>
        <w:tc>
          <w:tcPr>
            <w:tcW w:w="4394" w:type="dxa"/>
          </w:tcPr>
          <w:p w14:paraId="7303BB6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Emma McDermott</w:t>
            </w:r>
          </w:p>
        </w:tc>
        <w:tc>
          <w:tcPr>
            <w:tcW w:w="2381" w:type="dxa"/>
          </w:tcPr>
          <w:p w14:paraId="713A2FE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24-01-24</w:t>
            </w:r>
          </w:p>
        </w:tc>
      </w:tr>
    </w:tbl>
    <w:p w14:paraId="68958369" w14:textId="77777777" w:rsidR="000729CF" w:rsidRPr="000729CF" w:rsidRDefault="000729CF" w:rsidP="000729CF">
      <w:pPr>
        <w:rPr>
          <w:rFonts w:ascii="Arial" w:eastAsia="Calibri" w:hAnsi="Arial" w:cs="Arial"/>
          <w:sz w:val="22"/>
          <w:szCs w:val="22"/>
          <w:lang w:val="en-GB"/>
        </w:rPr>
      </w:pPr>
    </w:p>
    <w:p w14:paraId="4ADF32E7" w14:textId="77777777" w:rsidR="000729CF" w:rsidRPr="000729CF" w:rsidRDefault="000729CF" w:rsidP="000729CF">
      <w:pPr>
        <w:spacing w:after="160" w:line="259" w:lineRule="auto"/>
        <w:rPr>
          <w:rFonts w:ascii="Arial" w:eastAsia="Calibri" w:hAnsi="Arial" w:cs="Arial"/>
          <w:b/>
          <w:bCs/>
          <w:sz w:val="24"/>
          <w:szCs w:val="24"/>
          <w:lang w:val="en-GB"/>
        </w:rPr>
      </w:pPr>
    </w:p>
    <w:p w14:paraId="6FB0A700" w14:textId="77777777" w:rsidR="000729CF" w:rsidRPr="000729CF" w:rsidRDefault="000729CF" w:rsidP="000729CF">
      <w:pPr>
        <w:keepNext/>
        <w:keepLines/>
        <w:spacing w:after="160" w:line="259" w:lineRule="auto"/>
        <w:outlineLvl w:val="1"/>
        <w:rPr>
          <w:rFonts w:ascii="Arial" w:eastAsia="Calibri" w:hAnsi="Arial" w:cs="Arial"/>
          <w:sz w:val="24"/>
          <w:szCs w:val="24"/>
          <w:lang w:val="en-GB"/>
        </w:rPr>
      </w:pPr>
    </w:p>
    <w:p w14:paraId="67039818" w14:textId="77777777" w:rsidR="000729CF" w:rsidRPr="000729CF" w:rsidRDefault="000729CF" w:rsidP="000729CF">
      <w:pPr>
        <w:spacing w:after="160" w:line="259" w:lineRule="auto"/>
        <w:rPr>
          <w:rFonts w:ascii="Arial" w:eastAsia="Calibri" w:hAnsi="Arial" w:cs="Arial"/>
          <w:sz w:val="24"/>
          <w:szCs w:val="24"/>
          <w:lang w:val="en-GB"/>
        </w:rPr>
      </w:pPr>
    </w:p>
    <w:p w14:paraId="0FEEBC8B"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br w:type="page"/>
      </w:r>
    </w:p>
    <w:p w14:paraId="54C3E295" w14:textId="77777777" w:rsidR="000729CF" w:rsidRPr="000729CF" w:rsidRDefault="000729CF" w:rsidP="000729CF">
      <w:pPr>
        <w:keepNext/>
        <w:keepLines/>
        <w:spacing w:after="160" w:line="259" w:lineRule="auto"/>
        <w:outlineLvl w:val="0"/>
        <w:rPr>
          <w:rFonts w:ascii="Arial" w:hAnsi="Arial" w:cs="Arial"/>
          <w:b/>
          <w:bCs/>
          <w:color w:val="2F5496"/>
          <w:sz w:val="28"/>
          <w:szCs w:val="28"/>
          <w:lang w:val="en-GB"/>
        </w:rPr>
      </w:pPr>
      <w:r w:rsidRPr="000729CF">
        <w:rPr>
          <w:rFonts w:ascii="Arial" w:hAnsi="Arial" w:cs="Arial"/>
          <w:b/>
          <w:bCs/>
          <w:color w:val="2F5496"/>
          <w:sz w:val="28"/>
          <w:szCs w:val="28"/>
          <w:lang w:val="en-GB"/>
        </w:rPr>
        <w:t>Budget Equality Impact Assessment (EIA) 2024/25 – Service Users</w:t>
      </w:r>
    </w:p>
    <w:p w14:paraId="79D84FE8" w14:textId="77777777" w:rsidR="000729CF" w:rsidRPr="000729CF" w:rsidRDefault="000729CF" w:rsidP="000729CF">
      <w:pPr>
        <w:spacing w:after="160" w:line="259" w:lineRule="auto"/>
        <w:rPr>
          <w:rFonts w:ascii="Arial" w:eastAsia="Calibri" w:hAnsi="Arial" w:cs="Arial"/>
          <w:sz w:val="24"/>
          <w:szCs w:val="24"/>
          <w:lang w:val="en-GB"/>
        </w:rPr>
      </w:pPr>
    </w:p>
    <w:p w14:paraId="7A7E790E" w14:textId="77777777" w:rsidR="000729CF" w:rsidRPr="000729CF" w:rsidRDefault="000729CF" w:rsidP="000729CF">
      <w:pPr>
        <w:spacing w:after="160" w:line="259" w:lineRule="auto"/>
        <w:rPr>
          <w:rFonts w:ascii="Arial" w:eastAsia="Calibri" w:hAnsi="Arial" w:cs="Arial"/>
          <w:sz w:val="24"/>
          <w:szCs w:val="24"/>
          <w:lang w:val="en-GB"/>
        </w:rPr>
      </w:pPr>
    </w:p>
    <w:p w14:paraId="60F6FF00" w14:textId="77777777" w:rsidR="000729CF" w:rsidRPr="000729CF" w:rsidRDefault="000729CF" w:rsidP="000729CF">
      <w:pPr>
        <w:keepNext/>
        <w:keepLines/>
        <w:spacing w:after="160" w:line="259" w:lineRule="auto"/>
        <w:ind w:left="720" w:hanging="360"/>
        <w:outlineLvl w:val="1"/>
        <w:rPr>
          <w:rFonts w:ascii="Arial" w:hAnsi="Arial" w:cs="Arial"/>
          <w:color w:val="2F5496"/>
          <w:sz w:val="24"/>
          <w:szCs w:val="24"/>
          <w:lang w:val="en-GB"/>
        </w:rPr>
      </w:pPr>
      <w:r w:rsidRPr="000729CF">
        <w:rPr>
          <w:rFonts w:ascii="Arial" w:hAnsi="Arial" w:cs="Arial"/>
          <w:color w:val="2F5496"/>
          <w:sz w:val="24"/>
          <w:szCs w:val="24"/>
          <w:lang w:val="en-GB"/>
        </w:rPr>
        <w:t xml:space="preserve">Budget Proposal </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6492"/>
      </w:tblGrid>
      <w:tr w:rsidR="000729CF" w:rsidRPr="000729CF" w14:paraId="4A9ED3B9"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7EA19902"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Title of budget saving being assessed:</w:t>
            </w:r>
          </w:p>
        </w:tc>
        <w:tc>
          <w:tcPr>
            <w:tcW w:w="6492" w:type="dxa"/>
            <w:shd w:val="clear" w:color="auto" w:fill="auto"/>
          </w:tcPr>
          <w:p w14:paraId="1877E527" w14:textId="77777777" w:rsidR="000729CF" w:rsidRPr="000729CF" w:rsidRDefault="000729CF" w:rsidP="000729CF">
            <w:pPr>
              <w:spacing w:after="12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Third Sector Commission (2020-2025)</w:t>
            </w:r>
          </w:p>
        </w:tc>
      </w:tr>
      <w:tr w:rsidR="000729CF" w:rsidRPr="000729CF" w14:paraId="7E775145"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4A2D2FC8"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Name and title of officer responsible for this EIA: </w:t>
            </w:r>
          </w:p>
        </w:tc>
        <w:tc>
          <w:tcPr>
            <w:tcW w:w="6492" w:type="dxa"/>
            <w:shd w:val="clear" w:color="auto" w:fill="auto"/>
          </w:tcPr>
          <w:p w14:paraId="428EE1C0"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729CF">
              <w:rPr>
                <w:rFonts w:ascii="Arial" w:hAnsi="Arial" w:cs="Arial"/>
                <w:sz w:val="24"/>
                <w:szCs w:val="24"/>
              </w:rPr>
              <w:t>Emma McDermott, Head of Communities, Equality and Third Sector</w:t>
            </w:r>
          </w:p>
        </w:tc>
      </w:tr>
      <w:tr w:rsidR="000729CF" w:rsidRPr="000729CF" w14:paraId="014C93CE" w14:textId="77777777" w:rsidTr="000729CF">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4275D20E"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Directorate and Service Name: </w:t>
            </w:r>
          </w:p>
        </w:tc>
        <w:tc>
          <w:tcPr>
            <w:tcW w:w="6492" w:type="dxa"/>
            <w:shd w:val="clear" w:color="auto" w:fill="auto"/>
          </w:tcPr>
          <w:p w14:paraId="3D084505" w14:textId="77777777" w:rsidR="000729CF" w:rsidRPr="000729CF" w:rsidRDefault="000729CF" w:rsidP="000729CF">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 xml:space="preserve">Housing, Neighbourhoods &amp; Communities, Communities, Equality &amp; Third Sector Service </w:t>
            </w:r>
          </w:p>
        </w:tc>
      </w:tr>
      <w:tr w:rsidR="000729CF" w:rsidRPr="000729CF" w14:paraId="5C8C4E93"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71CF0825"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Budget proposal no.</w:t>
            </w:r>
          </w:p>
        </w:tc>
        <w:tc>
          <w:tcPr>
            <w:tcW w:w="6492" w:type="dxa"/>
            <w:shd w:val="clear" w:color="auto" w:fill="auto"/>
          </w:tcPr>
          <w:p w14:paraId="2E786A21"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729CF">
              <w:rPr>
                <w:rFonts w:ascii="Arial" w:hAnsi="Arial" w:cs="Arial"/>
                <w:sz w:val="24"/>
                <w:szCs w:val="24"/>
              </w:rPr>
              <w:t>23</w:t>
            </w:r>
          </w:p>
        </w:tc>
      </w:tr>
    </w:tbl>
    <w:p w14:paraId="0DAF4E66" w14:textId="77777777" w:rsidR="000729CF" w:rsidRPr="000729CF" w:rsidRDefault="000729CF" w:rsidP="000729CF">
      <w:pPr>
        <w:spacing w:after="160" w:line="259" w:lineRule="auto"/>
        <w:rPr>
          <w:rFonts w:ascii="Arial" w:eastAsia="Calibri" w:hAnsi="Arial" w:cs="Arial"/>
          <w:sz w:val="24"/>
          <w:szCs w:val="24"/>
          <w:lang w:val="en-GB"/>
        </w:rPr>
      </w:pPr>
    </w:p>
    <w:p w14:paraId="195F4F3C"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Briefly describe the budget saving proposal: (use the wording in the budget spreadsheet and more detail if needed)</w:t>
      </w:r>
    </w:p>
    <w:tbl>
      <w:tblPr>
        <w:tblStyle w:val="TableGrid"/>
        <w:tblW w:w="0" w:type="auto"/>
        <w:tblLook w:val="04A0" w:firstRow="1" w:lastRow="0" w:firstColumn="1" w:lastColumn="0" w:noHBand="0" w:noVBand="1"/>
      </w:tblPr>
      <w:tblGrid>
        <w:gridCol w:w="10456"/>
      </w:tblGrid>
      <w:tr w:rsidR="000729CF" w:rsidRPr="000729CF" w14:paraId="227E4F69" w14:textId="77777777" w:rsidTr="00BC26AB">
        <w:trPr>
          <w:trHeight w:val="851"/>
        </w:trPr>
        <w:tc>
          <w:tcPr>
            <w:tcW w:w="10456" w:type="dxa"/>
            <w:tcBorders>
              <w:bottom w:val="single" w:sz="4" w:space="0" w:color="auto"/>
            </w:tcBorders>
          </w:tcPr>
          <w:p w14:paraId="786F82C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 Reduction in the net budget of the Third Sector Commission (TSC) by 10% (£182,000)</w:t>
            </w:r>
          </w:p>
          <w:p w14:paraId="68F88E7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iCs/>
                <w:sz w:val="24"/>
                <w:szCs w:val="24"/>
              </w:rPr>
              <w:t xml:space="preserve">The TSC invests strategically in the third sector to deliver against priority outcomes for the council as well infrastructure support to the community and voluntary sector, community development in priority neighbourhoods and citywide, and a community banking partnership to deliver the outcomes of the council’s financial inclusion ambitions and alleviate cost of living crisis. </w:t>
            </w:r>
          </w:p>
        </w:tc>
      </w:tr>
      <w:tr w:rsidR="000729CF" w:rsidRPr="000729CF" w14:paraId="3593E0EF" w14:textId="77777777" w:rsidTr="00BC26AB">
        <w:trPr>
          <w:trHeight w:val="851"/>
        </w:trPr>
        <w:tc>
          <w:tcPr>
            <w:tcW w:w="10456" w:type="dxa"/>
            <w:tcBorders>
              <w:left w:val="nil"/>
              <w:right w:val="nil"/>
            </w:tcBorders>
          </w:tcPr>
          <w:p w14:paraId="62B9435D" w14:textId="77777777" w:rsidR="000729CF" w:rsidRPr="000729CF" w:rsidRDefault="000729CF" w:rsidP="000729CF">
            <w:pPr>
              <w:spacing w:after="120"/>
              <w:rPr>
                <w:rFonts w:ascii="Arial" w:eastAsia="Calibri" w:hAnsi="Arial" w:cs="Arial"/>
                <w:sz w:val="24"/>
                <w:szCs w:val="24"/>
              </w:rPr>
            </w:pPr>
          </w:p>
          <w:p w14:paraId="785A26E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Summarise the most significant impacts identified by this assessment including which groups will be disproportionally negatively affected drawing out intersectional impacts as applicable:</w:t>
            </w:r>
          </w:p>
        </w:tc>
      </w:tr>
      <w:tr w:rsidR="000729CF" w:rsidRPr="000729CF" w14:paraId="228EB214" w14:textId="77777777" w:rsidTr="00BC26AB">
        <w:trPr>
          <w:trHeight w:val="851"/>
        </w:trPr>
        <w:tc>
          <w:tcPr>
            <w:tcW w:w="10456" w:type="dxa"/>
          </w:tcPr>
          <w:p w14:paraId="05290978" w14:textId="77777777" w:rsidR="000729CF" w:rsidRPr="000729CF" w:rsidRDefault="000729CF" w:rsidP="000729CF">
            <w:pPr>
              <w:spacing w:line="276" w:lineRule="auto"/>
              <w:rPr>
                <w:rFonts w:ascii="Arial" w:hAnsi="Arial" w:cs="Arial"/>
                <w:sz w:val="24"/>
                <w:szCs w:val="24"/>
              </w:rPr>
            </w:pPr>
          </w:p>
          <w:p w14:paraId="125CEF81" w14:textId="77777777" w:rsidR="000729CF" w:rsidRPr="000729CF" w:rsidRDefault="000729CF" w:rsidP="000729CF">
            <w:pPr>
              <w:spacing w:line="276" w:lineRule="auto"/>
              <w:rPr>
                <w:rFonts w:ascii="Arial" w:hAnsi="Arial" w:cs="Arial"/>
                <w:sz w:val="24"/>
                <w:szCs w:val="24"/>
              </w:rPr>
            </w:pPr>
            <w:r w:rsidRPr="000729CF">
              <w:rPr>
                <w:rFonts w:ascii="Arial" w:hAnsi="Arial" w:cs="Arial"/>
                <w:sz w:val="24"/>
                <w:szCs w:val="24"/>
              </w:rPr>
              <w:t xml:space="preserve">All equality groups will be impacted by the very nature of the Commission and there will intersectional impacts with many funded partnerships supporting beneficiaries facing multiple barriers, for example, LGBTQ+ young people, black and racially minoritized people in disadvantage neighbourhoods, young GRT people. </w:t>
            </w:r>
          </w:p>
          <w:p w14:paraId="125CD01A" w14:textId="77777777" w:rsidR="000729CF" w:rsidRPr="000729CF" w:rsidRDefault="000729CF" w:rsidP="000729CF">
            <w:pPr>
              <w:spacing w:line="276" w:lineRule="auto"/>
              <w:rPr>
                <w:rFonts w:ascii="Arial" w:hAnsi="Arial" w:cs="Arial"/>
                <w:sz w:val="24"/>
                <w:szCs w:val="24"/>
              </w:rPr>
            </w:pPr>
          </w:p>
          <w:p w14:paraId="0DA83DAE" w14:textId="77777777" w:rsidR="000729CF" w:rsidRPr="000729CF" w:rsidRDefault="000729CF" w:rsidP="000729CF">
            <w:pPr>
              <w:contextualSpacing/>
              <w:rPr>
                <w:rFonts w:ascii="Arial" w:eastAsia="Calibri" w:hAnsi="Arial" w:cs="Arial"/>
                <w:iCs/>
                <w:sz w:val="24"/>
                <w:szCs w:val="24"/>
              </w:rPr>
            </w:pPr>
            <w:r w:rsidRPr="000729CF">
              <w:rPr>
                <w:rFonts w:ascii="Arial" w:eastAsia="Calibri" w:hAnsi="Arial" w:cs="Arial"/>
                <w:sz w:val="24"/>
                <w:szCs w:val="24"/>
              </w:rPr>
              <w:t>The Third Sector Commission is designed to target the council’s corporate priorities which focus on the most vulnerable individuals and communities, increasing fairness and promoting social capital and resilience.</w:t>
            </w:r>
            <w:r w:rsidRPr="000729CF">
              <w:rPr>
                <w:rFonts w:ascii="Arial" w:eastAsia="Calibri" w:hAnsi="Arial" w:cs="Arial"/>
                <w:b/>
                <w:sz w:val="24"/>
                <w:szCs w:val="24"/>
              </w:rPr>
              <w:t xml:space="preserve">  </w:t>
            </w:r>
            <w:r w:rsidRPr="000729CF">
              <w:rPr>
                <w:rFonts w:ascii="Arial" w:eastAsia="Calibri" w:hAnsi="Arial" w:cs="Arial"/>
                <w:sz w:val="24"/>
                <w:szCs w:val="24"/>
              </w:rPr>
              <w:t xml:space="preserve"> The organisations funded through the programme are groups/organisations that work with and support communities with legally protected characteristics, and those who are marginalised and vulnerable, including those experiencing poverty/financial exclusion. </w:t>
            </w:r>
          </w:p>
          <w:p w14:paraId="0A52F396" w14:textId="77777777" w:rsidR="000729CF" w:rsidRPr="000729CF" w:rsidRDefault="000729CF" w:rsidP="000729CF">
            <w:pPr>
              <w:ind w:left="360"/>
              <w:rPr>
                <w:rFonts w:ascii="Arial" w:eastAsia="Calibri" w:hAnsi="Arial" w:cs="Arial"/>
                <w:sz w:val="24"/>
                <w:szCs w:val="24"/>
              </w:rPr>
            </w:pPr>
          </w:p>
          <w:p w14:paraId="2B577DE3"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The proposed reduction in the programme’s funding will directly result in:</w:t>
            </w:r>
          </w:p>
          <w:p w14:paraId="56853060" w14:textId="77777777" w:rsidR="000729CF" w:rsidRPr="000729CF" w:rsidRDefault="000729CF" w:rsidP="00CE70A3">
            <w:pPr>
              <w:numPr>
                <w:ilvl w:val="0"/>
                <w:numId w:val="123"/>
              </w:numPr>
              <w:rPr>
                <w:rFonts w:ascii="Arial" w:eastAsia="Calibri" w:hAnsi="Arial" w:cs="Arial"/>
                <w:sz w:val="24"/>
                <w:szCs w:val="24"/>
              </w:rPr>
            </w:pPr>
            <w:r w:rsidRPr="000729CF">
              <w:rPr>
                <w:rFonts w:ascii="Arial" w:eastAsia="Calibri" w:hAnsi="Arial" w:cs="Arial"/>
                <w:sz w:val="24"/>
                <w:szCs w:val="24"/>
              </w:rPr>
              <w:t>decreased capacity to meet some corporate priorities with specific impacts on characteristics protected in law</w:t>
            </w:r>
          </w:p>
          <w:p w14:paraId="4E9DB495" w14:textId="77777777" w:rsidR="000729CF" w:rsidRPr="000729CF" w:rsidRDefault="000729CF" w:rsidP="00CE70A3">
            <w:pPr>
              <w:numPr>
                <w:ilvl w:val="0"/>
                <w:numId w:val="123"/>
              </w:numPr>
              <w:rPr>
                <w:rFonts w:ascii="Arial" w:eastAsia="Calibri" w:hAnsi="Arial" w:cs="Arial"/>
                <w:sz w:val="24"/>
                <w:szCs w:val="24"/>
              </w:rPr>
            </w:pPr>
            <w:r w:rsidRPr="000729CF">
              <w:rPr>
                <w:rFonts w:ascii="Arial" w:eastAsia="Calibri" w:hAnsi="Arial" w:cs="Arial"/>
                <w:sz w:val="24"/>
                <w:szCs w:val="24"/>
              </w:rPr>
              <w:t>reduced capacity for CVS groups which support community resilience and reduce reliance on statutory services: reducing the budget could result in increased demand for council services especially relating to young people and older people</w:t>
            </w:r>
          </w:p>
          <w:p w14:paraId="13258C93" w14:textId="77777777" w:rsidR="000729CF" w:rsidRPr="000729CF" w:rsidRDefault="000729CF" w:rsidP="00CE70A3">
            <w:pPr>
              <w:numPr>
                <w:ilvl w:val="0"/>
                <w:numId w:val="123"/>
              </w:numPr>
              <w:rPr>
                <w:rFonts w:ascii="Arial" w:eastAsia="Calibri" w:hAnsi="Arial" w:cs="Arial"/>
                <w:sz w:val="24"/>
                <w:szCs w:val="24"/>
              </w:rPr>
            </w:pPr>
            <w:r w:rsidRPr="000729CF">
              <w:rPr>
                <w:rFonts w:ascii="Arial" w:eastAsia="Calibri" w:hAnsi="Arial" w:cs="Arial"/>
                <w:sz w:val="24"/>
                <w:szCs w:val="24"/>
              </w:rPr>
              <w:t>potential</w:t>
            </w:r>
            <w:r w:rsidRPr="000729CF">
              <w:rPr>
                <w:rFonts w:ascii="Arial" w:eastAsia="Calibri" w:hAnsi="Arial" w:cs="Arial"/>
                <w:snapToGrid w:val="0"/>
                <w:sz w:val="24"/>
                <w:szCs w:val="24"/>
              </w:rPr>
              <w:t xml:space="preserve"> wider impact on ability to attract additional match funding</w:t>
            </w:r>
          </w:p>
        </w:tc>
      </w:tr>
    </w:tbl>
    <w:p w14:paraId="57527877" w14:textId="77777777" w:rsidR="000729CF" w:rsidRPr="000729CF" w:rsidRDefault="000729CF" w:rsidP="000729CF">
      <w:pPr>
        <w:rPr>
          <w:rFonts w:ascii="Arial" w:eastAsia="Calibri" w:hAnsi="Arial" w:cs="Arial"/>
          <w:sz w:val="24"/>
          <w:szCs w:val="24"/>
          <w:lang w:val="en-GB"/>
        </w:rPr>
      </w:pPr>
    </w:p>
    <w:p w14:paraId="11E446D9" w14:textId="77777777" w:rsidR="000729CF" w:rsidRPr="000729CF" w:rsidRDefault="000729CF" w:rsidP="000729CF">
      <w:pPr>
        <w:spacing w:after="160" w:line="259" w:lineRule="auto"/>
        <w:rPr>
          <w:rFonts w:ascii="Arial" w:eastAsia="Calibri" w:hAnsi="Arial" w:cs="Arial"/>
          <w:sz w:val="24"/>
          <w:szCs w:val="24"/>
          <w:lang w:val="en-GB"/>
        </w:rPr>
      </w:pPr>
    </w:p>
    <w:p w14:paraId="7D7EAF98"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Consultation, engagement and supporting EIAs</w:t>
      </w:r>
    </w:p>
    <w:p w14:paraId="00236657"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consultations or engagement activities are being used to inform this assessment? </w:t>
      </w:r>
    </w:p>
    <w:p w14:paraId="6919BE7E"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If consultation is planned or in process – state this and state when it will done/completed even if indicative. If no consultation completed or planned, state this, giving an explanation. </w:t>
      </w:r>
    </w:p>
    <w:tbl>
      <w:tblPr>
        <w:tblStyle w:val="TableGrid"/>
        <w:tblW w:w="0" w:type="auto"/>
        <w:tblLook w:val="04A0" w:firstRow="1" w:lastRow="0" w:firstColumn="1" w:lastColumn="0" w:noHBand="0" w:noVBand="1"/>
      </w:tblPr>
      <w:tblGrid>
        <w:gridCol w:w="10456"/>
      </w:tblGrid>
      <w:tr w:rsidR="000729CF" w:rsidRPr="000729CF" w14:paraId="40B8E01E" w14:textId="77777777" w:rsidTr="00BC26AB">
        <w:trPr>
          <w:trHeight w:val="871"/>
        </w:trPr>
        <w:tc>
          <w:tcPr>
            <w:tcW w:w="10456" w:type="dxa"/>
          </w:tcPr>
          <w:p w14:paraId="1BADCC0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consultation or engagement has been undertaken to inform this assessment. The partnerships in receipt of funding return, as part of their terms and condition, an annual and six-month performance report to council. As the current TSC is in its fourth year, there is sufficient information about the beneficiaries of the funded projects/organisations to provide information on those likely to be impacted by the saving. </w:t>
            </w:r>
          </w:p>
          <w:p w14:paraId="7579121D" w14:textId="77777777" w:rsidR="000729CF" w:rsidRPr="000729CF" w:rsidRDefault="000729CF" w:rsidP="000729CF">
            <w:pPr>
              <w:spacing w:after="120"/>
              <w:rPr>
                <w:rFonts w:ascii="Arial" w:eastAsia="Calibri" w:hAnsi="Arial" w:cs="Arial"/>
                <w:sz w:val="24"/>
                <w:szCs w:val="24"/>
              </w:rPr>
            </w:pPr>
          </w:p>
        </w:tc>
      </w:tr>
    </w:tbl>
    <w:p w14:paraId="0F7AA2DD" w14:textId="77777777" w:rsidR="000729CF" w:rsidRPr="000729CF" w:rsidRDefault="000729CF" w:rsidP="000729CF">
      <w:pPr>
        <w:spacing w:after="160" w:line="259" w:lineRule="auto"/>
        <w:rPr>
          <w:rFonts w:ascii="Arial" w:eastAsia="Calibri" w:hAnsi="Arial" w:cs="Arial"/>
          <w:sz w:val="24"/>
          <w:szCs w:val="24"/>
          <w:lang w:val="en-GB"/>
        </w:rPr>
      </w:pPr>
    </w:p>
    <w:p w14:paraId="6EC6A218"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other budget or service EIAs can assist/have been used to inform this assessment?</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0729CF" w:rsidRPr="000729CF" w14:paraId="60A20428"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shd w:val="clear" w:color="auto" w:fill="FFFFFF"/>
          </w:tcPr>
          <w:p w14:paraId="55455A32"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None</w:t>
            </w:r>
          </w:p>
        </w:tc>
      </w:tr>
    </w:tbl>
    <w:p w14:paraId="4286641F" w14:textId="77777777" w:rsidR="000729CF" w:rsidRPr="000729CF" w:rsidRDefault="000729CF" w:rsidP="000729CF">
      <w:pPr>
        <w:spacing w:after="160" w:line="259" w:lineRule="auto"/>
        <w:rPr>
          <w:rFonts w:ascii="Arial" w:eastAsia="Calibri" w:hAnsi="Arial" w:cs="Arial"/>
          <w:sz w:val="24"/>
          <w:szCs w:val="24"/>
          <w:lang w:val="en-GB"/>
        </w:rPr>
      </w:pPr>
    </w:p>
    <w:p w14:paraId="38BBE130"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Current data and impact monitoring</w:t>
      </w:r>
    </w:p>
    <w:p w14:paraId="1ABAC5CE"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Do you currently collect and analyse the following data to enable monitoring of the impact of this proposal? </w:t>
      </w:r>
    </w:p>
    <w:p w14:paraId="0A4341BC"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Consider all possible intersections (Delete and State Yes, No, Not Applicable)</w:t>
      </w:r>
    </w:p>
    <w:tbl>
      <w:tblPr>
        <w:tblStyle w:val="TableGrid"/>
        <w:tblW w:w="10485" w:type="dxa"/>
        <w:tblLook w:val="04A0" w:firstRow="1" w:lastRow="0" w:firstColumn="1" w:lastColumn="0" w:noHBand="0" w:noVBand="1"/>
      </w:tblPr>
      <w:tblGrid>
        <w:gridCol w:w="6658"/>
        <w:gridCol w:w="3827"/>
      </w:tblGrid>
      <w:tr w:rsidR="000729CF" w:rsidRPr="000729CF" w14:paraId="130A9E7D" w14:textId="77777777" w:rsidTr="000729CF">
        <w:trPr>
          <w:trHeight w:val="310"/>
        </w:trPr>
        <w:tc>
          <w:tcPr>
            <w:tcW w:w="6658" w:type="dxa"/>
            <w:shd w:val="clear" w:color="auto" w:fill="E7E6E6"/>
          </w:tcPr>
          <w:p w14:paraId="513D913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Age</w:t>
            </w:r>
          </w:p>
        </w:tc>
        <w:tc>
          <w:tcPr>
            <w:tcW w:w="3827" w:type="dxa"/>
          </w:tcPr>
          <w:p w14:paraId="41F9464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048B39C6" w14:textId="77777777" w:rsidTr="000729CF">
        <w:trPr>
          <w:trHeight w:val="20"/>
        </w:trPr>
        <w:tc>
          <w:tcPr>
            <w:tcW w:w="6658" w:type="dxa"/>
            <w:shd w:val="clear" w:color="auto" w:fill="E7E6E6"/>
          </w:tcPr>
          <w:p w14:paraId="196EE2D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Disability and inclusive adjustments, coverage under equality act and not</w:t>
            </w:r>
          </w:p>
        </w:tc>
        <w:tc>
          <w:tcPr>
            <w:tcW w:w="3827" w:type="dxa"/>
          </w:tcPr>
          <w:p w14:paraId="4E00821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3CE45BD5" w14:textId="77777777" w:rsidTr="000729CF">
        <w:trPr>
          <w:trHeight w:val="20"/>
        </w:trPr>
        <w:tc>
          <w:tcPr>
            <w:tcW w:w="6658" w:type="dxa"/>
            <w:shd w:val="clear" w:color="auto" w:fill="E7E6E6"/>
          </w:tcPr>
          <w:p w14:paraId="6C3401B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Ethnicity, ‘Race’, ethnic heritage (including Gypsy, Roma, Travellers)</w:t>
            </w:r>
          </w:p>
        </w:tc>
        <w:tc>
          <w:tcPr>
            <w:tcW w:w="3827" w:type="dxa"/>
          </w:tcPr>
          <w:p w14:paraId="2233EBA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56F7774F" w14:textId="77777777" w:rsidTr="000729CF">
        <w:trPr>
          <w:trHeight w:val="20"/>
        </w:trPr>
        <w:tc>
          <w:tcPr>
            <w:tcW w:w="6658" w:type="dxa"/>
            <w:shd w:val="clear" w:color="auto" w:fill="E7E6E6"/>
          </w:tcPr>
          <w:p w14:paraId="1FA3BF0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Religion, Belief, Spirituality, Faith, or Atheism</w:t>
            </w:r>
          </w:p>
        </w:tc>
        <w:tc>
          <w:tcPr>
            <w:tcW w:w="3827" w:type="dxa"/>
          </w:tcPr>
          <w:p w14:paraId="67E3BE9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p w14:paraId="271475C9" w14:textId="77777777" w:rsidR="000729CF" w:rsidRPr="000729CF" w:rsidRDefault="000729CF" w:rsidP="000729CF">
            <w:pPr>
              <w:spacing w:after="120"/>
              <w:rPr>
                <w:rFonts w:ascii="Arial" w:eastAsia="Calibri" w:hAnsi="Arial" w:cs="Arial"/>
                <w:sz w:val="24"/>
                <w:szCs w:val="24"/>
              </w:rPr>
            </w:pPr>
          </w:p>
        </w:tc>
      </w:tr>
      <w:tr w:rsidR="000729CF" w:rsidRPr="000729CF" w14:paraId="1A8C94A2" w14:textId="77777777" w:rsidTr="000729CF">
        <w:trPr>
          <w:trHeight w:val="20"/>
        </w:trPr>
        <w:tc>
          <w:tcPr>
            <w:tcW w:w="6658" w:type="dxa"/>
            <w:shd w:val="clear" w:color="auto" w:fill="E7E6E6"/>
          </w:tcPr>
          <w:p w14:paraId="6EA902F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Identity and Sex (including non-binary and Intersex people)</w:t>
            </w:r>
          </w:p>
        </w:tc>
        <w:tc>
          <w:tcPr>
            <w:tcW w:w="3827" w:type="dxa"/>
          </w:tcPr>
          <w:p w14:paraId="64E4965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p w14:paraId="3067D614" w14:textId="77777777" w:rsidR="000729CF" w:rsidRPr="000729CF" w:rsidRDefault="000729CF" w:rsidP="000729CF">
            <w:pPr>
              <w:spacing w:after="120"/>
              <w:rPr>
                <w:rFonts w:ascii="Arial" w:eastAsia="Calibri" w:hAnsi="Arial" w:cs="Arial"/>
                <w:sz w:val="24"/>
                <w:szCs w:val="24"/>
              </w:rPr>
            </w:pPr>
          </w:p>
        </w:tc>
      </w:tr>
      <w:tr w:rsidR="000729CF" w:rsidRPr="000729CF" w14:paraId="1363F070" w14:textId="77777777" w:rsidTr="000729CF">
        <w:trPr>
          <w:trHeight w:val="20"/>
        </w:trPr>
        <w:tc>
          <w:tcPr>
            <w:tcW w:w="6658" w:type="dxa"/>
            <w:shd w:val="clear" w:color="auto" w:fill="E7E6E6"/>
          </w:tcPr>
          <w:p w14:paraId="1E2EDCC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3827" w:type="dxa"/>
          </w:tcPr>
          <w:p w14:paraId="06D779A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1D977D08" w14:textId="77777777" w:rsidTr="000729CF">
        <w:trPr>
          <w:trHeight w:val="20"/>
        </w:trPr>
        <w:tc>
          <w:tcPr>
            <w:tcW w:w="6658" w:type="dxa"/>
            <w:shd w:val="clear" w:color="auto" w:fill="E7E6E6"/>
          </w:tcPr>
          <w:p w14:paraId="7C0BC59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3827" w:type="dxa"/>
          </w:tcPr>
          <w:p w14:paraId="6AA70D1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p w14:paraId="25ADF4DD" w14:textId="77777777" w:rsidR="000729CF" w:rsidRPr="000729CF" w:rsidRDefault="000729CF" w:rsidP="000729CF">
            <w:pPr>
              <w:spacing w:after="120"/>
              <w:rPr>
                <w:rFonts w:ascii="Arial" w:eastAsia="Calibri" w:hAnsi="Arial" w:cs="Arial"/>
                <w:sz w:val="24"/>
                <w:szCs w:val="24"/>
              </w:rPr>
            </w:pPr>
          </w:p>
        </w:tc>
      </w:tr>
      <w:tr w:rsidR="000729CF" w:rsidRPr="000729CF" w14:paraId="1E2E82B1" w14:textId="77777777" w:rsidTr="000729CF">
        <w:trPr>
          <w:trHeight w:val="20"/>
        </w:trPr>
        <w:tc>
          <w:tcPr>
            <w:tcW w:w="6658" w:type="dxa"/>
            <w:shd w:val="clear" w:color="auto" w:fill="E7E6E6"/>
          </w:tcPr>
          <w:p w14:paraId="57A45EF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3827" w:type="dxa"/>
          </w:tcPr>
          <w:p w14:paraId="57DC195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p w14:paraId="31C64414" w14:textId="77777777" w:rsidR="000729CF" w:rsidRPr="000729CF" w:rsidRDefault="000729CF" w:rsidP="000729CF">
            <w:pPr>
              <w:spacing w:after="120"/>
              <w:rPr>
                <w:rFonts w:ascii="Arial" w:eastAsia="Calibri" w:hAnsi="Arial" w:cs="Arial"/>
                <w:sz w:val="24"/>
                <w:szCs w:val="24"/>
              </w:rPr>
            </w:pPr>
          </w:p>
        </w:tc>
      </w:tr>
      <w:tr w:rsidR="000729CF" w:rsidRPr="000729CF" w14:paraId="1EAC2E32" w14:textId="77777777" w:rsidTr="000729CF">
        <w:trPr>
          <w:trHeight w:val="20"/>
        </w:trPr>
        <w:tc>
          <w:tcPr>
            <w:tcW w:w="6658" w:type="dxa"/>
            <w:shd w:val="clear" w:color="auto" w:fill="E7E6E6"/>
          </w:tcPr>
          <w:p w14:paraId="7958887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Pregnant people, Maternity, Paternity, Adoption, Menopause, (In)fertility (across the gender spectrum)</w:t>
            </w:r>
          </w:p>
        </w:tc>
        <w:tc>
          <w:tcPr>
            <w:tcW w:w="3827" w:type="dxa"/>
          </w:tcPr>
          <w:p w14:paraId="5477C74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p w14:paraId="12248919" w14:textId="77777777" w:rsidR="000729CF" w:rsidRPr="000729CF" w:rsidRDefault="000729CF" w:rsidP="000729CF">
            <w:pPr>
              <w:spacing w:after="120"/>
              <w:rPr>
                <w:rFonts w:ascii="Arial" w:eastAsia="Calibri" w:hAnsi="Arial" w:cs="Arial"/>
                <w:sz w:val="24"/>
                <w:szCs w:val="24"/>
              </w:rPr>
            </w:pPr>
          </w:p>
        </w:tc>
      </w:tr>
      <w:tr w:rsidR="000729CF" w:rsidRPr="000729CF" w14:paraId="5A1F0A65" w14:textId="77777777" w:rsidTr="000729CF">
        <w:trPr>
          <w:trHeight w:val="20"/>
        </w:trPr>
        <w:tc>
          <w:tcPr>
            <w:tcW w:w="6658" w:type="dxa"/>
            <w:shd w:val="clear" w:color="auto" w:fill="E7E6E6"/>
          </w:tcPr>
          <w:p w14:paraId="4E74EAC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3827" w:type="dxa"/>
          </w:tcPr>
          <w:p w14:paraId="76600AD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p w14:paraId="5D8BE00C" w14:textId="77777777" w:rsidR="000729CF" w:rsidRPr="000729CF" w:rsidRDefault="000729CF" w:rsidP="000729CF">
            <w:pPr>
              <w:spacing w:after="120"/>
              <w:rPr>
                <w:rFonts w:ascii="Arial" w:eastAsia="Calibri" w:hAnsi="Arial" w:cs="Arial"/>
                <w:sz w:val="24"/>
                <w:szCs w:val="24"/>
              </w:rPr>
            </w:pPr>
          </w:p>
        </w:tc>
      </w:tr>
      <w:tr w:rsidR="000729CF" w:rsidRPr="000729CF" w14:paraId="4A38DFDE" w14:textId="77777777" w:rsidTr="000729CF">
        <w:trPr>
          <w:trHeight w:val="20"/>
        </w:trPr>
        <w:tc>
          <w:tcPr>
            <w:tcW w:w="6658" w:type="dxa"/>
            <w:shd w:val="clear" w:color="auto" w:fill="E7E6E6"/>
          </w:tcPr>
          <w:p w14:paraId="73DE9CF4" w14:textId="77777777" w:rsidR="000729CF" w:rsidRPr="000729CF" w:rsidRDefault="000729CF" w:rsidP="000729CF">
            <w:pPr>
              <w:spacing w:after="120"/>
              <w:rPr>
                <w:rFonts w:ascii="Arial" w:hAnsi="Arial" w:cs="Arial"/>
                <w:b/>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p>
        </w:tc>
        <w:tc>
          <w:tcPr>
            <w:tcW w:w="3827" w:type="dxa"/>
          </w:tcPr>
          <w:p w14:paraId="3E383BC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p w14:paraId="0E5ABE08" w14:textId="77777777" w:rsidR="000729CF" w:rsidRPr="000729CF" w:rsidRDefault="000729CF" w:rsidP="000729CF">
            <w:pPr>
              <w:spacing w:after="120"/>
              <w:rPr>
                <w:rFonts w:ascii="Arial" w:eastAsia="Calibri" w:hAnsi="Arial" w:cs="Arial"/>
                <w:sz w:val="24"/>
                <w:szCs w:val="24"/>
              </w:rPr>
            </w:pPr>
          </w:p>
        </w:tc>
      </w:tr>
      <w:tr w:rsidR="000729CF" w:rsidRPr="000729CF" w14:paraId="07F417A9" w14:textId="77777777" w:rsidTr="000729CF">
        <w:trPr>
          <w:trHeight w:val="20"/>
        </w:trPr>
        <w:tc>
          <w:tcPr>
            <w:tcW w:w="6658" w:type="dxa"/>
            <w:shd w:val="clear" w:color="auto" w:fill="E7E6E6"/>
          </w:tcPr>
          <w:p w14:paraId="02F132E0" w14:textId="77777777" w:rsidR="000729CF" w:rsidRPr="000729CF" w:rsidRDefault="000729CF" w:rsidP="000729CF">
            <w:pPr>
              <w:spacing w:after="120"/>
              <w:rPr>
                <w:rFonts w:ascii="Arial" w:hAnsi="Arial" w:cs="Arial"/>
                <w:b/>
                <w:sz w:val="24"/>
                <w:szCs w:val="24"/>
              </w:rPr>
            </w:pPr>
            <w:r w:rsidRPr="000729CF">
              <w:rPr>
                <w:rFonts w:ascii="Arial" w:eastAsia="Calibri" w:hAnsi="Arial" w:cs="Arial"/>
                <w:b/>
                <w:bCs/>
                <w:color w:val="000000"/>
                <w:sz w:val="24"/>
                <w:szCs w:val="24"/>
              </w:rPr>
              <w:t>Carers</w:t>
            </w:r>
          </w:p>
        </w:tc>
        <w:tc>
          <w:tcPr>
            <w:tcW w:w="3827" w:type="dxa"/>
          </w:tcPr>
          <w:p w14:paraId="7A396C1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06436075" w14:textId="77777777" w:rsidTr="000729CF">
        <w:trPr>
          <w:trHeight w:val="20"/>
        </w:trPr>
        <w:tc>
          <w:tcPr>
            <w:tcW w:w="6658" w:type="dxa"/>
            <w:shd w:val="clear" w:color="auto" w:fill="E7E6E6"/>
          </w:tcPr>
          <w:p w14:paraId="3A3C5116"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Looked after children, Care Leavers, Care and fostering experienced people</w:t>
            </w:r>
          </w:p>
        </w:tc>
        <w:tc>
          <w:tcPr>
            <w:tcW w:w="3827" w:type="dxa"/>
          </w:tcPr>
          <w:p w14:paraId="36FF96A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45F0A46D" w14:textId="77777777" w:rsidTr="000729CF">
        <w:trPr>
          <w:trHeight w:val="20"/>
        </w:trPr>
        <w:tc>
          <w:tcPr>
            <w:tcW w:w="6658" w:type="dxa"/>
            <w:shd w:val="clear" w:color="auto" w:fill="E7E6E6"/>
          </w:tcPr>
          <w:p w14:paraId="61D82F8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 and people in vulnerable situations (All aspects and intersections)</w:t>
            </w:r>
          </w:p>
        </w:tc>
        <w:tc>
          <w:tcPr>
            <w:tcW w:w="3827" w:type="dxa"/>
          </w:tcPr>
          <w:p w14:paraId="3DA47C1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p w14:paraId="6A39C969" w14:textId="77777777" w:rsidR="000729CF" w:rsidRPr="000729CF" w:rsidRDefault="000729CF" w:rsidP="000729CF">
            <w:pPr>
              <w:spacing w:after="120"/>
              <w:rPr>
                <w:rFonts w:ascii="Arial" w:eastAsia="Calibri" w:hAnsi="Arial" w:cs="Arial"/>
                <w:sz w:val="24"/>
                <w:szCs w:val="24"/>
              </w:rPr>
            </w:pPr>
          </w:p>
        </w:tc>
      </w:tr>
      <w:tr w:rsidR="000729CF" w:rsidRPr="000729CF" w14:paraId="48C83AED" w14:textId="77777777" w:rsidTr="000729CF">
        <w:trPr>
          <w:trHeight w:val="20"/>
        </w:trPr>
        <w:tc>
          <w:tcPr>
            <w:tcW w:w="6658" w:type="dxa"/>
            <w:shd w:val="clear" w:color="auto" w:fill="E7E6E6"/>
          </w:tcPr>
          <w:p w14:paraId="3BE0B6E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Socio-economic Disadvantage</w:t>
            </w:r>
          </w:p>
        </w:tc>
        <w:tc>
          <w:tcPr>
            <w:tcW w:w="3827" w:type="dxa"/>
          </w:tcPr>
          <w:p w14:paraId="36D666F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p w14:paraId="5A389C12" w14:textId="77777777" w:rsidR="000729CF" w:rsidRPr="000729CF" w:rsidRDefault="000729CF" w:rsidP="000729CF">
            <w:pPr>
              <w:spacing w:after="120"/>
              <w:rPr>
                <w:rFonts w:ascii="Arial" w:eastAsia="Calibri" w:hAnsi="Arial" w:cs="Arial"/>
                <w:sz w:val="24"/>
                <w:szCs w:val="24"/>
              </w:rPr>
            </w:pPr>
          </w:p>
        </w:tc>
      </w:tr>
      <w:tr w:rsidR="000729CF" w:rsidRPr="000729CF" w14:paraId="5075F76F" w14:textId="77777777" w:rsidTr="000729CF">
        <w:trPr>
          <w:trHeight w:val="20"/>
        </w:trPr>
        <w:tc>
          <w:tcPr>
            <w:tcW w:w="6658" w:type="dxa"/>
            <w:shd w:val="clear" w:color="auto" w:fill="E7E6E6"/>
          </w:tcPr>
          <w:p w14:paraId="44896E8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Homelessness and associated risk and vulnerability</w:t>
            </w:r>
          </w:p>
        </w:tc>
        <w:tc>
          <w:tcPr>
            <w:tcW w:w="3827" w:type="dxa"/>
          </w:tcPr>
          <w:p w14:paraId="67617E5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p w14:paraId="2237C464" w14:textId="77777777" w:rsidR="000729CF" w:rsidRPr="000729CF" w:rsidRDefault="000729CF" w:rsidP="000729CF">
            <w:pPr>
              <w:spacing w:after="120"/>
              <w:rPr>
                <w:rFonts w:ascii="Arial" w:eastAsia="Calibri" w:hAnsi="Arial" w:cs="Arial"/>
                <w:sz w:val="24"/>
                <w:szCs w:val="24"/>
              </w:rPr>
            </w:pPr>
          </w:p>
        </w:tc>
      </w:tr>
      <w:tr w:rsidR="000729CF" w:rsidRPr="000729CF" w14:paraId="4D57B3BF" w14:textId="77777777" w:rsidTr="000729CF">
        <w:trPr>
          <w:trHeight w:val="20"/>
        </w:trPr>
        <w:tc>
          <w:tcPr>
            <w:tcW w:w="6658" w:type="dxa"/>
            <w:shd w:val="clear" w:color="auto" w:fill="E7E6E6"/>
          </w:tcPr>
          <w:p w14:paraId="58A245A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3827" w:type="dxa"/>
          </w:tcPr>
          <w:p w14:paraId="6455DEF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0BF36929" w14:textId="77777777" w:rsidTr="000729CF">
        <w:trPr>
          <w:trHeight w:val="20"/>
        </w:trPr>
        <w:tc>
          <w:tcPr>
            <w:tcW w:w="6658" w:type="dxa"/>
            <w:shd w:val="clear" w:color="auto" w:fill="E7E6E6"/>
          </w:tcPr>
          <w:p w14:paraId="3897968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 (please specify here and add additional rows as needed)</w:t>
            </w:r>
          </w:p>
        </w:tc>
        <w:tc>
          <w:tcPr>
            <w:tcW w:w="3827" w:type="dxa"/>
          </w:tcPr>
          <w:p w14:paraId="2A779C3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p w14:paraId="49B04FD5" w14:textId="77777777" w:rsidR="000729CF" w:rsidRPr="000729CF" w:rsidRDefault="000729CF" w:rsidP="000729CF">
            <w:pPr>
              <w:spacing w:after="120"/>
              <w:rPr>
                <w:rFonts w:ascii="Arial" w:eastAsia="Calibri" w:hAnsi="Arial" w:cs="Arial"/>
                <w:sz w:val="24"/>
                <w:szCs w:val="24"/>
              </w:rPr>
            </w:pPr>
          </w:p>
        </w:tc>
      </w:tr>
    </w:tbl>
    <w:p w14:paraId="14160803" w14:textId="77777777" w:rsidR="000729CF" w:rsidRPr="000729CF" w:rsidRDefault="000729CF" w:rsidP="000729CF">
      <w:pPr>
        <w:rPr>
          <w:rFonts w:ascii="Arial" w:eastAsia="Calibri" w:hAnsi="Arial" w:cs="Arial"/>
          <w:sz w:val="24"/>
          <w:szCs w:val="24"/>
          <w:lang w:val="en-GB"/>
        </w:rPr>
      </w:pPr>
    </w:p>
    <w:p w14:paraId="2C3E24D2"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67175BF0"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062EE341"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4FD0D8A7"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1A1466AC"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1BB38C75"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52203247"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3835BC76"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008BDF93"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110CC2AD"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31952A23" w14:textId="77777777" w:rsidR="000729CF" w:rsidRPr="000729CF" w:rsidRDefault="000729CF" w:rsidP="000729CF">
      <w:pPr>
        <w:rPr>
          <w:rFonts w:ascii="Arial" w:eastAsia="Calibri" w:hAnsi="Arial" w:cs="Arial"/>
          <w:sz w:val="24"/>
          <w:szCs w:val="24"/>
          <w:lang w:val="en-GB"/>
        </w:rPr>
      </w:pPr>
    </w:p>
    <w:p w14:paraId="427E440A"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If you answered “NO” to any of the above, how will you gather this data to enable improved monitoring of impact for this proposal?</w:t>
      </w:r>
    </w:p>
    <w:tbl>
      <w:tblPr>
        <w:tblStyle w:val="TableGrid"/>
        <w:tblW w:w="0" w:type="auto"/>
        <w:tblLook w:val="04A0" w:firstRow="1" w:lastRow="0" w:firstColumn="1" w:lastColumn="0" w:noHBand="0" w:noVBand="1"/>
      </w:tblPr>
      <w:tblGrid>
        <w:gridCol w:w="10456"/>
      </w:tblGrid>
      <w:tr w:rsidR="000729CF" w:rsidRPr="000729CF" w14:paraId="382F302F" w14:textId="77777777" w:rsidTr="00BC26AB">
        <w:trPr>
          <w:trHeight w:val="757"/>
        </w:trPr>
        <w:tc>
          <w:tcPr>
            <w:tcW w:w="10456" w:type="dxa"/>
          </w:tcPr>
          <w:p w14:paraId="0105022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bl>
    <w:p w14:paraId="05585B83" w14:textId="77777777" w:rsidR="000729CF" w:rsidRPr="000729CF" w:rsidRDefault="000729CF" w:rsidP="000729CF">
      <w:pPr>
        <w:rPr>
          <w:rFonts w:ascii="Arial" w:eastAsia="Calibri" w:hAnsi="Arial" w:cs="Arial"/>
          <w:sz w:val="24"/>
          <w:szCs w:val="24"/>
          <w:lang w:val="en-GB"/>
        </w:rPr>
      </w:pPr>
    </w:p>
    <w:p w14:paraId="29BB66C4" w14:textId="77777777" w:rsidR="000729CF" w:rsidRPr="000729CF" w:rsidRDefault="000729CF" w:rsidP="000729CF">
      <w:pPr>
        <w:rPr>
          <w:rFonts w:ascii="Arial" w:eastAsia="Calibri" w:hAnsi="Arial" w:cs="Arial"/>
          <w:sz w:val="24"/>
          <w:szCs w:val="24"/>
          <w:lang w:val="en-GB"/>
        </w:rPr>
      </w:pPr>
    </w:p>
    <w:p w14:paraId="15622D32"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are the arrangements for monitoring, and reviewing the impact of this proposal?</w:t>
      </w:r>
    </w:p>
    <w:tbl>
      <w:tblPr>
        <w:tblStyle w:val="TableGrid"/>
        <w:tblW w:w="0" w:type="auto"/>
        <w:tblLook w:val="04A0" w:firstRow="1" w:lastRow="0" w:firstColumn="1" w:lastColumn="0" w:noHBand="0" w:noVBand="1"/>
      </w:tblPr>
      <w:tblGrid>
        <w:gridCol w:w="10456"/>
      </w:tblGrid>
      <w:tr w:rsidR="000729CF" w:rsidRPr="000729CF" w14:paraId="69E4F308" w14:textId="77777777" w:rsidTr="00BC26AB">
        <w:trPr>
          <w:trHeight w:val="757"/>
        </w:trPr>
        <w:tc>
          <w:tcPr>
            <w:tcW w:w="10456" w:type="dxa"/>
          </w:tcPr>
          <w:p w14:paraId="726C8F4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Grant variations will need to be agreed with the funded partnerships. These will indicate the impact on numbers and types of </w:t>
            </w:r>
            <w:proofErr w:type="gramStart"/>
            <w:r w:rsidRPr="000729CF">
              <w:rPr>
                <w:rFonts w:ascii="Arial" w:eastAsia="Calibri" w:hAnsi="Arial" w:cs="Arial"/>
                <w:sz w:val="24"/>
                <w:szCs w:val="24"/>
              </w:rPr>
              <w:t>beneficiaries, and</w:t>
            </w:r>
            <w:proofErr w:type="gramEnd"/>
            <w:r w:rsidRPr="000729CF">
              <w:rPr>
                <w:rFonts w:ascii="Arial" w:eastAsia="Calibri" w:hAnsi="Arial" w:cs="Arial"/>
                <w:sz w:val="24"/>
                <w:szCs w:val="24"/>
              </w:rPr>
              <w:t xml:space="preserve"> provide funded partnership the opportunity to give feedback on the impact to the council. </w:t>
            </w:r>
          </w:p>
          <w:p w14:paraId="49C1BF3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The partnerships will also continue to return their 6 monthly and year-end monitoring return reports which will provide data and insight on impact. </w:t>
            </w:r>
          </w:p>
          <w:p w14:paraId="28D220D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Officers will also see feedback from third sector infrastructure organisations in the city, such as Community Works. </w:t>
            </w:r>
          </w:p>
          <w:p w14:paraId="20437D61" w14:textId="77777777" w:rsidR="000729CF" w:rsidRPr="000729CF" w:rsidRDefault="000729CF" w:rsidP="000729CF">
            <w:pPr>
              <w:rPr>
                <w:rFonts w:ascii="Arial" w:eastAsia="Calibri" w:hAnsi="Arial" w:cs="Arial"/>
                <w:sz w:val="24"/>
                <w:szCs w:val="24"/>
              </w:rPr>
            </w:pPr>
            <w:r w:rsidRPr="000729CF">
              <w:rPr>
                <w:rFonts w:ascii="Arial" w:eastAsia="Calibri" w:hAnsi="Arial" w:cs="Arial"/>
                <w:iCs/>
                <w:sz w:val="24"/>
                <w:szCs w:val="24"/>
              </w:rPr>
              <w:t>Feedback will be sought from commissioners across the council and other public bodies for example, Sussex NHS as the strategic investment underpins some organisations deliver of other contracts/work in the city.</w:t>
            </w:r>
            <w:r w:rsidRPr="000729CF">
              <w:rPr>
                <w:rFonts w:ascii="Arial" w:eastAsia="Calibri" w:hAnsi="Arial" w:cs="Arial"/>
                <w:sz w:val="24"/>
                <w:szCs w:val="24"/>
              </w:rPr>
              <w:t xml:space="preserve"> </w:t>
            </w:r>
          </w:p>
          <w:p w14:paraId="582DA377" w14:textId="77777777" w:rsidR="000729CF" w:rsidRPr="000729CF" w:rsidRDefault="000729CF" w:rsidP="000729CF">
            <w:pPr>
              <w:spacing w:after="120"/>
              <w:rPr>
                <w:rFonts w:ascii="Arial" w:eastAsia="Calibri" w:hAnsi="Arial" w:cs="Arial"/>
                <w:sz w:val="24"/>
                <w:szCs w:val="24"/>
              </w:rPr>
            </w:pPr>
          </w:p>
        </w:tc>
      </w:tr>
    </w:tbl>
    <w:p w14:paraId="0F4C5BD7" w14:textId="77777777" w:rsidR="000729CF" w:rsidRPr="000729CF" w:rsidRDefault="000729CF" w:rsidP="000729CF">
      <w:pPr>
        <w:rPr>
          <w:rFonts w:ascii="Arial" w:eastAsia="Calibri" w:hAnsi="Arial" w:cs="Arial"/>
          <w:sz w:val="24"/>
          <w:szCs w:val="24"/>
          <w:lang w:val="en-GB"/>
        </w:rPr>
      </w:pPr>
    </w:p>
    <w:p w14:paraId="7F6C0A16" w14:textId="77777777" w:rsidR="000729CF" w:rsidRPr="000729CF" w:rsidRDefault="000729CF" w:rsidP="000729CF">
      <w:pPr>
        <w:rPr>
          <w:rFonts w:ascii="Arial" w:eastAsia="Calibri" w:hAnsi="Arial" w:cs="Arial"/>
          <w:sz w:val="24"/>
          <w:szCs w:val="24"/>
          <w:lang w:val="en-GB"/>
        </w:rPr>
      </w:pPr>
    </w:p>
    <w:p w14:paraId="6ECBFD07"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Impacts</w:t>
      </w:r>
    </w:p>
    <w:p w14:paraId="22B6EC4E"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Briefly state source of data or data analysis being used to describe the </w:t>
      </w:r>
      <w:r w:rsidRPr="000729CF">
        <w:rPr>
          <w:rFonts w:ascii="Arial" w:eastAsia="Calibri" w:hAnsi="Arial" w:cs="Arial"/>
          <w:color w:val="000000"/>
          <w:sz w:val="24"/>
          <w:szCs w:val="24"/>
          <w:bdr w:val="none" w:sz="0" w:space="0" w:color="auto" w:frame="1"/>
          <w:lang w:val="en-GB"/>
        </w:rPr>
        <w:t xml:space="preserve">disproportionate negative impacts. </w:t>
      </w:r>
      <w:r w:rsidRPr="000729CF">
        <w:rPr>
          <w:rFonts w:ascii="Arial" w:eastAsia="Calibri" w:hAnsi="Arial" w:cs="Arial"/>
          <w:sz w:val="24"/>
          <w:szCs w:val="24"/>
          <w:lang w:val="en-GB"/>
        </w:rPr>
        <w:t xml:space="preserve">Preferably provide link to data/ analysis if open data source. </w:t>
      </w:r>
    </w:p>
    <w:tbl>
      <w:tblPr>
        <w:tblStyle w:val="TableGrid"/>
        <w:tblW w:w="10485" w:type="dxa"/>
        <w:tblLook w:val="04A0" w:firstRow="1" w:lastRow="0" w:firstColumn="1" w:lastColumn="0" w:noHBand="0" w:noVBand="1"/>
      </w:tblPr>
      <w:tblGrid>
        <w:gridCol w:w="2985"/>
        <w:gridCol w:w="2123"/>
        <w:gridCol w:w="5377"/>
      </w:tblGrid>
      <w:tr w:rsidR="000729CF" w:rsidRPr="000729CF" w14:paraId="06D2E351" w14:textId="77777777" w:rsidTr="000729CF">
        <w:trPr>
          <w:trHeight w:val="20"/>
        </w:trPr>
        <w:tc>
          <w:tcPr>
            <w:tcW w:w="2985" w:type="dxa"/>
            <w:shd w:val="clear" w:color="auto" w:fill="E7E6E6"/>
          </w:tcPr>
          <w:p w14:paraId="5E94426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Assess impact for different population groups</w:t>
            </w:r>
          </w:p>
        </w:tc>
        <w:tc>
          <w:tcPr>
            <w:tcW w:w="2123" w:type="dxa"/>
            <w:shd w:val="clear" w:color="auto" w:fill="E7E6E6"/>
          </w:tcPr>
          <w:p w14:paraId="78C5447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Is there a possible disproportionate negative impact? </w:t>
            </w:r>
          </w:p>
          <w:p w14:paraId="42E130AC" w14:textId="77777777" w:rsidR="000729CF" w:rsidRPr="000729CF" w:rsidRDefault="000729CF" w:rsidP="000729CF">
            <w:pPr>
              <w:spacing w:after="120"/>
              <w:rPr>
                <w:rFonts w:ascii="Arial" w:eastAsia="Calibri" w:hAnsi="Arial" w:cs="Arial"/>
                <w:b/>
                <w:bCs/>
                <w:sz w:val="24"/>
                <w:szCs w:val="24"/>
              </w:rPr>
            </w:pPr>
          </w:p>
          <w:p w14:paraId="5415186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b/>
                <w:bCs/>
                <w:sz w:val="24"/>
                <w:szCs w:val="24"/>
              </w:rPr>
              <w:t>State Yes or No</w:t>
            </w:r>
          </w:p>
        </w:tc>
        <w:tc>
          <w:tcPr>
            <w:tcW w:w="5377" w:type="dxa"/>
            <w:shd w:val="clear" w:color="auto" w:fill="E7E6E6"/>
          </w:tcPr>
          <w:p w14:paraId="485683D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Describe the potential negative impact, considering for differences within groups For example, different ethnic groups, and peoples intersecting identities e.g. disabled women of faith</w:t>
            </w:r>
          </w:p>
          <w:p w14:paraId="3A0D513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OR</w:t>
            </w:r>
          </w:p>
          <w:p w14:paraId="2BF23B1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If no impact is identified, briefly state why.</w:t>
            </w:r>
          </w:p>
        </w:tc>
      </w:tr>
      <w:tr w:rsidR="000729CF" w:rsidRPr="000729CF" w14:paraId="4BA3D88C" w14:textId="77777777" w:rsidTr="000729CF">
        <w:trPr>
          <w:trHeight w:val="20"/>
        </w:trPr>
        <w:tc>
          <w:tcPr>
            <w:tcW w:w="2985" w:type="dxa"/>
            <w:shd w:val="clear" w:color="auto" w:fill="E7E6E6"/>
          </w:tcPr>
          <w:p w14:paraId="63673FB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Age </w:t>
            </w:r>
          </w:p>
          <w:p w14:paraId="0B05210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sz w:val="24"/>
                <w:szCs w:val="24"/>
              </w:rPr>
              <w:t>including those under 16, young adults, multiple ethnicities, those with various intersections.</w:t>
            </w:r>
          </w:p>
        </w:tc>
        <w:tc>
          <w:tcPr>
            <w:tcW w:w="2123" w:type="dxa"/>
          </w:tcPr>
          <w:p w14:paraId="5ED114E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161C02CB" w14:textId="77777777" w:rsidR="000729CF" w:rsidRPr="000729CF" w:rsidRDefault="000729CF" w:rsidP="000729CF">
            <w:pPr>
              <w:spacing w:after="120"/>
              <w:rPr>
                <w:rFonts w:ascii="Arial" w:eastAsia="Calibri" w:hAnsi="Arial" w:cs="Arial"/>
                <w:sz w:val="24"/>
                <w:szCs w:val="24"/>
              </w:rPr>
            </w:pPr>
          </w:p>
        </w:tc>
      </w:tr>
      <w:tr w:rsidR="000729CF" w:rsidRPr="000729CF" w14:paraId="2D7702FD" w14:textId="77777777" w:rsidTr="000729CF">
        <w:trPr>
          <w:trHeight w:val="20"/>
        </w:trPr>
        <w:tc>
          <w:tcPr>
            <w:tcW w:w="2985" w:type="dxa"/>
            <w:shd w:val="clear" w:color="auto" w:fill="E7E6E6"/>
          </w:tcPr>
          <w:p w14:paraId="67B7528A"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 xml:space="preserve">Disability </w:t>
            </w:r>
            <w:r w:rsidRPr="000729CF">
              <w:rPr>
                <w:rFonts w:ascii="Arial" w:eastAsia="Calibri" w:hAnsi="Arial" w:cs="Arial"/>
                <w:sz w:val="24"/>
                <w:szCs w:val="24"/>
              </w:rPr>
              <w:t>includes physical and sensory disabled, D/deaf, deafened, hard of hearing, blind, neurodiverse people, people with non-visible disabilities.</w:t>
            </w:r>
          </w:p>
        </w:tc>
        <w:tc>
          <w:tcPr>
            <w:tcW w:w="2123" w:type="dxa"/>
          </w:tcPr>
          <w:p w14:paraId="7EE6769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6A612FE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 </w:t>
            </w:r>
          </w:p>
        </w:tc>
      </w:tr>
      <w:tr w:rsidR="000729CF" w:rsidRPr="000729CF" w14:paraId="568C3C76" w14:textId="77777777" w:rsidTr="000729CF">
        <w:trPr>
          <w:trHeight w:val="20"/>
        </w:trPr>
        <w:tc>
          <w:tcPr>
            <w:tcW w:w="2985" w:type="dxa"/>
            <w:shd w:val="clear" w:color="auto" w:fill="E7E6E6"/>
          </w:tcPr>
          <w:p w14:paraId="49BA707D" w14:textId="77777777" w:rsidR="000729CF" w:rsidRPr="000729CF" w:rsidRDefault="000729CF" w:rsidP="000729CF">
            <w:pPr>
              <w:keepNext/>
              <w:keepLines/>
              <w:spacing w:before="40"/>
              <w:outlineLvl w:val="2"/>
              <w:rPr>
                <w:rFonts w:ascii="Arial" w:hAnsi="Arial" w:cs="Arial"/>
                <w:color w:val="1F3763"/>
                <w:sz w:val="24"/>
                <w:szCs w:val="24"/>
              </w:rPr>
            </w:pPr>
            <w:r w:rsidRPr="000729CF">
              <w:rPr>
                <w:rFonts w:ascii="Arial" w:hAnsi="Arial" w:cs="Arial"/>
                <w:b/>
                <w:bCs/>
                <w:color w:val="000000"/>
                <w:sz w:val="24"/>
                <w:szCs w:val="24"/>
              </w:rPr>
              <w:t>Ethnicity, ‘</w:t>
            </w:r>
            <w:r w:rsidRPr="000729CF">
              <w:rPr>
                <w:rFonts w:ascii="Arial" w:hAnsi="Arial" w:cs="Arial"/>
                <w:color w:val="000000"/>
                <w:sz w:val="24"/>
                <w:szCs w:val="24"/>
              </w:rPr>
              <w:t>Race’, ethnic heritage including Gypsy, Roma, Travellers</w:t>
            </w:r>
          </w:p>
        </w:tc>
        <w:tc>
          <w:tcPr>
            <w:tcW w:w="2123" w:type="dxa"/>
          </w:tcPr>
          <w:p w14:paraId="107A375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3BA8D1FA" w14:textId="77777777" w:rsidR="000729CF" w:rsidRPr="000729CF" w:rsidRDefault="000729CF" w:rsidP="000729CF">
            <w:pPr>
              <w:spacing w:after="120"/>
              <w:rPr>
                <w:rFonts w:ascii="Arial" w:eastAsia="Calibri" w:hAnsi="Arial" w:cs="Arial"/>
                <w:sz w:val="24"/>
                <w:szCs w:val="24"/>
              </w:rPr>
            </w:pPr>
          </w:p>
        </w:tc>
      </w:tr>
      <w:tr w:rsidR="000729CF" w:rsidRPr="000729CF" w14:paraId="2D342EC5" w14:textId="77777777" w:rsidTr="000729CF">
        <w:trPr>
          <w:trHeight w:val="20"/>
        </w:trPr>
        <w:tc>
          <w:tcPr>
            <w:tcW w:w="2985" w:type="dxa"/>
            <w:shd w:val="clear" w:color="auto" w:fill="E7E6E6"/>
          </w:tcPr>
          <w:p w14:paraId="5CF8502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Religion, Spirituality, Faith, Atheism, and philosophical belief </w:t>
            </w:r>
          </w:p>
        </w:tc>
        <w:tc>
          <w:tcPr>
            <w:tcW w:w="2123" w:type="dxa"/>
          </w:tcPr>
          <w:p w14:paraId="3D271D5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209C74A9" w14:textId="77777777" w:rsidR="000729CF" w:rsidRPr="000729CF" w:rsidRDefault="000729CF" w:rsidP="000729CF">
            <w:pPr>
              <w:spacing w:after="120"/>
              <w:rPr>
                <w:rFonts w:ascii="Arial" w:eastAsia="Calibri" w:hAnsi="Arial" w:cs="Arial"/>
                <w:sz w:val="24"/>
                <w:szCs w:val="24"/>
              </w:rPr>
            </w:pPr>
          </w:p>
        </w:tc>
      </w:tr>
      <w:tr w:rsidR="000729CF" w:rsidRPr="000729CF" w14:paraId="1136C6F3" w14:textId="77777777" w:rsidTr="000729CF">
        <w:trPr>
          <w:trHeight w:val="20"/>
        </w:trPr>
        <w:tc>
          <w:tcPr>
            <w:tcW w:w="2985" w:type="dxa"/>
            <w:shd w:val="clear" w:color="auto" w:fill="E7E6E6"/>
          </w:tcPr>
          <w:p w14:paraId="45F2F7F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Gender and Sex </w:t>
            </w:r>
            <w:r w:rsidRPr="000729CF">
              <w:rPr>
                <w:rFonts w:ascii="Arial" w:eastAsia="Calibri" w:hAnsi="Arial" w:cs="Arial"/>
                <w:sz w:val="24"/>
                <w:szCs w:val="24"/>
              </w:rPr>
              <w:t>including non-binary and intersex people</w:t>
            </w:r>
          </w:p>
        </w:tc>
        <w:tc>
          <w:tcPr>
            <w:tcW w:w="2123" w:type="dxa"/>
          </w:tcPr>
          <w:p w14:paraId="151F5B4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6EFD947F" w14:textId="77777777" w:rsidR="000729CF" w:rsidRPr="000729CF" w:rsidRDefault="000729CF" w:rsidP="000729CF">
            <w:pPr>
              <w:spacing w:after="120"/>
              <w:rPr>
                <w:rFonts w:ascii="Arial" w:eastAsia="Calibri" w:hAnsi="Arial" w:cs="Arial"/>
                <w:sz w:val="24"/>
                <w:szCs w:val="24"/>
              </w:rPr>
            </w:pPr>
          </w:p>
        </w:tc>
      </w:tr>
      <w:tr w:rsidR="000729CF" w:rsidRPr="000729CF" w14:paraId="3EBDA02D" w14:textId="77777777" w:rsidTr="000729CF">
        <w:trPr>
          <w:trHeight w:val="20"/>
        </w:trPr>
        <w:tc>
          <w:tcPr>
            <w:tcW w:w="2985" w:type="dxa"/>
            <w:shd w:val="clear" w:color="auto" w:fill="E7E6E6"/>
          </w:tcPr>
          <w:p w14:paraId="7D7B00A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2123" w:type="dxa"/>
          </w:tcPr>
          <w:p w14:paraId="72D54FE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7C680CBD" w14:textId="77777777" w:rsidR="000729CF" w:rsidRPr="000729CF" w:rsidRDefault="000729CF" w:rsidP="000729CF">
            <w:pPr>
              <w:spacing w:after="120"/>
              <w:rPr>
                <w:rFonts w:ascii="Arial" w:eastAsia="Calibri" w:hAnsi="Arial" w:cs="Arial"/>
                <w:sz w:val="24"/>
                <w:szCs w:val="24"/>
              </w:rPr>
            </w:pPr>
          </w:p>
        </w:tc>
      </w:tr>
      <w:tr w:rsidR="000729CF" w:rsidRPr="000729CF" w14:paraId="1CD26815" w14:textId="77777777" w:rsidTr="000729CF">
        <w:trPr>
          <w:trHeight w:val="20"/>
        </w:trPr>
        <w:tc>
          <w:tcPr>
            <w:tcW w:w="2985" w:type="dxa"/>
            <w:shd w:val="clear" w:color="auto" w:fill="E7E6E6"/>
          </w:tcPr>
          <w:p w14:paraId="0BB6BF6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2123" w:type="dxa"/>
          </w:tcPr>
          <w:p w14:paraId="7CD8CEB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247E5011" w14:textId="77777777" w:rsidR="000729CF" w:rsidRPr="000729CF" w:rsidRDefault="000729CF" w:rsidP="000729CF">
            <w:pPr>
              <w:spacing w:after="120"/>
              <w:rPr>
                <w:rFonts w:ascii="Arial" w:eastAsia="Calibri" w:hAnsi="Arial" w:cs="Arial"/>
                <w:sz w:val="24"/>
                <w:szCs w:val="24"/>
              </w:rPr>
            </w:pPr>
          </w:p>
        </w:tc>
      </w:tr>
      <w:tr w:rsidR="000729CF" w:rsidRPr="000729CF" w14:paraId="2745C955" w14:textId="77777777" w:rsidTr="000729CF">
        <w:trPr>
          <w:trHeight w:val="20"/>
        </w:trPr>
        <w:tc>
          <w:tcPr>
            <w:tcW w:w="2985" w:type="dxa"/>
            <w:shd w:val="clear" w:color="auto" w:fill="E7E6E6"/>
          </w:tcPr>
          <w:p w14:paraId="4EEFA12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2123" w:type="dxa"/>
          </w:tcPr>
          <w:p w14:paraId="5A073A5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625663F6" w14:textId="77777777" w:rsidR="000729CF" w:rsidRPr="000729CF" w:rsidRDefault="000729CF" w:rsidP="000729CF">
            <w:pPr>
              <w:spacing w:after="120"/>
              <w:rPr>
                <w:rFonts w:ascii="Arial" w:eastAsia="Calibri" w:hAnsi="Arial" w:cs="Arial"/>
                <w:sz w:val="24"/>
                <w:szCs w:val="24"/>
              </w:rPr>
            </w:pPr>
          </w:p>
        </w:tc>
      </w:tr>
      <w:tr w:rsidR="000729CF" w:rsidRPr="000729CF" w14:paraId="71DF668B" w14:textId="77777777" w:rsidTr="000729CF">
        <w:trPr>
          <w:trHeight w:val="20"/>
        </w:trPr>
        <w:tc>
          <w:tcPr>
            <w:tcW w:w="2985" w:type="dxa"/>
            <w:shd w:val="clear" w:color="auto" w:fill="E7E6E6"/>
          </w:tcPr>
          <w:p w14:paraId="3B498A1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Pregnancy, Maternity, Paternity, Adoption, Menopause, (In)fertility </w:t>
            </w:r>
            <w:r w:rsidRPr="000729CF">
              <w:rPr>
                <w:rFonts w:ascii="Arial" w:eastAsia="Calibri" w:hAnsi="Arial" w:cs="Arial"/>
                <w:color w:val="000000"/>
                <w:sz w:val="24"/>
                <w:szCs w:val="24"/>
              </w:rPr>
              <w:t>(across intersections and non-binary gender spectrum)</w:t>
            </w:r>
          </w:p>
        </w:tc>
        <w:tc>
          <w:tcPr>
            <w:tcW w:w="2123" w:type="dxa"/>
          </w:tcPr>
          <w:p w14:paraId="0F4431E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463B7409" w14:textId="77777777" w:rsidR="000729CF" w:rsidRPr="000729CF" w:rsidRDefault="000729CF" w:rsidP="000729CF">
            <w:pPr>
              <w:spacing w:after="120"/>
              <w:rPr>
                <w:rFonts w:ascii="Arial" w:eastAsia="Calibri" w:hAnsi="Arial" w:cs="Arial"/>
                <w:sz w:val="24"/>
                <w:szCs w:val="24"/>
              </w:rPr>
            </w:pPr>
          </w:p>
        </w:tc>
      </w:tr>
      <w:tr w:rsidR="000729CF" w:rsidRPr="000729CF" w14:paraId="5AA3FE92" w14:textId="77777777" w:rsidTr="000729CF">
        <w:trPr>
          <w:trHeight w:val="20"/>
        </w:trPr>
        <w:tc>
          <w:tcPr>
            <w:tcW w:w="2985" w:type="dxa"/>
            <w:shd w:val="clear" w:color="auto" w:fill="E7E6E6"/>
          </w:tcPr>
          <w:p w14:paraId="226DC43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2123" w:type="dxa"/>
          </w:tcPr>
          <w:p w14:paraId="680CD35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4F1458EB" w14:textId="77777777" w:rsidR="000729CF" w:rsidRPr="000729CF" w:rsidRDefault="000729CF" w:rsidP="000729CF">
            <w:pPr>
              <w:spacing w:after="120"/>
              <w:rPr>
                <w:rFonts w:ascii="Arial" w:eastAsia="Calibri" w:hAnsi="Arial" w:cs="Arial"/>
                <w:sz w:val="24"/>
                <w:szCs w:val="24"/>
              </w:rPr>
            </w:pPr>
          </w:p>
        </w:tc>
      </w:tr>
      <w:tr w:rsidR="000729CF" w:rsidRPr="000729CF" w14:paraId="447D1763" w14:textId="77777777" w:rsidTr="000729CF">
        <w:trPr>
          <w:trHeight w:val="20"/>
        </w:trPr>
        <w:tc>
          <w:tcPr>
            <w:tcW w:w="2985" w:type="dxa"/>
            <w:shd w:val="clear" w:color="auto" w:fill="E7E6E6"/>
          </w:tcPr>
          <w:p w14:paraId="606A00A7" w14:textId="77777777" w:rsidR="000729CF" w:rsidRPr="000729CF" w:rsidRDefault="000729CF" w:rsidP="000729CF">
            <w:pPr>
              <w:spacing w:after="120"/>
              <w:rPr>
                <w:rFonts w:ascii="Arial" w:eastAsia="Calibri" w:hAnsi="Arial" w:cs="Arial"/>
                <w:b/>
                <w:bCs/>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r w:rsidRPr="000729CF">
              <w:rPr>
                <w:rFonts w:ascii="Arial" w:hAnsi="Arial" w:cs="Arial"/>
                <w:color w:val="000000"/>
                <w:sz w:val="24"/>
                <w:szCs w:val="24"/>
              </w:rPr>
              <w:t>considering for No age, language, and various intersections</w:t>
            </w:r>
          </w:p>
        </w:tc>
        <w:tc>
          <w:tcPr>
            <w:tcW w:w="2123" w:type="dxa"/>
          </w:tcPr>
          <w:p w14:paraId="5DA7E9C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0DC11CDE" w14:textId="77777777" w:rsidR="000729CF" w:rsidRPr="000729CF" w:rsidRDefault="000729CF" w:rsidP="000729CF">
            <w:pPr>
              <w:spacing w:after="120"/>
              <w:rPr>
                <w:rFonts w:ascii="Arial" w:eastAsia="Calibri" w:hAnsi="Arial" w:cs="Arial"/>
                <w:sz w:val="24"/>
                <w:szCs w:val="24"/>
              </w:rPr>
            </w:pPr>
          </w:p>
        </w:tc>
      </w:tr>
      <w:tr w:rsidR="000729CF" w:rsidRPr="000729CF" w14:paraId="1138A819" w14:textId="77777777" w:rsidTr="000729CF">
        <w:trPr>
          <w:trHeight w:val="20"/>
        </w:trPr>
        <w:tc>
          <w:tcPr>
            <w:tcW w:w="2985" w:type="dxa"/>
            <w:shd w:val="clear" w:color="auto" w:fill="E7E6E6"/>
          </w:tcPr>
          <w:p w14:paraId="0DF7074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Carers </w:t>
            </w:r>
            <w:r w:rsidRPr="000729CF">
              <w:rPr>
                <w:rFonts w:ascii="Arial" w:hAnsi="Arial" w:cs="Arial"/>
                <w:color w:val="000000"/>
                <w:sz w:val="24"/>
                <w:szCs w:val="24"/>
              </w:rPr>
              <w:t>considering for age, language, and various intersections</w:t>
            </w:r>
          </w:p>
        </w:tc>
        <w:tc>
          <w:tcPr>
            <w:tcW w:w="2123" w:type="dxa"/>
          </w:tcPr>
          <w:p w14:paraId="58DF389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068AADC2" w14:textId="77777777" w:rsidR="000729CF" w:rsidRPr="000729CF" w:rsidRDefault="000729CF" w:rsidP="000729CF">
            <w:pPr>
              <w:spacing w:after="120"/>
              <w:rPr>
                <w:rFonts w:ascii="Arial" w:eastAsia="Calibri" w:hAnsi="Arial" w:cs="Arial"/>
                <w:sz w:val="24"/>
                <w:szCs w:val="24"/>
              </w:rPr>
            </w:pPr>
          </w:p>
        </w:tc>
      </w:tr>
      <w:tr w:rsidR="000729CF" w:rsidRPr="000729CF" w14:paraId="58A8E2EB" w14:textId="77777777" w:rsidTr="000729CF">
        <w:trPr>
          <w:trHeight w:val="20"/>
        </w:trPr>
        <w:tc>
          <w:tcPr>
            <w:tcW w:w="2985" w:type="dxa"/>
            <w:shd w:val="clear" w:color="auto" w:fill="E7E6E6"/>
          </w:tcPr>
          <w:p w14:paraId="45957889"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 xml:space="preserve">Looked after children, Care Leavers, Care and fostering experienced people </w:t>
            </w:r>
            <w:r w:rsidRPr="000729CF">
              <w:rPr>
                <w:rFonts w:ascii="Arial" w:hAnsi="Arial" w:cs="Arial"/>
                <w:color w:val="000000"/>
                <w:sz w:val="24"/>
                <w:szCs w:val="24"/>
              </w:rPr>
              <w:t>considering for age, language, and various intersections</w:t>
            </w:r>
          </w:p>
        </w:tc>
        <w:tc>
          <w:tcPr>
            <w:tcW w:w="2123" w:type="dxa"/>
          </w:tcPr>
          <w:p w14:paraId="123DF51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6DF12F1A" w14:textId="77777777" w:rsidR="000729CF" w:rsidRPr="000729CF" w:rsidRDefault="000729CF" w:rsidP="000729CF">
            <w:pPr>
              <w:spacing w:after="120"/>
              <w:rPr>
                <w:rFonts w:ascii="Arial" w:eastAsia="Calibri" w:hAnsi="Arial" w:cs="Arial"/>
                <w:sz w:val="24"/>
                <w:szCs w:val="24"/>
              </w:rPr>
            </w:pPr>
          </w:p>
        </w:tc>
      </w:tr>
      <w:tr w:rsidR="000729CF" w:rsidRPr="000729CF" w14:paraId="772A6F6A" w14:textId="77777777" w:rsidTr="000729CF">
        <w:trPr>
          <w:trHeight w:val="20"/>
        </w:trPr>
        <w:tc>
          <w:tcPr>
            <w:tcW w:w="2985" w:type="dxa"/>
            <w:shd w:val="clear" w:color="auto" w:fill="E7E6E6"/>
          </w:tcPr>
          <w:p w14:paraId="62162F8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w:t>
            </w:r>
          </w:p>
        </w:tc>
        <w:tc>
          <w:tcPr>
            <w:tcW w:w="2123" w:type="dxa"/>
          </w:tcPr>
          <w:p w14:paraId="082B40C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7E6155ED" w14:textId="77777777" w:rsidR="000729CF" w:rsidRPr="000729CF" w:rsidRDefault="000729CF" w:rsidP="000729CF">
            <w:pPr>
              <w:spacing w:after="120"/>
              <w:rPr>
                <w:rFonts w:ascii="Arial" w:eastAsia="Calibri" w:hAnsi="Arial" w:cs="Arial"/>
                <w:sz w:val="24"/>
                <w:szCs w:val="24"/>
              </w:rPr>
            </w:pPr>
          </w:p>
        </w:tc>
      </w:tr>
      <w:tr w:rsidR="000729CF" w:rsidRPr="000729CF" w14:paraId="74839AD2" w14:textId="77777777" w:rsidTr="000729CF">
        <w:trPr>
          <w:trHeight w:val="20"/>
        </w:trPr>
        <w:tc>
          <w:tcPr>
            <w:tcW w:w="2985" w:type="dxa"/>
            <w:shd w:val="clear" w:color="auto" w:fill="E7E6E6"/>
          </w:tcPr>
          <w:p w14:paraId="32011B5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Socio-economic disadvantage </w:t>
            </w:r>
            <w:r w:rsidRPr="000729CF">
              <w:rPr>
                <w:rFonts w:ascii="Arial" w:eastAsia="Calibri" w:hAnsi="Arial" w:cs="Arial"/>
                <w:color w:val="000000"/>
                <w:sz w:val="24"/>
                <w:szCs w:val="24"/>
              </w:rPr>
              <w:t>considering for age, disability, D/deaf/ blind, ethnicity, expatriate background, and various intersections</w:t>
            </w:r>
          </w:p>
        </w:tc>
        <w:tc>
          <w:tcPr>
            <w:tcW w:w="2123" w:type="dxa"/>
          </w:tcPr>
          <w:p w14:paraId="6F82866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7D6A5D20" w14:textId="77777777" w:rsidR="000729CF" w:rsidRPr="000729CF" w:rsidRDefault="000729CF" w:rsidP="000729CF">
            <w:pPr>
              <w:spacing w:after="120"/>
              <w:rPr>
                <w:rFonts w:ascii="Arial" w:eastAsia="Calibri" w:hAnsi="Arial" w:cs="Arial"/>
                <w:sz w:val="24"/>
                <w:szCs w:val="24"/>
              </w:rPr>
            </w:pPr>
          </w:p>
        </w:tc>
      </w:tr>
      <w:tr w:rsidR="000729CF" w:rsidRPr="000729CF" w14:paraId="18FB0343" w14:textId="77777777" w:rsidTr="000729CF">
        <w:trPr>
          <w:trHeight w:val="20"/>
        </w:trPr>
        <w:tc>
          <w:tcPr>
            <w:tcW w:w="2985" w:type="dxa"/>
            <w:shd w:val="clear" w:color="auto" w:fill="E7E6E6"/>
          </w:tcPr>
          <w:p w14:paraId="77D7506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Homeless and rough sleepers </w:t>
            </w:r>
            <w:r w:rsidRPr="000729CF">
              <w:rPr>
                <w:rFonts w:ascii="Arial" w:eastAsia="Calibri" w:hAnsi="Arial" w:cs="Arial"/>
                <w:color w:val="000000"/>
                <w:sz w:val="24"/>
                <w:szCs w:val="24"/>
              </w:rPr>
              <w:t>considering for age, veteran, ethnicity, language, and various intersections</w:t>
            </w:r>
          </w:p>
        </w:tc>
        <w:tc>
          <w:tcPr>
            <w:tcW w:w="2123" w:type="dxa"/>
          </w:tcPr>
          <w:p w14:paraId="1A34E28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79E31DCC" w14:textId="77777777" w:rsidR="000729CF" w:rsidRPr="000729CF" w:rsidRDefault="000729CF" w:rsidP="000729CF">
            <w:pPr>
              <w:spacing w:after="120"/>
              <w:rPr>
                <w:rFonts w:ascii="Arial" w:eastAsia="Calibri" w:hAnsi="Arial" w:cs="Arial"/>
                <w:sz w:val="24"/>
                <w:szCs w:val="24"/>
              </w:rPr>
            </w:pPr>
          </w:p>
        </w:tc>
      </w:tr>
      <w:tr w:rsidR="000729CF" w:rsidRPr="000729CF" w14:paraId="56431DB6" w14:textId="77777777" w:rsidTr="000729CF">
        <w:trPr>
          <w:trHeight w:val="20"/>
        </w:trPr>
        <w:tc>
          <w:tcPr>
            <w:tcW w:w="2985" w:type="dxa"/>
            <w:shd w:val="clear" w:color="auto" w:fill="E7E6E6"/>
          </w:tcPr>
          <w:p w14:paraId="70B8E76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2123" w:type="dxa"/>
          </w:tcPr>
          <w:p w14:paraId="0092078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7D378701" w14:textId="77777777" w:rsidR="000729CF" w:rsidRPr="000729CF" w:rsidRDefault="000729CF" w:rsidP="000729CF">
            <w:pPr>
              <w:spacing w:after="120"/>
              <w:rPr>
                <w:rFonts w:ascii="Arial" w:eastAsia="Calibri" w:hAnsi="Arial" w:cs="Arial"/>
                <w:sz w:val="24"/>
                <w:szCs w:val="24"/>
              </w:rPr>
            </w:pPr>
          </w:p>
        </w:tc>
      </w:tr>
      <w:tr w:rsidR="000729CF" w:rsidRPr="000729CF" w14:paraId="482A6B85" w14:textId="77777777" w:rsidTr="000729CF">
        <w:trPr>
          <w:trHeight w:val="20"/>
        </w:trPr>
        <w:tc>
          <w:tcPr>
            <w:tcW w:w="2985" w:type="dxa"/>
            <w:shd w:val="clear" w:color="auto" w:fill="E7E6E6"/>
          </w:tcPr>
          <w:p w14:paraId="67D7A72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 (please specify here and add additional rows as needed)</w:t>
            </w:r>
          </w:p>
        </w:tc>
        <w:tc>
          <w:tcPr>
            <w:tcW w:w="2123" w:type="dxa"/>
          </w:tcPr>
          <w:p w14:paraId="573493C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171628DD" w14:textId="77777777" w:rsidR="000729CF" w:rsidRPr="000729CF" w:rsidRDefault="000729CF" w:rsidP="000729CF">
            <w:pPr>
              <w:spacing w:after="120"/>
              <w:rPr>
                <w:rFonts w:ascii="Arial" w:eastAsia="Calibri" w:hAnsi="Arial" w:cs="Arial"/>
                <w:sz w:val="24"/>
                <w:szCs w:val="24"/>
              </w:rPr>
            </w:pPr>
          </w:p>
        </w:tc>
      </w:tr>
    </w:tbl>
    <w:p w14:paraId="1E6BA0DD" w14:textId="77777777" w:rsidR="000729CF" w:rsidRPr="000729CF" w:rsidRDefault="000729CF" w:rsidP="000729CF">
      <w:pPr>
        <w:spacing w:after="160" w:line="259" w:lineRule="auto"/>
        <w:rPr>
          <w:rFonts w:ascii="Arial" w:eastAsia="Calibri" w:hAnsi="Arial" w:cs="Arial"/>
          <w:b/>
          <w:bCs/>
          <w:sz w:val="24"/>
          <w:szCs w:val="24"/>
          <w:lang w:val="en-GB"/>
        </w:rPr>
      </w:pPr>
    </w:p>
    <w:p w14:paraId="22070612"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02809478"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19CC6E5A"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52B2335C"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196937E7"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74924679"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2AA67A95"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4FB96BE3"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176CC16D"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424543E5"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764A8519" w14:textId="77777777" w:rsidR="000729CF" w:rsidRPr="000729CF" w:rsidRDefault="000729CF" w:rsidP="000729CF">
      <w:pPr>
        <w:rPr>
          <w:rFonts w:ascii="Arial" w:eastAsia="Calibri" w:hAnsi="Arial" w:cs="Arial"/>
          <w:sz w:val="24"/>
          <w:szCs w:val="24"/>
          <w:lang w:val="en-GB"/>
        </w:rPr>
      </w:pPr>
    </w:p>
    <w:p w14:paraId="23E11947"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Cumulative impacts</w:t>
      </w:r>
    </w:p>
    <w:p w14:paraId="0D9382C0"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Are there other budget proposals from other service areas that might worsen or mitigate the impacts from your proposal? Please give a brief description including name of other service(s).</w:t>
      </w:r>
    </w:p>
    <w:tbl>
      <w:tblPr>
        <w:tblStyle w:val="TableGrid"/>
        <w:tblW w:w="0" w:type="auto"/>
        <w:tblLook w:val="04A0" w:firstRow="1" w:lastRow="0" w:firstColumn="1" w:lastColumn="0" w:noHBand="0" w:noVBand="1"/>
      </w:tblPr>
      <w:tblGrid>
        <w:gridCol w:w="10456"/>
      </w:tblGrid>
      <w:tr w:rsidR="000729CF" w:rsidRPr="000729CF" w14:paraId="1CF13DDB" w14:textId="77777777" w:rsidTr="00BC26AB">
        <w:tc>
          <w:tcPr>
            <w:tcW w:w="10456" w:type="dxa"/>
          </w:tcPr>
          <w:p w14:paraId="6F0BBDF0" w14:textId="77777777" w:rsidR="000729CF" w:rsidRPr="000729CF" w:rsidRDefault="000729CF" w:rsidP="000729CF">
            <w:pPr>
              <w:rPr>
                <w:rFonts w:ascii="Arial" w:hAnsi="Arial" w:cs="Arial"/>
                <w:iCs/>
                <w:sz w:val="24"/>
                <w:szCs w:val="24"/>
              </w:rPr>
            </w:pPr>
            <w:r w:rsidRPr="000729CF">
              <w:rPr>
                <w:rFonts w:ascii="Arial" w:eastAsia="Calibri" w:hAnsi="Arial" w:cs="Arial"/>
                <w:sz w:val="24"/>
                <w:szCs w:val="24"/>
              </w:rPr>
              <w:t xml:space="preserve"> </w:t>
            </w:r>
            <w:r w:rsidRPr="000729CF">
              <w:rPr>
                <w:rFonts w:ascii="Arial" w:hAnsi="Arial" w:cs="Arial"/>
                <w:iCs/>
                <w:sz w:val="24"/>
                <w:szCs w:val="24"/>
              </w:rPr>
              <w:t xml:space="preserve">Reduction in the Third Sector Commission will likely impact on other budget proposals that may be looking to the VCS to help mitigate their impact. It may also jeopardise the delivery of other commissions, especially if those budgets are being reduced. </w:t>
            </w:r>
          </w:p>
          <w:p w14:paraId="30829740" w14:textId="77777777" w:rsidR="000729CF" w:rsidRPr="000729CF" w:rsidRDefault="000729CF" w:rsidP="000729CF">
            <w:pPr>
              <w:rPr>
                <w:rFonts w:ascii="Arial" w:eastAsia="Calibri" w:hAnsi="Arial" w:cs="Arial"/>
                <w:sz w:val="24"/>
                <w:szCs w:val="24"/>
              </w:rPr>
            </w:pPr>
          </w:p>
        </w:tc>
      </w:tr>
    </w:tbl>
    <w:p w14:paraId="6DDEB899" w14:textId="77777777" w:rsidR="000729CF" w:rsidRPr="000729CF" w:rsidRDefault="000729CF" w:rsidP="000729CF">
      <w:pPr>
        <w:spacing w:after="160" w:line="259" w:lineRule="auto"/>
        <w:rPr>
          <w:rFonts w:ascii="Arial" w:eastAsia="Calibri" w:hAnsi="Arial" w:cs="Arial"/>
          <w:sz w:val="24"/>
          <w:szCs w:val="24"/>
          <w:lang w:val="en-GB"/>
        </w:rPr>
      </w:pPr>
    </w:p>
    <w:p w14:paraId="145CAEB6"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Action planning</w:t>
      </w:r>
    </w:p>
    <w:p w14:paraId="42A72999"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SMART actions will be taken to mitigate the disproportionate impacts identified in section 3? If no mitigating action is possible, please state and explain why. Add additional rows as required. </w:t>
      </w:r>
    </w:p>
    <w:tbl>
      <w:tblPr>
        <w:tblStyle w:val="TableGrid"/>
        <w:tblW w:w="0" w:type="auto"/>
        <w:tblLook w:val="04A0" w:firstRow="1" w:lastRow="0" w:firstColumn="1" w:lastColumn="0" w:noHBand="0" w:noVBand="1"/>
      </w:tblPr>
      <w:tblGrid>
        <w:gridCol w:w="10456"/>
      </w:tblGrid>
      <w:tr w:rsidR="000729CF" w:rsidRPr="000729CF" w14:paraId="130ED95A" w14:textId="77777777" w:rsidTr="00BC26AB">
        <w:trPr>
          <w:trHeight w:val="847"/>
        </w:trPr>
        <w:tc>
          <w:tcPr>
            <w:tcW w:w="10456" w:type="dxa"/>
          </w:tcPr>
          <w:p w14:paraId="21F3B63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SMART action 1: Officers will work with Community Works, within its reduced budget envelope to provide support to partnerships manage the impact of the reduction. </w:t>
            </w:r>
          </w:p>
          <w:p w14:paraId="1DA30BF8" w14:textId="77777777" w:rsidR="000729CF" w:rsidRPr="000729CF" w:rsidRDefault="000729CF" w:rsidP="000729CF">
            <w:pPr>
              <w:spacing w:after="120"/>
              <w:ind w:left="360"/>
              <w:rPr>
                <w:rFonts w:ascii="Arial" w:eastAsia="Calibri" w:hAnsi="Arial" w:cs="Arial"/>
                <w:sz w:val="24"/>
                <w:szCs w:val="24"/>
              </w:rPr>
            </w:pPr>
          </w:p>
        </w:tc>
      </w:tr>
    </w:tbl>
    <w:p w14:paraId="3BB50446" w14:textId="77777777" w:rsidR="000729CF" w:rsidRPr="000729CF" w:rsidRDefault="000729CF" w:rsidP="000729CF">
      <w:pPr>
        <w:spacing w:after="160" w:line="259" w:lineRule="auto"/>
        <w:rPr>
          <w:rFonts w:ascii="Arial" w:eastAsia="Calibri" w:hAnsi="Arial" w:cs="Arial"/>
          <w:sz w:val="24"/>
          <w:szCs w:val="24"/>
          <w:lang w:val="en-GB"/>
        </w:rPr>
      </w:pPr>
    </w:p>
    <w:p w14:paraId="2A71BC36"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Outcome of your assessment</w:t>
      </w:r>
    </w:p>
    <w:p w14:paraId="684E21BB"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Based on the information above give the proposal an impact score between 1 – 5. </w:t>
      </w:r>
    </w:p>
    <w:p w14:paraId="1870F307"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1= proposal has minimal impact and/or mitigating actions will significantly minimise the impact</w:t>
      </w:r>
    </w:p>
    <w:p w14:paraId="40282331"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3= proposal will have a significant negative impact; however, mitigation actions will reduce the impact considerably.</w:t>
      </w:r>
    </w:p>
    <w:p w14:paraId="5EDAEBDC"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5= proposal has significant impact and mitigating actions will have limited effect on reducing impact.</w:t>
      </w:r>
    </w:p>
    <w:p w14:paraId="0F9747B1" w14:textId="77777777" w:rsidR="000729CF" w:rsidRPr="000729CF" w:rsidRDefault="000729CF" w:rsidP="000729CF">
      <w:pPr>
        <w:rPr>
          <w:rFonts w:ascii="Arial" w:eastAsia="Calibri" w:hAnsi="Arial" w:cs="Arial"/>
          <w:sz w:val="24"/>
          <w:szCs w:val="24"/>
          <w:highlight w:val="yellow"/>
          <w:lang w:val="en-GB"/>
        </w:rPr>
      </w:pPr>
    </w:p>
    <w:tbl>
      <w:tblPr>
        <w:tblStyle w:val="TableGrid"/>
        <w:tblW w:w="0" w:type="auto"/>
        <w:tblLook w:val="04A0" w:firstRow="1" w:lastRow="0" w:firstColumn="1" w:lastColumn="0" w:noHBand="0" w:noVBand="1"/>
      </w:tblPr>
      <w:tblGrid>
        <w:gridCol w:w="3114"/>
        <w:gridCol w:w="7342"/>
      </w:tblGrid>
      <w:tr w:rsidR="000729CF" w:rsidRPr="000729CF" w14:paraId="082A6576" w14:textId="77777777" w:rsidTr="00BC26AB">
        <w:trPr>
          <w:trHeight w:val="152"/>
        </w:trPr>
        <w:tc>
          <w:tcPr>
            <w:tcW w:w="3114" w:type="dxa"/>
          </w:tcPr>
          <w:p w14:paraId="39A612F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Proposal’s impact score:</w:t>
            </w:r>
          </w:p>
        </w:tc>
        <w:tc>
          <w:tcPr>
            <w:tcW w:w="7342" w:type="dxa"/>
          </w:tcPr>
          <w:p w14:paraId="33315F8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4</w:t>
            </w:r>
          </w:p>
        </w:tc>
      </w:tr>
    </w:tbl>
    <w:p w14:paraId="5D8301CF" w14:textId="77777777" w:rsidR="000729CF" w:rsidRPr="000729CF" w:rsidRDefault="000729CF" w:rsidP="000729CF">
      <w:pPr>
        <w:spacing w:after="160" w:line="259" w:lineRule="auto"/>
        <w:rPr>
          <w:rFonts w:ascii="Arial" w:eastAsia="Calibri" w:hAnsi="Arial" w:cs="Arial"/>
          <w:sz w:val="24"/>
          <w:szCs w:val="24"/>
          <w:lang w:val="en-GB"/>
        </w:rPr>
      </w:pPr>
    </w:p>
    <w:p w14:paraId="05E946E8"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Publication</w:t>
      </w:r>
    </w:p>
    <w:p w14:paraId="6151EA8D"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All Equality Impact Assessments will be published. If you are recommending, and choosing not to publish your EIA, please provide a reason:</w:t>
      </w:r>
    </w:p>
    <w:tbl>
      <w:tblPr>
        <w:tblStyle w:val="TableGrid"/>
        <w:tblW w:w="0" w:type="auto"/>
        <w:tblLook w:val="04A0" w:firstRow="1" w:lastRow="0" w:firstColumn="1" w:lastColumn="0" w:noHBand="0" w:noVBand="1"/>
      </w:tblPr>
      <w:tblGrid>
        <w:gridCol w:w="10456"/>
      </w:tblGrid>
      <w:tr w:rsidR="000729CF" w:rsidRPr="000729CF" w14:paraId="7D1AA531" w14:textId="77777777" w:rsidTr="00BC26AB">
        <w:trPr>
          <w:trHeight w:val="803"/>
        </w:trPr>
        <w:tc>
          <w:tcPr>
            <w:tcW w:w="10456" w:type="dxa"/>
          </w:tcPr>
          <w:p w14:paraId="1EA00CE0" w14:textId="77777777" w:rsidR="000729CF" w:rsidRPr="000729CF" w:rsidRDefault="000729CF" w:rsidP="000729CF">
            <w:pPr>
              <w:spacing w:after="120"/>
              <w:rPr>
                <w:rFonts w:ascii="Arial" w:eastAsia="Calibri" w:hAnsi="Arial" w:cs="Arial"/>
                <w:sz w:val="24"/>
                <w:szCs w:val="24"/>
              </w:rPr>
            </w:pPr>
          </w:p>
        </w:tc>
      </w:tr>
    </w:tbl>
    <w:p w14:paraId="0240555F" w14:textId="77777777" w:rsidR="000729CF" w:rsidRPr="000729CF" w:rsidRDefault="000729CF" w:rsidP="000729CF">
      <w:pPr>
        <w:spacing w:after="160" w:line="259" w:lineRule="auto"/>
        <w:rPr>
          <w:rFonts w:ascii="Arial" w:eastAsia="Calibri" w:hAnsi="Arial" w:cs="Arial"/>
          <w:sz w:val="24"/>
          <w:szCs w:val="24"/>
          <w:lang w:val="en-GB"/>
        </w:rPr>
      </w:pPr>
    </w:p>
    <w:p w14:paraId="7917C7B1"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Directorate and Service Approval</w:t>
      </w:r>
    </w:p>
    <w:tbl>
      <w:tblPr>
        <w:tblStyle w:val="TableGrid"/>
        <w:tblW w:w="0" w:type="auto"/>
        <w:tblLook w:val="04A0" w:firstRow="1" w:lastRow="0" w:firstColumn="1" w:lastColumn="0" w:noHBand="0" w:noVBand="1"/>
      </w:tblPr>
      <w:tblGrid>
        <w:gridCol w:w="3681"/>
        <w:gridCol w:w="4394"/>
        <w:gridCol w:w="2381"/>
      </w:tblGrid>
      <w:tr w:rsidR="000729CF" w:rsidRPr="000729CF" w14:paraId="5ECACCD1" w14:textId="77777777" w:rsidTr="000729CF">
        <w:trPr>
          <w:trHeight w:val="20"/>
        </w:trPr>
        <w:tc>
          <w:tcPr>
            <w:tcW w:w="3681" w:type="dxa"/>
            <w:tcBorders>
              <w:bottom w:val="single" w:sz="4" w:space="0" w:color="auto"/>
            </w:tcBorders>
            <w:shd w:val="clear" w:color="auto" w:fill="D9D9D9"/>
          </w:tcPr>
          <w:p w14:paraId="2054DB9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727A392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 and Job Title:</w:t>
            </w:r>
          </w:p>
        </w:tc>
        <w:tc>
          <w:tcPr>
            <w:tcW w:w="2381" w:type="dxa"/>
            <w:shd w:val="clear" w:color="auto" w:fill="D9D9D9"/>
          </w:tcPr>
          <w:p w14:paraId="55EF779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41478C2E" w14:textId="77777777" w:rsidTr="000729CF">
        <w:trPr>
          <w:trHeight w:val="20"/>
        </w:trPr>
        <w:tc>
          <w:tcPr>
            <w:tcW w:w="3681" w:type="dxa"/>
            <w:shd w:val="clear" w:color="auto" w:fill="E7E6E6"/>
          </w:tcPr>
          <w:p w14:paraId="2520514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Responsible Lead Officer:</w:t>
            </w:r>
          </w:p>
        </w:tc>
        <w:tc>
          <w:tcPr>
            <w:tcW w:w="4394" w:type="dxa"/>
          </w:tcPr>
          <w:p w14:paraId="63DB0B7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John Reading, Third Sector Manager</w:t>
            </w:r>
          </w:p>
        </w:tc>
        <w:tc>
          <w:tcPr>
            <w:tcW w:w="2381" w:type="dxa"/>
          </w:tcPr>
          <w:p w14:paraId="655321E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26-01-24</w:t>
            </w:r>
          </w:p>
        </w:tc>
      </w:tr>
      <w:tr w:rsidR="000729CF" w:rsidRPr="000729CF" w14:paraId="5E853596" w14:textId="77777777" w:rsidTr="000729CF">
        <w:trPr>
          <w:trHeight w:val="20"/>
        </w:trPr>
        <w:tc>
          <w:tcPr>
            <w:tcW w:w="3681" w:type="dxa"/>
            <w:shd w:val="clear" w:color="auto" w:fill="E7E6E6"/>
          </w:tcPr>
          <w:p w14:paraId="70D9999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Accountable Manager:</w:t>
            </w:r>
          </w:p>
        </w:tc>
        <w:tc>
          <w:tcPr>
            <w:tcW w:w="4394" w:type="dxa"/>
          </w:tcPr>
          <w:p w14:paraId="66E5869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Emma McDermott</w:t>
            </w:r>
          </w:p>
        </w:tc>
        <w:tc>
          <w:tcPr>
            <w:tcW w:w="2381" w:type="dxa"/>
          </w:tcPr>
          <w:p w14:paraId="0E689E1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26-01-24</w:t>
            </w:r>
          </w:p>
        </w:tc>
      </w:tr>
    </w:tbl>
    <w:p w14:paraId="3765B0E8" w14:textId="77777777" w:rsidR="000729CF" w:rsidRPr="000729CF" w:rsidRDefault="000729CF" w:rsidP="000729CF">
      <w:pPr>
        <w:spacing w:after="160" w:line="259" w:lineRule="auto"/>
        <w:rPr>
          <w:rFonts w:ascii="Arial" w:eastAsia="Calibri" w:hAnsi="Arial" w:cs="Arial"/>
          <w:sz w:val="24"/>
          <w:szCs w:val="24"/>
          <w:lang w:val="en-GB"/>
        </w:rPr>
      </w:pPr>
    </w:p>
    <w:p w14:paraId="53407FF5" w14:textId="77777777" w:rsidR="000729CF" w:rsidRPr="000729CF" w:rsidRDefault="000729CF" w:rsidP="000729CF">
      <w:pPr>
        <w:keepNext/>
        <w:keepLines/>
        <w:spacing w:before="40" w:after="160" w:line="259" w:lineRule="auto"/>
        <w:outlineLvl w:val="2"/>
        <w:rPr>
          <w:rFonts w:ascii="Arial" w:hAnsi="Arial" w:cs="Arial"/>
          <w:b/>
          <w:bCs/>
          <w:color w:val="000000"/>
          <w:sz w:val="28"/>
          <w:szCs w:val="28"/>
          <w:lang w:val="en-GB"/>
        </w:rPr>
      </w:pPr>
      <w:r w:rsidRPr="000729CF">
        <w:rPr>
          <w:rFonts w:ascii="Arial" w:hAnsi="Arial" w:cs="Arial"/>
          <w:b/>
          <w:bCs/>
          <w:color w:val="000000"/>
          <w:sz w:val="28"/>
          <w:szCs w:val="28"/>
          <w:lang w:val="en-GB"/>
        </w:rPr>
        <w:t>EDI Review and Approval:</w:t>
      </w:r>
    </w:p>
    <w:p w14:paraId="6C79C560" w14:textId="77777777" w:rsidR="000729CF" w:rsidRPr="000729CF" w:rsidRDefault="000729CF" w:rsidP="000729CF">
      <w:pPr>
        <w:spacing w:after="160" w:line="259" w:lineRule="auto"/>
        <w:rPr>
          <w:rFonts w:ascii="Arial" w:eastAsia="Calibri" w:hAnsi="Arial" w:cs="Arial"/>
          <w:sz w:val="24"/>
          <w:szCs w:val="24"/>
          <w:lang w:val="en-GB"/>
        </w:rPr>
      </w:pPr>
    </w:p>
    <w:p w14:paraId="1695D8E2" w14:textId="77777777" w:rsidR="000729CF" w:rsidRPr="000729CF" w:rsidRDefault="000729CF" w:rsidP="000729CF">
      <w:pPr>
        <w:keepNext/>
        <w:keepLines/>
        <w:spacing w:after="160" w:line="259" w:lineRule="auto"/>
        <w:ind w:left="283" w:hanging="283"/>
        <w:outlineLvl w:val="1"/>
        <w:rPr>
          <w:rFonts w:ascii="Arial" w:hAnsi="Arial" w:cs="Arial"/>
          <w:color w:val="2F5496"/>
          <w:sz w:val="24"/>
          <w:szCs w:val="24"/>
          <w:lang w:val="en-GB"/>
        </w:rPr>
      </w:pPr>
      <w:r w:rsidRPr="000729CF">
        <w:rPr>
          <w:rFonts w:ascii="Arial" w:hAnsi="Arial" w:cs="Arial"/>
          <w:color w:val="2F5496"/>
          <w:sz w:val="24"/>
          <w:szCs w:val="24"/>
          <w:lang w:val="en-GB"/>
        </w:rPr>
        <w:t>Equality Impact Assessment sign-off</w:t>
      </w:r>
    </w:p>
    <w:tbl>
      <w:tblPr>
        <w:tblStyle w:val="TableGrid"/>
        <w:tblW w:w="0" w:type="auto"/>
        <w:tblLook w:val="04A0" w:firstRow="1" w:lastRow="0" w:firstColumn="1" w:lastColumn="0" w:noHBand="0" w:noVBand="1"/>
      </w:tblPr>
      <w:tblGrid>
        <w:gridCol w:w="3681"/>
        <w:gridCol w:w="4394"/>
        <w:gridCol w:w="2381"/>
      </w:tblGrid>
      <w:tr w:rsidR="000729CF" w:rsidRPr="000729CF" w14:paraId="6C633C14" w14:textId="77777777" w:rsidTr="000729CF">
        <w:trPr>
          <w:trHeight w:val="20"/>
        </w:trPr>
        <w:tc>
          <w:tcPr>
            <w:tcW w:w="3681" w:type="dxa"/>
            <w:tcBorders>
              <w:bottom w:val="single" w:sz="4" w:space="0" w:color="auto"/>
            </w:tcBorders>
            <w:shd w:val="clear" w:color="auto" w:fill="D9D9D9"/>
          </w:tcPr>
          <w:p w14:paraId="0DAE03E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67D7CE4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w:t>
            </w:r>
          </w:p>
        </w:tc>
        <w:tc>
          <w:tcPr>
            <w:tcW w:w="2381" w:type="dxa"/>
            <w:shd w:val="clear" w:color="auto" w:fill="D9D9D9"/>
          </w:tcPr>
          <w:p w14:paraId="5D10E66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51CAB66E" w14:textId="77777777" w:rsidTr="000729CF">
        <w:trPr>
          <w:trHeight w:val="20"/>
        </w:trPr>
        <w:tc>
          <w:tcPr>
            <w:tcW w:w="3681" w:type="dxa"/>
            <w:shd w:val="clear" w:color="auto" w:fill="E7E6E6"/>
          </w:tcPr>
          <w:p w14:paraId="3604BC7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Head of Communities, Equality, and Third Sector (CETS) Service:</w:t>
            </w:r>
          </w:p>
        </w:tc>
        <w:tc>
          <w:tcPr>
            <w:tcW w:w="4394" w:type="dxa"/>
          </w:tcPr>
          <w:p w14:paraId="6EBFA63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Emma McDermott</w:t>
            </w:r>
          </w:p>
        </w:tc>
        <w:tc>
          <w:tcPr>
            <w:tcW w:w="2381" w:type="dxa"/>
          </w:tcPr>
          <w:p w14:paraId="49580BD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26-01-24</w:t>
            </w:r>
          </w:p>
        </w:tc>
      </w:tr>
    </w:tbl>
    <w:p w14:paraId="68C581CF" w14:textId="77777777" w:rsidR="000729CF" w:rsidRPr="000729CF" w:rsidRDefault="000729CF" w:rsidP="000729CF">
      <w:pPr>
        <w:rPr>
          <w:rFonts w:ascii="Arial" w:eastAsia="Calibri" w:hAnsi="Arial" w:cs="Arial"/>
          <w:sz w:val="22"/>
          <w:szCs w:val="22"/>
          <w:lang w:val="en-GB"/>
        </w:rPr>
      </w:pPr>
    </w:p>
    <w:p w14:paraId="7C11D8F5" w14:textId="77777777" w:rsidR="000729CF" w:rsidRPr="000729CF" w:rsidRDefault="000729CF" w:rsidP="000729CF">
      <w:pPr>
        <w:spacing w:after="160" w:line="259" w:lineRule="auto"/>
        <w:rPr>
          <w:rFonts w:ascii="Arial" w:eastAsia="Calibri" w:hAnsi="Arial" w:cs="Arial"/>
          <w:b/>
          <w:bCs/>
          <w:sz w:val="24"/>
          <w:szCs w:val="24"/>
          <w:lang w:val="en-GB"/>
        </w:rPr>
      </w:pPr>
    </w:p>
    <w:p w14:paraId="53BD2B62" w14:textId="77777777" w:rsidR="000729CF" w:rsidRPr="000729CF" w:rsidRDefault="000729CF" w:rsidP="000729CF">
      <w:pPr>
        <w:keepNext/>
        <w:keepLines/>
        <w:spacing w:after="160" w:line="259" w:lineRule="auto"/>
        <w:outlineLvl w:val="1"/>
        <w:rPr>
          <w:rFonts w:ascii="Arial" w:eastAsia="Calibri" w:hAnsi="Arial" w:cs="Arial"/>
          <w:sz w:val="24"/>
          <w:szCs w:val="24"/>
          <w:lang w:val="en-GB"/>
        </w:rPr>
      </w:pPr>
    </w:p>
    <w:p w14:paraId="1B363C86" w14:textId="77777777" w:rsidR="000729CF" w:rsidRPr="000729CF" w:rsidRDefault="000729CF" w:rsidP="000729CF">
      <w:pPr>
        <w:spacing w:after="160" w:line="259" w:lineRule="auto"/>
        <w:rPr>
          <w:rFonts w:ascii="Arial" w:eastAsia="Calibri" w:hAnsi="Arial" w:cs="Arial"/>
          <w:sz w:val="24"/>
          <w:szCs w:val="24"/>
          <w:lang w:val="en-GB"/>
        </w:rPr>
      </w:pPr>
    </w:p>
    <w:p w14:paraId="0ABCA611"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br w:type="page"/>
      </w:r>
    </w:p>
    <w:p w14:paraId="023B954C" w14:textId="77777777" w:rsidR="000729CF" w:rsidRPr="000729CF" w:rsidRDefault="000729CF" w:rsidP="000729CF">
      <w:pPr>
        <w:keepNext/>
        <w:keepLines/>
        <w:spacing w:after="160" w:line="259" w:lineRule="auto"/>
        <w:outlineLvl w:val="0"/>
        <w:rPr>
          <w:rFonts w:ascii="Arial" w:hAnsi="Arial" w:cs="Arial"/>
          <w:b/>
          <w:bCs/>
          <w:color w:val="2F5496"/>
          <w:sz w:val="28"/>
          <w:szCs w:val="28"/>
          <w:lang w:val="en-GB"/>
        </w:rPr>
      </w:pPr>
      <w:r w:rsidRPr="000729CF">
        <w:rPr>
          <w:rFonts w:ascii="Arial" w:hAnsi="Arial" w:cs="Arial"/>
          <w:b/>
          <w:bCs/>
          <w:color w:val="2F5496"/>
          <w:sz w:val="28"/>
          <w:szCs w:val="28"/>
          <w:lang w:val="en-GB"/>
        </w:rPr>
        <w:t>Budget Equality Impact Assessment (EIA) 2024/25 – Service Users</w:t>
      </w:r>
    </w:p>
    <w:p w14:paraId="42DB4426" w14:textId="77777777" w:rsidR="000729CF" w:rsidRPr="000729CF" w:rsidRDefault="000729CF" w:rsidP="000729CF">
      <w:pPr>
        <w:spacing w:after="160" w:line="259" w:lineRule="auto"/>
        <w:rPr>
          <w:rFonts w:ascii="Arial" w:eastAsia="Calibri" w:hAnsi="Arial" w:cs="Arial"/>
          <w:sz w:val="24"/>
          <w:szCs w:val="24"/>
          <w:lang w:val="en-GB"/>
        </w:rPr>
      </w:pPr>
    </w:p>
    <w:p w14:paraId="70D240D8" w14:textId="77777777" w:rsidR="000729CF" w:rsidRPr="000729CF" w:rsidRDefault="000729CF" w:rsidP="000729CF">
      <w:pPr>
        <w:spacing w:after="160" w:line="259" w:lineRule="auto"/>
        <w:rPr>
          <w:rFonts w:ascii="Arial" w:eastAsia="Calibri" w:hAnsi="Arial" w:cs="Arial"/>
          <w:sz w:val="24"/>
          <w:szCs w:val="24"/>
          <w:lang w:val="en-GB"/>
        </w:rPr>
      </w:pPr>
    </w:p>
    <w:p w14:paraId="4D0E838C" w14:textId="77777777" w:rsidR="000729CF" w:rsidRPr="000729CF" w:rsidRDefault="000729CF" w:rsidP="000729CF">
      <w:pPr>
        <w:keepNext/>
        <w:keepLines/>
        <w:spacing w:after="160" w:line="259" w:lineRule="auto"/>
        <w:ind w:left="720" w:hanging="360"/>
        <w:outlineLvl w:val="1"/>
        <w:rPr>
          <w:rFonts w:ascii="Arial" w:hAnsi="Arial" w:cs="Arial"/>
          <w:color w:val="2F5496"/>
          <w:sz w:val="24"/>
          <w:szCs w:val="24"/>
          <w:lang w:val="en-GB"/>
        </w:rPr>
      </w:pPr>
      <w:r w:rsidRPr="000729CF">
        <w:rPr>
          <w:rFonts w:ascii="Arial" w:hAnsi="Arial" w:cs="Arial"/>
          <w:color w:val="2F5496"/>
          <w:sz w:val="24"/>
          <w:szCs w:val="24"/>
          <w:lang w:val="en-GB"/>
        </w:rPr>
        <w:t xml:space="preserve">Budget Proposal </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6492"/>
      </w:tblGrid>
      <w:tr w:rsidR="000729CF" w:rsidRPr="000729CF" w14:paraId="5F8DB572"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40D96D0C"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Title of budget saving being assessed:</w:t>
            </w:r>
          </w:p>
        </w:tc>
        <w:tc>
          <w:tcPr>
            <w:tcW w:w="6492" w:type="dxa"/>
            <w:shd w:val="clear" w:color="auto" w:fill="auto"/>
          </w:tcPr>
          <w:p w14:paraId="7039415E" w14:textId="77777777" w:rsidR="000729CF" w:rsidRPr="000729CF" w:rsidRDefault="000729CF" w:rsidP="000729CF">
            <w:pPr>
              <w:spacing w:after="12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 xml:space="preserve">Reduction of Communities Fund </w:t>
            </w:r>
          </w:p>
        </w:tc>
      </w:tr>
      <w:tr w:rsidR="000729CF" w:rsidRPr="000729CF" w14:paraId="3DDD3BED"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5A76D1D2"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Name and title of officer responsible for this EIA: </w:t>
            </w:r>
          </w:p>
        </w:tc>
        <w:tc>
          <w:tcPr>
            <w:tcW w:w="6492" w:type="dxa"/>
            <w:shd w:val="clear" w:color="auto" w:fill="auto"/>
          </w:tcPr>
          <w:p w14:paraId="1B5C455A"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729CF">
              <w:rPr>
                <w:rFonts w:ascii="Arial" w:hAnsi="Arial" w:cs="Arial"/>
                <w:sz w:val="24"/>
                <w:szCs w:val="24"/>
              </w:rPr>
              <w:t>Emma McDermott, Head of Communities, Equality and Third Sector</w:t>
            </w:r>
          </w:p>
        </w:tc>
      </w:tr>
      <w:tr w:rsidR="000729CF" w:rsidRPr="000729CF" w14:paraId="46CFF357" w14:textId="77777777" w:rsidTr="000729CF">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6B50CFB5"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Directorate and Service Name: </w:t>
            </w:r>
          </w:p>
        </w:tc>
        <w:tc>
          <w:tcPr>
            <w:tcW w:w="6492" w:type="dxa"/>
            <w:shd w:val="clear" w:color="auto" w:fill="auto"/>
          </w:tcPr>
          <w:p w14:paraId="163D4014" w14:textId="77777777" w:rsidR="000729CF" w:rsidRPr="000729CF" w:rsidRDefault="000729CF" w:rsidP="000729CF">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Housing, Neighbourhoods &amp; Communities, Communities, Equality &amp; Third Sector Service.</w:t>
            </w:r>
          </w:p>
        </w:tc>
      </w:tr>
      <w:tr w:rsidR="000729CF" w:rsidRPr="000729CF" w14:paraId="42DDEAEF"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32B733A9"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Budget proposal no.</w:t>
            </w:r>
          </w:p>
        </w:tc>
        <w:tc>
          <w:tcPr>
            <w:tcW w:w="6492" w:type="dxa"/>
            <w:shd w:val="clear" w:color="auto" w:fill="auto"/>
          </w:tcPr>
          <w:p w14:paraId="3945B92E"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729CF">
              <w:rPr>
                <w:rFonts w:ascii="Arial" w:hAnsi="Arial" w:cs="Arial"/>
                <w:sz w:val="24"/>
                <w:szCs w:val="24"/>
              </w:rPr>
              <w:t>24</w:t>
            </w:r>
          </w:p>
        </w:tc>
      </w:tr>
    </w:tbl>
    <w:p w14:paraId="568AA8C4" w14:textId="77777777" w:rsidR="000729CF" w:rsidRPr="000729CF" w:rsidRDefault="000729CF" w:rsidP="000729CF">
      <w:pPr>
        <w:spacing w:after="160" w:line="259" w:lineRule="auto"/>
        <w:rPr>
          <w:rFonts w:ascii="Arial" w:eastAsia="Calibri" w:hAnsi="Arial" w:cs="Arial"/>
          <w:sz w:val="24"/>
          <w:szCs w:val="24"/>
          <w:lang w:val="en-GB"/>
        </w:rPr>
      </w:pPr>
    </w:p>
    <w:p w14:paraId="20794E28"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Briefly describe the budget saving proposal: (use the wording in the budget spreadsheet and more detail if needed)</w:t>
      </w:r>
    </w:p>
    <w:tbl>
      <w:tblPr>
        <w:tblStyle w:val="TableGrid"/>
        <w:tblW w:w="0" w:type="auto"/>
        <w:tblLook w:val="04A0" w:firstRow="1" w:lastRow="0" w:firstColumn="1" w:lastColumn="0" w:noHBand="0" w:noVBand="1"/>
      </w:tblPr>
      <w:tblGrid>
        <w:gridCol w:w="10456"/>
      </w:tblGrid>
      <w:tr w:rsidR="000729CF" w:rsidRPr="000729CF" w14:paraId="4925C247" w14:textId="77777777" w:rsidTr="00BC26AB">
        <w:trPr>
          <w:trHeight w:val="851"/>
        </w:trPr>
        <w:tc>
          <w:tcPr>
            <w:tcW w:w="10456" w:type="dxa"/>
            <w:tcBorders>
              <w:bottom w:val="single" w:sz="4" w:space="0" w:color="auto"/>
            </w:tcBorders>
          </w:tcPr>
          <w:p w14:paraId="68B81E09" w14:textId="77777777" w:rsidR="000729CF" w:rsidRPr="000729CF" w:rsidRDefault="000729CF" w:rsidP="000729CF">
            <w:pPr>
              <w:rPr>
                <w:rFonts w:ascii="Arial" w:eastAsia="Calibri" w:hAnsi="Arial" w:cs="Arial"/>
                <w:sz w:val="24"/>
                <w:szCs w:val="24"/>
              </w:rPr>
            </w:pPr>
            <w:r w:rsidRPr="000729CF">
              <w:rPr>
                <w:rFonts w:ascii="Arial" w:hAnsi="Arial" w:cs="Arial"/>
                <w:sz w:val="24"/>
                <w:szCs w:val="24"/>
              </w:rPr>
              <w:t>Removal of all the General Fund monies (£302,000) in Communities Fund (CF) budget except for £15,000 maintained for the BME Engagement Fund that sits within the CF.</w:t>
            </w:r>
          </w:p>
          <w:p w14:paraId="7A652060" w14:textId="77777777" w:rsidR="000729CF" w:rsidRPr="000729CF" w:rsidRDefault="000729CF" w:rsidP="000729CF">
            <w:pPr>
              <w:rPr>
                <w:rFonts w:ascii="Arial" w:hAnsi="Arial" w:cs="Arial"/>
                <w:sz w:val="24"/>
                <w:szCs w:val="24"/>
              </w:rPr>
            </w:pPr>
          </w:p>
          <w:p w14:paraId="1497EC4D" w14:textId="77777777" w:rsidR="000729CF" w:rsidRPr="000729CF" w:rsidRDefault="000729CF" w:rsidP="000729CF">
            <w:pPr>
              <w:rPr>
                <w:rFonts w:ascii="Arial" w:eastAsia="Calibri" w:hAnsi="Arial" w:cs="Arial"/>
                <w:sz w:val="24"/>
                <w:szCs w:val="24"/>
              </w:rPr>
            </w:pPr>
            <w:r w:rsidRPr="000729CF">
              <w:rPr>
                <w:rFonts w:ascii="Arial" w:hAnsi="Arial" w:cs="Arial"/>
                <w:sz w:val="24"/>
                <w:szCs w:val="24"/>
              </w:rPr>
              <w:t>As an annual grant programme to the community and voluntary sector there is opportunity to reduce the budget ahead of the start of the new financial year. The fund predominantly supports grass root volunteer lead organisations being both a starter fund for new/small groups and building resilience for medium sized groups supplementing their own fundraising and volunteer time and acting as a validation to other funders.</w:t>
            </w:r>
          </w:p>
          <w:p w14:paraId="23510F54" w14:textId="77777777" w:rsidR="000729CF" w:rsidRPr="000729CF" w:rsidRDefault="000729CF" w:rsidP="000729CF">
            <w:pPr>
              <w:rPr>
                <w:rFonts w:ascii="Arial" w:eastAsia="Calibri" w:hAnsi="Arial" w:cs="Arial"/>
                <w:sz w:val="24"/>
                <w:szCs w:val="24"/>
              </w:rPr>
            </w:pPr>
            <w:r w:rsidRPr="000729CF">
              <w:rPr>
                <w:rFonts w:ascii="Arial" w:hAnsi="Arial" w:cs="Arial"/>
                <w:sz w:val="24"/>
                <w:szCs w:val="24"/>
              </w:rPr>
              <w:t xml:space="preserve"> </w:t>
            </w:r>
          </w:p>
          <w:p w14:paraId="77C5DCAF" w14:textId="77777777" w:rsidR="000729CF" w:rsidRPr="000729CF" w:rsidRDefault="000729CF" w:rsidP="000729CF">
            <w:pPr>
              <w:rPr>
                <w:rFonts w:ascii="Arial" w:eastAsia="Calibri" w:hAnsi="Arial" w:cs="Arial"/>
                <w:sz w:val="24"/>
                <w:szCs w:val="24"/>
              </w:rPr>
            </w:pPr>
            <w:r w:rsidRPr="000729CF">
              <w:rPr>
                <w:rFonts w:ascii="Arial" w:hAnsi="Arial" w:cs="Arial"/>
                <w:sz w:val="24"/>
                <w:szCs w:val="24"/>
              </w:rPr>
              <w:t>The objectives of the fund are to improve wellbeing, build cohesion and promote fairness. The fund is an open competitive process.</w:t>
            </w:r>
          </w:p>
          <w:p w14:paraId="7CB0173D" w14:textId="77777777" w:rsidR="000729CF" w:rsidRPr="000729CF" w:rsidRDefault="000729CF" w:rsidP="000729CF">
            <w:pPr>
              <w:spacing w:after="120"/>
              <w:rPr>
                <w:rFonts w:ascii="Arial" w:eastAsia="Calibri" w:hAnsi="Arial" w:cs="Arial"/>
                <w:sz w:val="24"/>
                <w:szCs w:val="24"/>
              </w:rPr>
            </w:pPr>
          </w:p>
          <w:p w14:paraId="0A786E2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The £25,000 monies from the Hedgecock Bequest Fund that also make up the Communities Fund budget will continue as will the annually variable contribution from the Textile Recycling Fund. </w:t>
            </w:r>
          </w:p>
        </w:tc>
      </w:tr>
      <w:tr w:rsidR="000729CF" w:rsidRPr="000729CF" w14:paraId="08DD85F6" w14:textId="77777777" w:rsidTr="00BC26AB">
        <w:trPr>
          <w:trHeight w:val="851"/>
        </w:trPr>
        <w:tc>
          <w:tcPr>
            <w:tcW w:w="10456" w:type="dxa"/>
            <w:tcBorders>
              <w:left w:val="nil"/>
              <w:right w:val="nil"/>
            </w:tcBorders>
          </w:tcPr>
          <w:p w14:paraId="489AF2E9" w14:textId="77777777" w:rsidR="000729CF" w:rsidRPr="000729CF" w:rsidRDefault="000729CF" w:rsidP="000729CF">
            <w:pPr>
              <w:spacing w:after="120"/>
              <w:rPr>
                <w:rFonts w:ascii="Arial" w:eastAsia="Calibri" w:hAnsi="Arial" w:cs="Arial"/>
                <w:sz w:val="24"/>
                <w:szCs w:val="24"/>
              </w:rPr>
            </w:pPr>
          </w:p>
          <w:p w14:paraId="7B65BBA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Summarise the most significant impacts identified by this assessment including which groups will be disproportionally negatively affected drawing out intersectional impacts as applicable:</w:t>
            </w:r>
          </w:p>
        </w:tc>
      </w:tr>
      <w:tr w:rsidR="000729CF" w:rsidRPr="000729CF" w14:paraId="1D5CEF71" w14:textId="77777777" w:rsidTr="00BC26AB">
        <w:trPr>
          <w:trHeight w:val="851"/>
        </w:trPr>
        <w:tc>
          <w:tcPr>
            <w:tcW w:w="10456" w:type="dxa"/>
          </w:tcPr>
          <w:p w14:paraId="3568E524" w14:textId="77777777" w:rsidR="000729CF" w:rsidRPr="000729CF" w:rsidRDefault="000729CF" w:rsidP="000729CF">
            <w:pPr>
              <w:spacing w:line="276" w:lineRule="auto"/>
              <w:rPr>
                <w:rFonts w:ascii="Arial" w:eastAsia="Calibri" w:hAnsi="Arial" w:cs="Arial"/>
                <w:sz w:val="24"/>
                <w:szCs w:val="24"/>
              </w:rPr>
            </w:pPr>
            <w:r w:rsidRPr="000729CF">
              <w:rPr>
                <w:rFonts w:ascii="Arial" w:hAnsi="Arial" w:cs="Arial"/>
                <w:sz w:val="24"/>
                <w:szCs w:val="24"/>
              </w:rPr>
              <w:t xml:space="preserve">The reduction does not unfairly affect one protected characteristic more than another as it is not ringfenced to specific communities or residents except for the BME fund within the Communities Fund. However, the BME fund is continuing. </w:t>
            </w:r>
          </w:p>
          <w:p w14:paraId="142B6774" w14:textId="77777777" w:rsidR="000729CF" w:rsidRPr="000729CF" w:rsidRDefault="000729CF" w:rsidP="000729CF">
            <w:pPr>
              <w:spacing w:line="276" w:lineRule="auto"/>
              <w:rPr>
                <w:rFonts w:ascii="Arial" w:eastAsia="Calibri" w:hAnsi="Arial" w:cs="Arial"/>
                <w:sz w:val="24"/>
                <w:szCs w:val="24"/>
              </w:rPr>
            </w:pPr>
            <w:r w:rsidRPr="000729CF">
              <w:rPr>
                <w:rFonts w:ascii="Arial" w:hAnsi="Arial" w:cs="Arial"/>
                <w:sz w:val="24"/>
                <w:szCs w:val="24"/>
              </w:rPr>
              <w:t xml:space="preserve"> </w:t>
            </w:r>
          </w:p>
          <w:p w14:paraId="602C8AA8" w14:textId="77777777" w:rsidR="000729CF" w:rsidRPr="000729CF" w:rsidRDefault="000729CF" w:rsidP="000729CF">
            <w:pPr>
              <w:rPr>
                <w:rFonts w:ascii="Arial" w:eastAsia="Calibri" w:hAnsi="Arial" w:cs="Arial"/>
                <w:sz w:val="24"/>
                <w:szCs w:val="24"/>
              </w:rPr>
            </w:pPr>
            <w:r w:rsidRPr="000729CF">
              <w:rPr>
                <w:rFonts w:ascii="Arial" w:hAnsi="Arial" w:cs="Arial"/>
                <w:sz w:val="24"/>
                <w:szCs w:val="24"/>
              </w:rPr>
              <w:t>All the Communities Fund is unallocated at the start of the financial year.</w:t>
            </w:r>
          </w:p>
          <w:p w14:paraId="27D02DBE" w14:textId="77777777" w:rsidR="000729CF" w:rsidRPr="000729CF" w:rsidRDefault="000729CF" w:rsidP="000729CF">
            <w:pPr>
              <w:rPr>
                <w:rFonts w:ascii="Arial" w:hAnsi="Arial" w:cs="Arial"/>
                <w:sz w:val="24"/>
                <w:szCs w:val="24"/>
              </w:rPr>
            </w:pPr>
          </w:p>
          <w:p w14:paraId="78779C46" w14:textId="77777777" w:rsidR="000729CF" w:rsidRPr="000729CF" w:rsidRDefault="000729CF" w:rsidP="000729CF">
            <w:pPr>
              <w:rPr>
                <w:rFonts w:ascii="Arial" w:eastAsia="Calibri" w:hAnsi="Arial" w:cs="Arial"/>
                <w:sz w:val="24"/>
                <w:szCs w:val="24"/>
              </w:rPr>
            </w:pPr>
            <w:r w:rsidRPr="000729CF">
              <w:rPr>
                <w:rFonts w:ascii="Arial" w:hAnsi="Arial" w:cs="Arial"/>
                <w:sz w:val="24"/>
                <w:szCs w:val="24"/>
              </w:rPr>
              <w:t>The Communities Fund is designed to target the council’s corporate priorities which focus on the most vulnerable individuals and communities, increasing fairness and promoting social capital and resilience.</w:t>
            </w:r>
            <w:r w:rsidRPr="000729CF">
              <w:rPr>
                <w:rFonts w:ascii="Arial" w:hAnsi="Arial" w:cs="Arial"/>
                <w:b/>
                <w:bCs/>
                <w:sz w:val="24"/>
                <w:szCs w:val="24"/>
              </w:rPr>
              <w:t xml:space="preserve">  </w:t>
            </w:r>
            <w:r w:rsidRPr="000729CF">
              <w:rPr>
                <w:rFonts w:ascii="Arial" w:hAnsi="Arial" w:cs="Arial"/>
                <w:sz w:val="24"/>
                <w:szCs w:val="24"/>
              </w:rPr>
              <w:t xml:space="preserve"> The organisations funded through the programme are groups/organisations that work with and support communities with legally protected characteristics, and those who are marginalised and vulnerable, including those experiencing poverty/financial exclusion. </w:t>
            </w:r>
          </w:p>
          <w:p w14:paraId="1FB329DC" w14:textId="77777777" w:rsidR="000729CF" w:rsidRPr="000729CF" w:rsidRDefault="000729CF" w:rsidP="000729CF">
            <w:pPr>
              <w:ind w:left="360"/>
              <w:rPr>
                <w:rFonts w:ascii="Arial" w:eastAsia="Calibri" w:hAnsi="Arial" w:cs="Arial"/>
                <w:sz w:val="24"/>
                <w:szCs w:val="24"/>
              </w:rPr>
            </w:pPr>
            <w:r w:rsidRPr="000729CF">
              <w:rPr>
                <w:rFonts w:ascii="Arial" w:hAnsi="Arial" w:cs="Arial"/>
                <w:sz w:val="24"/>
                <w:szCs w:val="24"/>
              </w:rPr>
              <w:t xml:space="preserve"> </w:t>
            </w:r>
          </w:p>
          <w:p w14:paraId="37599D49" w14:textId="77777777" w:rsidR="000729CF" w:rsidRPr="000729CF" w:rsidRDefault="000729CF" w:rsidP="000729CF">
            <w:pPr>
              <w:rPr>
                <w:rFonts w:ascii="Arial" w:eastAsia="Calibri" w:hAnsi="Arial" w:cs="Arial"/>
                <w:sz w:val="24"/>
                <w:szCs w:val="24"/>
              </w:rPr>
            </w:pPr>
            <w:r w:rsidRPr="000729CF">
              <w:rPr>
                <w:rFonts w:ascii="Arial" w:hAnsi="Arial" w:cs="Arial"/>
                <w:sz w:val="24"/>
                <w:szCs w:val="24"/>
              </w:rPr>
              <w:t>The proposed reduction in the programme’s funding will result in:</w:t>
            </w:r>
          </w:p>
          <w:p w14:paraId="03F3D47D" w14:textId="77777777" w:rsidR="000729CF" w:rsidRPr="000729CF" w:rsidRDefault="000729CF" w:rsidP="00CE70A3">
            <w:pPr>
              <w:numPr>
                <w:ilvl w:val="0"/>
                <w:numId w:val="124"/>
              </w:numPr>
              <w:contextualSpacing/>
              <w:rPr>
                <w:rFonts w:ascii="Arial" w:hAnsi="Arial" w:cs="Arial"/>
                <w:sz w:val="24"/>
                <w:szCs w:val="24"/>
              </w:rPr>
            </w:pPr>
            <w:r w:rsidRPr="000729CF">
              <w:rPr>
                <w:rFonts w:ascii="Arial" w:hAnsi="Arial" w:cs="Arial"/>
                <w:sz w:val="24"/>
                <w:szCs w:val="24"/>
              </w:rPr>
              <w:t>decreased capacity to meet some corporate priorities with specific impacts on characteristics protected in law</w:t>
            </w:r>
          </w:p>
          <w:p w14:paraId="3C2B6028" w14:textId="77777777" w:rsidR="000729CF" w:rsidRPr="000729CF" w:rsidRDefault="000729CF" w:rsidP="00CE70A3">
            <w:pPr>
              <w:numPr>
                <w:ilvl w:val="0"/>
                <w:numId w:val="124"/>
              </w:numPr>
              <w:contextualSpacing/>
              <w:rPr>
                <w:rFonts w:ascii="Arial" w:eastAsia="Calibri" w:hAnsi="Arial" w:cs="Arial"/>
                <w:sz w:val="24"/>
                <w:szCs w:val="24"/>
              </w:rPr>
            </w:pPr>
            <w:r w:rsidRPr="000729CF">
              <w:rPr>
                <w:rFonts w:ascii="Arial" w:hAnsi="Arial" w:cs="Arial"/>
                <w:sz w:val="24"/>
                <w:szCs w:val="24"/>
              </w:rPr>
              <w:t>reduced capacity for CVS groups which support community resilience and reduce reliance on statutory services</w:t>
            </w:r>
          </w:p>
          <w:p w14:paraId="6714A077" w14:textId="77777777" w:rsidR="000729CF" w:rsidRPr="000729CF" w:rsidRDefault="000729CF" w:rsidP="00CE70A3">
            <w:pPr>
              <w:numPr>
                <w:ilvl w:val="0"/>
                <w:numId w:val="124"/>
              </w:numPr>
              <w:contextualSpacing/>
              <w:rPr>
                <w:rFonts w:ascii="Arial" w:eastAsia="Calibri" w:hAnsi="Arial" w:cs="Arial"/>
                <w:sz w:val="24"/>
                <w:szCs w:val="24"/>
              </w:rPr>
            </w:pPr>
            <w:r w:rsidRPr="000729CF">
              <w:rPr>
                <w:rFonts w:ascii="Arial" w:hAnsi="Arial" w:cs="Arial"/>
                <w:sz w:val="24"/>
                <w:szCs w:val="24"/>
              </w:rPr>
              <w:t>potential wider impact on ability to attract additional match funding</w:t>
            </w:r>
          </w:p>
        </w:tc>
      </w:tr>
    </w:tbl>
    <w:p w14:paraId="115A7F58" w14:textId="77777777" w:rsidR="000729CF" w:rsidRPr="000729CF" w:rsidRDefault="000729CF" w:rsidP="000729CF">
      <w:pPr>
        <w:rPr>
          <w:rFonts w:ascii="Arial" w:eastAsia="Calibri" w:hAnsi="Arial" w:cs="Arial"/>
          <w:sz w:val="24"/>
          <w:szCs w:val="24"/>
          <w:lang w:val="en-GB"/>
        </w:rPr>
      </w:pPr>
    </w:p>
    <w:p w14:paraId="57D41CC6" w14:textId="77777777" w:rsidR="000729CF" w:rsidRPr="000729CF" w:rsidRDefault="000729CF" w:rsidP="000729CF">
      <w:pPr>
        <w:spacing w:after="160" w:line="259" w:lineRule="auto"/>
        <w:rPr>
          <w:rFonts w:ascii="Arial" w:eastAsia="Calibri" w:hAnsi="Arial" w:cs="Arial"/>
          <w:sz w:val="24"/>
          <w:szCs w:val="24"/>
          <w:lang w:val="en-GB"/>
        </w:rPr>
      </w:pPr>
    </w:p>
    <w:p w14:paraId="7F60AE8B"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Consultation, engagement and supporting EIAs</w:t>
      </w:r>
    </w:p>
    <w:p w14:paraId="3B1509CD"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consultations or engagement activities are being used to inform this assessment? </w:t>
      </w:r>
    </w:p>
    <w:p w14:paraId="3125C854"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If consultation is planned or in process – state this and state when it will done/completed even if indicative. If no consultation completed or planned, state this, giving an explanation. </w:t>
      </w:r>
    </w:p>
    <w:tbl>
      <w:tblPr>
        <w:tblStyle w:val="TableGrid"/>
        <w:tblW w:w="0" w:type="auto"/>
        <w:tblLook w:val="04A0" w:firstRow="1" w:lastRow="0" w:firstColumn="1" w:lastColumn="0" w:noHBand="0" w:noVBand="1"/>
      </w:tblPr>
      <w:tblGrid>
        <w:gridCol w:w="10456"/>
      </w:tblGrid>
      <w:tr w:rsidR="000729CF" w:rsidRPr="000729CF" w14:paraId="6A2DF08D" w14:textId="77777777" w:rsidTr="00BC26AB">
        <w:trPr>
          <w:trHeight w:val="871"/>
        </w:trPr>
        <w:tc>
          <w:tcPr>
            <w:tcW w:w="10456" w:type="dxa"/>
          </w:tcPr>
          <w:p w14:paraId="1183039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consultations or engagement are being undertaken to inform this assessment. Annual evaluations are returned by recipients of the awards from the Communities Fund as part of their terms and conditions. These have been used to inform officers understanding of the nature of the groups and their beneficiaries who might likely be impacted by this budget saving proposal. </w:t>
            </w:r>
          </w:p>
        </w:tc>
      </w:tr>
    </w:tbl>
    <w:p w14:paraId="7F72479B" w14:textId="77777777" w:rsidR="000729CF" w:rsidRPr="000729CF" w:rsidRDefault="000729CF" w:rsidP="000729CF">
      <w:pPr>
        <w:spacing w:after="160" w:line="259" w:lineRule="auto"/>
        <w:rPr>
          <w:rFonts w:ascii="Arial" w:eastAsia="Calibri" w:hAnsi="Arial" w:cs="Arial"/>
          <w:sz w:val="24"/>
          <w:szCs w:val="24"/>
          <w:lang w:val="en-GB"/>
        </w:rPr>
      </w:pPr>
    </w:p>
    <w:p w14:paraId="5E320536"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other budget or service EIAs can assist/have been used to inform this assessment?</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0729CF" w:rsidRPr="000729CF" w14:paraId="2BD2D00A"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shd w:val="clear" w:color="auto" w:fill="FFFFFF"/>
          </w:tcPr>
          <w:p w14:paraId="3FFEC4DB"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None</w:t>
            </w:r>
          </w:p>
        </w:tc>
      </w:tr>
    </w:tbl>
    <w:p w14:paraId="5183D83D" w14:textId="77777777" w:rsidR="000729CF" w:rsidRPr="000729CF" w:rsidRDefault="000729CF" w:rsidP="000729CF">
      <w:pPr>
        <w:spacing w:after="160" w:line="259" w:lineRule="auto"/>
        <w:rPr>
          <w:rFonts w:ascii="Arial" w:eastAsia="Calibri" w:hAnsi="Arial" w:cs="Arial"/>
          <w:sz w:val="24"/>
          <w:szCs w:val="24"/>
          <w:lang w:val="en-GB"/>
        </w:rPr>
      </w:pPr>
    </w:p>
    <w:p w14:paraId="4A0B7660"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Current data and impact monitoring</w:t>
      </w:r>
    </w:p>
    <w:p w14:paraId="34C90F07"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Do you currently collect and analyse the following data to enable monitoring of the impact of this proposal? </w:t>
      </w:r>
    </w:p>
    <w:p w14:paraId="20524454"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Consider all possible intersections (Delete and State Yes, No, Not Applicable)</w:t>
      </w:r>
    </w:p>
    <w:tbl>
      <w:tblPr>
        <w:tblStyle w:val="TableGrid"/>
        <w:tblW w:w="10485" w:type="dxa"/>
        <w:tblLook w:val="04A0" w:firstRow="1" w:lastRow="0" w:firstColumn="1" w:lastColumn="0" w:noHBand="0" w:noVBand="1"/>
      </w:tblPr>
      <w:tblGrid>
        <w:gridCol w:w="6658"/>
        <w:gridCol w:w="3827"/>
      </w:tblGrid>
      <w:tr w:rsidR="000729CF" w:rsidRPr="000729CF" w14:paraId="729F8189" w14:textId="77777777" w:rsidTr="000729CF">
        <w:trPr>
          <w:trHeight w:val="310"/>
        </w:trPr>
        <w:tc>
          <w:tcPr>
            <w:tcW w:w="6658" w:type="dxa"/>
            <w:shd w:val="clear" w:color="auto" w:fill="E7E6E6"/>
          </w:tcPr>
          <w:p w14:paraId="0F141A9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Age</w:t>
            </w:r>
          </w:p>
        </w:tc>
        <w:tc>
          <w:tcPr>
            <w:tcW w:w="3827" w:type="dxa"/>
          </w:tcPr>
          <w:p w14:paraId="114DD98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2AA6373B" w14:textId="77777777" w:rsidTr="000729CF">
        <w:trPr>
          <w:trHeight w:val="20"/>
        </w:trPr>
        <w:tc>
          <w:tcPr>
            <w:tcW w:w="6658" w:type="dxa"/>
            <w:shd w:val="clear" w:color="auto" w:fill="E7E6E6"/>
          </w:tcPr>
          <w:p w14:paraId="6C394F0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Disability and inclusive adjustments, coverage under equality act and not</w:t>
            </w:r>
          </w:p>
        </w:tc>
        <w:tc>
          <w:tcPr>
            <w:tcW w:w="3827" w:type="dxa"/>
          </w:tcPr>
          <w:p w14:paraId="6D993C2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30AD20C5" w14:textId="77777777" w:rsidTr="000729CF">
        <w:trPr>
          <w:trHeight w:val="20"/>
        </w:trPr>
        <w:tc>
          <w:tcPr>
            <w:tcW w:w="6658" w:type="dxa"/>
            <w:shd w:val="clear" w:color="auto" w:fill="E7E6E6"/>
          </w:tcPr>
          <w:p w14:paraId="45A1A4C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Ethnicity, ‘Race’, ethnic heritage (including Gypsy, Roma, Travellers)</w:t>
            </w:r>
          </w:p>
        </w:tc>
        <w:tc>
          <w:tcPr>
            <w:tcW w:w="3827" w:type="dxa"/>
          </w:tcPr>
          <w:p w14:paraId="653B580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242DB73E" w14:textId="77777777" w:rsidTr="000729CF">
        <w:trPr>
          <w:trHeight w:val="20"/>
        </w:trPr>
        <w:tc>
          <w:tcPr>
            <w:tcW w:w="6658" w:type="dxa"/>
            <w:shd w:val="clear" w:color="auto" w:fill="E7E6E6"/>
          </w:tcPr>
          <w:p w14:paraId="7CCEF4B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Religion, Belief, Spirituality, Faith, or Atheism</w:t>
            </w:r>
          </w:p>
        </w:tc>
        <w:tc>
          <w:tcPr>
            <w:tcW w:w="3827" w:type="dxa"/>
          </w:tcPr>
          <w:p w14:paraId="2A8DFCF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7F6BB8DD" w14:textId="77777777" w:rsidTr="000729CF">
        <w:trPr>
          <w:trHeight w:val="20"/>
        </w:trPr>
        <w:tc>
          <w:tcPr>
            <w:tcW w:w="6658" w:type="dxa"/>
            <w:shd w:val="clear" w:color="auto" w:fill="E7E6E6"/>
          </w:tcPr>
          <w:p w14:paraId="08DB8B8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Identity and Sex (including non-binary and Intersex people)</w:t>
            </w:r>
          </w:p>
        </w:tc>
        <w:tc>
          <w:tcPr>
            <w:tcW w:w="3827" w:type="dxa"/>
          </w:tcPr>
          <w:p w14:paraId="6983C6B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561467C4" w14:textId="77777777" w:rsidTr="000729CF">
        <w:trPr>
          <w:trHeight w:val="20"/>
        </w:trPr>
        <w:tc>
          <w:tcPr>
            <w:tcW w:w="6658" w:type="dxa"/>
            <w:shd w:val="clear" w:color="auto" w:fill="E7E6E6"/>
          </w:tcPr>
          <w:p w14:paraId="629FFAA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3827" w:type="dxa"/>
          </w:tcPr>
          <w:p w14:paraId="2E60E3E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476C6CDB" w14:textId="77777777" w:rsidTr="000729CF">
        <w:trPr>
          <w:trHeight w:val="20"/>
        </w:trPr>
        <w:tc>
          <w:tcPr>
            <w:tcW w:w="6658" w:type="dxa"/>
            <w:shd w:val="clear" w:color="auto" w:fill="E7E6E6"/>
          </w:tcPr>
          <w:p w14:paraId="67DDA94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3827" w:type="dxa"/>
          </w:tcPr>
          <w:p w14:paraId="3DB4429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607532A3" w14:textId="77777777" w:rsidTr="000729CF">
        <w:trPr>
          <w:trHeight w:val="20"/>
        </w:trPr>
        <w:tc>
          <w:tcPr>
            <w:tcW w:w="6658" w:type="dxa"/>
            <w:shd w:val="clear" w:color="auto" w:fill="E7E6E6"/>
          </w:tcPr>
          <w:p w14:paraId="2598F60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3827" w:type="dxa"/>
          </w:tcPr>
          <w:p w14:paraId="78228C8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49120D31" w14:textId="77777777" w:rsidTr="000729CF">
        <w:trPr>
          <w:trHeight w:val="20"/>
        </w:trPr>
        <w:tc>
          <w:tcPr>
            <w:tcW w:w="6658" w:type="dxa"/>
            <w:shd w:val="clear" w:color="auto" w:fill="E7E6E6"/>
          </w:tcPr>
          <w:p w14:paraId="0B24882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Pregnant people, Maternity, Paternity, Adoption, Menopause, (In)fertility (across the gender spectrum)</w:t>
            </w:r>
          </w:p>
        </w:tc>
        <w:tc>
          <w:tcPr>
            <w:tcW w:w="3827" w:type="dxa"/>
          </w:tcPr>
          <w:p w14:paraId="13874FE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71AB6626" w14:textId="77777777" w:rsidTr="000729CF">
        <w:trPr>
          <w:trHeight w:val="20"/>
        </w:trPr>
        <w:tc>
          <w:tcPr>
            <w:tcW w:w="6658" w:type="dxa"/>
            <w:shd w:val="clear" w:color="auto" w:fill="E7E6E6"/>
          </w:tcPr>
          <w:p w14:paraId="5490DF5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3827" w:type="dxa"/>
          </w:tcPr>
          <w:p w14:paraId="54D45AC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7EFF07D4" w14:textId="77777777" w:rsidTr="000729CF">
        <w:trPr>
          <w:trHeight w:val="20"/>
        </w:trPr>
        <w:tc>
          <w:tcPr>
            <w:tcW w:w="6658" w:type="dxa"/>
            <w:shd w:val="clear" w:color="auto" w:fill="E7E6E6"/>
          </w:tcPr>
          <w:p w14:paraId="577AA22F" w14:textId="77777777" w:rsidR="000729CF" w:rsidRPr="000729CF" w:rsidRDefault="000729CF" w:rsidP="000729CF">
            <w:pPr>
              <w:spacing w:after="120"/>
              <w:rPr>
                <w:rFonts w:ascii="Arial" w:hAnsi="Arial" w:cs="Arial"/>
                <w:b/>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p>
        </w:tc>
        <w:tc>
          <w:tcPr>
            <w:tcW w:w="3827" w:type="dxa"/>
          </w:tcPr>
          <w:p w14:paraId="16ACD1F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7A04E154" w14:textId="77777777" w:rsidTr="000729CF">
        <w:trPr>
          <w:trHeight w:val="20"/>
        </w:trPr>
        <w:tc>
          <w:tcPr>
            <w:tcW w:w="6658" w:type="dxa"/>
            <w:shd w:val="clear" w:color="auto" w:fill="E7E6E6"/>
          </w:tcPr>
          <w:p w14:paraId="18DC44D5" w14:textId="77777777" w:rsidR="000729CF" w:rsidRPr="000729CF" w:rsidRDefault="000729CF" w:rsidP="000729CF">
            <w:pPr>
              <w:spacing w:after="120"/>
              <w:rPr>
                <w:rFonts w:ascii="Arial" w:hAnsi="Arial" w:cs="Arial"/>
                <w:b/>
                <w:sz w:val="24"/>
                <w:szCs w:val="24"/>
              </w:rPr>
            </w:pPr>
            <w:r w:rsidRPr="000729CF">
              <w:rPr>
                <w:rFonts w:ascii="Arial" w:eastAsia="Calibri" w:hAnsi="Arial" w:cs="Arial"/>
                <w:b/>
                <w:bCs/>
                <w:color w:val="000000"/>
                <w:sz w:val="24"/>
                <w:szCs w:val="24"/>
              </w:rPr>
              <w:t>Carers</w:t>
            </w:r>
          </w:p>
        </w:tc>
        <w:tc>
          <w:tcPr>
            <w:tcW w:w="3827" w:type="dxa"/>
          </w:tcPr>
          <w:p w14:paraId="554959B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7437564E" w14:textId="77777777" w:rsidTr="000729CF">
        <w:trPr>
          <w:trHeight w:val="20"/>
        </w:trPr>
        <w:tc>
          <w:tcPr>
            <w:tcW w:w="6658" w:type="dxa"/>
            <w:shd w:val="clear" w:color="auto" w:fill="E7E6E6"/>
          </w:tcPr>
          <w:p w14:paraId="284557C4"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Looked after children, Care Leavers, Care and fostering experienced people</w:t>
            </w:r>
          </w:p>
        </w:tc>
        <w:tc>
          <w:tcPr>
            <w:tcW w:w="3827" w:type="dxa"/>
          </w:tcPr>
          <w:p w14:paraId="0744C49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7A4B6A88" w14:textId="77777777" w:rsidTr="000729CF">
        <w:trPr>
          <w:trHeight w:val="20"/>
        </w:trPr>
        <w:tc>
          <w:tcPr>
            <w:tcW w:w="6658" w:type="dxa"/>
            <w:shd w:val="clear" w:color="auto" w:fill="E7E6E6"/>
          </w:tcPr>
          <w:p w14:paraId="09F6F30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 and people in vulnerable situations (All aspects and intersections)</w:t>
            </w:r>
          </w:p>
        </w:tc>
        <w:tc>
          <w:tcPr>
            <w:tcW w:w="3827" w:type="dxa"/>
          </w:tcPr>
          <w:p w14:paraId="61D66E1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188B8864" w14:textId="77777777" w:rsidTr="000729CF">
        <w:trPr>
          <w:trHeight w:val="20"/>
        </w:trPr>
        <w:tc>
          <w:tcPr>
            <w:tcW w:w="6658" w:type="dxa"/>
            <w:shd w:val="clear" w:color="auto" w:fill="E7E6E6"/>
          </w:tcPr>
          <w:p w14:paraId="3A42EA5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Socio-economic Disadvantage</w:t>
            </w:r>
          </w:p>
        </w:tc>
        <w:tc>
          <w:tcPr>
            <w:tcW w:w="3827" w:type="dxa"/>
          </w:tcPr>
          <w:p w14:paraId="34255DC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370B9960" w14:textId="77777777" w:rsidTr="000729CF">
        <w:trPr>
          <w:trHeight w:val="20"/>
        </w:trPr>
        <w:tc>
          <w:tcPr>
            <w:tcW w:w="6658" w:type="dxa"/>
            <w:shd w:val="clear" w:color="auto" w:fill="E7E6E6"/>
          </w:tcPr>
          <w:p w14:paraId="3BFC29C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Homelessness and associated risk and vulnerability</w:t>
            </w:r>
          </w:p>
        </w:tc>
        <w:tc>
          <w:tcPr>
            <w:tcW w:w="3827" w:type="dxa"/>
          </w:tcPr>
          <w:p w14:paraId="53DBEC7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631C0042" w14:textId="77777777" w:rsidTr="000729CF">
        <w:trPr>
          <w:trHeight w:val="20"/>
        </w:trPr>
        <w:tc>
          <w:tcPr>
            <w:tcW w:w="6658" w:type="dxa"/>
            <w:shd w:val="clear" w:color="auto" w:fill="E7E6E6"/>
          </w:tcPr>
          <w:p w14:paraId="5307D34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3827" w:type="dxa"/>
          </w:tcPr>
          <w:p w14:paraId="6E41886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47EDD03D" w14:textId="77777777" w:rsidTr="000729CF">
        <w:trPr>
          <w:trHeight w:val="20"/>
        </w:trPr>
        <w:tc>
          <w:tcPr>
            <w:tcW w:w="6658" w:type="dxa"/>
            <w:shd w:val="clear" w:color="auto" w:fill="E7E6E6"/>
          </w:tcPr>
          <w:p w14:paraId="4442E09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 (please specify here and add additional rows as needed)</w:t>
            </w:r>
          </w:p>
        </w:tc>
        <w:tc>
          <w:tcPr>
            <w:tcW w:w="3827" w:type="dxa"/>
          </w:tcPr>
          <w:p w14:paraId="54AE909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bl>
    <w:p w14:paraId="095A96C5" w14:textId="77777777" w:rsidR="000729CF" w:rsidRPr="000729CF" w:rsidRDefault="000729CF" w:rsidP="000729CF">
      <w:pPr>
        <w:rPr>
          <w:rFonts w:ascii="Arial" w:eastAsia="Calibri" w:hAnsi="Arial" w:cs="Arial"/>
          <w:sz w:val="24"/>
          <w:szCs w:val="24"/>
          <w:lang w:val="en-GB"/>
        </w:rPr>
      </w:pPr>
    </w:p>
    <w:p w14:paraId="7356B88A"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60F27014"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4FC2A979"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79EC6A9C"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7DC2D2D6"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361F58CC"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6B9E6A17"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3758E858"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68D658B3"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0215B7FA"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163FA958" w14:textId="77777777" w:rsidR="000729CF" w:rsidRPr="000729CF" w:rsidRDefault="000729CF" w:rsidP="000729CF">
      <w:pPr>
        <w:rPr>
          <w:rFonts w:ascii="Arial" w:eastAsia="Calibri" w:hAnsi="Arial" w:cs="Arial"/>
          <w:sz w:val="24"/>
          <w:szCs w:val="24"/>
          <w:lang w:val="en-GB"/>
        </w:rPr>
      </w:pPr>
    </w:p>
    <w:p w14:paraId="23505F4D"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If you answered “NO” to any of the above, how will you gather this data to enable improved monitoring of impact for this proposal?</w:t>
      </w:r>
    </w:p>
    <w:tbl>
      <w:tblPr>
        <w:tblStyle w:val="TableGrid"/>
        <w:tblW w:w="0" w:type="auto"/>
        <w:tblLook w:val="04A0" w:firstRow="1" w:lastRow="0" w:firstColumn="1" w:lastColumn="0" w:noHBand="0" w:noVBand="1"/>
      </w:tblPr>
      <w:tblGrid>
        <w:gridCol w:w="10456"/>
      </w:tblGrid>
      <w:tr w:rsidR="000729CF" w:rsidRPr="000729CF" w14:paraId="01BE3956" w14:textId="77777777" w:rsidTr="00BC26AB">
        <w:trPr>
          <w:trHeight w:val="757"/>
        </w:trPr>
        <w:tc>
          <w:tcPr>
            <w:tcW w:w="10456" w:type="dxa"/>
          </w:tcPr>
          <w:p w14:paraId="5D64DEA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bl>
    <w:p w14:paraId="79AA401A" w14:textId="77777777" w:rsidR="000729CF" w:rsidRPr="000729CF" w:rsidRDefault="000729CF" w:rsidP="000729CF">
      <w:pPr>
        <w:rPr>
          <w:rFonts w:ascii="Arial" w:eastAsia="Calibri" w:hAnsi="Arial" w:cs="Arial"/>
          <w:sz w:val="24"/>
          <w:szCs w:val="24"/>
          <w:lang w:val="en-GB"/>
        </w:rPr>
      </w:pPr>
    </w:p>
    <w:p w14:paraId="136A1791" w14:textId="77777777" w:rsidR="000729CF" w:rsidRPr="000729CF" w:rsidRDefault="000729CF" w:rsidP="000729CF">
      <w:pPr>
        <w:rPr>
          <w:rFonts w:ascii="Arial" w:eastAsia="Calibri" w:hAnsi="Arial" w:cs="Arial"/>
          <w:sz w:val="24"/>
          <w:szCs w:val="24"/>
          <w:lang w:val="en-GB"/>
        </w:rPr>
      </w:pPr>
    </w:p>
    <w:p w14:paraId="6816D24A"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are the arrangements for monitoring, and reviewing the impact of this proposal?</w:t>
      </w:r>
    </w:p>
    <w:tbl>
      <w:tblPr>
        <w:tblStyle w:val="TableGrid"/>
        <w:tblW w:w="0" w:type="auto"/>
        <w:tblLook w:val="04A0" w:firstRow="1" w:lastRow="0" w:firstColumn="1" w:lastColumn="0" w:noHBand="0" w:noVBand="1"/>
      </w:tblPr>
      <w:tblGrid>
        <w:gridCol w:w="10456"/>
      </w:tblGrid>
      <w:tr w:rsidR="000729CF" w:rsidRPr="000729CF" w14:paraId="46E1BE28" w14:textId="77777777" w:rsidTr="00BC26AB">
        <w:trPr>
          <w:trHeight w:val="757"/>
        </w:trPr>
        <w:tc>
          <w:tcPr>
            <w:tcW w:w="10456" w:type="dxa"/>
          </w:tcPr>
          <w:p w14:paraId="4E8E5F1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As a small sum of monies will remain for the Communities Fund in 2024/45 for the BME Engagement Fund and the main rounds officers will monitor the number, nature and target beneficiaries for the groups/organisation that apply. Officers will also seek feedback from the community and voluntary sector via infrastructure organisations such as Community Works, Resource Centre. Officers will also monitor number of enquiries made in the year regarding potential council funds that small groups can apply to. </w:t>
            </w:r>
          </w:p>
        </w:tc>
      </w:tr>
    </w:tbl>
    <w:p w14:paraId="5D48DA19" w14:textId="77777777" w:rsidR="000729CF" w:rsidRPr="000729CF" w:rsidRDefault="000729CF" w:rsidP="000729CF">
      <w:pPr>
        <w:rPr>
          <w:rFonts w:ascii="Arial" w:eastAsia="Calibri" w:hAnsi="Arial" w:cs="Arial"/>
          <w:sz w:val="24"/>
          <w:szCs w:val="24"/>
          <w:lang w:val="en-GB"/>
        </w:rPr>
      </w:pPr>
    </w:p>
    <w:p w14:paraId="4EE3DB8E" w14:textId="77777777" w:rsidR="000729CF" w:rsidRPr="000729CF" w:rsidRDefault="000729CF" w:rsidP="000729CF">
      <w:pPr>
        <w:rPr>
          <w:rFonts w:ascii="Arial" w:eastAsia="Calibri" w:hAnsi="Arial" w:cs="Arial"/>
          <w:sz w:val="24"/>
          <w:szCs w:val="24"/>
          <w:lang w:val="en-GB"/>
        </w:rPr>
      </w:pPr>
    </w:p>
    <w:p w14:paraId="166AB4B3"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Impacts</w:t>
      </w:r>
    </w:p>
    <w:p w14:paraId="16A2EFE7"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Briefly state source of data or data analysis being used to describe the </w:t>
      </w:r>
      <w:r w:rsidRPr="000729CF">
        <w:rPr>
          <w:rFonts w:ascii="Arial" w:eastAsia="Calibri" w:hAnsi="Arial" w:cs="Arial"/>
          <w:color w:val="000000"/>
          <w:sz w:val="24"/>
          <w:szCs w:val="24"/>
          <w:bdr w:val="none" w:sz="0" w:space="0" w:color="auto" w:frame="1"/>
          <w:lang w:val="en-GB"/>
        </w:rPr>
        <w:t xml:space="preserve">disproportionate negative impacts. </w:t>
      </w:r>
      <w:r w:rsidRPr="000729CF">
        <w:rPr>
          <w:rFonts w:ascii="Arial" w:eastAsia="Calibri" w:hAnsi="Arial" w:cs="Arial"/>
          <w:sz w:val="24"/>
          <w:szCs w:val="24"/>
          <w:lang w:val="en-GB"/>
        </w:rPr>
        <w:t xml:space="preserve">Preferably provide link to data/ analysis if open data source. </w:t>
      </w:r>
    </w:p>
    <w:tbl>
      <w:tblPr>
        <w:tblStyle w:val="TableGrid"/>
        <w:tblW w:w="10485" w:type="dxa"/>
        <w:tblLook w:val="04A0" w:firstRow="1" w:lastRow="0" w:firstColumn="1" w:lastColumn="0" w:noHBand="0" w:noVBand="1"/>
      </w:tblPr>
      <w:tblGrid>
        <w:gridCol w:w="2985"/>
        <w:gridCol w:w="2123"/>
        <w:gridCol w:w="5377"/>
      </w:tblGrid>
      <w:tr w:rsidR="000729CF" w:rsidRPr="000729CF" w14:paraId="205998F2" w14:textId="77777777" w:rsidTr="000729CF">
        <w:trPr>
          <w:trHeight w:val="20"/>
        </w:trPr>
        <w:tc>
          <w:tcPr>
            <w:tcW w:w="2985" w:type="dxa"/>
            <w:shd w:val="clear" w:color="auto" w:fill="E7E6E6"/>
          </w:tcPr>
          <w:p w14:paraId="03DA1F3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Assess impact for different population groups</w:t>
            </w:r>
          </w:p>
        </w:tc>
        <w:tc>
          <w:tcPr>
            <w:tcW w:w="2123" w:type="dxa"/>
            <w:shd w:val="clear" w:color="auto" w:fill="E7E6E6"/>
          </w:tcPr>
          <w:p w14:paraId="61ECB14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Is there a possible disproportionate negative impact? </w:t>
            </w:r>
          </w:p>
          <w:p w14:paraId="505A26B8" w14:textId="77777777" w:rsidR="000729CF" w:rsidRPr="000729CF" w:rsidRDefault="000729CF" w:rsidP="000729CF">
            <w:pPr>
              <w:spacing w:after="120"/>
              <w:rPr>
                <w:rFonts w:ascii="Arial" w:eastAsia="Calibri" w:hAnsi="Arial" w:cs="Arial"/>
                <w:b/>
                <w:bCs/>
                <w:sz w:val="24"/>
                <w:szCs w:val="24"/>
              </w:rPr>
            </w:pPr>
          </w:p>
          <w:p w14:paraId="2D8C3B9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b/>
                <w:bCs/>
                <w:sz w:val="24"/>
                <w:szCs w:val="24"/>
              </w:rPr>
              <w:t>State Yes or No</w:t>
            </w:r>
          </w:p>
        </w:tc>
        <w:tc>
          <w:tcPr>
            <w:tcW w:w="5377" w:type="dxa"/>
            <w:shd w:val="clear" w:color="auto" w:fill="E7E6E6"/>
          </w:tcPr>
          <w:p w14:paraId="77D69BB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Describe the potential negative impact, considering for differences within groups For example, different ethnic groups, and peoples intersecting identities e.g. disabled women of faith</w:t>
            </w:r>
          </w:p>
          <w:p w14:paraId="7F1FC9F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OR</w:t>
            </w:r>
          </w:p>
          <w:p w14:paraId="0193DB8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If no impact is identified, briefly state why.</w:t>
            </w:r>
          </w:p>
        </w:tc>
      </w:tr>
      <w:tr w:rsidR="000729CF" w:rsidRPr="000729CF" w14:paraId="5A3D2414" w14:textId="77777777" w:rsidTr="000729CF">
        <w:trPr>
          <w:trHeight w:val="20"/>
        </w:trPr>
        <w:tc>
          <w:tcPr>
            <w:tcW w:w="2985" w:type="dxa"/>
            <w:shd w:val="clear" w:color="auto" w:fill="E7E6E6"/>
          </w:tcPr>
          <w:p w14:paraId="284D39A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Age </w:t>
            </w:r>
          </w:p>
          <w:p w14:paraId="35A9BAC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sz w:val="24"/>
                <w:szCs w:val="24"/>
              </w:rPr>
              <w:t>including those under 16, young adults, multiple ethnicities, those with various intersections.</w:t>
            </w:r>
          </w:p>
        </w:tc>
        <w:tc>
          <w:tcPr>
            <w:tcW w:w="2123" w:type="dxa"/>
          </w:tcPr>
          <w:p w14:paraId="4B6F7D8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0F30B284" w14:textId="77777777" w:rsidR="000729CF" w:rsidRPr="000729CF" w:rsidRDefault="000729CF" w:rsidP="000729CF">
            <w:pPr>
              <w:spacing w:after="120"/>
              <w:rPr>
                <w:rFonts w:ascii="Arial" w:eastAsia="Calibri" w:hAnsi="Arial" w:cs="Arial"/>
                <w:sz w:val="24"/>
                <w:szCs w:val="24"/>
              </w:rPr>
            </w:pPr>
          </w:p>
        </w:tc>
      </w:tr>
      <w:tr w:rsidR="000729CF" w:rsidRPr="000729CF" w14:paraId="23C2DABC" w14:textId="77777777" w:rsidTr="000729CF">
        <w:trPr>
          <w:trHeight w:val="20"/>
        </w:trPr>
        <w:tc>
          <w:tcPr>
            <w:tcW w:w="2985" w:type="dxa"/>
            <w:shd w:val="clear" w:color="auto" w:fill="E7E6E6"/>
          </w:tcPr>
          <w:p w14:paraId="769E00F5"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 xml:space="preserve">Disability </w:t>
            </w:r>
            <w:r w:rsidRPr="000729CF">
              <w:rPr>
                <w:rFonts w:ascii="Arial" w:eastAsia="Calibri" w:hAnsi="Arial" w:cs="Arial"/>
                <w:sz w:val="24"/>
                <w:szCs w:val="24"/>
              </w:rPr>
              <w:t>includes physical and sensory disabled, D/deaf, deafened, hard of hearing, blind, neurodiverse people, people with non-visible disabilities.</w:t>
            </w:r>
          </w:p>
        </w:tc>
        <w:tc>
          <w:tcPr>
            <w:tcW w:w="2123" w:type="dxa"/>
          </w:tcPr>
          <w:p w14:paraId="2697B43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24E9432D" w14:textId="77777777" w:rsidR="000729CF" w:rsidRPr="000729CF" w:rsidRDefault="000729CF" w:rsidP="000729CF">
            <w:pPr>
              <w:spacing w:after="120"/>
              <w:rPr>
                <w:rFonts w:ascii="Arial" w:eastAsia="Calibri" w:hAnsi="Arial" w:cs="Arial"/>
                <w:sz w:val="24"/>
                <w:szCs w:val="24"/>
              </w:rPr>
            </w:pPr>
          </w:p>
        </w:tc>
      </w:tr>
      <w:tr w:rsidR="000729CF" w:rsidRPr="000729CF" w14:paraId="2D303927" w14:textId="77777777" w:rsidTr="000729CF">
        <w:trPr>
          <w:trHeight w:val="20"/>
        </w:trPr>
        <w:tc>
          <w:tcPr>
            <w:tcW w:w="2985" w:type="dxa"/>
            <w:shd w:val="clear" w:color="auto" w:fill="E7E6E6"/>
          </w:tcPr>
          <w:p w14:paraId="054E196B" w14:textId="77777777" w:rsidR="000729CF" w:rsidRPr="000729CF" w:rsidRDefault="000729CF" w:rsidP="000729CF">
            <w:pPr>
              <w:keepNext/>
              <w:keepLines/>
              <w:spacing w:before="40"/>
              <w:outlineLvl w:val="2"/>
              <w:rPr>
                <w:rFonts w:ascii="Arial" w:hAnsi="Arial" w:cs="Arial"/>
                <w:color w:val="1F3763"/>
                <w:sz w:val="24"/>
                <w:szCs w:val="24"/>
              </w:rPr>
            </w:pPr>
            <w:r w:rsidRPr="000729CF">
              <w:rPr>
                <w:rFonts w:ascii="Arial" w:hAnsi="Arial" w:cs="Arial"/>
                <w:b/>
                <w:bCs/>
                <w:color w:val="000000"/>
                <w:sz w:val="24"/>
                <w:szCs w:val="24"/>
              </w:rPr>
              <w:t>Ethnicity, ‘</w:t>
            </w:r>
            <w:r w:rsidRPr="000729CF">
              <w:rPr>
                <w:rFonts w:ascii="Arial" w:hAnsi="Arial" w:cs="Arial"/>
                <w:color w:val="000000"/>
                <w:sz w:val="24"/>
                <w:szCs w:val="24"/>
              </w:rPr>
              <w:t>Race’, ethnic heritage including Gypsy, Roma, Travellers</w:t>
            </w:r>
          </w:p>
        </w:tc>
        <w:tc>
          <w:tcPr>
            <w:tcW w:w="2123" w:type="dxa"/>
          </w:tcPr>
          <w:p w14:paraId="2031DD6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3407E02F" w14:textId="77777777" w:rsidR="000729CF" w:rsidRPr="000729CF" w:rsidRDefault="000729CF" w:rsidP="000729CF">
            <w:pPr>
              <w:spacing w:after="120"/>
              <w:rPr>
                <w:rFonts w:ascii="Arial" w:eastAsia="Calibri" w:hAnsi="Arial" w:cs="Arial"/>
                <w:sz w:val="24"/>
                <w:szCs w:val="24"/>
              </w:rPr>
            </w:pPr>
          </w:p>
        </w:tc>
      </w:tr>
      <w:tr w:rsidR="000729CF" w:rsidRPr="000729CF" w14:paraId="6212A2CE" w14:textId="77777777" w:rsidTr="000729CF">
        <w:trPr>
          <w:trHeight w:val="20"/>
        </w:trPr>
        <w:tc>
          <w:tcPr>
            <w:tcW w:w="2985" w:type="dxa"/>
            <w:shd w:val="clear" w:color="auto" w:fill="E7E6E6"/>
          </w:tcPr>
          <w:p w14:paraId="2E0D4AF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Religion, Spirituality, Faith, Atheism, and philosophical belief </w:t>
            </w:r>
          </w:p>
        </w:tc>
        <w:tc>
          <w:tcPr>
            <w:tcW w:w="2123" w:type="dxa"/>
          </w:tcPr>
          <w:p w14:paraId="4F0279C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2D063456" w14:textId="77777777" w:rsidR="000729CF" w:rsidRPr="000729CF" w:rsidRDefault="000729CF" w:rsidP="000729CF">
            <w:pPr>
              <w:spacing w:after="120"/>
              <w:rPr>
                <w:rFonts w:ascii="Arial" w:eastAsia="Calibri" w:hAnsi="Arial" w:cs="Arial"/>
                <w:sz w:val="24"/>
                <w:szCs w:val="24"/>
              </w:rPr>
            </w:pPr>
          </w:p>
        </w:tc>
      </w:tr>
      <w:tr w:rsidR="000729CF" w:rsidRPr="000729CF" w14:paraId="6DEC9D54" w14:textId="77777777" w:rsidTr="000729CF">
        <w:trPr>
          <w:trHeight w:val="20"/>
        </w:trPr>
        <w:tc>
          <w:tcPr>
            <w:tcW w:w="2985" w:type="dxa"/>
            <w:shd w:val="clear" w:color="auto" w:fill="E7E6E6"/>
          </w:tcPr>
          <w:p w14:paraId="7FFC915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Gender and Sex </w:t>
            </w:r>
            <w:r w:rsidRPr="000729CF">
              <w:rPr>
                <w:rFonts w:ascii="Arial" w:eastAsia="Calibri" w:hAnsi="Arial" w:cs="Arial"/>
                <w:sz w:val="24"/>
                <w:szCs w:val="24"/>
              </w:rPr>
              <w:t>including non-binary and intersex people</w:t>
            </w:r>
          </w:p>
        </w:tc>
        <w:tc>
          <w:tcPr>
            <w:tcW w:w="2123" w:type="dxa"/>
          </w:tcPr>
          <w:p w14:paraId="17600AD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5A8CFDAC" w14:textId="77777777" w:rsidR="000729CF" w:rsidRPr="000729CF" w:rsidRDefault="000729CF" w:rsidP="000729CF">
            <w:pPr>
              <w:spacing w:after="120"/>
              <w:rPr>
                <w:rFonts w:ascii="Arial" w:eastAsia="Calibri" w:hAnsi="Arial" w:cs="Arial"/>
                <w:sz w:val="24"/>
                <w:szCs w:val="24"/>
              </w:rPr>
            </w:pPr>
          </w:p>
        </w:tc>
      </w:tr>
      <w:tr w:rsidR="000729CF" w:rsidRPr="000729CF" w14:paraId="7D97D9DE" w14:textId="77777777" w:rsidTr="000729CF">
        <w:trPr>
          <w:trHeight w:val="20"/>
        </w:trPr>
        <w:tc>
          <w:tcPr>
            <w:tcW w:w="2985" w:type="dxa"/>
            <w:shd w:val="clear" w:color="auto" w:fill="E7E6E6"/>
          </w:tcPr>
          <w:p w14:paraId="295C844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2123" w:type="dxa"/>
          </w:tcPr>
          <w:p w14:paraId="5D4C16E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4B18483B" w14:textId="77777777" w:rsidR="000729CF" w:rsidRPr="000729CF" w:rsidRDefault="000729CF" w:rsidP="000729CF">
            <w:pPr>
              <w:spacing w:after="120"/>
              <w:rPr>
                <w:rFonts w:ascii="Arial" w:eastAsia="Calibri" w:hAnsi="Arial" w:cs="Arial"/>
                <w:sz w:val="24"/>
                <w:szCs w:val="24"/>
              </w:rPr>
            </w:pPr>
          </w:p>
        </w:tc>
      </w:tr>
      <w:tr w:rsidR="000729CF" w:rsidRPr="000729CF" w14:paraId="2F0B69BB" w14:textId="77777777" w:rsidTr="000729CF">
        <w:trPr>
          <w:trHeight w:val="20"/>
        </w:trPr>
        <w:tc>
          <w:tcPr>
            <w:tcW w:w="2985" w:type="dxa"/>
            <w:shd w:val="clear" w:color="auto" w:fill="E7E6E6"/>
          </w:tcPr>
          <w:p w14:paraId="458E231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2123" w:type="dxa"/>
          </w:tcPr>
          <w:p w14:paraId="78E4221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62FD6B54" w14:textId="77777777" w:rsidR="000729CF" w:rsidRPr="000729CF" w:rsidRDefault="000729CF" w:rsidP="000729CF">
            <w:pPr>
              <w:spacing w:after="120"/>
              <w:rPr>
                <w:rFonts w:ascii="Arial" w:eastAsia="Calibri" w:hAnsi="Arial" w:cs="Arial"/>
                <w:sz w:val="24"/>
                <w:szCs w:val="24"/>
              </w:rPr>
            </w:pPr>
          </w:p>
        </w:tc>
      </w:tr>
      <w:tr w:rsidR="000729CF" w:rsidRPr="000729CF" w14:paraId="5385D6E0" w14:textId="77777777" w:rsidTr="000729CF">
        <w:trPr>
          <w:trHeight w:val="20"/>
        </w:trPr>
        <w:tc>
          <w:tcPr>
            <w:tcW w:w="2985" w:type="dxa"/>
            <w:shd w:val="clear" w:color="auto" w:fill="E7E6E6"/>
          </w:tcPr>
          <w:p w14:paraId="63E3FA3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2123" w:type="dxa"/>
          </w:tcPr>
          <w:p w14:paraId="3C02A3D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4C5427C0" w14:textId="77777777" w:rsidR="000729CF" w:rsidRPr="000729CF" w:rsidRDefault="000729CF" w:rsidP="000729CF">
            <w:pPr>
              <w:spacing w:after="120"/>
              <w:rPr>
                <w:rFonts w:ascii="Arial" w:eastAsia="Calibri" w:hAnsi="Arial" w:cs="Arial"/>
                <w:sz w:val="24"/>
                <w:szCs w:val="24"/>
              </w:rPr>
            </w:pPr>
          </w:p>
        </w:tc>
      </w:tr>
      <w:tr w:rsidR="000729CF" w:rsidRPr="000729CF" w14:paraId="2A7B6D7E" w14:textId="77777777" w:rsidTr="000729CF">
        <w:trPr>
          <w:trHeight w:val="20"/>
        </w:trPr>
        <w:tc>
          <w:tcPr>
            <w:tcW w:w="2985" w:type="dxa"/>
            <w:shd w:val="clear" w:color="auto" w:fill="E7E6E6"/>
          </w:tcPr>
          <w:p w14:paraId="50913F5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Pregnancy, Maternity, Paternity, Adoption, Menopause, (In)fertility </w:t>
            </w:r>
            <w:r w:rsidRPr="000729CF">
              <w:rPr>
                <w:rFonts w:ascii="Arial" w:eastAsia="Calibri" w:hAnsi="Arial" w:cs="Arial"/>
                <w:color w:val="000000"/>
                <w:sz w:val="24"/>
                <w:szCs w:val="24"/>
              </w:rPr>
              <w:t>(across intersections and non-binary gender spectrum)</w:t>
            </w:r>
          </w:p>
        </w:tc>
        <w:tc>
          <w:tcPr>
            <w:tcW w:w="2123" w:type="dxa"/>
          </w:tcPr>
          <w:p w14:paraId="6F36EE8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296889CE" w14:textId="77777777" w:rsidR="000729CF" w:rsidRPr="000729CF" w:rsidRDefault="000729CF" w:rsidP="000729CF">
            <w:pPr>
              <w:spacing w:after="120"/>
              <w:rPr>
                <w:rFonts w:ascii="Arial" w:eastAsia="Calibri" w:hAnsi="Arial" w:cs="Arial"/>
                <w:sz w:val="24"/>
                <w:szCs w:val="24"/>
              </w:rPr>
            </w:pPr>
          </w:p>
        </w:tc>
      </w:tr>
      <w:tr w:rsidR="000729CF" w:rsidRPr="000729CF" w14:paraId="2B20CC3C" w14:textId="77777777" w:rsidTr="000729CF">
        <w:trPr>
          <w:trHeight w:val="20"/>
        </w:trPr>
        <w:tc>
          <w:tcPr>
            <w:tcW w:w="2985" w:type="dxa"/>
            <w:shd w:val="clear" w:color="auto" w:fill="E7E6E6"/>
          </w:tcPr>
          <w:p w14:paraId="5C24437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2123" w:type="dxa"/>
          </w:tcPr>
          <w:p w14:paraId="763C9A5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0DF92C2F" w14:textId="77777777" w:rsidR="000729CF" w:rsidRPr="000729CF" w:rsidRDefault="000729CF" w:rsidP="000729CF">
            <w:pPr>
              <w:spacing w:after="120"/>
              <w:rPr>
                <w:rFonts w:ascii="Arial" w:eastAsia="Calibri" w:hAnsi="Arial" w:cs="Arial"/>
                <w:sz w:val="24"/>
                <w:szCs w:val="24"/>
              </w:rPr>
            </w:pPr>
          </w:p>
        </w:tc>
      </w:tr>
      <w:tr w:rsidR="000729CF" w:rsidRPr="000729CF" w14:paraId="6D81E1E4" w14:textId="77777777" w:rsidTr="000729CF">
        <w:trPr>
          <w:trHeight w:val="20"/>
        </w:trPr>
        <w:tc>
          <w:tcPr>
            <w:tcW w:w="2985" w:type="dxa"/>
            <w:shd w:val="clear" w:color="auto" w:fill="E7E6E6"/>
          </w:tcPr>
          <w:p w14:paraId="2447E660" w14:textId="77777777" w:rsidR="000729CF" w:rsidRPr="000729CF" w:rsidRDefault="000729CF" w:rsidP="000729CF">
            <w:pPr>
              <w:spacing w:after="120"/>
              <w:rPr>
                <w:rFonts w:ascii="Arial" w:eastAsia="Calibri" w:hAnsi="Arial" w:cs="Arial"/>
                <w:b/>
                <w:bCs/>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r w:rsidRPr="000729CF">
              <w:rPr>
                <w:rFonts w:ascii="Arial" w:hAnsi="Arial" w:cs="Arial"/>
                <w:color w:val="000000"/>
                <w:sz w:val="24"/>
                <w:szCs w:val="24"/>
              </w:rPr>
              <w:t>considering for age, language, and various intersections</w:t>
            </w:r>
          </w:p>
        </w:tc>
        <w:tc>
          <w:tcPr>
            <w:tcW w:w="2123" w:type="dxa"/>
          </w:tcPr>
          <w:p w14:paraId="755DBCC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281FF835" w14:textId="77777777" w:rsidR="000729CF" w:rsidRPr="000729CF" w:rsidRDefault="000729CF" w:rsidP="000729CF">
            <w:pPr>
              <w:spacing w:after="120"/>
              <w:rPr>
                <w:rFonts w:ascii="Arial" w:eastAsia="Calibri" w:hAnsi="Arial" w:cs="Arial"/>
                <w:sz w:val="24"/>
                <w:szCs w:val="24"/>
              </w:rPr>
            </w:pPr>
          </w:p>
        </w:tc>
      </w:tr>
      <w:tr w:rsidR="000729CF" w:rsidRPr="000729CF" w14:paraId="6B3CBB2B" w14:textId="77777777" w:rsidTr="000729CF">
        <w:trPr>
          <w:trHeight w:val="20"/>
        </w:trPr>
        <w:tc>
          <w:tcPr>
            <w:tcW w:w="2985" w:type="dxa"/>
            <w:shd w:val="clear" w:color="auto" w:fill="E7E6E6"/>
          </w:tcPr>
          <w:p w14:paraId="2AC3E37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Carers </w:t>
            </w:r>
            <w:r w:rsidRPr="000729CF">
              <w:rPr>
                <w:rFonts w:ascii="Arial" w:hAnsi="Arial" w:cs="Arial"/>
                <w:color w:val="000000"/>
                <w:sz w:val="24"/>
                <w:szCs w:val="24"/>
              </w:rPr>
              <w:t>considering for age, language, and various intersections</w:t>
            </w:r>
          </w:p>
        </w:tc>
        <w:tc>
          <w:tcPr>
            <w:tcW w:w="2123" w:type="dxa"/>
          </w:tcPr>
          <w:p w14:paraId="37F9F49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0B2A2792" w14:textId="77777777" w:rsidR="000729CF" w:rsidRPr="000729CF" w:rsidRDefault="000729CF" w:rsidP="000729CF">
            <w:pPr>
              <w:spacing w:after="120"/>
              <w:rPr>
                <w:rFonts w:ascii="Arial" w:eastAsia="Calibri" w:hAnsi="Arial" w:cs="Arial"/>
                <w:sz w:val="24"/>
                <w:szCs w:val="24"/>
              </w:rPr>
            </w:pPr>
          </w:p>
        </w:tc>
      </w:tr>
      <w:tr w:rsidR="000729CF" w:rsidRPr="000729CF" w14:paraId="3009FA10" w14:textId="77777777" w:rsidTr="000729CF">
        <w:trPr>
          <w:trHeight w:val="20"/>
        </w:trPr>
        <w:tc>
          <w:tcPr>
            <w:tcW w:w="2985" w:type="dxa"/>
            <w:shd w:val="clear" w:color="auto" w:fill="E7E6E6"/>
          </w:tcPr>
          <w:p w14:paraId="13E54421"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 xml:space="preserve">Looked after children, Care Leavers, Care and fostering experienced people </w:t>
            </w:r>
            <w:r w:rsidRPr="000729CF">
              <w:rPr>
                <w:rFonts w:ascii="Arial" w:hAnsi="Arial" w:cs="Arial"/>
                <w:color w:val="000000"/>
                <w:sz w:val="24"/>
                <w:szCs w:val="24"/>
              </w:rPr>
              <w:t>considering for age, language, and various intersections</w:t>
            </w:r>
          </w:p>
        </w:tc>
        <w:tc>
          <w:tcPr>
            <w:tcW w:w="2123" w:type="dxa"/>
          </w:tcPr>
          <w:p w14:paraId="5D7361D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2E7DED6B" w14:textId="77777777" w:rsidR="000729CF" w:rsidRPr="000729CF" w:rsidRDefault="000729CF" w:rsidP="000729CF">
            <w:pPr>
              <w:spacing w:after="120"/>
              <w:rPr>
                <w:rFonts w:ascii="Arial" w:eastAsia="Calibri" w:hAnsi="Arial" w:cs="Arial"/>
                <w:sz w:val="24"/>
                <w:szCs w:val="24"/>
              </w:rPr>
            </w:pPr>
          </w:p>
        </w:tc>
      </w:tr>
      <w:tr w:rsidR="000729CF" w:rsidRPr="000729CF" w14:paraId="2CAE862B" w14:textId="77777777" w:rsidTr="000729CF">
        <w:trPr>
          <w:trHeight w:val="20"/>
        </w:trPr>
        <w:tc>
          <w:tcPr>
            <w:tcW w:w="2985" w:type="dxa"/>
            <w:shd w:val="clear" w:color="auto" w:fill="E7E6E6"/>
          </w:tcPr>
          <w:p w14:paraId="09CB09A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w:t>
            </w:r>
          </w:p>
        </w:tc>
        <w:tc>
          <w:tcPr>
            <w:tcW w:w="2123" w:type="dxa"/>
          </w:tcPr>
          <w:p w14:paraId="4D3D732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497871B2" w14:textId="77777777" w:rsidR="000729CF" w:rsidRPr="000729CF" w:rsidRDefault="000729CF" w:rsidP="000729CF">
            <w:pPr>
              <w:spacing w:after="120"/>
              <w:rPr>
                <w:rFonts w:ascii="Arial" w:eastAsia="Calibri" w:hAnsi="Arial" w:cs="Arial"/>
                <w:sz w:val="24"/>
                <w:szCs w:val="24"/>
              </w:rPr>
            </w:pPr>
          </w:p>
        </w:tc>
      </w:tr>
      <w:tr w:rsidR="000729CF" w:rsidRPr="000729CF" w14:paraId="04FDE256" w14:textId="77777777" w:rsidTr="000729CF">
        <w:trPr>
          <w:trHeight w:val="20"/>
        </w:trPr>
        <w:tc>
          <w:tcPr>
            <w:tcW w:w="2985" w:type="dxa"/>
            <w:shd w:val="clear" w:color="auto" w:fill="E7E6E6"/>
          </w:tcPr>
          <w:p w14:paraId="3E5DE48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Socio-economic disadvantage </w:t>
            </w:r>
            <w:r w:rsidRPr="000729CF">
              <w:rPr>
                <w:rFonts w:ascii="Arial" w:eastAsia="Calibri" w:hAnsi="Arial" w:cs="Arial"/>
                <w:color w:val="000000"/>
                <w:sz w:val="24"/>
                <w:szCs w:val="24"/>
              </w:rPr>
              <w:t>considering for age, disability, D/deaf/ blind, ethnicity, expatriate background, and various intersections</w:t>
            </w:r>
          </w:p>
        </w:tc>
        <w:tc>
          <w:tcPr>
            <w:tcW w:w="2123" w:type="dxa"/>
          </w:tcPr>
          <w:p w14:paraId="3315F99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6D162106" w14:textId="77777777" w:rsidR="000729CF" w:rsidRPr="000729CF" w:rsidRDefault="000729CF" w:rsidP="000729CF">
            <w:pPr>
              <w:spacing w:after="120"/>
              <w:rPr>
                <w:rFonts w:ascii="Arial" w:eastAsia="Calibri" w:hAnsi="Arial" w:cs="Arial"/>
                <w:sz w:val="24"/>
                <w:szCs w:val="24"/>
              </w:rPr>
            </w:pPr>
          </w:p>
        </w:tc>
      </w:tr>
      <w:tr w:rsidR="000729CF" w:rsidRPr="000729CF" w14:paraId="4DD7E8BE" w14:textId="77777777" w:rsidTr="000729CF">
        <w:trPr>
          <w:trHeight w:val="20"/>
        </w:trPr>
        <w:tc>
          <w:tcPr>
            <w:tcW w:w="2985" w:type="dxa"/>
            <w:shd w:val="clear" w:color="auto" w:fill="E7E6E6"/>
          </w:tcPr>
          <w:p w14:paraId="1AE0BA2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Homeless and rough sleepers </w:t>
            </w:r>
            <w:r w:rsidRPr="000729CF">
              <w:rPr>
                <w:rFonts w:ascii="Arial" w:eastAsia="Calibri" w:hAnsi="Arial" w:cs="Arial"/>
                <w:color w:val="000000"/>
                <w:sz w:val="24"/>
                <w:szCs w:val="24"/>
              </w:rPr>
              <w:t>considering for age, veteran, ethnicity, language, and various intersections</w:t>
            </w:r>
          </w:p>
        </w:tc>
        <w:tc>
          <w:tcPr>
            <w:tcW w:w="2123" w:type="dxa"/>
          </w:tcPr>
          <w:p w14:paraId="3A52843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0AA74392" w14:textId="77777777" w:rsidR="000729CF" w:rsidRPr="000729CF" w:rsidRDefault="000729CF" w:rsidP="000729CF">
            <w:pPr>
              <w:spacing w:after="120"/>
              <w:rPr>
                <w:rFonts w:ascii="Arial" w:eastAsia="Calibri" w:hAnsi="Arial" w:cs="Arial"/>
                <w:sz w:val="24"/>
                <w:szCs w:val="24"/>
              </w:rPr>
            </w:pPr>
          </w:p>
        </w:tc>
      </w:tr>
      <w:tr w:rsidR="000729CF" w:rsidRPr="000729CF" w14:paraId="2A9E90D0" w14:textId="77777777" w:rsidTr="000729CF">
        <w:trPr>
          <w:trHeight w:val="20"/>
        </w:trPr>
        <w:tc>
          <w:tcPr>
            <w:tcW w:w="2985" w:type="dxa"/>
            <w:shd w:val="clear" w:color="auto" w:fill="E7E6E6"/>
          </w:tcPr>
          <w:p w14:paraId="6F089D6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2123" w:type="dxa"/>
          </w:tcPr>
          <w:p w14:paraId="388B9D9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5F285DAD" w14:textId="77777777" w:rsidR="000729CF" w:rsidRPr="000729CF" w:rsidRDefault="000729CF" w:rsidP="000729CF">
            <w:pPr>
              <w:spacing w:after="120"/>
              <w:rPr>
                <w:rFonts w:ascii="Arial" w:eastAsia="Calibri" w:hAnsi="Arial" w:cs="Arial"/>
                <w:sz w:val="24"/>
                <w:szCs w:val="24"/>
              </w:rPr>
            </w:pPr>
          </w:p>
        </w:tc>
      </w:tr>
      <w:tr w:rsidR="000729CF" w:rsidRPr="000729CF" w14:paraId="69040BFE" w14:textId="77777777" w:rsidTr="000729CF">
        <w:trPr>
          <w:trHeight w:val="20"/>
        </w:trPr>
        <w:tc>
          <w:tcPr>
            <w:tcW w:w="2985" w:type="dxa"/>
            <w:shd w:val="clear" w:color="auto" w:fill="E7E6E6"/>
          </w:tcPr>
          <w:p w14:paraId="202642A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 (please specify here and add additional rows as needed)</w:t>
            </w:r>
          </w:p>
        </w:tc>
        <w:tc>
          <w:tcPr>
            <w:tcW w:w="2123" w:type="dxa"/>
          </w:tcPr>
          <w:p w14:paraId="76D8826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6B103D14" w14:textId="77777777" w:rsidR="000729CF" w:rsidRPr="000729CF" w:rsidRDefault="000729CF" w:rsidP="000729CF">
            <w:pPr>
              <w:spacing w:after="120"/>
              <w:rPr>
                <w:rFonts w:ascii="Arial" w:eastAsia="Calibri" w:hAnsi="Arial" w:cs="Arial"/>
                <w:sz w:val="24"/>
                <w:szCs w:val="24"/>
              </w:rPr>
            </w:pPr>
          </w:p>
        </w:tc>
      </w:tr>
    </w:tbl>
    <w:p w14:paraId="5B4D067C" w14:textId="77777777" w:rsidR="000729CF" w:rsidRPr="000729CF" w:rsidRDefault="000729CF" w:rsidP="000729CF">
      <w:pPr>
        <w:spacing w:after="160" w:line="259" w:lineRule="auto"/>
        <w:rPr>
          <w:rFonts w:ascii="Arial" w:eastAsia="Calibri" w:hAnsi="Arial" w:cs="Arial"/>
          <w:b/>
          <w:bCs/>
          <w:sz w:val="24"/>
          <w:szCs w:val="24"/>
          <w:lang w:val="en-GB"/>
        </w:rPr>
      </w:pPr>
    </w:p>
    <w:p w14:paraId="34FE9C83"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26C722C9"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408E40A7"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2C531305"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0A0D842E"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439498A0"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36B009A4"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1A6EB86A"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24A57A33"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7B4DB923"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6FC45FE9" w14:textId="77777777" w:rsidR="000729CF" w:rsidRPr="000729CF" w:rsidRDefault="000729CF" w:rsidP="000729CF">
      <w:pPr>
        <w:rPr>
          <w:rFonts w:ascii="Arial" w:eastAsia="Calibri" w:hAnsi="Arial" w:cs="Arial"/>
          <w:sz w:val="24"/>
          <w:szCs w:val="24"/>
          <w:lang w:val="en-GB"/>
        </w:rPr>
      </w:pPr>
    </w:p>
    <w:p w14:paraId="5BA05292"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Cumulative impacts</w:t>
      </w:r>
    </w:p>
    <w:p w14:paraId="308C9EA8"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Are there other budget proposals from other service areas that might worsen or mitigate the impacts from your proposal? Please give a brief description including name of other service(s).</w:t>
      </w:r>
    </w:p>
    <w:tbl>
      <w:tblPr>
        <w:tblStyle w:val="TableGrid"/>
        <w:tblW w:w="0" w:type="auto"/>
        <w:tblLook w:val="04A0" w:firstRow="1" w:lastRow="0" w:firstColumn="1" w:lastColumn="0" w:noHBand="0" w:noVBand="1"/>
      </w:tblPr>
      <w:tblGrid>
        <w:gridCol w:w="10456"/>
      </w:tblGrid>
      <w:tr w:rsidR="000729CF" w:rsidRPr="000729CF" w14:paraId="3C601D1F" w14:textId="77777777" w:rsidTr="00BC26AB">
        <w:tc>
          <w:tcPr>
            <w:tcW w:w="10456" w:type="dxa"/>
          </w:tcPr>
          <w:p w14:paraId="1DAF50ED" w14:textId="77777777" w:rsidR="000729CF" w:rsidRPr="000729CF" w:rsidRDefault="000729CF" w:rsidP="000729CF">
            <w:pPr>
              <w:rPr>
                <w:rFonts w:ascii="Arial" w:eastAsia="Calibri" w:hAnsi="Arial" w:cs="Arial"/>
                <w:sz w:val="24"/>
                <w:szCs w:val="24"/>
              </w:rPr>
            </w:pPr>
            <w:r w:rsidRPr="000729CF">
              <w:rPr>
                <w:rFonts w:ascii="Arial" w:hAnsi="Arial" w:cs="Arial"/>
                <w:sz w:val="24"/>
                <w:szCs w:val="24"/>
              </w:rPr>
              <w:t>Reduction in the budget will impact grass roots community provision in neighbourhoods and to city-wide equality groups. Many of the groups/projects securing funding through the Communities Fund provide preventative measures that may to stop or be scaled back. As statutory services increasing looking to ‘community’ services and ‘building social capital’ as preventative measures for their clients a reduction in Communities Funding will impact in council’s ability to facilitate these.</w:t>
            </w:r>
          </w:p>
          <w:p w14:paraId="69C048EB" w14:textId="77777777" w:rsidR="000729CF" w:rsidRPr="000729CF" w:rsidRDefault="000729CF" w:rsidP="000729CF">
            <w:pPr>
              <w:rPr>
                <w:rFonts w:ascii="Arial" w:eastAsia="Calibri" w:hAnsi="Arial" w:cs="Arial"/>
                <w:sz w:val="24"/>
                <w:szCs w:val="24"/>
              </w:rPr>
            </w:pPr>
          </w:p>
          <w:p w14:paraId="10BA61C0"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 xml:space="preserve">Other budget savings that reduce opportunities for funding for community and voluntary sector organisations may worse the impact of this proposal. For example, the cessation of the youth-led grants programme. </w:t>
            </w:r>
          </w:p>
          <w:p w14:paraId="5944B853" w14:textId="77777777" w:rsidR="000729CF" w:rsidRPr="000729CF" w:rsidRDefault="000729CF" w:rsidP="000729CF">
            <w:pPr>
              <w:rPr>
                <w:rFonts w:ascii="Arial" w:eastAsia="Calibri" w:hAnsi="Arial" w:cs="Arial"/>
                <w:sz w:val="24"/>
                <w:szCs w:val="24"/>
              </w:rPr>
            </w:pPr>
          </w:p>
        </w:tc>
      </w:tr>
    </w:tbl>
    <w:p w14:paraId="4E4A075A" w14:textId="77777777" w:rsidR="000729CF" w:rsidRPr="000729CF" w:rsidRDefault="000729CF" w:rsidP="000729CF">
      <w:pPr>
        <w:spacing w:after="160" w:line="259" w:lineRule="auto"/>
        <w:rPr>
          <w:rFonts w:ascii="Arial" w:eastAsia="Calibri" w:hAnsi="Arial" w:cs="Arial"/>
          <w:sz w:val="24"/>
          <w:szCs w:val="24"/>
          <w:lang w:val="en-GB"/>
        </w:rPr>
      </w:pPr>
    </w:p>
    <w:p w14:paraId="0908E06A"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Action planning</w:t>
      </w:r>
    </w:p>
    <w:p w14:paraId="3495F862"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SMART actions will be taken to mitigate the disproportionate impacts identified in section 3? If no mitigating action is possible, please state and explain why. Add additional rows as required. </w:t>
      </w:r>
    </w:p>
    <w:tbl>
      <w:tblPr>
        <w:tblStyle w:val="TableGrid"/>
        <w:tblW w:w="0" w:type="auto"/>
        <w:tblLook w:val="04A0" w:firstRow="1" w:lastRow="0" w:firstColumn="1" w:lastColumn="0" w:noHBand="0" w:noVBand="1"/>
      </w:tblPr>
      <w:tblGrid>
        <w:gridCol w:w="10456"/>
      </w:tblGrid>
      <w:tr w:rsidR="000729CF" w:rsidRPr="000729CF" w14:paraId="11FEF83D" w14:textId="77777777" w:rsidTr="00BC26AB">
        <w:trPr>
          <w:trHeight w:val="847"/>
        </w:trPr>
        <w:tc>
          <w:tcPr>
            <w:tcW w:w="10456" w:type="dxa"/>
          </w:tcPr>
          <w:p w14:paraId="7866921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mitigation actions are available due to there being no disproportionate impact on one specific equality group.</w:t>
            </w:r>
          </w:p>
        </w:tc>
      </w:tr>
      <w:tr w:rsidR="000729CF" w:rsidRPr="000729CF" w14:paraId="552C8633" w14:textId="77777777" w:rsidTr="00BC26AB">
        <w:trPr>
          <w:trHeight w:val="847"/>
        </w:trPr>
        <w:tc>
          <w:tcPr>
            <w:tcW w:w="10456" w:type="dxa"/>
          </w:tcPr>
          <w:p w14:paraId="7D85F01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SMART action 1: Community and voluntary sector groups making enquiries to the council about funding will be signed posted to other possible funders, for example Sussex Community Foundation</w:t>
            </w:r>
          </w:p>
          <w:p w14:paraId="1658511D" w14:textId="77777777" w:rsidR="000729CF" w:rsidRPr="000729CF" w:rsidRDefault="000729CF" w:rsidP="000729CF">
            <w:pPr>
              <w:spacing w:after="120"/>
              <w:ind w:left="360"/>
              <w:rPr>
                <w:rFonts w:ascii="Arial" w:eastAsia="Calibri" w:hAnsi="Arial" w:cs="Arial"/>
                <w:sz w:val="24"/>
                <w:szCs w:val="24"/>
              </w:rPr>
            </w:pPr>
          </w:p>
        </w:tc>
      </w:tr>
      <w:tr w:rsidR="000729CF" w:rsidRPr="000729CF" w14:paraId="33BC93FD" w14:textId="77777777" w:rsidTr="00BC26AB">
        <w:trPr>
          <w:trHeight w:val="847"/>
        </w:trPr>
        <w:tc>
          <w:tcPr>
            <w:tcW w:w="10456" w:type="dxa"/>
          </w:tcPr>
          <w:p w14:paraId="2825230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SMART action 2: In 204/25 officers will explore the most effective and efficient way to distribute the remaining monies in the Communities Fund. </w:t>
            </w:r>
          </w:p>
        </w:tc>
      </w:tr>
      <w:tr w:rsidR="000729CF" w:rsidRPr="000729CF" w14:paraId="06C76018" w14:textId="77777777" w:rsidTr="00BC26AB">
        <w:trPr>
          <w:trHeight w:val="847"/>
        </w:trPr>
        <w:tc>
          <w:tcPr>
            <w:tcW w:w="10456" w:type="dxa"/>
          </w:tcPr>
          <w:p w14:paraId="6486145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SMART action 3: The BME engagement fund and one round of the Communities Fund will be held in 2024/25.</w:t>
            </w:r>
          </w:p>
        </w:tc>
      </w:tr>
    </w:tbl>
    <w:p w14:paraId="29BE3051" w14:textId="77777777" w:rsidR="000729CF" w:rsidRPr="000729CF" w:rsidRDefault="000729CF" w:rsidP="000729CF">
      <w:pPr>
        <w:spacing w:after="160" w:line="259" w:lineRule="auto"/>
        <w:rPr>
          <w:rFonts w:ascii="Arial" w:eastAsia="Calibri" w:hAnsi="Arial" w:cs="Arial"/>
          <w:sz w:val="24"/>
          <w:szCs w:val="24"/>
          <w:lang w:val="en-GB"/>
        </w:rPr>
      </w:pPr>
    </w:p>
    <w:p w14:paraId="005064BA"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Outcome of your assessment</w:t>
      </w:r>
    </w:p>
    <w:p w14:paraId="2734EA1F"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Based on the information above give the proposal an impact score between 1 – 5. </w:t>
      </w:r>
    </w:p>
    <w:p w14:paraId="340663BB"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1= proposal has minimal impact and/or mitigating actions will significantly minimise the impact</w:t>
      </w:r>
    </w:p>
    <w:p w14:paraId="742CD532"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3= proposal will have a significant negative impact; however, mitigation actions will reduce the impact considerably.</w:t>
      </w:r>
    </w:p>
    <w:p w14:paraId="76FBDE50"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5= proposal has significant impact and mitigating actions will have limited effect on reducing impact.</w:t>
      </w:r>
    </w:p>
    <w:p w14:paraId="378CACB5" w14:textId="77777777" w:rsidR="000729CF" w:rsidRPr="000729CF" w:rsidRDefault="000729CF" w:rsidP="000729CF">
      <w:pPr>
        <w:rPr>
          <w:rFonts w:ascii="Arial" w:eastAsia="Calibri" w:hAnsi="Arial" w:cs="Arial"/>
          <w:sz w:val="24"/>
          <w:szCs w:val="24"/>
          <w:highlight w:val="yellow"/>
          <w:lang w:val="en-GB"/>
        </w:rPr>
      </w:pPr>
    </w:p>
    <w:tbl>
      <w:tblPr>
        <w:tblStyle w:val="TableGrid"/>
        <w:tblW w:w="0" w:type="auto"/>
        <w:tblLook w:val="04A0" w:firstRow="1" w:lastRow="0" w:firstColumn="1" w:lastColumn="0" w:noHBand="0" w:noVBand="1"/>
      </w:tblPr>
      <w:tblGrid>
        <w:gridCol w:w="3114"/>
        <w:gridCol w:w="7342"/>
      </w:tblGrid>
      <w:tr w:rsidR="000729CF" w:rsidRPr="000729CF" w14:paraId="1A5B6F5F" w14:textId="77777777" w:rsidTr="00BC26AB">
        <w:trPr>
          <w:trHeight w:val="152"/>
        </w:trPr>
        <w:tc>
          <w:tcPr>
            <w:tcW w:w="3114" w:type="dxa"/>
          </w:tcPr>
          <w:p w14:paraId="2ACA692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Proposal’s impact score:</w:t>
            </w:r>
          </w:p>
        </w:tc>
        <w:tc>
          <w:tcPr>
            <w:tcW w:w="7342" w:type="dxa"/>
          </w:tcPr>
          <w:p w14:paraId="3230EF5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3</w:t>
            </w:r>
          </w:p>
        </w:tc>
      </w:tr>
    </w:tbl>
    <w:p w14:paraId="40CC45E9" w14:textId="77777777" w:rsidR="000729CF" w:rsidRPr="000729CF" w:rsidRDefault="000729CF" w:rsidP="000729CF">
      <w:pPr>
        <w:spacing w:after="160" w:line="259" w:lineRule="auto"/>
        <w:rPr>
          <w:rFonts w:ascii="Arial" w:eastAsia="Calibri" w:hAnsi="Arial" w:cs="Arial"/>
          <w:sz w:val="24"/>
          <w:szCs w:val="24"/>
          <w:lang w:val="en-GB"/>
        </w:rPr>
      </w:pPr>
    </w:p>
    <w:p w14:paraId="77A2D089"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Publication</w:t>
      </w:r>
    </w:p>
    <w:p w14:paraId="3C271041"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All Equality Impact Assessments will be published. If you are recommending, and choosing not to publish your EIA, please provide a reason:</w:t>
      </w:r>
    </w:p>
    <w:tbl>
      <w:tblPr>
        <w:tblStyle w:val="TableGrid"/>
        <w:tblW w:w="0" w:type="auto"/>
        <w:tblLook w:val="04A0" w:firstRow="1" w:lastRow="0" w:firstColumn="1" w:lastColumn="0" w:noHBand="0" w:noVBand="1"/>
      </w:tblPr>
      <w:tblGrid>
        <w:gridCol w:w="10456"/>
      </w:tblGrid>
      <w:tr w:rsidR="000729CF" w:rsidRPr="000729CF" w14:paraId="4EAB99A4" w14:textId="77777777" w:rsidTr="00BC26AB">
        <w:trPr>
          <w:trHeight w:val="803"/>
        </w:trPr>
        <w:tc>
          <w:tcPr>
            <w:tcW w:w="10456" w:type="dxa"/>
          </w:tcPr>
          <w:p w14:paraId="41A76A73" w14:textId="77777777" w:rsidR="000729CF" w:rsidRPr="000729CF" w:rsidRDefault="000729CF" w:rsidP="000729CF">
            <w:pPr>
              <w:spacing w:after="120"/>
              <w:rPr>
                <w:rFonts w:ascii="Arial" w:eastAsia="Calibri" w:hAnsi="Arial" w:cs="Arial"/>
                <w:sz w:val="24"/>
                <w:szCs w:val="24"/>
              </w:rPr>
            </w:pPr>
          </w:p>
        </w:tc>
      </w:tr>
    </w:tbl>
    <w:p w14:paraId="2831F695" w14:textId="77777777" w:rsidR="000729CF" w:rsidRPr="000729CF" w:rsidRDefault="000729CF" w:rsidP="000729CF">
      <w:pPr>
        <w:spacing w:after="160" w:line="259" w:lineRule="auto"/>
        <w:rPr>
          <w:rFonts w:ascii="Arial" w:eastAsia="Calibri" w:hAnsi="Arial" w:cs="Arial"/>
          <w:sz w:val="24"/>
          <w:szCs w:val="24"/>
          <w:lang w:val="en-GB"/>
        </w:rPr>
      </w:pPr>
    </w:p>
    <w:p w14:paraId="1FCD68FB"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Directorate and Service Approval</w:t>
      </w:r>
    </w:p>
    <w:tbl>
      <w:tblPr>
        <w:tblStyle w:val="TableGrid"/>
        <w:tblW w:w="0" w:type="auto"/>
        <w:tblLook w:val="04A0" w:firstRow="1" w:lastRow="0" w:firstColumn="1" w:lastColumn="0" w:noHBand="0" w:noVBand="1"/>
      </w:tblPr>
      <w:tblGrid>
        <w:gridCol w:w="3681"/>
        <w:gridCol w:w="4394"/>
        <w:gridCol w:w="2381"/>
      </w:tblGrid>
      <w:tr w:rsidR="000729CF" w:rsidRPr="000729CF" w14:paraId="6E0B7AD8" w14:textId="77777777" w:rsidTr="000729CF">
        <w:trPr>
          <w:trHeight w:val="20"/>
        </w:trPr>
        <w:tc>
          <w:tcPr>
            <w:tcW w:w="3681" w:type="dxa"/>
            <w:tcBorders>
              <w:bottom w:val="single" w:sz="4" w:space="0" w:color="auto"/>
            </w:tcBorders>
            <w:shd w:val="clear" w:color="auto" w:fill="D9D9D9"/>
          </w:tcPr>
          <w:p w14:paraId="2641172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2A225FA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 and Job Title:</w:t>
            </w:r>
          </w:p>
        </w:tc>
        <w:tc>
          <w:tcPr>
            <w:tcW w:w="2381" w:type="dxa"/>
            <w:shd w:val="clear" w:color="auto" w:fill="D9D9D9"/>
          </w:tcPr>
          <w:p w14:paraId="03BC68C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0A7041B4" w14:textId="77777777" w:rsidTr="000729CF">
        <w:trPr>
          <w:trHeight w:val="20"/>
        </w:trPr>
        <w:tc>
          <w:tcPr>
            <w:tcW w:w="3681" w:type="dxa"/>
            <w:shd w:val="clear" w:color="auto" w:fill="E7E6E6"/>
          </w:tcPr>
          <w:p w14:paraId="49749C4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Responsible Lead Officer:</w:t>
            </w:r>
          </w:p>
        </w:tc>
        <w:tc>
          <w:tcPr>
            <w:tcW w:w="4394" w:type="dxa"/>
          </w:tcPr>
          <w:p w14:paraId="199CAB6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Donna Edmead</w:t>
            </w:r>
          </w:p>
        </w:tc>
        <w:tc>
          <w:tcPr>
            <w:tcW w:w="2381" w:type="dxa"/>
          </w:tcPr>
          <w:p w14:paraId="2A689D8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26-01-24</w:t>
            </w:r>
          </w:p>
        </w:tc>
      </w:tr>
      <w:tr w:rsidR="000729CF" w:rsidRPr="000729CF" w14:paraId="7F74C4BB" w14:textId="77777777" w:rsidTr="000729CF">
        <w:trPr>
          <w:trHeight w:val="20"/>
        </w:trPr>
        <w:tc>
          <w:tcPr>
            <w:tcW w:w="3681" w:type="dxa"/>
            <w:shd w:val="clear" w:color="auto" w:fill="E7E6E6"/>
          </w:tcPr>
          <w:p w14:paraId="0F953AF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Accountable Manager:</w:t>
            </w:r>
          </w:p>
        </w:tc>
        <w:tc>
          <w:tcPr>
            <w:tcW w:w="4394" w:type="dxa"/>
          </w:tcPr>
          <w:p w14:paraId="6B03950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Emma McDermott</w:t>
            </w:r>
          </w:p>
        </w:tc>
        <w:tc>
          <w:tcPr>
            <w:tcW w:w="2381" w:type="dxa"/>
          </w:tcPr>
          <w:p w14:paraId="037A21F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26-01-24</w:t>
            </w:r>
          </w:p>
        </w:tc>
      </w:tr>
    </w:tbl>
    <w:p w14:paraId="3DAC4440" w14:textId="77777777" w:rsidR="000729CF" w:rsidRPr="000729CF" w:rsidRDefault="000729CF" w:rsidP="000729CF">
      <w:pPr>
        <w:spacing w:after="160" w:line="259" w:lineRule="auto"/>
        <w:rPr>
          <w:rFonts w:ascii="Arial" w:eastAsia="Calibri" w:hAnsi="Arial" w:cs="Arial"/>
          <w:sz w:val="24"/>
          <w:szCs w:val="24"/>
          <w:lang w:val="en-GB"/>
        </w:rPr>
      </w:pPr>
    </w:p>
    <w:p w14:paraId="14C33115" w14:textId="77777777" w:rsidR="000729CF" w:rsidRPr="000729CF" w:rsidRDefault="000729CF" w:rsidP="000729CF">
      <w:pPr>
        <w:keepNext/>
        <w:keepLines/>
        <w:spacing w:before="40" w:after="160" w:line="259" w:lineRule="auto"/>
        <w:outlineLvl w:val="2"/>
        <w:rPr>
          <w:rFonts w:ascii="Arial" w:hAnsi="Arial" w:cs="Arial"/>
          <w:b/>
          <w:bCs/>
          <w:color w:val="000000"/>
          <w:sz w:val="28"/>
          <w:szCs w:val="28"/>
          <w:lang w:val="en-GB"/>
        </w:rPr>
      </w:pPr>
      <w:r w:rsidRPr="000729CF">
        <w:rPr>
          <w:rFonts w:ascii="Arial" w:hAnsi="Arial" w:cs="Arial"/>
          <w:b/>
          <w:bCs/>
          <w:color w:val="000000"/>
          <w:sz w:val="28"/>
          <w:szCs w:val="28"/>
          <w:lang w:val="en-GB"/>
        </w:rPr>
        <w:t>EDI Review and Approval:</w:t>
      </w:r>
    </w:p>
    <w:p w14:paraId="1F3EA056" w14:textId="77777777" w:rsidR="000729CF" w:rsidRPr="000729CF" w:rsidRDefault="000729CF" w:rsidP="000729CF">
      <w:pPr>
        <w:spacing w:after="160" w:line="259" w:lineRule="auto"/>
        <w:rPr>
          <w:rFonts w:ascii="Arial" w:eastAsia="Calibri" w:hAnsi="Arial" w:cs="Arial"/>
          <w:sz w:val="24"/>
          <w:szCs w:val="24"/>
          <w:lang w:val="en-GB"/>
        </w:rPr>
      </w:pPr>
    </w:p>
    <w:p w14:paraId="4099D570" w14:textId="77777777" w:rsidR="000729CF" w:rsidRPr="000729CF" w:rsidRDefault="000729CF" w:rsidP="000729CF">
      <w:pPr>
        <w:keepNext/>
        <w:keepLines/>
        <w:spacing w:after="160" w:line="259" w:lineRule="auto"/>
        <w:ind w:left="283" w:hanging="283"/>
        <w:outlineLvl w:val="1"/>
        <w:rPr>
          <w:rFonts w:ascii="Arial" w:hAnsi="Arial" w:cs="Arial"/>
          <w:color w:val="2F5496"/>
          <w:sz w:val="24"/>
          <w:szCs w:val="24"/>
          <w:lang w:val="en-GB"/>
        </w:rPr>
      </w:pPr>
      <w:r w:rsidRPr="000729CF">
        <w:rPr>
          <w:rFonts w:ascii="Arial" w:hAnsi="Arial" w:cs="Arial"/>
          <w:color w:val="2F5496"/>
          <w:sz w:val="24"/>
          <w:szCs w:val="24"/>
          <w:lang w:val="en-GB"/>
        </w:rPr>
        <w:t>Equality Impact Assessment sign-off</w:t>
      </w:r>
    </w:p>
    <w:tbl>
      <w:tblPr>
        <w:tblStyle w:val="TableGrid"/>
        <w:tblW w:w="0" w:type="auto"/>
        <w:tblLook w:val="04A0" w:firstRow="1" w:lastRow="0" w:firstColumn="1" w:lastColumn="0" w:noHBand="0" w:noVBand="1"/>
      </w:tblPr>
      <w:tblGrid>
        <w:gridCol w:w="3681"/>
        <w:gridCol w:w="4394"/>
        <w:gridCol w:w="2381"/>
      </w:tblGrid>
      <w:tr w:rsidR="000729CF" w:rsidRPr="000729CF" w14:paraId="46EF7034" w14:textId="77777777" w:rsidTr="000729CF">
        <w:trPr>
          <w:trHeight w:val="20"/>
        </w:trPr>
        <w:tc>
          <w:tcPr>
            <w:tcW w:w="3681" w:type="dxa"/>
            <w:tcBorders>
              <w:bottom w:val="single" w:sz="4" w:space="0" w:color="auto"/>
            </w:tcBorders>
            <w:shd w:val="clear" w:color="auto" w:fill="D9D9D9"/>
          </w:tcPr>
          <w:p w14:paraId="689E0D7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1278728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w:t>
            </w:r>
          </w:p>
        </w:tc>
        <w:tc>
          <w:tcPr>
            <w:tcW w:w="2381" w:type="dxa"/>
            <w:shd w:val="clear" w:color="auto" w:fill="D9D9D9"/>
          </w:tcPr>
          <w:p w14:paraId="31CE005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13A1F741" w14:textId="77777777" w:rsidTr="000729CF">
        <w:trPr>
          <w:trHeight w:val="20"/>
        </w:trPr>
        <w:tc>
          <w:tcPr>
            <w:tcW w:w="3681" w:type="dxa"/>
            <w:shd w:val="clear" w:color="auto" w:fill="E7E6E6"/>
          </w:tcPr>
          <w:p w14:paraId="6AB064F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Head of Communities, Equality, and Third Sector (CETS) Service:</w:t>
            </w:r>
          </w:p>
        </w:tc>
        <w:tc>
          <w:tcPr>
            <w:tcW w:w="4394" w:type="dxa"/>
          </w:tcPr>
          <w:p w14:paraId="0C1F1F8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Emma McDermott</w:t>
            </w:r>
          </w:p>
        </w:tc>
        <w:tc>
          <w:tcPr>
            <w:tcW w:w="2381" w:type="dxa"/>
          </w:tcPr>
          <w:p w14:paraId="2109E4F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26-01-24</w:t>
            </w:r>
          </w:p>
        </w:tc>
      </w:tr>
    </w:tbl>
    <w:p w14:paraId="47974770" w14:textId="77777777" w:rsidR="000729CF" w:rsidRPr="000729CF" w:rsidRDefault="000729CF" w:rsidP="000729CF">
      <w:pPr>
        <w:rPr>
          <w:rFonts w:ascii="Arial" w:eastAsia="Calibri" w:hAnsi="Arial" w:cs="Arial"/>
          <w:sz w:val="22"/>
          <w:szCs w:val="22"/>
          <w:lang w:val="en-GB"/>
        </w:rPr>
      </w:pPr>
    </w:p>
    <w:p w14:paraId="119C70D4" w14:textId="77777777" w:rsidR="000729CF" w:rsidRPr="000729CF" w:rsidRDefault="000729CF" w:rsidP="000729CF">
      <w:pPr>
        <w:spacing w:after="160" w:line="259" w:lineRule="auto"/>
        <w:rPr>
          <w:rFonts w:ascii="Arial" w:eastAsia="Calibri" w:hAnsi="Arial" w:cs="Arial"/>
          <w:b/>
          <w:bCs/>
          <w:sz w:val="24"/>
          <w:szCs w:val="24"/>
          <w:lang w:val="en-GB"/>
        </w:rPr>
      </w:pPr>
    </w:p>
    <w:p w14:paraId="39A12006" w14:textId="77777777" w:rsidR="000729CF" w:rsidRPr="000729CF" w:rsidRDefault="000729CF" w:rsidP="000729CF">
      <w:pPr>
        <w:keepNext/>
        <w:keepLines/>
        <w:spacing w:after="160" w:line="259" w:lineRule="auto"/>
        <w:outlineLvl w:val="1"/>
        <w:rPr>
          <w:rFonts w:ascii="Arial" w:eastAsia="Calibri" w:hAnsi="Arial" w:cs="Arial"/>
          <w:sz w:val="24"/>
          <w:szCs w:val="24"/>
          <w:lang w:val="en-GB"/>
        </w:rPr>
      </w:pPr>
    </w:p>
    <w:p w14:paraId="75566A0E" w14:textId="77777777" w:rsidR="000729CF" w:rsidRPr="000729CF" w:rsidRDefault="000729CF" w:rsidP="000729CF">
      <w:pPr>
        <w:spacing w:after="160" w:line="259" w:lineRule="auto"/>
        <w:rPr>
          <w:rFonts w:ascii="Arial" w:eastAsia="Calibri" w:hAnsi="Arial" w:cs="Arial"/>
          <w:sz w:val="24"/>
          <w:szCs w:val="24"/>
          <w:lang w:val="en-GB"/>
        </w:rPr>
      </w:pPr>
    </w:p>
    <w:p w14:paraId="0F2FA029"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br w:type="page"/>
      </w:r>
    </w:p>
    <w:p w14:paraId="31200F26" w14:textId="77777777" w:rsidR="000729CF" w:rsidRPr="000729CF" w:rsidRDefault="000729CF" w:rsidP="000729CF">
      <w:pPr>
        <w:keepNext/>
        <w:keepLines/>
        <w:spacing w:after="160" w:line="259" w:lineRule="auto"/>
        <w:outlineLvl w:val="0"/>
        <w:rPr>
          <w:rFonts w:ascii="Arial" w:hAnsi="Arial" w:cs="Arial"/>
          <w:b/>
          <w:bCs/>
          <w:color w:val="2F5496"/>
          <w:sz w:val="28"/>
          <w:szCs w:val="28"/>
          <w:lang w:val="en-GB"/>
        </w:rPr>
      </w:pPr>
      <w:r w:rsidRPr="000729CF">
        <w:rPr>
          <w:rFonts w:ascii="Arial" w:hAnsi="Arial" w:cs="Arial"/>
          <w:b/>
          <w:bCs/>
          <w:color w:val="2F5496"/>
          <w:sz w:val="28"/>
          <w:szCs w:val="28"/>
          <w:lang w:val="en-GB"/>
        </w:rPr>
        <w:t>Budget Equality Impact Assessment (EIA) 2024/25 – Service Users</w:t>
      </w:r>
    </w:p>
    <w:p w14:paraId="35F1FEDF" w14:textId="77777777" w:rsidR="000729CF" w:rsidRPr="000729CF" w:rsidRDefault="000729CF" w:rsidP="000729CF">
      <w:pPr>
        <w:spacing w:after="160" w:line="259" w:lineRule="auto"/>
        <w:rPr>
          <w:rFonts w:ascii="Arial" w:eastAsia="Calibri" w:hAnsi="Arial" w:cs="Arial"/>
          <w:sz w:val="24"/>
          <w:szCs w:val="24"/>
          <w:lang w:val="en-GB"/>
        </w:rPr>
      </w:pPr>
    </w:p>
    <w:p w14:paraId="1FCB713A" w14:textId="77777777" w:rsidR="000729CF" w:rsidRPr="000729CF" w:rsidRDefault="000729CF" w:rsidP="000729CF">
      <w:pPr>
        <w:keepNext/>
        <w:keepLines/>
        <w:spacing w:after="160" w:line="259" w:lineRule="auto"/>
        <w:ind w:left="720" w:hanging="360"/>
        <w:outlineLvl w:val="1"/>
        <w:rPr>
          <w:rFonts w:ascii="Arial" w:hAnsi="Arial" w:cs="Arial"/>
          <w:color w:val="2F5496"/>
          <w:sz w:val="24"/>
          <w:szCs w:val="24"/>
          <w:lang w:val="en-GB"/>
        </w:rPr>
      </w:pPr>
      <w:r w:rsidRPr="000729CF">
        <w:rPr>
          <w:rFonts w:ascii="Arial" w:hAnsi="Arial" w:cs="Arial"/>
          <w:color w:val="2F5496"/>
          <w:sz w:val="24"/>
          <w:szCs w:val="24"/>
          <w:lang w:val="en-GB"/>
        </w:rPr>
        <w:t xml:space="preserve">Budget Proposal </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6492"/>
      </w:tblGrid>
      <w:tr w:rsidR="000729CF" w:rsidRPr="000729CF" w14:paraId="3B5C1C83"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5AC38B18"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Title of budget saving being assessed:</w:t>
            </w:r>
          </w:p>
        </w:tc>
        <w:tc>
          <w:tcPr>
            <w:tcW w:w="6492" w:type="dxa"/>
            <w:shd w:val="clear" w:color="auto" w:fill="auto"/>
          </w:tcPr>
          <w:p w14:paraId="1ABC0D6F" w14:textId="77777777" w:rsidR="000729CF" w:rsidRPr="000729CF" w:rsidRDefault="000729CF" w:rsidP="000729CF">
            <w:pPr>
              <w:spacing w:after="12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 xml:space="preserve">Fees and Charges </w:t>
            </w:r>
          </w:p>
        </w:tc>
      </w:tr>
      <w:tr w:rsidR="000729CF" w:rsidRPr="000729CF" w14:paraId="150E02B7"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57BEA87A"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Name and title of officer responsible for this EIA: </w:t>
            </w:r>
          </w:p>
        </w:tc>
        <w:tc>
          <w:tcPr>
            <w:tcW w:w="6492" w:type="dxa"/>
            <w:shd w:val="clear" w:color="auto" w:fill="auto"/>
          </w:tcPr>
          <w:p w14:paraId="485236D2"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729CF">
              <w:rPr>
                <w:rFonts w:ascii="Arial" w:hAnsi="Arial" w:cs="Arial"/>
                <w:sz w:val="24"/>
                <w:szCs w:val="24"/>
              </w:rPr>
              <w:t>Jo Player Head of Safer Communities</w:t>
            </w:r>
          </w:p>
        </w:tc>
      </w:tr>
      <w:tr w:rsidR="000729CF" w:rsidRPr="000729CF" w14:paraId="4C2D6688" w14:textId="77777777" w:rsidTr="000729CF">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558AD396"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Directorate and Service Name: </w:t>
            </w:r>
          </w:p>
        </w:tc>
        <w:tc>
          <w:tcPr>
            <w:tcW w:w="6492" w:type="dxa"/>
            <w:shd w:val="clear" w:color="auto" w:fill="auto"/>
          </w:tcPr>
          <w:p w14:paraId="49E408AB" w14:textId="77777777" w:rsidR="000729CF" w:rsidRPr="000729CF" w:rsidRDefault="000729CF" w:rsidP="000729CF">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Housing, Neighbourhoods and Communities,  Safer Communities</w:t>
            </w:r>
          </w:p>
        </w:tc>
      </w:tr>
      <w:tr w:rsidR="000729CF" w:rsidRPr="000729CF" w14:paraId="568971C6"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04C34427"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Budget proposal no.</w:t>
            </w:r>
          </w:p>
        </w:tc>
        <w:tc>
          <w:tcPr>
            <w:tcW w:w="6492" w:type="dxa"/>
            <w:shd w:val="clear" w:color="auto" w:fill="auto"/>
          </w:tcPr>
          <w:p w14:paraId="521A505A"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729CF">
              <w:rPr>
                <w:rFonts w:ascii="Arial" w:hAnsi="Arial" w:cs="Arial"/>
                <w:sz w:val="24"/>
                <w:szCs w:val="24"/>
              </w:rPr>
              <w:t>25</w:t>
            </w:r>
          </w:p>
        </w:tc>
      </w:tr>
    </w:tbl>
    <w:p w14:paraId="71DE940A" w14:textId="77777777" w:rsidR="000729CF" w:rsidRPr="000729CF" w:rsidRDefault="000729CF" w:rsidP="000729CF">
      <w:pPr>
        <w:spacing w:after="160" w:line="259" w:lineRule="auto"/>
        <w:rPr>
          <w:rFonts w:ascii="Arial" w:eastAsia="Calibri" w:hAnsi="Arial" w:cs="Arial"/>
          <w:sz w:val="24"/>
          <w:szCs w:val="24"/>
          <w:lang w:val="en-GB"/>
        </w:rPr>
      </w:pPr>
    </w:p>
    <w:p w14:paraId="02E23F0B"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Briefly describe the budget saving proposal: (use the wording in the budget spreadsheet and more detail if needed)</w:t>
      </w:r>
    </w:p>
    <w:tbl>
      <w:tblPr>
        <w:tblStyle w:val="TableGrid"/>
        <w:tblW w:w="0" w:type="auto"/>
        <w:tblLook w:val="04A0" w:firstRow="1" w:lastRow="0" w:firstColumn="1" w:lastColumn="0" w:noHBand="0" w:noVBand="1"/>
      </w:tblPr>
      <w:tblGrid>
        <w:gridCol w:w="10456"/>
      </w:tblGrid>
      <w:tr w:rsidR="000729CF" w:rsidRPr="000729CF" w14:paraId="6DB72B15" w14:textId="77777777" w:rsidTr="00BC26AB">
        <w:trPr>
          <w:trHeight w:val="851"/>
        </w:trPr>
        <w:tc>
          <w:tcPr>
            <w:tcW w:w="10456" w:type="dxa"/>
            <w:tcBorders>
              <w:bottom w:val="single" w:sz="4" w:space="0" w:color="auto"/>
            </w:tcBorders>
          </w:tcPr>
          <w:p w14:paraId="3C9942C4" w14:textId="77777777" w:rsidR="000729CF" w:rsidRPr="000729CF" w:rsidRDefault="000729CF" w:rsidP="000729CF">
            <w:pPr>
              <w:spacing w:after="120"/>
              <w:rPr>
                <w:rFonts w:ascii="Arial" w:eastAsia="Calibri" w:hAnsi="Arial" w:cs="Arial"/>
                <w:i/>
                <w:iCs/>
                <w:sz w:val="24"/>
                <w:szCs w:val="24"/>
              </w:rPr>
            </w:pPr>
            <w:r w:rsidRPr="000729CF">
              <w:rPr>
                <w:rFonts w:ascii="Calibri" w:eastAsia="Times New Roman" w:hAnsi="Calibri"/>
                <w:sz w:val="24"/>
                <w:szCs w:val="24"/>
              </w:rPr>
              <w:t>Increase regulatory and licensing fees and charges where it is statutorily allowable. It is estimated that these increases will generate a saving of £20,000.</w:t>
            </w:r>
            <w:r w:rsidRPr="000729CF">
              <w:rPr>
                <w:rFonts w:ascii="Arial" w:eastAsia="Calibri" w:hAnsi="Arial" w:cs="Arial"/>
                <w:i/>
                <w:iCs/>
                <w:sz w:val="24"/>
                <w:szCs w:val="24"/>
              </w:rPr>
              <w:t xml:space="preserve"> </w:t>
            </w:r>
          </w:p>
          <w:p w14:paraId="5EA334C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Some licensing fees and charges have already been agreed by licensing committee October 2023.</w:t>
            </w:r>
          </w:p>
          <w:p w14:paraId="362C32B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Taxi fees increases between 6-323%</w:t>
            </w:r>
          </w:p>
          <w:p w14:paraId="58A1BB4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Animal licensing fees increased by an average of 5%</w:t>
            </w:r>
          </w:p>
          <w:p w14:paraId="4F9B03E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Sex Entertainment etc fees increased by an average of 5%</w:t>
            </w:r>
          </w:p>
          <w:p w14:paraId="08F1EF6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Gambling fees increased to the statutory maximum</w:t>
            </w:r>
          </w:p>
          <w:p w14:paraId="447A935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Street Trading increased by an average of 5%</w:t>
            </w:r>
          </w:p>
          <w:p w14:paraId="2D72742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Body Piercing increased between 43-117%</w:t>
            </w:r>
          </w:p>
          <w:p w14:paraId="1ADEBAF6" w14:textId="77777777" w:rsidR="000729CF" w:rsidRPr="000729CF" w:rsidRDefault="000729CF" w:rsidP="000729CF">
            <w:pPr>
              <w:spacing w:after="120"/>
              <w:rPr>
                <w:rFonts w:ascii="Arial" w:eastAsia="Calibri" w:hAnsi="Arial" w:cs="Arial"/>
                <w:sz w:val="24"/>
                <w:szCs w:val="24"/>
              </w:rPr>
            </w:pPr>
          </w:p>
        </w:tc>
      </w:tr>
      <w:tr w:rsidR="000729CF" w:rsidRPr="000729CF" w14:paraId="50CC201F" w14:textId="77777777" w:rsidTr="00BC26AB">
        <w:trPr>
          <w:trHeight w:val="851"/>
        </w:trPr>
        <w:tc>
          <w:tcPr>
            <w:tcW w:w="10456" w:type="dxa"/>
            <w:tcBorders>
              <w:left w:val="nil"/>
              <w:right w:val="nil"/>
            </w:tcBorders>
          </w:tcPr>
          <w:p w14:paraId="26FCBBEB" w14:textId="77777777" w:rsidR="000729CF" w:rsidRPr="000729CF" w:rsidRDefault="000729CF" w:rsidP="000729CF">
            <w:pPr>
              <w:spacing w:after="120"/>
              <w:rPr>
                <w:rFonts w:ascii="Arial" w:eastAsia="Calibri" w:hAnsi="Arial" w:cs="Arial"/>
                <w:sz w:val="24"/>
                <w:szCs w:val="24"/>
              </w:rPr>
            </w:pPr>
          </w:p>
          <w:p w14:paraId="48C1E07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Summarise the most significant impacts identified by this assessment including which groups will be disproportionally negatively affected drawing out intersectional impacts as applicable:</w:t>
            </w:r>
          </w:p>
        </w:tc>
      </w:tr>
      <w:tr w:rsidR="000729CF" w:rsidRPr="000729CF" w14:paraId="103E96AF" w14:textId="77777777" w:rsidTr="00BC26AB">
        <w:trPr>
          <w:trHeight w:val="851"/>
        </w:trPr>
        <w:tc>
          <w:tcPr>
            <w:tcW w:w="10456" w:type="dxa"/>
          </w:tcPr>
          <w:p w14:paraId="41F933A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sz w:val="24"/>
                <w:szCs w:val="24"/>
              </w:rPr>
              <w:t>No significant impacts because this is a fee charging service to businesses.</w:t>
            </w:r>
          </w:p>
        </w:tc>
      </w:tr>
    </w:tbl>
    <w:p w14:paraId="4C278054" w14:textId="77777777" w:rsidR="000729CF" w:rsidRPr="000729CF" w:rsidRDefault="000729CF" w:rsidP="000729CF">
      <w:pPr>
        <w:rPr>
          <w:rFonts w:ascii="Arial" w:eastAsia="Calibri" w:hAnsi="Arial" w:cs="Arial"/>
          <w:sz w:val="24"/>
          <w:szCs w:val="24"/>
          <w:lang w:val="en-GB"/>
        </w:rPr>
      </w:pPr>
    </w:p>
    <w:p w14:paraId="2272FEAB" w14:textId="77777777" w:rsidR="000729CF" w:rsidRPr="000729CF" w:rsidRDefault="000729CF" w:rsidP="000729CF">
      <w:pPr>
        <w:spacing w:after="160" w:line="259" w:lineRule="auto"/>
        <w:rPr>
          <w:rFonts w:ascii="Arial" w:eastAsia="Calibri" w:hAnsi="Arial" w:cs="Arial"/>
          <w:sz w:val="24"/>
          <w:szCs w:val="24"/>
          <w:lang w:val="en-GB"/>
        </w:rPr>
      </w:pPr>
    </w:p>
    <w:p w14:paraId="30A0AC08"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Consultation, engagement and supporting EIAs</w:t>
      </w:r>
    </w:p>
    <w:p w14:paraId="1EF47471"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consultations or engagement activities are being used to inform this assessment? </w:t>
      </w:r>
    </w:p>
    <w:p w14:paraId="2323DC1C"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If consultation is planned or in process – state this and state when it will done/completed even if indicative. If no consultation completed or planned, state this, giving an explanation. </w:t>
      </w:r>
    </w:p>
    <w:tbl>
      <w:tblPr>
        <w:tblStyle w:val="TableGrid"/>
        <w:tblW w:w="0" w:type="auto"/>
        <w:tblLook w:val="04A0" w:firstRow="1" w:lastRow="0" w:firstColumn="1" w:lastColumn="0" w:noHBand="0" w:noVBand="1"/>
      </w:tblPr>
      <w:tblGrid>
        <w:gridCol w:w="10456"/>
      </w:tblGrid>
      <w:tr w:rsidR="000729CF" w:rsidRPr="000729CF" w14:paraId="2418CEA3" w14:textId="77777777" w:rsidTr="00BC26AB">
        <w:trPr>
          <w:trHeight w:val="871"/>
        </w:trPr>
        <w:tc>
          <w:tcPr>
            <w:tcW w:w="10456" w:type="dxa"/>
          </w:tcPr>
          <w:p w14:paraId="31BFD57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None</w:t>
            </w:r>
          </w:p>
          <w:p w14:paraId="276D3862" w14:textId="77777777" w:rsidR="000729CF" w:rsidRPr="000729CF" w:rsidRDefault="000729CF" w:rsidP="000729CF">
            <w:pPr>
              <w:spacing w:after="120"/>
              <w:rPr>
                <w:rFonts w:ascii="Arial" w:eastAsia="Calibri" w:hAnsi="Arial" w:cs="Arial"/>
                <w:sz w:val="24"/>
                <w:szCs w:val="24"/>
              </w:rPr>
            </w:pPr>
          </w:p>
        </w:tc>
      </w:tr>
    </w:tbl>
    <w:p w14:paraId="66BBFE2E" w14:textId="77777777" w:rsidR="000729CF" w:rsidRPr="000729CF" w:rsidRDefault="000729CF" w:rsidP="000729CF">
      <w:pPr>
        <w:spacing w:after="160" w:line="259" w:lineRule="auto"/>
        <w:rPr>
          <w:rFonts w:ascii="Arial" w:eastAsia="Calibri" w:hAnsi="Arial" w:cs="Arial"/>
          <w:sz w:val="24"/>
          <w:szCs w:val="24"/>
          <w:lang w:val="en-GB"/>
        </w:rPr>
      </w:pPr>
    </w:p>
    <w:p w14:paraId="5513290A"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other budget or service EIAs can assist/have been used to inform this assessment?</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0729CF" w:rsidRPr="000729CF" w14:paraId="7D7E0D19"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shd w:val="clear" w:color="auto" w:fill="FFFFFF"/>
          </w:tcPr>
          <w:p w14:paraId="5B1A47E9"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None applicable</w:t>
            </w:r>
          </w:p>
          <w:p w14:paraId="1A45A956" w14:textId="77777777" w:rsidR="000729CF" w:rsidRPr="000729CF" w:rsidRDefault="000729CF" w:rsidP="000729CF">
            <w:pPr>
              <w:spacing w:after="120"/>
              <w:rPr>
                <w:rFonts w:ascii="Arial" w:hAnsi="Arial" w:cs="Arial"/>
                <w:sz w:val="24"/>
                <w:szCs w:val="24"/>
              </w:rPr>
            </w:pPr>
          </w:p>
        </w:tc>
      </w:tr>
    </w:tbl>
    <w:p w14:paraId="67C97583" w14:textId="77777777" w:rsidR="000729CF" w:rsidRPr="000729CF" w:rsidRDefault="000729CF" w:rsidP="000729CF">
      <w:pPr>
        <w:spacing w:after="160" w:line="259" w:lineRule="auto"/>
        <w:rPr>
          <w:rFonts w:ascii="Arial" w:eastAsia="Calibri" w:hAnsi="Arial" w:cs="Arial"/>
          <w:sz w:val="24"/>
          <w:szCs w:val="24"/>
          <w:lang w:val="en-GB"/>
        </w:rPr>
      </w:pPr>
    </w:p>
    <w:p w14:paraId="36ADFF21"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Current data and impact monitoring</w:t>
      </w:r>
    </w:p>
    <w:p w14:paraId="4C2154FA"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Do you currently collect and analyse the following data to enable monitoring of the impact of this proposal? </w:t>
      </w:r>
    </w:p>
    <w:p w14:paraId="35C5D94E"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Consider all possible intersections (Delete and State Yes, No, Not Applicable)</w:t>
      </w:r>
    </w:p>
    <w:tbl>
      <w:tblPr>
        <w:tblStyle w:val="TableGrid"/>
        <w:tblW w:w="10485" w:type="dxa"/>
        <w:tblLook w:val="04A0" w:firstRow="1" w:lastRow="0" w:firstColumn="1" w:lastColumn="0" w:noHBand="0" w:noVBand="1"/>
      </w:tblPr>
      <w:tblGrid>
        <w:gridCol w:w="6658"/>
        <w:gridCol w:w="3827"/>
      </w:tblGrid>
      <w:tr w:rsidR="000729CF" w:rsidRPr="000729CF" w14:paraId="70F4D779" w14:textId="77777777" w:rsidTr="000729CF">
        <w:trPr>
          <w:trHeight w:val="310"/>
        </w:trPr>
        <w:tc>
          <w:tcPr>
            <w:tcW w:w="6658" w:type="dxa"/>
            <w:shd w:val="clear" w:color="auto" w:fill="E7E6E6"/>
          </w:tcPr>
          <w:p w14:paraId="022E610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Age</w:t>
            </w:r>
          </w:p>
        </w:tc>
        <w:tc>
          <w:tcPr>
            <w:tcW w:w="3827" w:type="dxa"/>
          </w:tcPr>
          <w:p w14:paraId="484DEFC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5E32A2D5" w14:textId="77777777" w:rsidTr="000729CF">
        <w:trPr>
          <w:trHeight w:val="20"/>
        </w:trPr>
        <w:tc>
          <w:tcPr>
            <w:tcW w:w="6658" w:type="dxa"/>
            <w:shd w:val="clear" w:color="auto" w:fill="E7E6E6"/>
          </w:tcPr>
          <w:p w14:paraId="7BFB2B8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Disability and inclusive adjustments, coverage under equality act and not</w:t>
            </w:r>
          </w:p>
        </w:tc>
        <w:tc>
          <w:tcPr>
            <w:tcW w:w="3827" w:type="dxa"/>
          </w:tcPr>
          <w:p w14:paraId="6DC29DF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r>
      <w:tr w:rsidR="000729CF" w:rsidRPr="000729CF" w14:paraId="1C6EFF0B" w14:textId="77777777" w:rsidTr="000729CF">
        <w:trPr>
          <w:trHeight w:val="20"/>
        </w:trPr>
        <w:tc>
          <w:tcPr>
            <w:tcW w:w="6658" w:type="dxa"/>
            <w:shd w:val="clear" w:color="auto" w:fill="E7E6E6"/>
          </w:tcPr>
          <w:p w14:paraId="579DB5B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Ethnicity, ‘Race’, ethnic heritage (including Gypsy, Roma, Travellers)</w:t>
            </w:r>
          </w:p>
        </w:tc>
        <w:tc>
          <w:tcPr>
            <w:tcW w:w="3827" w:type="dxa"/>
          </w:tcPr>
          <w:p w14:paraId="5850523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031BE3C9" w14:textId="77777777" w:rsidTr="000729CF">
        <w:trPr>
          <w:trHeight w:val="20"/>
        </w:trPr>
        <w:tc>
          <w:tcPr>
            <w:tcW w:w="6658" w:type="dxa"/>
            <w:shd w:val="clear" w:color="auto" w:fill="E7E6E6"/>
          </w:tcPr>
          <w:p w14:paraId="693B148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Religion, Belief, Spirituality, Faith, or Atheism</w:t>
            </w:r>
          </w:p>
        </w:tc>
        <w:tc>
          <w:tcPr>
            <w:tcW w:w="3827" w:type="dxa"/>
          </w:tcPr>
          <w:p w14:paraId="1A8F361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35D888FF" w14:textId="77777777" w:rsidTr="000729CF">
        <w:trPr>
          <w:trHeight w:val="20"/>
        </w:trPr>
        <w:tc>
          <w:tcPr>
            <w:tcW w:w="6658" w:type="dxa"/>
            <w:shd w:val="clear" w:color="auto" w:fill="E7E6E6"/>
          </w:tcPr>
          <w:p w14:paraId="5FFE430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Identity and Sex (including non-binary and Intersex people)</w:t>
            </w:r>
          </w:p>
        </w:tc>
        <w:tc>
          <w:tcPr>
            <w:tcW w:w="3827" w:type="dxa"/>
          </w:tcPr>
          <w:p w14:paraId="385F29E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4F3AF7E0" w14:textId="77777777" w:rsidTr="000729CF">
        <w:trPr>
          <w:trHeight w:val="20"/>
        </w:trPr>
        <w:tc>
          <w:tcPr>
            <w:tcW w:w="6658" w:type="dxa"/>
            <w:shd w:val="clear" w:color="auto" w:fill="E7E6E6"/>
          </w:tcPr>
          <w:p w14:paraId="4F0C69F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3827" w:type="dxa"/>
          </w:tcPr>
          <w:p w14:paraId="2A490B1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33CE621A" w14:textId="77777777" w:rsidTr="000729CF">
        <w:trPr>
          <w:trHeight w:val="20"/>
        </w:trPr>
        <w:tc>
          <w:tcPr>
            <w:tcW w:w="6658" w:type="dxa"/>
            <w:shd w:val="clear" w:color="auto" w:fill="E7E6E6"/>
          </w:tcPr>
          <w:p w14:paraId="24441EA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3827" w:type="dxa"/>
          </w:tcPr>
          <w:p w14:paraId="64588AB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5C8D545F" w14:textId="77777777" w:rsidTr="000729CF">
        <w:trPr>
          <w:trHeight w:val="20"/>
        </w:trPr>
        <w:tc>
          <w:tcPr>
            <w:tcW w:w="6658" w:type="dxa"/>
            <w:shd w:val="clear" w:color="auto" w:fill="E7E6E6"/>
          </w:tcPr>
          <w:p w14:paraId="0F964E3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3827" w:type="dxa"/>
          </w:tcPr>
          <w:p w14:paraId="1442AA5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129D8B70" w14:textId="77777777" w:rsidTr="000729CF">
        <w:trPr>
          <w:trHeight w:val="20"/>
        </w:trPr>
        <w:tc>
          <w:tcPr>
            <w:tcW w:w="6658" w:type="dxa"/>
            <w:shd w:val="clear" w:color="auto" w:fill="E7E6E6"/>
          </w:tcPr>
          <w:p w14:paraId="34EAA40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Pregnant people, Maternity, Paternity, Adoption, Menopause, (In)fertility (across the gender spectrum)</w:t>
            </w:r>
          </w:p>
        </w:tc>
        <w:tc>
          <w:tcPr>
            <w:tcW w:w="3827" w:type="dxa"/>
          </w:tcPr>
          <w:p w14:paraId="28A30FB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629AA941" w14:textId="77777777" w:rsidTr="000729CF">
        <w:trPr>
          <w:trHeight w:val="20"/>
        </w:trPr>
        <w:tc>
          <w:tcPr>
            <w:tcW w:w="6658" w:type="dxa"/>
            <w:shd w:val="clear" w:color="auto" w:fill="E7E6E6"/>
          </w:tcPr>
          <w:p w14:paraId="40FAF98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3827" w:type="dxa"/>
          </w:tcPr>
          <w:p w14:paraId="77430EC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6C31FCD6" w14:textId="77777777" w:rsidTr="000729CF">
        <w:trPr>
          <w:trHeight w:val="20"/>
        </w:trPr>
        <w:tc>
          <w:tcPr>
            <w:tcW w:w="6658" w:type="dxa"/>
            <w:shd w:val="clear" w:color="auto" w:fill="E7E6E6"/>
          </w:tcPr>
          <w:p w14:paraId="625C0F08" w14:textId="77777777" w:rsidR="000729CF" w:rsidRPr="000729CF" w:rsidRDefault="000729CF" w:rsidP="000729CF">
            <w:pPr>
              <w:spacing w:after="120"/>
              <w:rPr>
                <w:rFonts w:ascii="Arial" w:hAnsi="Arial" w:cs="Arial"/>
                <w:b/>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p>
        </w:tc>
        <w:tc>
          <w:tcPr>
            <w:tcW w:w="3827" w:type="dxa"/>
          </w:tcPr>
          <w:p w14:paraId="00B99FB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298D5947" w14:textId="77777777" w:rsidTr="000729CF">
        <w:trPr>
          <w:trHeight w:val="20"/>
        </w:trPr>
        <w:tc>
          <w:tcPr>
            <w:tcW w:w="6658" w:type="dxa"/>
            <w:shd w:val="clear" w:color="auto" w:fill="E7E6E6"/>
          </w:tcPr>
          <w:p w14:paraId="54BD7C27" w14:textId="77777777" w:rsidR="000729CF" w:rsidRPr="000729CF" w:rsidRDefault="000729CF" w:rsidP="000729CF">
            <w:pPr>
              <w:spacing w:after="120"/>
              <w:rPr>
                <w:rFonts w:ascii="Arial" w:hAnsi="Arial" w:cs="Arial"/>
                <w:b/>
                <w:sz w:val="24"/>
                <w:szCs w:val="24"/>
              </w:rPr>
            </w:pPr>
            <w:r w:rsidRPr="000729CF">
              <w:rPr>
                <w:rFonts w:ascii="Arial" w:eastAsia="Calibri" w:hAnsi="Arial" w:cs="Arial"/>
                <w:b/>
                <w:bCs/>
                <w:color w:val="000000"/>
                <w:sz w:val="24"/>
                <w:szCs w:val="24"/>
              </w:rPr>
              <w:t>Carers</w:t>
            </w:r>
          </w:p>
        </w:tc>
        <w:tc>
          <w:tcPr>
            <w:tcW w:w="3827" w:type="dxa"/>
          </w:tcPr>
          <w:p w14:paraId="0450C47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4DFA9610" w14:textId="77777777" w:rsidTr="000729CF">
        <w:trPr>
          <w:trHeight w:val="20"/>
        </w:trPr>
        <w:tc>
          <w:tcPr>
            <w:tcW w:w="6658" w:type="dxa"/>
            <w:shd w:val="clear" w:color="auto" w:fill="E7E6E6"/>
          </w:tcPr>
          <w:p w14:paraId="2EA6C90B"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Looked after children, Care Leavers, Care and fostering experienced people</w:t>
            </w:r>
          </w:p>
        </w:tc>
        <w:tc>
          <w:tcPr>
            <w:tcW w:w="3827" w:type="dxa"/>
          </w:tcPr>
          <w:p w14:paraId="4F7B731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297678F5" w14:textId="77777777" w:rsidTr="000729CF">
        <w:trPr>
          <w:trHeight w:val="20"/>
        </w:trPr>
        <w:tc>
          <w:tcPr>
            <w:tcW w:w="6658" w:type="dxa"/>
            <w:shd w:val="clear" w:color="auto" w:fill="E7E6E6"/>
          </w:tcPr>
          <w:p w14:paraId="215BCED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 and people in vulnerable situations (All aspects and intersections)</w:t>
            </w:r>
          </w:p>
        </w:tc>
        <w:tc>
          <w:tcPr>
            <w:tcW w:w="3827" w:type="dxa"/>
          </w:tcPr>
          <w:p w14:paraId="5A19C3B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308D0630" w14:textId="77777777" w:rsidTr="000729CF">
        <w:trPr>
          <w:trHeight w:val="20"/>
        </w:trPr>
        <w:tc>
          <w:tcPr>
            <w:tcW w:w="6658" w:type="dxa"/>
            <w:shd w:val="clear" w:color="auto" w:fill="E7E6E6"/>
          </w:tcPr>
          <w:p w14:paraId="410B264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Socio-economic Disadvantage</w:t>
            </w:r>
          </w:p>
        </w:tc>
        <w:tc>
          <w:tcPr>
            <w:tcW w:w="3827" w:type="dxa"/>
          </w:tcPr>
          <w:p w14:paraId="63C8FC8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43EA8228" w14:textId="77777777" w:rsidTr="000729CF">
        <w:trPr>
          <w:trHeight w:val="20"/>
        </w:trPr>
        <w:tc>
          <w:tcPr>
            <w:tcW w:w="6658" w:type="dxa"/>
            <w:shd w:val="clear" w:color="auto" w:fill="E7E6E6"/>
          </w:tcPr>
          <w:p w14:paraId="2D3320E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Homelessness and associated risk and vulnerability</w:t>
            </w:r>
          </w:p>
        </w:tc>
        <w:tc>
          <w:tcPr>
            <w:tcW w:w="3827" w:type="dxa"/>
          </w:tcPr>
          <w:p w14:paraId="1D82F48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5F472F24" w14:textId="77777777" w:rsidTr="000729CF">
        <w:trPr>
          <w:trHeight w:val="20"/>
        </w:trPr>
        <w:tc>
          <w:tcPr>
            <w:tcW w:w="6658" w:type="dxa"/>
            <w:shd w:val="clear" w:color="auto" w:fill="E7E6E6"/>
          </w:tcPr>
          <w:p w14:paraId="1690001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3827" w:type="dxa"/>
          </w:tcPr>
          <w:p w14:paraId="2D6037B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2854F5C9" w14:textId="77777777" w:rsidTr="000729CF">
        <w:trPr>
          <w:trHeight w:val="20"/>
        </w:trPr>
        <w:tc>
          <w:tcPr>
            <w:tcW w:w="6658" w:type="dxa"/>
            <w:shd w:val="clear" w:color="auto" w:fill="E7E6E6"/>
          </w:tcPr>
          <w:p w14:paraId="48E85DF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 (please specify here and add additional rows as needed)</w:t>
            </w:r>
          </w:p>
        </w:tc>
        <w:tc>
          <w:tcPr>
            <w:tcW w:w="3827" w:type="dxa"/>
          </w:tcPr>
          <w:p w14:paraId="156A413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 Not applicable</w:t>
            </w:r>
          </w:p>
        </w:tc>
      </w:tr>
    </w:tbl>
    <w:p w14:paraId="5E65DDD5" w14:textId="77777777" w:rsidR="000729CF" w:rsidRPr="000729CF" w:rsidRDefault="000729CF" w:rsidP="000729CF">
      <w:pPr>
        <w:rPr>
          <w:rFonts w:ascii="Arial" w:eastAsia="Calibri" w:hAnsi="Arial" w:cs="Arial"/>
          <w:sz w:val="24"/>
          <w:szCs w:val="24"/>
          <w:lang w:val="en-GB"/>
        </w:rPr>
      </w:pPr>
    </w:p>
    <w:p w14:paraId="04FC2EF7"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59A27380"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4835D110"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53A22B4D"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0F6416AC"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0DC674F7"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1181EF37"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40C2CF65"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0C9B3B4C"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3A3E91C6"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0D6B377E" w14:textId="77777777" w:rsidR="000729CF" w:rsidRPr="000729CF" w:rsidRDefault="000729CF" w:rsidP="000729CF">
      <w:pPr>
        <w:rPr>
          <w:rFonts w:ascii="Arial" w:eastAsia="Calibri" w:hAnsi="Arial" w:cs="Arial"/>
          <w:sz w:val="24"/>
          <w:szCs w:val="24"/>
          <w:lang w:val="en-GB"/>
        </w:rPr>
      </w:pPr>
    </w:p>
    <w:p w14:paraId="653C9917"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If you answered “NO” to any of the above, how will you gather this data to enable improved monitoring of impact for this proposal?</w:t>
      </w:r>
    </w:p>
    <w:tbl>
      <w:tblPr>
        <w:tblStyle w:val="TableGrid"/>
        <w:tblW w:w="0" w:type="auto"/>
        <w:tblLook w:val="04A0" w:firstRow="1" w:lastRow="0" w:firstColumn="1" w:lastColumn="0" w:noHBand="0" w:noVBand="1"/>
      </w:tblPr>
      <w:tblGrid>
        <w:gridCol w:w="10456"/>
      </w:tblGrid>
      <w:tr w:rsidR="000729CF" w:rsidRPr="000729CF" w14:paraId="3D15DE39" w14:textId="77777777" w:rsidTr="00BC26AB">
        <w:trPr>
          <w:trHeight w:val="757"/>
        </w:trPr>
        <w:tc>
          <w:tcPr>
            <w:tcW w:w="10456" w:type="dxa"/>
          </w:tcPr>
          <w:p w14:paraId="60C9E9A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Customer enquiries/complaints</w:t>
            </w:r>
          </w:p>
        </w:tc>
      </w:tr>
    </w:tbl>
    <w:p w14:paraId="0AFB04C8" w14:textId="77777777" w:rsidR="000729CF" w:rsidRPr="000729CF" w:rsidRDefault="000729CF" w:rsidP="000729CF">
      <w:pPr>
        <w:rPr>
          <w:rFonts w:ascii="Arial" w:eastAsia="Calibri" w:hAnsi="Arial" w:cs="Arial"/>
          <w:sz w:val="24"/>
          <w:szCs w:val="24"/>
          <w:lang w:val="en-GB"/>
        </w:rPr>
      </w:pPr>
    </w:p>
    <w:p w14:paraId="5AF3187D" w14:textId="77777777" w:rsidR="000729CF" w:rsidRPr="000729CF" w:rsidRDefault="000729CF" w:rsidP="000729CF">
      <w:pPr>
        <w:rPr>
          <w:rFonts w:ascii="Arial" w:eastAsia="Calibri" w:hAnsi="Arial" w:cs="Arial"/>
          <w:sz w:val="24"/>
          <w:szCs w:val="24"/>
          <w:lang w:val="en-GB"/>
        </w:rPr>
      </w:pPr>
    </w:p>
    <w:p w14:paraId="3AFF5737"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are the arrangements for monitoring, and reviewing the impact of this proposal?</w:t>
      </w:r>
    </w:p>
    <w:tbl>
      <w:tblPr>
        <w:tblStyle w:val="TableGrid"/>
        <w:tblW w:w="0" w:type="auto"/>
        <w:tblLook w:val="04A0" w:firstRow="1" w:lastRow="0" w:firstColumn="1" w:lastColumn="0" w:noHBand="0" w:noVBand="1"/>
      </w:tblPr>
      <w:tblGrid>
        <w:gridCol w:w="10456"/>
      </w:tblGrid>
      <w:tr w:rsidR="000729CF" w:rsidRPr="000729CF" w14:paraId="51A57795" w14:textId="77777777" w:rsidTr="00BC26AB">
        <w:trPr>
          <w:trHeight w:val="757"/>
        </w:trPr>
        <w:tc>
          <w:tcPr>
            <w:tcW w:w="10456" w:type="dxa"/>
          </w:tcPr>
          <w:p w14:paraId="70C1B0B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Budget monitoring regarding increase of income</w:t>
            </w:r>
          </w:p>
        </w:tc>
      </w:tr>
    </w:tbl>
    <w:p w14:paraId="53E968F8" w14:textId="77777777" w:rsidR="000729CF" w:rsidRPr="000729CF" w:rsidRDefault="000729CF" w:rsidP="000729CF">
      <w:pPr>
        <w:rPr>
          <w:rFonts w:ascii="Arial" w:eastAsia="Calibri" w:hAnsi="Arial" w:cs="Arial"/>
          <w:sz w:val="24"/>
          <w:szCs w:val="24"/>
          <w:lang w:val="en-GB"/>
        </w:rPr>
      </w:pPr>
    </w:p>
    <w:p w14:paraId="3C6CC3C4" w14:textId="77777777" w:rsidR="000729CF" w:rsidRPr="000729CF" w:rsidRDefault="000729CF" w:rsidP="000729CF">
      <w:pPr>
        <w:rPr>
          <w:rFonts w:ascii="Arial" w:eastAsia="Calibri" w:hAnsi="Arial" w:cs="Arial"/>
          <w:sz w:val="24"/>
          <w:szCs w:val="24"/>
          <w:lang w:val="en-GB"/>
        </w:rPr>
      </w:pPr>
    </w:p>
    <w:p w14:paraId="339F0F98"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Impacts</w:t>
      </w:r>
    </w:p>
    <w:p w14:paraId="78260871"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Briefly state source of data or data analysis being used to describe the </w:t>
      </w:r>
      <w:r w:rsidRPr="000729CF">
        <w:rPr>
          <w:rFonts w:ascii="Arial" w:eastAsia="Calibri" w:hAnsi="Arial" w:cs="Arial"/>
          <w:color w:val="000000"/>
          <w:sz w:val="24"/>
          <w:szCs w:val="24"/>
          <w:bdr w:val="none" w:sz="0" w:space="0" w:color="auto" w:frame="1"/>
          <w:lang w:val="en-GB"/>
        </w:rPr>
        <w:t xml:space="preserve">disproportionate negative impacts. </w:t>
      </w:r>
      <w:r w:rsidRPr="000729CF">
        <w:rPr>
          <w:rFonts w:ascii="Arial" w:eastAsia="Calibri" w:hAnsi="Arial" w:cs="Arial"/>
          <w:sz w:val="24"/>
          <w:szCs w:val="24"/>
          <w:lang w:val="en-GB"/>
        </w:rPr>
        <w:t xml:space="preserve">Preferably provide link to data/ analysis if open data source. </w:t>
      </w:r>
    </w:p>
    <w:tbl>
      <w:tblPr>
        <w:tblStyle w:val="TableGrid"/>
        <w:tblW w:w="10485" w:type="dxa"/>
        <w:tblLook w:val="04A0" w:firstRow="1" w:lastRow="0" w:firstColumn="1" w:lastColumn="0" w:noHBand="0" w:noVBand="1"/>
      </w:tblPr>
      <w:tblGrid>
        <w:gridCol w:w="2985"/>
        <w:gridCol w:w="2123"/>
        <w:gridCol w:w="5377"/>
      </w:tblGrid>
      <w:tr w:rsidR="000729CF" w:rsidRPr="000729CF" w14:paraId="23F6A75A" w14:textId="77777777" w:rsidTr="000729CF">
        <w:trPr>
          <w:trHeight w:val="20"/>
        </w:trPr>
        <w:tc>
          <w:tcPr>
            <w:tcW w:w="2985" w:type="dxa"/>
            <w:shd w:val="clear" w:color="auto" w:fill="E7E6E6"/>
          </w:tcPr>
          <w:p w14:paraId="661EC92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Assess impact for different population groups</w:t>
            </w:r>
          </w:p>
        </w:tc>
        <w:tc>
          <w:tcPr>
            <w:tcW w:w="2123" w:type="dxa"/>
            <w:shd w:val="clear" w:color="auto" w:fill="E7E6E6"/>
          </w:tcPr>
          <w:p w14:paraId="461842A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Is there a possible disproportionate negative impact? </w:t>
            </w:r>
          </w:p>
          <w:p w14:paraId="2BC2A856" w14:textId="77777777" w:rsidR="000729CF" w:rsidRPr="000729CF" w:rsidRDefault="000729CF" w:rsidP="000729CF">
            <w:pPr>
              <w:spacing w:after="120"/>
              <w:rPr>
                <w:rFonts w:ascii="Arial" w:eastAsia="Calibri" w:hAnsi="Arial" w:cs="Arial"/>
                <w:b/>
                <w:bCs/>
                <w:sz w:val="24"/>
                <w:szCs w:val="24"/>
              </w:rPr>
            </w:pPr>
          </w:p>
          <w:p w14:paraId="65C0BBA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b/>
                <w:bCs/>
                <w:sz w:val="24"/>
                <w:szCs w:val="24"/>
              </w:rPr>
              <w:t>State Yes or No</w:t>
            </w:r>
          </w:p>
        </w:tc>
        <w:tc>
          <w:tcPr>
            <w:tcW w:w="5377" w:type="dxa"/>
            <w:shd w:val="clear" w:color="auto" w:fill="E7E6E6"/>
          </w:tcPr>
          <w:p w14:paraId="2DEB589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Describe the potential negative impact, considering for differences within groups For example, different ethnic groups, and peoples intersecting identities e.g. disabled women of faith</w:t>
            </w:r>
          </w:p>
          <w:p w14:paraId="38B2AD2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OR</w:t>
            </w:r>
          </w:p>
          <w:p w14:paraId="39A9037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If no impact is identified, briefly state why.</w:t>
            </w:r>
          </w:p>
        </w:tc>
      </w:tr>
      <w:tr w:rsidR="000729CF" w:rsidRPr="000729CF" w14:paraId="20BB6408" w14:textId="77777777" w:rsidTr="000729CF">
        <w:trPr>
          <w:trHeight w:val="20"/>
        </w:trPr>
        <w:tc>
          <w:tcPr>
            <w:tcW w:w="2985" w:type="dxa"/>
            <w:shd w:val="clear" w:color="auto" w:fill="E7E6E6"/>
          </w:tcPr>
          <w:p w14:paraId="487EE73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Age </w:t>
            </w:r>
          </w:p>
          <w:p w14:paraId="4779C3D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sz w:val="24"/>
                <w:szCs w:val="24"/>
              </w:rPr>
              <w:t>including those under 16, young adults, multiple ethnicities, those with various intersections.</w:t>
            </w:r>
          </w:p>
        </w:tc>
        <w:tc>
          <w:tcPr>
            <w:tcW w:w="2123" w:type="dxa"/>
          </w:tcPr>
          <w:p w14:paraId="255AB6D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2424541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significant impacts this is a fee charging service to businesses</w:t>
            </w:r>
          </w:p>
        </w:tc>
      </w:tr>
      <w:tr w:rsidR="000729CF" w:rsidRPr="000729CF" w14:paraId="6778408B" w14:textId="77777777" w:rsidTr="000729CF">
        <w:trPr>
          <w:trHeight w:val="20"/>
        </w:trPr>
        <w:tc>
          <w:tcPr>
            <w:tcW w:w="2985" w:type="dxa"/>
            <w:shd w:val="clear" w:color="auto" w:fill="E7E6E6"/>
          </w:tcPr>
          <w:p w14:paraId="4FF940AD"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 xml:space="preserve">Disability </w:t>
            </w:r>
            <w:r w:rsidRPr="000729CF">
              <w:rPr>
                <w:rFonts w:ascii="Arial" w:eastAsia="Calibri" w:hAnsi="Arial" w:cs="Arial"/>
                <w:sz w:val="24"/>
                <w:szCs w:val="24"/>
              </w:rPr>
              <w:t>includes physical and sensory disabled, D/deaf, deafened, hard of hearing, blind, neurodiverse people, people with non-visible disabilities.</w:t>
            </w:r>
          </w:p>
        </w:tc>
        <w:tc>
          <w:tcPr>
            <w:tcW w:w="2123" w:type="dxa"/>
          </w:tcPr>
          <w:p w14:paraId="2833086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48D67CA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significant impacts this is a fee charging service to businesses</w:t>
            </w:r>
          </w:p>
        </w:tc>
      </w:tr>
      <w:tr w:rsidR="000729CF" w:rsidRPr="000729CF" w14:paraId="568AF2FC" w14:textId="77777777" w:rsidTr="000729CF">
        <w:trPr>
          <w:trHeight w:val="20"/>
        </w:trPr>
        <w:tc>
          <w:tcPr>
            <w:tcW w:w="2985" w:type="dxa"/>
            <w:shd w:val="clear" w:color="auto" w:fill="E7E6E6"/>
          </w:tcPr>
          <w:p w14:paraId="0B5111B4" w14:textId="77777777" w:rsidR="000729CF" w:rsidRPr="000729CF" w:rsidRDefault="000729CF" w:rsidP="000729CF">
            <w:pPr>
              <w:keepNext/>
              <w:keepLines/>
              <w:spacing w:before="40"/>
              <w:outlineLvl w:val="2"/>
              <w:rPr>
                <w:rFonts w:ascii="Arial" w:hAnsi="Arial" w:cs="Arial"/>
                <w:color w:val="1F3763"/>
                <w:sz w:val="24"/>
                <w:szCs w:val="24"/>
              </w:rPr>
            </w:pPr>
            <w:r w:rsidRPr="000729CF">
              <w:rPr>
                <w:rFonts w:ascii="Arial" w:hAnsi="Arial" w:cs="Arial"/>
                <w:b/>
                <w:bCs/>
                <w:color w:val="000000"/>
                <w:sz w:val="24"/>
                <w:szCs w:val="24"/>
              </w:rPr>
              <w:t>Ethnicity, ‘</w:t>
            </w:r>
            <w:r w:rsidRPr="000729CF">
              <w:rPr>
                <w:rFonts w:ascii="Arial" w:hAnsi="Arial" w:cs="Arial"/>
                <w:color w:val="000000"/>
                <w:sz w:val="24"/>
                <w:szCs w:val="24"/>
              </w:rPr>
              <w:t>Race’, ethnic heritage including Gypsy, Roma, Travellers</w:t>
            </w:r>
          </w:p>
        </w:tc>
        <w:tc>
          <w:tcPr>
            <w:tcW w:w="2123" w:type="dxa"/>
          </w:tcPr>
          <w:p w14:paraId="4020EDD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4A5268C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significant impacts this is a fee charging service to businesses</w:t>
            </w:r>
          </w:p>
        </w:tc>
      </w:tr>
      <w:tr w:rsidR="000729CF" w:rsidRPr="000729CF" w14:paraId="1707182B" w14:textId="77777777" w:rsidTr="000729CF">
        <w:trPr>
          <w:trHeight w:val="20"/>
        </w:trPr>
        <w:tc>
          <w:tcPr>
            <w:tcW w:w="2985" w:type="dxa"/>
            <w:shd w:val="clear" w:color="auto" w:fill="E7E6E6"/>
          </w:tcPr>
          <w:p w14:paraId="2B98931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Religion, Spirituality, Faith, Atheism, and philosophical belief </w:t>
            </w:r>
          </w:p>
        </w:tc>
        <w:tc>
          <w:tcPr>
            <w:tcW w:w="2123" w:type="dxa"/>
          </w:tcPr>
          <w:p w14:paraId="174F1E7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5150778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significant impacts this is a fee charging service to businesses</w:t>
            </w:r>
          </w:p>
        </w:tc>
      </w:tr>
      <w:tr w:rsidR="000729CF" w:rsidRPr="000729CF" w14:paraId="49483588" w14:textId="77777777" w:rsidTr="000729CF">
        <w:trPr>
          <w:trHeight w:val="20"/>
        </w:trPr>
        <w:tc>
          <w:tcPr>
            <w:tcW w:w="2985" w:type="dxa"/>
            <w:shd w:val="clear" w:color="auto" w:fill="E7E6E6"/>
          </w:tcPr>
          <w:p w14:paraId="0636E91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Gender and Sex </w:t>
            </w:r>
            <w:r w:rsidRPr="000729CF">
              <w:rPr>
                <w:rFonts w:ascii="Arial" w:eastAsia="Calibri" w:hAnsi="Arial" w:cs="Arial"/>
                <w:sz w:val="24"/>
                <w:szCs w:val="24"/>
              </w:rPr>
              <w:t>including non-binary and intersex people</w:t>
            </w:r>
          </w:p>
        </w:tc>
        <w:tc>
          <w:tcPr>
            <w:tcW w:w="2123" w:type="dxa"/>
          </w:tcPr>
          <w:p w14:paraId="0398C51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16CCC90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significant impacts this is a fee charging service to businesses</w:t>
            </w:r>
          </w:p>
        </w:tc>
      </w:tr>
      <w:tr w:rsidR="000729CF" w:rsidRPr="000729CF" w14:paraId="41FCDAE5" w14:textId="77777777" w:rsidTr="000729CF">
        <w:trPr>
          <w:trHeight w:val="20"/>
        </w:trPr>
        <w:tc>
          <w:tcPr>
            <w:tcW w:w="2985" w:type="dxa"/>
            <w:shd w:val="clear" w:color="auto" w:fill="E7E6E6"/>
          </w:tcPr>
          <w:p w14:paraId="723A7A2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2123" w:type="dxa"/>
          </w:tcPr>
          <w:p w14:paraId="486CD22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11C8088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significant impacts this is a fee charging service to businesses</w:t>
            </w:r>
          </w:p>
        </w:tc>
      </w:tr>
      <w:tr w:rsidR="000729CF" w:rsidRPr="000729CF" w14:paraId="56A96B8A" w14:textId="77777777" w:rsidTr="000729CF">
        <w:trPr>
          <w:trHeight w:val="20"/>
        </w:trPr>
        <w:tc>
          <w:tcPr>
            <w:tcW w:w="2985" w:type="dxa"/>
            <w:shd w:val="clear" w:color="auto" w:fill="E7E6E6"/>
          </w:tcPr>
          <w:p w14:paraId="1C665C9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2123" w:type="dxa"/>
          </w:tcPr>
          <w:p w14:paraId="1DFA8E5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303404D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significant impacts this is a fee charging service to businesses</w:t>
            </w:r>
          </w:p>
        </w:tc>
      </w:tr>
      <w:tr w:rsidR="000729CF" w:rsidRPr="000729CF" w14:paraId="4EAD3986" w14:textId="77777777" w:rsidTr="000729CF">
        <w:trPr>
          <w:trHeight w:val="20"/>
        </w:trPr>
        <w:tc>
          <w:tcPr>
            <w:tcW w:w="2985" w:type="dxa"/>
            <w:shd w:val="clear" w:color="auto" w:fill="E7E6E6"/>
          </w:tcPr>
          <w:p w14:paraId="3C8F6E0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2123" w:type="dxa"/>
          </w:tcPr>
          <w:p w14:paraId="657C63F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70141D1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significant impacts this is a fee charging service to businesses</w:t>
            </w:r>
          </w:p>
        </w:tc>
      </w:tr>
      <w:tr w:rsidR="000729CF" w:rsidRPr="000729CF" w14:paraId="06549603" w14:textId="77777777" w:rsidTr="000729CF">
        <w:trPr>
          <w:trHeight w:val="20"/>
        </w:trPr>
        <w:tc>
          <w:tcPr>
            <w:tcW w:w="2985" w:type="dxa"/>
            <w:shd w:val="clear" w:color="auto" w:fill="E7E6E6"/>
          </w:tcPr>
          <w:p w14:paraId="6684A3D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Pregnancy, Maternity, Paternity, Adoption, Menopause, (In)fertility </w:t>
            </w:r>
            <w:r w:rsidRPr="000729CF">
              <w:rPr>
                <w:rFonts w:ascii="Arial" w:eastAsia="Calibri" w:hAnsi="Arial" w:cs="Arial"/>
                <w:color w:val="000000"/>
                <w:sz w:val="24"/>
                <w:szCs w:val="24"/>
              </w:rPr>
              <w:t>(across intersections and non-binary gender spectrum)</w:t>
            </w:r>
          </w:p>
        </w:tc>
        <w:tc>
          <w:tcPr>
            <w:tcW w:w="2123" w:type="dxa"/>
          </w:tcPr>
          <w:p w14:paraId="098D767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1306C8D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significant impacts this is a fee charging service to businesses</w:t>
            </w:r>
          </w:p>
        </w:tc>
      </w:tr>
      <w:tr w:rsidR="000729CF" w:rsidRPr="000729CF" w14:paraId="6D0C15BF" w14:textId="77777777" w:rsidTr="000729CF">
        <w:trPr>
          <w:trHeight w:val="20"/>
        </w:trPr>
        <w:tc>
          <w:tcPr>
            <w:tcW w:w="2985" w:type="dxa"/>
            <w:shd w:val="clear" w:color="auto" w:fill="E7E6E6"/>
          </w:tcPr>
          <w:p w14:paraId="760BAEC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2123" w:type="dxa"/>
          </w:tcPr>
          <w:p w14:paraId="393C0EC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500F110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significant impacts this is a fee charging service to businesses</w:t>
            </w:r>
          </w:p>
        </w:tc>
      </w:tr>
      <w:tr w:rsidR="000729CF" w:rsidRPr="000729CF" w14:paraId="0194398D" w14:textId="77777777" w:rsidTr="000729CF">
        <w:trPr>
          <w:trHeight w:val="20"/>
        </w:trPr>
        <w:tc>
          <w:tcPr>
            <w:tcW w:w="2985" w:type="dxa"/>
            <w:shd w:val="clear" w:color="auto" w:fill="E7E6E6"/>
          </w:tcPr>
          <w:p w14:paraId="03AB3E0C" w14:textId="77777777" w:rsidR="000729CF" w:rsidRPr="000729CF" w:rsidRDefault="000729CF" w:rsidP="000729CF">
            <w:pPr>
              <w:spacing w:after="120"/>
              <w:rPr>
                <w:rFonts w:ascii="Arial" w:eastAsia="Calibri" w:hAnsi="Arial" w:cs="Arial"/>
                <w:b/>
                <w:bCs/>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r w:rsidRPr="000729CF">
              <w:rPr>
                <w:rFonts w:ascii="Arial" w:hAnsi="Arial" w:cs="Arial"/>
                <w:color w:val="000000"/>
                <w:sz w:val="24"/>
                <w:szCs w:val="24"/>
              </w:rPr>
              <w:t>considering for age, language, and various intersections</w:t>
            </w:r>
          </w:p>
        </w:tc>
        <w:tc>
          <w:tcPr>
            <w:tcW w:w="2123" w:type="dxa"/>
          </w:tcPr>
          <w:p w14:paraId="5B77F6F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244B8E0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significant impacts this is a fee charging service to businesses</w:t>
            </w:r>
          </w:p>
        </w:tc>
      </w:tr>
      <w:tr w:rsidR="000729CF" w:rsidRPr="000729CF" w14:paraId="7F2417B5" w14:textId="77777777" w:rsidTr="000729CF">
        <w:trPr>
          <w:trHeight w:val="20"/>
        </w:trPr>
        <w:tc>
          <w:tcPr>
            <w:tcW w:w="2985" w:type="dxa"/>
            <w:shd w:val="clear" w:color="auto" w:fill="E7E6E6"/>
          </w:tcPr>
          <w:p w14:paraId="2E7080A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Carers </w:t>
            </w:r>
            <w:r w:rsidRPr="000729CF">
              <w:rPr>
                <w:rFonts w:ascii="Arial" w:hAnsi="Arial" w:cs="Arial"/>
                <w:color w:val="000000"/>
                <w:sz w:val="24"/>
                <w:szCs w:val="24"/>
              </w:rPr>
              <w:t>considering for age, language, and various intersections</w:t>
            </w:r>
          </w:p>
        </w:tc>
        <w:tc>
          <w:tcPr>
            <w:tcW w:w="2123" w:type="dxa"/>
          </w:tcPr>
          <w:p w14:paraId="2D03995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7E1ED02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significant impacts this is a fee charging service to businesses</w:t>
            </w:r>
          </w:p>
        </w:tc>
      </w:tr>
      <w:tr w:rsidR="000729CF" w:rsidRPr="000729CF" w14:paraId="0A4AFABB" w14:textId="77777777" w:rsidTr="000729CF">
        <w:trPr>
          <w:trHeight w:val="20"/>
        </w:trPr>
        <w:tc>
          <w:tcPr>
            <w:tcW w:w="2985" w:type="dxa"/>
            <w:shd w:val="clear" w:color="auto" w:fill="E7E6E6"/>
          </w:tcPr>
          <w:p w14:paraId="26AE7184"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 xml:space="preserve">Looked after children, Care Leavers, Care and fostering experienced people </w:t>
            </w:r>
            <w:r w:rsidRPr="000729CF">
              <w:rPr>
                <w:rFonts w:ascii="Arial" w:hAnsi="Arial" w:cs="Arial"/>
                <w:color w:val="000000"/>
                <w:sz w:val="24"/>
                <w:szCs w:val="24"/>
              </w:rPr>
              <w:t>considering for age, language, and various intersections</w:t>
            </w:r>
          </w:p>
        </w:tc>
        <w:tc>
          <w:tcPr>
            <w:tcW w:w="2123" w:type="dxa"/>
          </w:tcPr>
          <w:p w14:paraId="0D45AB0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44BFB9E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significant impacts this is a fee charging service to businesses</w:t>
            </w:r>
          </w:p>
        </w:tc>
      </w:tr>
      <w:tr w:rsidR="000729CF" w:rsidRPr="000729CF" w14:paraId="1F12624B" w14:textId="77777777" w:rsidTr="000729CF">
        <w:trPr>
          <w:trHeight w:val="20"/>
        </w:trPr>
        <w:tc>
          <w:tcPr>
            <w:tcW w:w="2985" w:type="dxa"/>
            <w:shd w:val="clear" w:color="auto" w:fill="E7E6E6"/>
          </w:tcPr>
          <w:p w14:paraId="7981936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w:t>
            </w:r>
          </w:p>
        </w:tc>
        <w:tc>
          <w:tcPr>
            <w:tcW w:w="2123" w:type="dxa"/>
          </w:tcPr>
          <w:p w14:paraId="7B019EF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083CC9B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significant impacts this is a fee charging service to businesses</w:t>
            </w:r>
          </w:p>
        </w:tc>
      </w:tr>
      <w:tr w:rsidR="000729CF" w:rsidRPr="000729CF" w14:paraId="7FAA6510" w14:textId="77777777" w:rsidTr="000729CF">
        <w:trPr>
          <w:trHeight w:val="20"/>
        </w:trPr>
        <w:tc>
          <w:tcPr>
            <w:tcW w:w="2985" w:type="dxa"/>
            <w:shd w:val="clear" w:color="auto" w:fill="E7E6E6"/>
          </w:tcPr>
          <w:p w14:paraId="1F51ACA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Socio-economic disadvantage </w:t>
            </w:r>
            <w:r w:rsidRPr="000729CF">
              <w:rPr>
                <w:rFonts w:ascii="Arial" w:eastAsia="Calibri" w:hAnsi="Arial" w:cs="Arial"/>
                <w:color w:val="000000"/>
                <w:sz w:val="24"/>
                <w:szCs w:val="24"/>
              </w:rPr>
              <w:t>considering for age, disability, D/deaf/ blind, ethnicity, expatriate background, and various intersections</w:t>
            </w:r>
          </w:p>
        </w:tc>
        <w:tc>
          <w:tcPr>
            <w:tcW w:w="2123" w:type="dxa"/>
          </w:tcPr>
          <w:p w14:paraId="1B59D24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5FE56D9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significant impacts this is a fee charging service to businesses</w:t>
            </w:r>
          </w:p>
        </w:tc>
      </w:tr>
      <w:tr w:rsidR="000729CF" w:rsidRPr="000729CF" w14:paraId="65ACA3BF" w14:textId="77777777" w:rsidTr="000729CF">
        <w:trPr>
          <w:trHeight w:val="20"/>
        </w:trPr>
        <w:tc>
          <w:tcPr>
            <w:tcW w:w="2985" w:type="dxa"/>
            <w:shd w:val="clear" w:color="auto" w:fill="E7E6E6"/>
          </w:tcPr>
          <w:p w14:paraId="46F418E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Homeless and rough sleepers </w:t>
            </w:r>
            <w:r w:rsidRPr="000729CF">
              <w:rPr>
                <w:rFonts w:ascii="Arial" w:eastAsia="Calibri" w:hAnsi="Arial" w:cs="Arial"/>
                <w:color w:val="000000"/>
                <w:sz w:val="24"/>
                <w:szCs w:val="24"/>
              </w:rPr>
              <w:t>considering for age, veteran, ethnicity, language, and various intersections</w:t>
            </w:r>
          </w:p>
        </w:tc>
        <w:tc>
          <w:tcPr>
            <w:tcW w:w="2123" w:type="dxa"/>
          </w:tcPr>
          <w:p w14:paraId="1D6BA2E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4554EA4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significant impacts this is a fee charging service to businesses</w:t>
            </w:r>
          </w:p>
        </w:tc>
      </w:tr>
      <w:tr w:rsidR="000729CF" w:rsidRPr="000729CF" w14:paraId="79982FCF" w14:textId="77777777" w:rsidTr="000729CF">
        <w:trPr>
          <w:trHeight w:val="20"/>
        </w:trPr>
        <w:tc>
          <w:tcPr>
            <w:tcW w:w="2985" w:type="dxa"/>
            <w:shd w:val="clear" w:color="auto" w:fill="E7E6E6"/>
          </w:tcPr>
          <w:p w14:paraId="2B12BD3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2123" w:type="dxa"/>
          </w:tcPr>
          <w:p w14:paraId="08F0BC5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16774B8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significant impacts this is a fee charging service to businesses</w:t>
            </w:r>
          </w:p>
        </w:tc>
      </w:tr>
      <w:tr w:rsidR="000729CF" w:rsidRPr="000729CF" w14:paraId="477263DC" w14:textId="77777777" w:rsidTr="000729CF">
        <w:trPr>
          <w:trHeight w:val="20"/>
        </w:trPr>
        <w:tc>
          <w:tcPr>
            <w:tcW w:w="2985" w:type="dxa"/>
            <w:shd w:val="clear" w:color="auto" w:fill="E7E6E6"/>
          </w:tcPr>
          <w:p w14:paraId="5E6F0EE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 (please specify here and add additional rows as needed)</w:t>
            </w:r>
          </w:p>
        </w:tc>
        <w:tc>
          <w:tcPr>
            <w:tcW w:w="2123" w:type="dxa"/>
          </w:tcPr>
          <w:p w14:paraId="659AE98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N/A</w:t>
            </w:r>
          </w:p>
        </w:tc>
        <w:tc>
          <w:tcPr>
            <w:tcW w:w="5377" w:type="dxa"/>
          </w:tcPr>
          <w:p w14:paraId="02FD38A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significant impacts this is a fee charging service to businesses</w:t>
            </w:r>
          </w:p>
        </w:tc>
      </w:tr>
    </w:tbl>
    <w:p w14:paraId="0A6DD3EE" w14:textId="77777777" w:rsidR="000729CF" w:rsidRPr="000729CF" w:rsidRDefault="000729CF" w:rsidP="000729CF">
      <w:pPr>
        <w:spacing w:after="160" w:line="259" w:lineRule="auto"/>
        <w:rPr>
          <w:rFonts w:ascii="Arial" w:eastAsia="Calibri" w:hAnsi="Arial" w:cs="Arial"/>
          <w:b/>
          <w:bCs/>
          <w:sz w:val="24"/>
          <w:szCs w:val="24"/>
          <w:lang w:val="en-GB"/>
        </w:rPr>
      </w:pPr>
    </w:p>
    <w:p w14:paraId="3268163F"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5E2A3EFC"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15BF2A0F"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61BD3320"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325F3CE0"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0AAF2695"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7C67E75C"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3923AE55"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28E3BABD"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437F9F8E"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1218DB96" w14:textId="77777777" w:rsidR="000729CF" w:rsidRPr="000729CF" w:rsidRDefault="000729CF" w:rsidP="000729CF">
      <w:pPr>
        <w:rPr>
          <w:rFonts w:ascii="Arial" w:eastAsia="Calibri" w:hAnsi="Arial" w:cs="Arial"/>
          <w:sz w:val="24"/>
          <w:szCs w:val="24"/>
          <w:lang w:val="en-GB"/>
        </w:rPr>
      </w:pPr>
    </w:p>
    <w:p w14:paraId="5EACCA87"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Cumulative impacts</w:t>
      </w:r>
    </w:p>
    <w:p w14:paraId="25E2905C"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Are there other budget proposals from other service areas that might worsen or mitigate the impacts from your proposal? Please give a brief description including name of other service(s).</w:t>
      </w:r>
    </w:p>
    <w:tbl>
      <w:tblPr>
        <w:tblStyle w:val="TableGrid"/>
        <w:tblW w:w="0" w:type="auto"/>
        <w:tblLook w:val="04A0" w:firstRow="1" w:lastRow="0" w:firstColumn="1" w:lastColumn="0" w:noHBand="0" w:noVBand="1"/>
      </w:tblPr>
      <w:tblGrid>
        <w:gridCol w:w="10456"/>
      </w:tblGrid>
      <w:tr w:rsidR="000729CF" w:rsidRPr="000729CF" w14:paraId="588B6125" w14:textId="77777777" w:rsidTr="00BC26AB">
        <w:tc>
          <w:tcPr>
            <w:tcW w:w="10456" w:type="dxa"/>
          </w:tcPr>
          <w:p w14:paraId="7FC8E1CD"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N/a</w:t>
            </w:r>
          </w:p>
        </w:tc>
      </w:tr>
    </w:tbl>
    <w:p w14:paraId="761AA307" w14:textId="77777777" w:rsidR="000729CF" w:rsidRPr="000729CF" w:rsidRDefault="000729CF" w:rsidP="000729CF">
      <w:pPr>
        <w:spacing w:after="160" w:line="259" w:lineRule="auto"/>
        <w:rPr>
          <w:rFonts w:ascii="Arial" w:eastAsia="Calibri" w:hAnsi="Arial" w:cs="Arial"/>
          <w:sz w:val="24"/>
          <w:szCs w:val="24"/>
          <w:lang w:val="en-GB"/>
        </w:rPr>
      </w:pPr>
    </w:p>
    <w:p w14:paraId="76ED3488"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Action planning</w:t>
      </w:r>
    </w:p>
    <w:p w14:paraId="05054251"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SMART actions will be taken to mitigate the disproportionate impacts identified in section 3? If no mitigating action is possible, please state and explain why. Add additional rows as required. </w:t>
      </w:r>
    </w:p>
    <w:tbl>
      <w:tblPr>
        <w:tblStyle w:val="TableGrid"/>
        <w:tblW w:w="0" w:type="auto"/>
        <w:tblLook w:val="04A0" w:firstRow="1" w:lastRow="0" w:firstColumn="1" w:lastColumn="0" w:noHBand="0" w:noVBand="1"/>
      </w:tblPr>
      <w:tblGrid>
        <w:gridCol w:w="10456"/>
      </w:tblGrid>
      <w:tr w:rsidR="000729CF" w:rsidRPr="000729CF" w14:paraId="32A90D0A" w14:textId="77777777" w:rsidTr="00BC26AB">
        <w:trPr>
          <w:trHeight w:val="847"/>
        </w:trPr>
        <w:tc>
          <w:tcPr>
            <w:tcW w:w="10456" w:type="dxa"/>
          </w:tcPr>
          <w:p w14:paraId="35CDC91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mitigation actions are available due to: this is a fee charging service and will impact business rather than individuals</w:t>
            </w:r>
          </w:p>
        </w:tc>
      </w:tr>
    </w:tbl>
    <w:p w14:paraId="1A66189E" w14:textId="77777777" w:rsidR="000729CF" w:rsidRPr="000729CF" w:rsidRDefault="000729CF" w:rsidP="000729CF">
      <w:pPr>
        <w:spacing w:after="160" w:line="259" w:lineRule="auto"/>
        <w:rPr>
          <w:rFonts w:ascii="Arial" w:eastAsia="Calibri" w:hAnsi="Arial" w:cs="Arial"/>
          <w:sz w:val="24"/>
          <w:szCs w:val="24"/>
          <w:lang w:val="en-GB"/>
        </w:rPr>
      </w:pPr>
    </w:p>
    <w:p w14:paraId="59CB3306"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Outcome of your assessment</w:t>
      </w:r>
    </w:p>
    <w:p w14:paraId="63714DE9"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Based on the information above give the proposal an impact score between 1 – 5. </w:t>
      </w:r>
    </w:p>
    <w:p w14:paraId="0CC6D098"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1= proposal has minimal impact and/or mitigating actions will significantly minimise the impact</w:t>
      </w:r>
    </w:p>
    <w:p w14:paraId="423D0EBE"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3= proposal will have a significant negative impact; however, mitigation actions will reduce the impact considerably.</w:t>
      </w:r>
    </w:p>
    <w:p w14:paraId="3B6B595A"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5= proposal has significant impact and mitigating actions will have limited effect on reducing impact.</w:t>
      </w:r>
    </w:p>
    <w:p w14:paraId="204FB2BB" w14:textId="77777777" w:rsidR="000729CF" w:rsidRPr="000729CF" w:rsidRDefault="000729CF" w:rsidP="000729CF">
      <w:pPr>
        <w:rPr>
          <w:rFonts w:ascii="Arial" w:eastAsia="Calibri" w:hAnsi="Arial" w:cs="Arial"/>
          <w:sz w:val="24"/>
          <w:szCs w:val="24"/>
          <w:highlight w:val="yellow"/>
          <w:lang w:val="en-GB"/>
        </w:rPr>
      </w:pPr>
    </w:p>
    <w:tbl>
      <w:tblPr>
        <w:tblStyle w:val="TableGrid"/>
        <w:tblW w:w="0" w:type="auto"/>
        <w:tblLook w:val="04A0" w:firstRow="1" w:lastRow="0" w:firstColumn="1" w:lastColumn="0" w:noHBand="0" w:noVBand="1"/>
      </w:tblPr>
      <w:tblGrid>
        <w:gridCol w:w="3114"/>
        <w:gridCol w:w="7342"/>
      </w:tblGrid>
      <w:tr w:rsidR="000729CF" w:rsidRPr="000729CF" w14:paraId="4047B0BE" w14:textId="77777777" w:rsidTr="00BC26AB">
        <w:trPr>
          <w:trHeight w:val="152"/>
        </w:trPr>
        <w:tc>
          <w:tcPr>
            <w:tcW w:w="3114" w:type="dxa"/>
          </w:tcPr>
          <w:p w14:paraId="2C886C0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Proposal’s impact score:</w:t>
            </w:r>
          </w:p>
        </w:tc>
        <w:tc>
          <w:tcPr>
            <w:tcW w:w="7342" w:type="dxa"/>
          </w:tcPr>
          <w:p w14:paraId="08A515F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1</w:t>
            </w:r>
          </w:p>
        </w:tc>
      </w:tr>
    </w:tbl>
    <w:p w14:paraId="19543BF9" w14:textId="77777777" w:rsidR="000729CF" w:rsidRPr="000729CF" w:rsidRDefault="000729CF" w:rsidP="000729CF">
      <w:pPr>
        <w:spacing w:after="160" w:line="259" w:lineRule="auto"/>
        <w:rPr>
          <w:rFonts w:ascii="Arial" w:eastAsia="Calibri" w:hAnsi="Arial" w:cs="Arial"/>
          <w:sz w:val="24"/>
          <w:szCs w:val="24"/>
          <w:lang w:val="en-GB"/>
        </w:rPr>
      </w:pPr>
    </w:p>
    <w:p w14:paraId="4F8D75DB"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Publication</w:t>
      </w:r>
    </w:p>
    <w:p w14:paraId="00EF2775"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All Equality Impact Assessments will be published. If you are recommending, and choosing not to publish your EIA, please provide a reason:</w:t>
      </w:r>
    </w:p>
    <w:tbl>
      <w:tblPr>
        <w:tblStyle w:val="TableGrid"/>
        <w:tblW w:w="0" w:type="auto"/>
        <w:tblLook w:val="04A0" w:firstRow="1" w:lastRow="0" w:firstColumn="1" w:lastColumn="0" w:noHBand="0" w:noVBand="1"/>
      </w:tblPr>
      <w:tblGrid>
        <w:gridCol w:w="10456"/>
      </w:tblGrid>
      <w:tr w:rsidR="000729CF" w:rsidRPr="000729CF" w14:paraId="55586A2D" w14:textId="77777777" w:rsidTr="00BC26AB">
        <w:trPr>
          <w:trHeight w:val="803"/>
        </w:trPr>
        <w:tc>
          <w:tcPr>
            <w:tcW w:w="10456" w:type="dxa"/>
          </w:tcPr>
          <w:p w14:paraId="71C95F42" w14:textId="77777777" w:rsidR="000729CF" w:rsidRPr="000729CF" w:rsidRDefault="000729CF" w:rsidP="000729CF">
            <w:pPr>
              <w:spacing w:after="120"/>
              <w:rPr>
                <w:rFonts w:ascii="Arial" w:eastAsia="Calibri" w:hAnsi="Arial" w:cs="Arial"/>
                <w:sz w:val="24"/>
                <w:szCs w:val="24"/>
              </w:rPr>
            </w:pPr>
          </w:p>
        </w:tc>
      </w:tr>
    </w:tbl>
    <w:p w14:paraId="3BEE27D3" w14:textId="77777777" w:rsidR="000729CF" w:rsidRPr="000729CF" w:rsidRDefault="000729CF" w:rsidP="000729CF">
      <w:pPr>
        <w:spacing w:after="160" w:line="259" w:lineRule="auto"/>
        <w:rPr>
          <w:rFonts w:ascii="Arial" w:eastAsia="Calibri" w:hAnsi="Arial" w:cs="Arial"/>
          <w:sz w:val="24"/>
          <w:szCs w:val="24"/>
          <w:lang w:val="en-GB"/>
        </w:rPr>
      </w:pPr>
    </w:p>
    <w:p w14:paraId="3A7A9D93"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Directorate and Service Approval</w:t>
      </w:r>
    </w:p>
    <w:tbl>
      <w:tblPr>
        <w:tblStyle w:val="TableGrid"/>
        <w:tblW w:w="0" w:type="auto"/>
        <w:tblLook w:val="04A0" w:firstRow="1" w:lastRow="0" w:firstColumn="1" w:lastColumn="0" w:noHBand="0" w:noVBand="1"/>
      </w:tblPr>
      <w:tblGrid>
        <w:gridCol w:w="3681"/>
        <w:gridCol w:w="4394"/>
        <w:gridCol w:w="2381"/>
      </w:tblGrid>
      <w:tr w:rsidR="000729CF" w:rsidRPr="000729CF" w14:paraId="2959046B" w14:textId="77777777" w:rsidTr="000729CF">
        <w:trPr>
          <w:trHeight w:val="20"/>
        </w:trPr>
        <w:tc>
          <w:tcPr>
            <w:tcW w:w="3681" w:type="dxa"/>
            <w:tcBorders>
              <w:bottom w:val="single" w:sz="4" w:space="0" w:color="auto"/>
            </w:tcBorders>
            <w:shd w:val="clear" w:color="auto" w:fill="D9D9D9"/>
          </w:tcPr>
          <w:p w14:paraId="0CFBD4A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341A437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 and Job Title:</w:t>
            </w:r>
          </w:p>
        </w:tc>
        <w:tc>
          <w:tcPr>
            <w:tcW w:w="2381" w:type="dxa"/>
            <w:shd w:val="clear" w:color="auto" w:fill="D9D9D9"/>
          </w:tcPr>
          <w:p w14:paraId="6E9A1D0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4340FCA3" w14:textId="77777777" w:rsidTr="000729CF">
        <w:trPr>
          <w:trHeight w:val="20"/>
        </w:trPr>
        <w:tc>
          <w:tcPr>
            <w:tcW w:w="3681" w:type="dxa"/>
            <w:shd w:val="clear" w:color="auto" w:fill="E7E6E6"/>
          </w:tcPr>
          <w:p w14:paraId="570B330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Responsible Lead Officer:</w:t>
            </w:r>
          </w:p>
        </w:tc>
        <w:tc>
          <w:tcPr>
            <w:tcW w:w="4394" w:type="dxa"/>
          </w:tcPr>
          <w:p w14:paraId="63B2135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Jo Player</w:t>
            </w:r>
          </w:p>
        </w:tc>
        <w:tc>
          <w:tcPr>
            <w:tcW w:w="2381" w:type="dxa"/>
          </w:tcPr>
          <w:p w14:paraId="419D1BD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17/01/2024</w:t>
            </w:r>
          </w:p>
        </w:tc>
      </w:tr>
      <w:tr w:rsidR="000729CF" w:rsidRPr="000729CF" w14:paraId="6D7AECF0" w14:textId="77777777" w:rsidTr="000729CF">
        <w:trPr>
          <w:trHeight w:val="20"/>
        </w:trPr>
        <w:tc>
          <w:tcPr>
            <w:tcW w:w="3681" w:type="dxa"/>
            <w:shd w:val="clear" w:color="auto" w:fill="E7E6E6"/>
          </w:tcPr>
          <w:p w14:paraId="2F28DFA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Accountable Manager:</w:t>
            </w:r>
          </w:p>
        </w:tc>
        <w:tc>
          <w:tcPr>
            <w:tcW w:w="4394" w:type="dxa"/>
          </w:tcPr>
          <w:p w14:paraId="4E187C0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Rachel Sharpe</w:t>
            </w:r>
          </w:p>
        </w:tc>
        <w:tc>
          <w:tcPr>
            <w:tcW w:w="2381" w:type="dxa"/>
          </w:tcPr>
          <w:p w14:paraId="1C5B168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25-01-24</w:t>
            </w:r>
          </w:p>
        </w:tc>
      </w:tr>
    </w:tbl>
    <w:p w14:paraId="1FE0951F" w14:textId="77777777" w:rsidR="000729CF" w:rsidRPr="000729CF" w:rsidRDefault="000729CF" w:rsidP="000729CF">
      <w:pPr>
        <w:spacing w:after="160" w:line="259" w:lineRule="auto"/>
        <w:rPr>
          <w:rFonts w:ascii="Arial" w:eastAsia="Calibri" w:hAnsi="Arial" w:cs="Arial"/>
          <w:sz w:val="24"/>
          <w:szCs w:val="24"/>
          <w:lang w:val="en-GB"/>
        </w:rPr>
      </w:pPr>
    </w:p>
    <w:p w14:paraId="05C58954" w14:textId="77777777" w:rsidR="000729CF" w:rsidRPr="000729CF" w:rsidRDefault="000729CF" w:rsidP="000729CF">
      <w:pPr>
        <w:keepNext/>
        <w:keepLines/>
        <w:spacing w:before="40" w:after="160" w:line="259" w:lineRule="auto"/>
        <w:outlineLvl w:val="2"/>
        <w:rPr>
          <w:rFonts w:ascii="Arial" w:hAnsi="Arial" w:cs="Arial"/>
          <w:b/>
          <w:bCs/>
          <w:color w:val="000000"/>
          <w:sz w:val="28"/>
          <w:szCs w:val="28"/>
          <w:lang w:val="en-GB"/>
        </w:rPr>
      </w:pPr>
      <w:r w:rsidRPr="000729CF">
        <w:rPr>
          <w:rFonts w:ascii="Arial" w:hAnsi="Arial" w:cs="Arial"/>
          <w:b/>
          <w:bCs/>
          <w:color w:val="000000"/>
          <w:sz w:val="28"/>
          <w:szCs w:val="28"/>
          <w:lang w:val="en-GB"/>
        </w:rPr>
        <w:t>EDI Review and Approval:</w:t>
      </w:r>
    </w:p>
    <w:p w14:paraId="0631FE70" w14:textId="77777777" w:rsidR="000729CF" w:rsidRPr="000729CF" w:rsidRDefault="000729CF" w:rsidP="000729CF">
      <w:pPr>
        <w:spacing w:after="160" w:line="259" w:lineRule="auto"/>
        <w:rPr>
          <w:rFonts w:ascii="Arial" w:eastAsia="Calibri" w:hAnsi="Arial" w:cs="Arial"/>
          <w:sz w:val="24"/>
          <w:szCs w:val="24"/>
          <w:lang w:val="en-GB"/>
        </w:rPr>
      </w:pPr>
    </w:p>
    <w:p w14:paraId="46FAB487" w14:textId="77777777" w:rsidR="000729CF" w:rsidRPr="000729CF" w:rsidRDefault="000729CF" w:rsidP="000729CF">
      <w:pPr>
        <w:keepNext/>
        <w:keepLines/>
        <w:spacing w:after="160" w:line="259" w:lineRule="auto"/>
        <w:ind w:left="283" w:hanging="283"/>
        <w:outlineLvl w:val="1"/>
        <w:rPr>
          <w:rFonts w:ascii="Arial" w:hAnsi="Arial" w:cs="Arial"/>
          <w:color w:val="2F5496"/>
          <w:sz w:val="24"/>
          <w:szCs w:val="24"/>
          <w:lang w:val="en-GB"/>
        </w:rPr>
      </w:pPr>
      <w:r w:rsidRPr="000729CF">
        <w:rPr>
          <w:rFonts w:ascii="Arial" w:hAnsi="Arial" w:cs="Arial"/>
          <w:color w:val="2F5496"/>
          <w:sz w:val="24"/>
          <w:szCs w:val="24"/>
          <w:lang w:val="en-GB"/>
        </w:rPr>
        <w:t>Equality Impact Assessment sign-off</w:t>
      </w:r>
    </w:p>
    <w:tbl>
      <w:tblPr>
        <w:tblStyle w:val="TableGrid"/>
        <w:tblW w:w="0" w:type="auto"/>
        <w:tblLook w:val="04A0" w:firstRow="1" w:lastRow="0" w:firstColumn="1" w:lastColumn="0" w:noHBand="0" w:noVBand="1"/>
      </w:tblPr>
      <w:tblGrid>
        <w:gridCol w:w="3681"/>
        <w:gridCol w:w="4394"/>
        <w:gridCol w:w="2381"/>
      </w:tblGrid>
      <w:tr w:rsidR="000729CF" w:rsidRPr="000729CF" w14:paraId="0B129BFC" w14:textId="77777777" w:rsidTr="000729CF">
        <w:trPr>
          <w:trHeight w:val="20"/>
        </w:trPr>
        <w:tc>
          <w:tcPr>
            <w:tcW w:w="3681" w:type="dxa"/>
            <w:tcBorders>
              <w:bottom w:val="single" w:sz="4" w:space="0" w:color="auto"/>
            </w:tcBorders>
            <w:shd w:val="clear" w:color="auto" w:fill="D9D9D9"/>
          </w:tcPr>
          <w:p w14:paraId="1AEC6E7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7B56B9B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w:t>
            </w:r>
          </w:p>
        </w:tc>
        <w:tc>
          <w:tcPr>
            <w:tcW w:w="2381" w:type="dxa"/>
            <w:shd w:val="clear" w:color="auto" w:fill="D9D9D9"/>
          </w:tcPr>
          <w:p w14:paraId="4920D18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7762A05E" w14:textId="77777777" w:rsidTr="000729CF">
        <w:trPr>
          <w:trHeight w:val="20"/>
        </w:trPr>
        <w:tc>
          <w:tcPr>
            <w:tcW w:w="3681" w:type="dxa"/>
            <w:shd w:val="clear" w:color="auto" w:fill="E7E6E6"/>
          </w:tcPr>
          <w:p w14:paraId="63F6BCA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Head of Communities, Equality, and Third Sector (CETS) Service:</w:t>
            </w:r>
          </w:p>
        </w:tc>
        <w:tc>
          <w:tcPr>
            <w:tcW w:w="4394" w:type="dxa"/>
          </w:tcPr>
          <w:p w14:paraId="0BB0560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Emma McDermott</w:t>
            </w:r>
          </w:p>
        </w:tc>
        <w:tc>
          <w:tcPr>
            <w:tcW w:w="2381" w:type="dxa"/>
          </w:tcPr>
          <w:p w14:paraId="06E0C14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25-01-24</w:t>
            </w:r>
          </w:p>
        </w:tc>
      </w:tr>
    </w:tbl>
    <w:p w14:paraId="1DAF3A79" w14:textId="77777777" w:rsidR="000729CF" w:rsidRPr="000729CF" w:rsidRDefault="000729CF" w:rsidP="000729CF">
      <w:pPr>
        <w:keepNext/>
        <w:keepLines/>
        <w:spacing w:after="160" w:line="259" w:lineRule="auto"/>
        <w:outlineLvl w:val="0"/>
        <w:rPr>
          <w:rFonts w:ascii="Arial" w:hAnsi="Arial" w:cs="Arial"/>
          <w:b/>
          <w:bCs/>
          <w:color w:val="2F5496"/>
          <w:sz w:val="28"/>
          <w:szCs w:val="28"/>
          <w:lang w:val="en-GB"/>
        </w:rPr>
      </w:pPr>
      <w:r w:rsidRPr="000729CF">
        <w:rPr>
          <w:rFonts w:ascii="Arial" w:hAnsi="Arial" w:cs="Arial"/>
          <w:b/>
          <w:bCs/>
          <w:color w:val="2F5496"/>
          <w:sz w:val="28"/>
          <w:szCs w:val="28"/>
          <w:lang w:val="en-GB"/>
        </w:rPr>
        <w:t>Budget Equality Impact Assessment (EIA) 2024/25 – Service Users</w:t>
      </w:r>
    </w:p>
    <w:p w14:paraId="66630567" w14:textId="77777777" w:rsidR="000729CF" w:rsidRPr="000729CF" w:rsidRDefault="000729CF" w:rsidP="000729CF">
      <w:pPr>
        <w:spacing w:after="160" w:line="259" w:lineRule="auto"/>
        <w:rPr>
          <w:rFonts w:ascii="Arial" w:eastAsia="Calibri" w:hAnsi="Arial" w:cs="Arial"/>
          <w:sz w:val="24"/>
          <w:szCs w:val="24"/>
          <w:lang w:val="en-GB"/>
        </w:rPr>
      </w:pPr>
    </w:p>
    <w:p w14:paraId="7FD32B43" w14:textId="77777777" w:rsidR="000729CF" w:rsidRPr="000729CF" w:rsidRDefault="000729CF" w:rsidP="000729CF">
      <w:pPr>
        <w:spacing w:after="160" w:line="259" w:lineRule="auto"/>
        <w:rPr>
          <w:rFonts w:ascii="Arial" w:eastAsia="Calibri" w:hAnsi="Arial" w:cs="Arial"/>
          <w:sz w:val="24"/>
          <w:szCs w:val="24"/>
          <w:lang w:val="en-GB"/>
        </w:rPr>
      </w:pPr>
    </w:p>
    <w:p w14:paraId="632FAA4A" w14:textId="77777777" w:rsidR="000729CF" w:rsidRPr="000729CF" w:rsidRDefault="000729CF" w:rsidP="000729CF">
      <w:pPr>
        <w:keepNext/>
        <w:keepLines/>
        <w:spacing w:after="160" w:line="259" w:lineRule="auto"/>
        <w:ind w:left="720" w:hanging="360"/>
        <w:outlineLvl w:val="1"/>
        <w:rPr>
          <w:rFonts w:ascii="Arial" w:hAnsi="Arial" w:cs="Arial"/>
          <w:color w:val="2F5496"/>
          <w:sz w:val="24"/>
          <w:szCs w:val="24"/>
          <w:lang w:val="en-GB"/>
        </w:rPr>
      </w:pPr>
      <w:r w:rsidRPr="000729CF">
        <w:rPr>
          <w:rFonts w:ascii="Arial" w:hAnsi="Arial" w:cs="Arial"/>
          <w:color w:val="2F5496"/>
          <w:sz w:val="24"/>
          <w:szCs w:val="24"/>
          <w:lang w:val="en-GB"/>
        </w:rPr>
        <w:t xml:space="preserve">Budget Proposal </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6492"/>
      </w:tblGrid>
      <w:tr w:rsidR="000729CF" w:rsidRPr="000729CF" w14:paraId="5362AF3C"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36A4C9F3"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Title of budget saving being assessed:</w:t>
            </w:r>
          </w:p>
        </w:tc>
        <w:tc>
          <w:tcPr>
            <w:tcW w:w="6492" w:type="dxa"/>
            <w:shd w:val="clear" w:color="auto" w:fill="auto"/>
          </w:tcPr>
          <w:p w14:paraId="6AE44CC9" w14:textId="77777777" w:rsidR="000729CF" w:rsidRPr="000729CF" w:rsidRDefault="000729CF" w:rsidP="000729CF">
            <w:pPr>
              <w:spacing w:after="12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Safer Communities</w:t>
            </w:r>
          </w:p>
        </w:tc>
      </w:tr>
      <w:tr w:rsidR="000729CF" w:rsidRPr="000729CF" w14:paraId="73EEB529"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0BE96026"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Name and title of officer responsible for this EIA: </w:t>
            </w:r>
          </w:p>
        </w:tc>
        <w:tc>
          <w:tcPr>
            <w:tcW w:w="6492" w:type="dxa"/>
            <w:shd w:val="clear" w:color="auto" w:fill="auto"/>
          </w:tcPr>
          <w:p w14:paraId="131A52FF"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729CF">
              <w:rPr>
                <w:rFonts w:ascii="Arial" w:hAnsi="Arial" w:cs="Arial"/>
                <w:sz w:val="24"/>
                <w:szCs w:val="24"/>
              </w:rPr>
              <w:t>Jo Player, Head of Safer Communities</w:t>
            </w:r>
          </w:p>
        </w:tc>
      </w:tr>
      <w:tr w:rsidR="000729CF" w:rsidRPr="000729CF" w14:paraId="14A0CB02" w14:textId="77777777" w:rsidTr="000729CF">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27A8CC66"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Directorate and Service Name: </w:t>
            </w:r>
          </w:p>
        </w:tc>
        <w:tc>
          <w:tcPr>
            <w:tcW w:w="6492" w:type="dxa"/>
            <w:shd w:val="clear" w:color="auto" w:fill="auto"/>
          </w:tcPr>
          <w:p w14:paraId="11B62B1E" w14:textId="77777777" w:rsidR="000729CF" w:rsidRPr="000729CF" w:rsidRDefault="000729CF" w:rsidP="000729CF">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Housing, Neighbourhoods and Communities,  Safer Communities</w:t>
            </w:r>
          </w:p>
        </w:tc>
      </w:tr>
      <w:tr w:rsidR="000729CF" w:rsidRPr="000729CF" w14:paraId="5AADB13D"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7798CC89"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Budget proposal no.</w:t>
            </w:r>
          </w:p>
        </w:tc>
        <w:tc>
          <w:tcPr>
            <w:tcW w:w="6492" w:type="dxa"/>
            <w:shd w:val="clear" w:color="auto" w:fill="auto"/>
          </w:tcPr>
          <w:p w14:paraId="3BEBA88B"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729CF">
              <w:rPr>
                <w:rFonts w:ascii="Arial" w:hAnsi="Arial" w:cs="Arial"/>
                <w:sz w:val="24"/>
                <w:szCs w:val="24"/>
              </w:rPr>
              <w:t>26</w:t>
            </w:r>
          </w:p>
        </w:tc>
      </w:tr>
    </w:tbl>
    <w:p w14:paraId="54755BB5" w14:textId="77777777" w:rsidR="000729CF" w:rsidRPr="000729CF" w:rsidRDefault="000729CF" w:rsidP="000729CF">
      <w:pPr>
        <w:spacing w:after="160" w:line="259" w:lineRule="auto"/>
        <w:rPr>
          <w:rFonts w:ascii="Arial" w:eastAsia="Calibri" w:hAnsi="Arial" w:cs="Arial"/>
          <w:sz w:val="24"/>
          <w:szCs w:val="24"/>
          <w:lang w:val="en-GB"/>
        </w:rPr>
      </w:pPr>
    </w:p>
    <w:p w14:paraId="354C13D5"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Briefly describe the budget saving proposal: (use the wording in the budget spreadsheet and more detail if needed)</w:t>
      </w:r>
    </w:p>
    <w:tbl>
      <w:tblPr>
        <w:tblStyle w:val="TableGrid"/>
        <w:tblW w:w="0" w:type="auto"/>
        <w:tblLook w:val="04A0" w:firstRow="1" w:lastRow="0" w:firstColumn="1" w:lastColumn="0" w:noHBand="0" w:noVBand="1"/>
      </w:tblPr>
      <w:tblGrid>
        <w:gridCol w:w="10456"/>
      </w:tblGrid>
      <w:tr w:rsidR="000729CF" w:rsidRPr="000729CF" w14:paraId="6B5F24FB" w14:textId="77777777" w:rsidTr="00BC26AB">
        <w:trPr>
          <w:trHeight w:val="851"/>
        </w:trPr>
        <w:tc>
          <w:tcPr>
            <w:tcW w:w="10456" w:type="dxa"/>
            <w:tcBorders>
              <w:bottom w:val="single" w:sz="4" w:space="0" w:color="auto"/>
            </w:tcBorders>
          </w:tcPr>
          <w:p w14:paraId="42A1AD7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Cessation of pest control service</w:t>
            </w:r>
          </w:p>
          <w:p w14:paraId="4F898FD1" w14:textId="77777777" w:rsidR="000729CF" w:rsidRPr="000729CF" w:rsidRDefault="000729CF" w:rsidP="000729CF">
            <w:pPr>
              <w:spacing w:after="120"/>
              <w:rPr>
                <w:rFonts w:ascii="Arial" w:eastAsia="Calibri" w:hAnsi="Arial" w:cs="Arial"/>
                <w:sz w:val="24"/>
                <w:szCs w:val="24"/>
              </w:rPr>
            </w:pPr>
          </w:p>
        </w:tc>
      </w:tr>
      <w:tr w:rsidR="000729CF" w:rsidRPr="000729CF" w14:paraId="5C5ED621" w14:textId="77777777" w:rsidTr="00BC26AB">
        <w:trPr>
          <w:trHeight w:val="851"/>
        </w:trPr>
        <w:tc>
          <w:tcPr>
            <w:tcW w:w="10456" w:type="dxa"/>
            <w:tcBorders>
              <w:left w:val="nil"/>
              <w:right w:val="nil"/>
            </w:tcBorders>
          </w:tcPr>
          <w:p w14:paraId="3C1AAC24" w14:textId="77777777" w:rsidR="000729CF" w:rsidRPr="000729CF" w:rsidRDefault="000729CF" w:rsidP="000729CF">
            <w:pPr>
              <w:spacing w:after="120"/>
              <w:rPr>
                <w:rFonts w:ascii="Arial" w:eastAsia="Calibri" w:hAnsi="Arial" w:cs="Arial"/>
                <w:sz w:val="24"/>
                <w:szCs w:val="24"/>
              </w:rPr>
            </w:pPr>
          </w:p>
          <w:p w14:paraId="664ABDC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Summarise the most significant impacts identified by this assessment including which groups will be disproportionally negatively affected drawing out intersectional impacts as applicable:</w:t>
            </w:r>
          </w:p>
        </w:tc>
      </w:tr>
      <w:tr w:rsidR="000729CF" w:rsidRPr="000729CF" w14:paraId="48AF61E5" w14:textId="77777777" w:rsidTr="00BC26AB">
        <w:trPr>
          <w:trHeight w:val="851"/>
        </w:trPr>
        <w:tc>
          <w:tcPr>
            <w:tcW w:w="10456" w:type="dxa"/>
          </w:tcPr>
          <w:p w14:paraId="3D49863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significant impacts</w:t>
            </w:r>
          </w:p>
        </w:tc>
      </w:tr>
    </w:tbl>
    <w:p w14:paraId="0B4B6D94" w14:textId="77777777" w:rsidR="000729CF" w:rsidRPr="000729CF" w:rsidRDefault="000729CF" w:rsidP="000729CF">
      <w:pPr>
        <w:rPr>
          <w:rFonts w:ascii="Arial" w:eastAsia="Calibri" w:hAnsi="Arial" w:cs="Arial"/>
          <w:sz w:val="24"/>
          <w:szCs w:val="24"/>
          <w:lang w:val="en-GB"/>
        </w:rPr>
      </w:pPr>
    </w:p>
    <w:p w14:paraId="67B78302" w14:textId="77777777" w:rsidR="000729CF" w:rsidRPr="000729CF" w:rsidRDefault="000729CF" w:rsidP="000729CF">
      <w:pPr>
        <w:spacing w:after="160" w:line="259" w:lineRule="auto"/>
        <w:rPr>
          <w:rFonts w:ascii="Arial" w:eastAsia="Calibri" w:hAnsi="Arial" w:cs="Arial"/>
          <w:sz w:val="24"/>
          <w:szCs w:val="24"/>
          <w:lang w:val="en-GB"/>
        </w:rPr>
      </w:pPr>
    </w:p>
    <w:p w14:paraId="0629BF11"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Consultation, engagement and supporting EIAs</w:t>
      </w:r>
    </w:p>
    <w:p w14:paraId="0A93B2C4"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consultations or engagement activities are being used to inform this assessment? </w:t>
      </w:r>
    </w:p>
    <w:p w14:paraId="5F3DB688"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If consultation is planned or in process – state this and state when it will done/completed even if indicative. If no consultation completed or planned, state this, giving an explanation. </w:t>
      </w:r>
    </w:p>
    <w:tbl>
      <w:tblPr>
        <w:tblStyle w:val="TableGrid"/>
        <w:tblW w:w="0" w:type="auto"/>
        <w:tblLook w:val="04A0" w:firstRow="1" w:lastRow="0" w:firstColumn="1" w:lastColumn="0" w:noHBand="0" w:noVBand="1"/>
      </w:tblPr>
      <w:tblGrid>
        <w:gridCol w:w="10456"/>
      </w:tblGrid>
      <w:tr w:rsidR="000729CF" w:rsidRPr="000729CF" w14:paraId="0ADE3C76" w14:textId="77777777" w:rsidTr="00BC26AB">
        <w:trPr>
          <w:trHeight w:val="871"/>
        </w:trPr>
        <w:tc>
          <w:tcPr>
            <w:tcW w:w="10456" w:type="dxa"/>
          </w:tcPr>
          <w:p w14:paraId="5D907B7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None</w:t>
            </w:r>
          </w:p>
        </w:tc>
      </w:tr>
    </w:tbl>
    <w:p w14:paraId="0AC22A60" w14:textId="77777777" w:rsidR="000729CF" w:rsidRPr="000729CF" w:rsidRDefault="000729CF" w:rsidP="000729CF">
      <w:pPr>
        <w:spacing w:after="160" w:line="259" w:lineRule="auto"/>
        <w:rPr>
          <w:rFonts w:ascii="Arial" w:eastAsia="Calibri" w:hAnsi="Arial" w:cs="Arial"/>
          <w:sz w:val="24"/>
          <w:szCs w:val="24"/>
          <w:lang w:val="en-GB"/>
        </w:rPr>
      </w:pPr>
    </w:p>
    <w:p w14:paraId="55E05E7E"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other budget or service EIAs can assist/have been used to inform this assessment?</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0729CF" w:rsidRPr="000729CF" w14:paraId="6134F5FC"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shd w:val="clear" w:color="auto" w:fill="FFFFFF"/>
          </w:tcPr>
          <w:p w14:paraId="1B95FBC4"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Nonapplicable</w:t>
            </w:r>
          </w:p>
          <w:p w14:paraId="63E84892" w14:textId="77777777" w:rsidR="000729CF" w:rsidRPr="000729CF" w:rsidRDefault="000729CF" w:rsidP="000729CF">
            <w:pPr>
              <w:spacing w:after="120"/>
              <w:rPr>
                <w:rFonts w:ascii="Arial" w:hAnsi="Arial" w:cs="Arial"/>
                <w:sz w:val="24"/>
                <w:szCs w:val="24"/>
              </w:rPr>
            </w:pPr>
          </w:p>
        </w:tc>
      </w:tr>
    </w:tbl>
    <w:p w14:paraId="47CDA26F" w14:textId="77777777" w:rsidR="000729CF" w:rsidRPr="000729CF" w:rsidRDefault="000729CF" w:rsidP="000729CF">
      <w:pPr>
        <w:spacing w:after="160" w:line="259" w:lineRule="auto"/>
        <w:rPr>
          <w:rFonts w:ascii="Arial" w:eastAsia="Calibri" w:hAnsi="Arial" w:cs="Arial"/>
          <w:sz w:val="24"/>
          <w:szCs w:val="24"/>
          <w:lang w:val="en-GB"/>
        </w:rPr>
      </w:pPr>
    </w:p>
    <w:p w14:paraId="36DD46A7"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Current data and impact monitoring</w:t>
      </w:r>
    </w:p>
    <w:p w14:paraId="61EC55B3"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Do you currently collect and analyse the following data to enable monitoring of the impact of this proposal? </w:t>
      </w:r>
    </w:p>
    <w:p w14:paraId="42A0967C"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Consider all possible intersections (Delete and State Yes, No, Not Applicable)</w:t>
      </w:r>
    </w:p>
    <w:tbl>
      <w:tblPr>
        <w:tblStyle w:val="TableGrid"/>
        <w:tblW w:w="10485" w:type="dxa"/>
        <w:tblLook w:val="04A0" w:firstRow="1" w:lastRow="0" w:firstColumn="1" w:lastColumn="0" w:noHBand="0" w:noVBand="1"/>
      </w:tblPr>
      <w:tblGrid>
        <w:gridCol w:w="6658"/>
        <w:gridCol w:w="3827"/>
      </w:tblGrid>
      <w:tr w:rsidR="000729CF" w:rsidRPr="000729CF" w14:paraId="63677841" w14:textId="77777777" w:rsidTr="000729CF">
        <w:trPr>
          <w:trHeight w:val="310"/>
        </w:trPr>
        <w:tc>
          <w:tcPr>
            <w:tcW w:w="6658" w:type="dxa"/>
            <w:shd w:val="clear" w:color="auto" w:fill="E7E6E6"/>
          </w:tcPr>
          <w:p w14:paraId="25B9E07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Age</w:t>
            </w:r>
          </w:p>
        </w:tc>
        <w:tc>
          <w:tcPr>
            <w:tcW w:w="3827" w:type="dxa"/>
          </w:tcPr>
          <w:p w14:paraId="66E4679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076D94B1" w14:textId="77777777" w:rsidTr="000729CF">
        <w:trPr>
          <w:trHeight w:val="20"/>
        </w:trPr>
        <w:tc>
          <w:tcPr>
            <w:tcW w:w="6658" w:type="dxa"/>
            <w:shd w:val="clear" w:color="auto" w:fill="E7E6E6"/>
          </w:tcPr>
          <w:p w14:paraId="137D326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Disability and inclusive adjustments, coverage under equality act and not</w:t>
            </w:r>
          </w:p>
        </w:tc>
        <w:tc>
          <w:tcPr>
            <w:tcW w:w="3827" w:type="dxa"/>
          </w:tcPr>
          <w:p w14:paraId="450261C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No </w:t>
            </w:r>
          </w:p>
        </w:tc>
      </w:tr>
      <w:tr w:rsidR="000729CF" w:rsidRPr="000729CF" w14:paraId="138644C0" w14:textId="77777777" w:rsidTr="000729CF">
        <w:trPr>
          <w:trHeight w:val="20"/>
        </w:trPr>
        <w:tc>
          <w:tcPr>
            <w:tcW w:w="6658" w:type="dxa"/>
            <w:shd w:val="clear" w:color="auto" w:fill="E7E6E6"/>
          </w:tcPr>
          <w:p w14:paraId="11EE00C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Ethnicity, ‘Race’, ethnic heritage (including Gypsy, Roma, Travellers)</w:t>
            </w:r>
          </w:p>
        </w:tc>
        <w:tc>
          <w:tcPr>
            <w:tcW w:w="3827" w:type="dxa"/>
          </w:tcPr>
          <w:p w14:paraId="72A087C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7F90E861" w14:textId="77777777" w:rsidTr="000729CF">
        <w:trPr>
          <w:trHeight w:val="20"/>
        </w:trPr>
        <w:tc>
          <w:tcPr>
            <w:tcW w:w="6658" w:type="dxa"/>
            <w:shd w:val="clear" w:color="auto" w:fill="E7E6E6"/>
          </w:tcPr>
          <w:p w14:paraId="210830A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Religion, Belief, Spirituality, Faith, or Atheism</w:t>
            </w:r>
          </w:p>
        </w:tc>
        <w:tc>
          <w:tcPr>
            <w:tcW w:w="3827" w:type="dxa"/>
          </w:tcPr>
          <w:p w14:paraId="524015C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6CF63136" w14:textId="77777777" w:rsidTr="000729CF">
        <w:trPr>
          <w:trHeight w:val="20"/>
        </w:trPr>
        <w:tc>
          <w:tcPr>
            <w:tcW w:w="6658" w:type="dxa"/>
            <w:shd w:val="clear" w:color="auto" w:fill="E7E6E6"/>
          </w:tcPr>
          <w:p w14:paraId="752FD70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Identity and Sex (including non-binary and Intersex people)</w:t>
            </w:r>
          </w:p>
        </w:tc>
        <w:tc>
          <w:tcPr>
            <w:tcW w:w="3827" w:type="dxa"/>
          </w:tcPr>
          <w:p w14:paraId="475A442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4AC72F48" w14:textId="77777777" w:rsidTr="000729CF">
        <w:trPr>
          <w:trHeight w:val="20"/>
        </w:trPr>
        <w:tc>
          <w:tcPr>
            <w:tcW w:w="6658" w:type="dxa"/>
            <w:shd w:val="clear" w:color="auto" w:fill="E7E6E6"/>
          </w:tcPr>
          <w:p w14:paraId="3BCACDA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3827" w:type="dxa"/>
          </w:tcPr>
          <w:p w14:paraId="6E40E61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1757C3DA" w14:textId="77777777" w:rsidTr="000729CF">
        <w:trPr>
          <w:trHeight w:val="20"/>
        </w:trPr>
        <w:tc>
          <w:tcPr>
            <w:tcW w:w="6658" w:type="dxa"/>
            <w:shd w:val="clear" w:color="auto" w:fill="E7E6E6"/>
          </w:tcPr>
          <w:p w14:paraId="566DC8F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3827" w:type="dxa"/>
          </w:tcPr>
          <w:p w14:paraId="4CC4074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73825C9F" w14:textId="77777777" w:rsidTr="000729CF">
        <w:trPr>
          <w:trHeight w:val="20"/>
        </w:trPr>
        <w:tc>
          <w:tcPr>
            <w:tcW w:w="6658" w:type="dxa"/>
            <w:shd w:val="clear" w:color="auto" w:fill="E7E6E6"/>
          </w:tcPr>
          <w:p w14:paraId="1D01373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3827" w:type="dxa"/>
          </w:tcPr>
          <w:p w14:paraId="52B1367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32335239" w14:textId="77777777" w:rsidTr="000729CF">
        <w:trPr>
          <w:trHeight w:val="20"/>
        </w:trPr>
        <w:tc>
          <w:tcPr>
            <w:tcW w:w="6658" w:type="dxa"/>
            <w:shd w:val="clear" w:color="auto" w:fill="E7E6E6"/>
          </w:tcPr>
          <w:p w14:paraId="6B283C3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Pregnant people, Maternity, Paternity, Adoption, Menopause, (In)fertility (across the gender spectrum)</w:t>
            </w:r>
          </w:p>
        </w:tc>
        <w:tc>
          <w:tcPr>
            <w:tcW w:w="3827" w:type="dxa"/>
          </w:tcPr>
          <w:p w14:paraId="019AFEF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3927E32F" w14:textId="77777777" w:rsidTr="000729CF">
        <w:trPr>
          <w:trHeight w:val="20"/>
        </w:trPr>
        <w:tc>
          <w:tcPr>
            <w:tcW w:w="6658" w:type="dxa"/>
            <w:shd w:val="clear" w:color="auto" w:fill="E7E6E6"/>
          </w:tcPr>
          <w:p w14:paraId="75E6130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3827" w:type="dxa"/>
          </w:tcPr>
          <w:p w14:paraId="16759D8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30958D66" w14:textId="77777777" w:rsidTr="000729CF">
        <w:trPr>
          <w:trHeight w:val="20"/>
        </w:trPr>
        <w:tc>
          <w:tcPr>
            <w:tcW w:w="6658" w:type="dxa"/>
            <w:shd w:val="clear" w:color="auto" w:fill="E7E6E6"/>
          </w:tcPr>
          <w:p w14:paraId="4A4357F1" w14:textId="77777777" w:rsidR="000729CF" w:rsidRPr="000729CF" w:rsidRDefault="000729CF" w:rsidP="000729CF">
            <w:pPr>
              <w:spacing w:after="120"/>
              <w:rPr>
                <w:rFonts w:ascii="Arial" w:hAnsi="Arial" w:cs="Arial"/>
                <w:b/>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p>
        </w:tc>
        <w:tc>
          <w:tcPr>
            <w:tcW w:w="3827" w:type="dxa"/>
          </w:tcPr>
          <w:p w14:paraId="1491988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7B180ABE" w14:textId="77777777" w:rsidTr="000729CF">
        <w:trPr>
          <w:trHeight w:val="20"/>
        </w:trPr>
        <w:tc>
          <w:tcPr>
            <w:tcW w:w="6658" w:type="dxa"/>
            <w:shd w:val="clear" w:color="auto" w:fill="E7E6E6"/>
          </w:tcPr>
          <w:p w14:paraId="745E3C6C" w14:textId="77777777" w:rsidR="000729CF" w:rsidRPr="000729CF" w:rsidRDefault="000729CF" w:rsidP="000729CF">
            <w:pPr>
              <w:spacing w:after="120"/>
              <w:rPr>
                <w:rFonts w:ascii="Arial" w:hAnsi="Arial" w:cs="Arial"/>
                <w:b/>
                <w:sz w:val="24"/>
                <w:szCs w:val="24"/>
              </w:rPr>
            </w:pPr>
            <w:r w:rsidRPr="000729CF">
              <w:rPr>
                <w:rFonts w:ascii="Arial" w:eastAsia="Calibri" w:hAnsi="Arial" w:cs="Arial"/>
                <w:b/>
                <w:bCs/>
                <w:color w:val="000000"/>
                <w:sz w:val="24"/>
                <w:szCs w:val="24"/>
              </w:rPr>
              <w:t>Carers</w:t>
            </w:r>
          </w:p>
        </w:tc>
        <w:tc>
          <w:tcPr>
            <w:tcW w:w="3827" w:type="dxa"/>
          </w:tcPr>
          <w:p w14:paraId="5E40E82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 Not applicable</w:t>
            </w:r>
          </w:p>
        </w:tc>
      </w:tr>
      <w:tr w:rsidR="000729CF" w:rsidRPr="000729CF" w14:paraId="3DB1CF73" w14:textId="77777777" w:rsidTr="000729CF">
        <w:trPr>
          <w:trHeight w:val="20"/>
        </w:trPr>
        <w:tc>
          <w:tcPr>
            <w:tcW w:w="6658" w:type="dxa"/>
            <w:shd w:val="clear" w:color="auto" w:fill="E7E6E6"/>
          </w:tcPr>
          <w:p w14:paraId="646119A6"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Looked after children, Care Leavers, Care and fostering experienced people</w:t>
            </w:r>
          </w:p>
        </w:tc>
        <w:tc>
          <w:tcPr>
            <w:tcW w:w="3827" w:type="dxa"/>
          </w:tcPr>
          <w:p w14:paraId="7C21F49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5017C72F" w14:textId="77777777" w:rsidTr="000729CF">
        <w:trPr>
          <w:trHeight w:val="20"/>
        </w:trPr>
        <w:tc>
          <w:tcPr>
            <w:tcW w:w="6658" w:type="dxa"/>
            <w:shd w:val="clear" w:color="auto" w:fill="E7E6E6"/>
          </w:tcPr>
          <w:p w14:paraId="6970536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 and people in vulnerable situations (All aspects and intersections)</w:t>
            </w:r>
          </w:p>
        </w:tc>
        <w:tc>
          <w:tcPr>
            <w:tcW w:w="3827" w:type="dxa"/>
          </w:tcPr>
          <w:p w14:paraId="153C947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r>
      <w:tr w:rsidR="000729CF" w:rsidRPr="000729CF" w14:paraId="228CD9CF" w14:textId="77777777" w:rsidTr="000729CF">
        <w:trPr>
          <w:trHeight w:val="20"/>
        </w:trPr>
        <w:tc>
          <w:tcPr>
            <w:tcW w:w="6658" w:type="dxa"/>
            <w:shd w:val="clear" w:color="auto" w:fill="E7E6E6"/>
          </w:tcPr>
          <w:p w14:paraId="3B4133E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Socio-economic Disadvantage</w:t>
            </w:r>
          </w:p>
        </w:tc>
        <w:tc>
          <w:tcPr>
            <w:tcW w:w="3827" w:type="dxa"/>
          </w:tcPr>
          <w:p w14:paraId="4F704ED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101D02AF" w14:textId="77777777" w:rsidTr="000729CF">
        <w:trPr>
          <w:trHeight w:val="20"/>
        </w:trPr>
        <w:tc>
          <w:tcPr>
            <w:tcW w:w="6658" w:type="dxa"/>
            <w:shd w:val="clear" w:color="auto" w:fill="E7E6E6"/>
          </w:tcPr>
          <w:p w14:paraId="108C95E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Homelessness and associated risk and vulnerability</w:t>
            </w:r>
          </w:p>
        </w:tc>
        <w:tc>
          <w:tcPr>
            <w:tcW w:w="3827" w:type="dxa"/>
          </w:tcPr>
          <w:p w14:paraId="7C60294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2A5353C4" w14:textId="77777777" w:rsidTr="000729CF">
        <w:trPr>
          <w:trHeight w:val="20"/>
        </w:trPr>
        <w:tc>
          <w:tcPr>
            <w:tcW w:w="6658" w:type="dxa"/>
            <w:shd w:val="clear" w:color="auto" w:fill="E7E6E6"/>
          </w:tcPr>
          <w:p w14:paraId="43FC9E5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3827" w:type="dxa"/>
          </w:tcPr>
          <w:p w14:paraId="4D53FE6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626FD6E4" w14:textId="77777777" w:rsidTr="000729CF">
        <w:trPr>
          <w:trHeight w:val="20"/>
        </w:trPr>
        <w:tc>
          <w:tcPr>
            <w:tcW w:w="6658" w:type="dxa"/>
            <w:shd w:val="clear" w:color="auto" w:fill="E7E6E6"/>
          </w:tcPr>
          <w:p w14:paraId="59C14F5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 (please specify here and add additional rows as needed)</w:t>
            </w:r>
          </w:p>
        </w:tc>
        <w:tc>
          <w:tcPr>
            <w:tcW w:w="3827" w:type="dxa"/>
          </w:tcPr>
          <w:p w14:paraId="680D548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 Not applicable</w:t>
            </w:r>
          </w:p>
        </w:tc>
      </w:tr>
    </w:tbl>
    <w:p w14:paraId="7793D698" w14:textId="77777777" w:rsidR="000729CF" w:rsidRPr="000729CF" w:rsidRDefault="000729CF" w:rsidP="000729CF">
      <w:pPr>
        <w:rPr>
          <w:rFonts w:ascii="Arial" w:eastAsia="Calibri" w:hAnsi="Arial" w:cs="Arial"/>
          <w:sz w:val="24"/>
          <w:szCs w:val="24"/>
          <w:lang w:val="en-GB"/>
        </w:rPr>
      </w:pPr>
    </w:p>
    <w:p w14:paraId="7D9C8964"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794FAB0C"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0061F6F4"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494BB167"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77E19030"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23656C83"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0500A6CC"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050BA559"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2AD2F484"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79FB33BB"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34FC8D96" w14:textId="77777777" w:rsidR="000729CF" w:rsidRPr="000729CF" w:rsidRDefault="000729CF" w:rsidP="000729CF">
      <w:pPr>
        <w:rPr>
          <w:rFonts w:ascii="Arial" w:eastAsia="Calibri" w:hAnsi="Arial" w:cs="Arial"/>
          <w:sz w:val="24"/>
          <w:szCs w:val="24"/>
          <w:lang w:val="en-GB"/>
        </w:rPr>
      </w:pPr>
    </w:p>
    <w:p w14:paraId="57D088AF"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If you answered “NO” to any of the above, how will you gather this data to enable improved monitoring of impact for this proposal?</w:t>
      </w:r>
    </w:p>
    <w:tbl>
      <w:tblPr>
        <w:tblStyle w:val="TableGrid"/>
        <w:tblW w:w="0" w:type="auto"/>
        <w:tblLook w:val="04A0" w:firstRow="1" w:lastRow="0" w:firstColumn="1" w:lastColumn="0" w:noHBand="0" w:noVBand="1"/>
      </w:tblPr>
      <w:tblGrid>
        <w:gridCol w:w="10456"/>
      </w:tblGrid>
      <w:tr w:rsidR="000729CF" w:rsidRPr="000729CF" w14:paraId="2748A065" w14:textId="77777777" w:rsidTr="00BC26AB">
        <w:trPr>
          <w:trHeight w:val="757"/>
        </w:trPr>
        <w:tc>
          <w:tcPr>
            <w:tcW w:w="10456" w:type="dxa"/>
          </w:tcPr>
          <w:p w14:paraId="76188F9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Customer enquiries/complaints</w:t>
            </w:r>
          </w:p>
        </w:tc>
      </w:tr>
    </w:tbl>
    <w:p w14:paraId="283DF9C4" w14:textId="77777777" w:rsidR="000729CF" w:rsidRPr="000729CF" w:rsidRDefault="000729CF" w:rsidP="000729CF">
      <w:pPr>
        <w:rPr>
          <w:rFonts w:ascii="Arial" w:eastAsia="Calibri" w:hAnsi="Arial" w:cs="Arial"/>
          <w:sz w:val="24"/>
          <w:szCs w:val="24"/>
          <w:lang w:val="en-GB"/>
        </w:rPr>
      </w:pPr>
    </w:p>
    <w:p w14:paraId="6CA39B15" w14:textId="77777777" w:rsidR="000729CF" w:rsidRPr="000729CF" w:rsidRDefault="000729CF" w:rsidP="000729CF">
      <w:pPr>
        <w:rPr>
          <w:rFonts w:ascii="Arial" w:eastAsia="Calibri" w:hAnsi="Arial" w:cs="Arial"/>
          <w:sz w:val="24"/>
          <w:szCs w:val="24"/>
          <w:lang w:val="en-GB"/>
        </w:rPr>
      </w:pPr>
    </w:p>
    <w:p w14:paraId="5B816E63"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are the arrangements for monitoring, and reviewing the impact of this proposal?</w:t>
      </w:r>
    </w:p>
    <w:tbl>
      <w:tblPr>
        <w:tblStyle w:val="TableGrid"/>
        <w:tblW w:w="0" w:type="auto"/>
        <w:tblLook w:val="04A0" w:firstRow="1" w:lastRow="0" w:firstColumn="1" w:lastColumn="0" w:noHBand="0" w:noVBand="1"/>
      </w:tblPr>
      <w:tblGrid>
        <w:gridCol w:w="10456"/>
      </w:tblGrid>
      <w:tr w:rsidR="000729CF" w:rsidRPr="000729CF" w14:paraId="0A00D664" w14:textId="77777777" w:rsidTr="00BC26AB">
        <w:trPr>
          <w:trHeight w:val="757"/>
        </w:trPr>
        <w:tc>
          <w:tcPr>
            <w:tcW w:w="10456" w:type="dxa"/>
          </w:tcPr>
          <w:p w14:paraId="0F74AC4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Budget monitoring regarding loss of income</w:t>
            </w:r>
          </w:p>
        </w:tc>
      </w:tr>
    </w:tbl>
    <w:p w14:paraId="5D2D6436" w14:textId="77777777" w:rsidR="000729CF" w:rsidRPr="000729CF" w:rsidRDefault="000729CF" w:rsidP="000729CF">
      <w:pPr>
        <w:rPr>
          <w:rFonts w:ascii="Arial" w:eastAsia="Calibri" w:hAnsi="Arial" w:cs="Arial"/>
          <w:sz w:val="24"/>
          <w:szCs w:val="24"/>
          <w:lang w:val="en-GB"/>
        </w:rPr>
      </w:pPr>
    </w:p>
    <w:p w14:paraId="316A5A10" w14:textId="77777777" w:rsidR="000729CF" w:rsidRPr="000729CF" w:rsidRDefault="000729CF" w:rsidP="000729CF">
      <w:pPr>
        <w:rPr>
          <w:rFonts w:ascii="Arial" w:eastAsia="Calibri" w:hAnsi="Arial" w:cs="Arial"/>
          <w:sz w:val="24"/>
          <w:szCs w:val="24"/>
          <w:lang w:val="en-GB"/>
        </w:rPr>
      </w:pPr>
    </w:p>
    <w:p w14:paraId="580DE79C"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Impacts</w:t>
      </w:r>
    </w:p>
    <w:p w14:paraId="287B36AC"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Briefly state source of data or data analysis being used to describe the </w:t>
      </w:r>
      <w:r w:rsidRPr="000729CF">
        <w:rPr>
          <w:rFonts w:ascii="Arial" w:eastAsia="Calibri" w:hAnsi="Arial" w:cs="Arial"/>
          <w:color w:val="000000"/>
          <w:sz w:val="24"/>
          <w:szCs w:val="24"/>
          <w:bdr w:val="none" w:sz="0" w:space="0" w:color="auto" w:frame="1"/>
          <w:lang w:val="en-GB"/>
        </w:rPr>
        <w:t xml:space="preserve">disproportionate negative impacts. </w:t>
      </w:r>
      <w:r w:rsidRPr="000729CF">
        <w:rPr>
          <w:rFonts w:ascii="Arial" w:eastAsia="Calibri" w:hAnsi="Arial" w:cs="Arial"/>
          <w:sz w:val="24"/>
          <w:szCs w:val="24"/>
          <w:lang w:val="en-GB"/>
        </w:rPr>
        <w:t xml:space="preserve">Preferably provide link to data/ analysis if open data source. </w:t>
      </w:r>
    </w:p>
    <w:tbl>
      <w:tblPr>
        <w:tblStyle w:val="TableGrid"/>
        <w:tblW w:w="10485" w:type="dxa"/>
        <w:tblLook w:val="04A0" w:firstRow="1" w:lastRow="0" w:firstColumn="1" w:lastColumn="0" w:noHBand="0" w:noVBand="1"/>
      </w:tblPr>
      <w:tblGrid>
        <w:gridCol w:w="2985"/>
        <w:gridCol w:w="2123"/>
        <w:gridCol w:w="5377"/>
      </w:tblGrid>
      <w:tr w:rsidR="000729CF" w:rsidRPr="000729CF" w14:paraId="7DC87383" w14:textId="77777777" w:rsidTr="000729CF">
        <w:trPr>
          <w:trHeight w:val="20"/>
        </w:trPr>
        <w:tc>
          <w:tcPr>
            <w:tcW w:w="2985" w:type="dxa"/>
            <w:shd w:val="clear" w:color="auto" w:fill="E7E6E6"/>
          </w:tcPr>
          <w:p w14:paraId="19ED26A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Assess impact for different population groups</w:t>
            </w:r>
          </w:p>
        </w:tc>
        <w:tc>
          <w:tcPr>
            <w:tcW w:w="2123" w:type="dxa"/>
            <w:shd w:val="clear" w:color="auto" w:fill="E7E6E6"/>
          </w:tcPr>
          <w:p w14:paraId="39F070B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Is there a possible disproportionate negative impact? </w:t>
            </w:r>
          </w:p>
          <w:p w14:paraId="58200D97" w14:textId="77777777" w:rsidR="000729CF" w:rsidRPr="000729CF" w:rsidRDefault="000729CF" w:rsidP="000729CF">
            <w:pPr>
              <w:spacing w:after="120"/>
              <w:rPr>
                <w:rFonts w:ascii="Arial" w:eastAsia="Calibri" w:hAnsi="Arial" w:cs="Arial"/>
                <w:b/>
                <w:bCs/>
                <w:sz w:val="24"/>
                <w:szCs w:val="24"/>
              </w:rPr>
            </w:pPr>
          </w:p>
          <w:p w14:paraId="60B64B2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b/>
                <w:bCs/>
                <w:sz w:val="24"/>
                <w:szCs w:val="24"/>
              </w:rPr>
              <w:t>State Yes or No</w:t>
            </w:r>
          </w:p>
        </w:tc>
        <w:tc>
          <w:tcPr>
            <w:tcW w:w="5377" w:type="dxa"/>
            <w:shd w:val="clear" w:color="auto" w:fill="E7E6E6"/>
          </w:tcPr>
          <w:p w14:paraId="4C6DBCD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Describe the potential negative impact, considering for differences within groups For example, different ethnic groups, and peoples intersecting identities e.g. disabled women of faith</w:t>
            </w:r>
          </w:p>
          <w:p w14:paraId="28F3056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OR</w:t>
            </w:r>
          </w:p>
          <w:p w14:paraId="0E235D8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If no impact is identified, briefly state why.</w:t>
            </w:r>
          </w:p>
        </w:tc>
      </w:tr>
      <w:tr w:rsidR="000729CF" w:rsidRPr="000729CF" w14:paraId="10F69399" w14:textId="77777777" w:rsidTr="000729CF">
        <w:trPr>
          <w:trHeight w:val="20"/>
        </w:trPr>
        <w:tc>
          <w:tcPr>
            <w:tcW w:w="2985" w:type="dxa"/>
            <w:shd w:val="clear" w:color="auto" w:fill="E7E6E6"/>
          </w:tcPr>
          <w:p w14:paraId="0E04568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Age </w:t>
            </w:r>
          </w:p>
          <w:p w14:paraId="5777A50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sz w:val="24"/>
                <w:szCs w:val="24"/>
              </w:rPr>
              <w:t>including those under 16, young adults, multiple ethnicities, those with various intersections.</w:t>
            </w:r>
          </w:p>
        </w:tc>
        <w:tc>
          <w:tcPr>
            <w:tcW w:w="2123" w:type="dxa"/>
          </w:tcPr>
          <w:p w14:paraId="2403A5D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3AFCD7F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significant impacts this is a fee charging service There are alternative providers available</w:t>
            </w:r>
          </w:p>
        </w:tc>
      </w:tr>
      <w:tr w:rsidR="000729CF" w:rsidRPr="000729CF" w14:paraId="0D539A59" w14:textId="77777777" w:rsidTr="000729CF">
        <w:trPr>
          <w:trHeight w:val="20"/>
        </w:trPr>
        <w:tc>
          <w:tcPr>
            <w:tcW w:w="2985" w:type="dxa"/>
            <w:shd w:val="clear" w:color="auto" w:fill="E7E6E6"/>
          </w:tcPr>
          <w:p w14:paraId="5E891F22"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 xml:space="preserve">Disability </w:t>
            </w:r>
            <w:r w:rsidRPr="000729CF">
              <w:rPr>
                <w:rFonts w:ascii="Arial" w:eastAsia="Calibri" w:hAnsi="Arial" w:cs="Arial"/>
                <w:sz w:val="24"/>
                <w:szCs w:val="24"/>
              </w:rPr>
              <w:t>includes physical and sensory disabled, D/deaf, deafened, hard of hearing, blind, neurodiverse people, people with non-visible disabilities.</w:t>
            </w:r>
          </w:p>
        </w:tc>
        <w:tc>
          <w:tcPr>
            <w:tcW w:w="2123" w:type="dxa"/>
          </w:tcPr>
          <w:p w14:paraId="4D7C514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354759F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significant impacts this is a fee charging service There are alternative providers available</w:t>
            </w:r>
          </w:p>
        </w:tc>
      </w:tr>
      <w:tr w:rsidR="000729CF" w:rsidRPr="000729CF" w14:paraId="220683F4" w14:textId="77777777" w:rsidTr="000729CF">
        <w:trPr>
          <w:trHeight w:val="20"/>
        </w:trPr>
        <w:tc>
          <w:tcPr>
            <w:tcW w:w="2985" w:type="dxa"/>
            <w:shd w:val="clear" w:color="auto" w:fill="E7E6E6"/>
          </w:tcPr>
          <w:p w14:paraId="5B550998" w14:textId="77777777" w:rsidR="000729CF" w:rsidRPr="000729CF" w:rsidRDefault="000729CF" w:rsidP="000729CF">
            <w:pPr>
              <w:keepNext/>
              <w:keepLines/>
              <w:spacing w:before="40"/>
              <w:outlineLvl w:val="2"/>
              <w:rPr>
                <w:rFonts w:ascii="Arial" w:hAnsi="Arial" w:cs="Arial"/>
                <w:color w:val="1F3763"/>
                <w:sz w:val="24"/>
                <w:szCs w:val="24"/>
              </w:rPr>
            </w:pPr>
            <w:r w:rsidRPr="000729CF">
              <w:rPr>
                <w:rFonts w:ascii="Arial" w:hAnsi="Arial" w:cs="Arial"/>
                <w:b/>
                <w:bCs/>
                <w:color w:val="000000"/>
                <w:sz w:val="24"/>
                <w:szCs w:val="24"/>
              </w:rPr>
              <w:t>Ethnicity, ‘</w:t>
            </w:r>
            <w:r w:rsidRPr="000729CF">
              <w:rPr>
                <w:rFonts w:ascii="Arial" w:hAnsi="Arial" w:cs="Arial"/>
                <w:color w:val="000000"/>
                <w:sz w:val="24"/>
                <w:szCs w:val="24"/>
              </w:rPr>
              <w:t>Race’, ethnic heritage including Gypsy, Roma, Travellers</w:t>
            </w:r>
          </w:p>
        </w:tc>
        <w:tc>
          <w:tcPr>
            <w:tcW w:w="2123" w:type="dxa"/>
          </w:tcPr>
          <w:p w14:paraId="685DEE1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7683314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significant impacts this is a fee charging service There are alternative providers available</w:t>
            </w:r>
          </w:p>
        </w:tc>
      </w:tr>
      <w:tr w:rsidR="000729CF" w:rsidRPr="000729CF" w14:paraId="1367BFFB" w14:textId="77777777" w:rsidTr="000729CF">
        <w:trPr>
          <w:trHeight w:val="20"/>
        </w:trPr>
        <w:tc>
          <w:tcPr>
            <w:tcW w:w="2985" w:type="dxa"/>
            <w:shd w:val="clear" w:color="auto" w:fill="E7E6E6"/>
          </w:tcPr>
          <w:p w14:paraId="6F00F79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Religion, Spirituality, Faith, Atheism, and philosophical belief </w:t>
            </w:r>
          </w:p>
        </w:tc>
        <w:tc>
          <w:tcPr>
            <w:tcW w:w="2123" w:type="dxa"/>
          </w:tcPr>
          <w:p w14:paraId="13272E6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612CEC0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significant impacts this is a fee charging service There are alternative providers available</w:t>
            </w:r>
          </w:p>
        </w:tc>
      </w:tr>
      <w:tr w:rsidR="000729CF" w:rsidRPr="000729CF" w14:paraId="11B19D76" w14:textId="77777777" w:rsidTr="000729CF">
        <w:trPr>
          <w:trHeight w:val="20"/>
        </w:trPr>
        <w:tc>
          <w:tcPr>
            <w:tcW w:w="2985" w:type="dxa"/>
            <w:shd w:val="clear" w:color="auto" w:fill="E7E6E6"/>
          </w:tcPr>
          <w:p w14:paraId="0E3CC83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Gender and Sex </w:t>
            </w:r>
            <w:r w:rsidRPr="000729CF">
              <w:rPr>
                <w:rFonts w:ascii="Arial" w:eastAsia="Calibri" w:hAnsi="Arial" w:cs="Arial"/>
                <w:sz w:val="24"/>
                <w:szCs w:val="24"/>
              </w:rPr>
              <w:t>including non-binary and intersex people</w:t>
            </w:r>
          </w:p>
        </w:tc>
        <w:tc>
          <w:tcPr>
            <w:tcW w:w="2123" w:type="dxa"/>
          </w:tcPr>
          <w:p w14:paraId="4CD8C8A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3395B79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significant impacts this is a fee charging service There are alternative providers available</w:t>
            </w:r>
          </w:p>
        </w:tc>
      </w:tr>
      <w:tr w:rsidR="000729CF" w:rsidRPr="000729CF" w14:paraId="7CA32632" w14:textId="77777777" w:rsidTr="000729CF">
        <w:trPr>
          <w:trHeight w:val="20"/>
        </w:trPr>
        <w:tc>
          <w:tcPr>
            <w:tcW w:w="2985" w:type="dxa"/>
            <w:shd w:val="clear" w:color="auto" w:fill="E7E6E6"/>
          </w:tcPr>
          <w:p w14:paraId="65F27DC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2123" w:type="dxa"/>
          </w:tcPr>
          <w:p w14:paraId="22D000D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20BC8E1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significant impacts this is a fee charging service There are alternative providers available</w:t>
            </w:r>
          </w:p>
        </w:tc>
      </w:tr>
      <w:tr w:rsidR="000729CF" w:rsidRPr="000729CF" w14:paraId="5949B899" w14:textId="77777777" w:rsidTr="000729CF">
        <w:trPr>
          <w:trHeight w:val="20"/>
        </w:trPr>
        <w:tc>
          <w:tcPr>
            <w:tcW w:w="2985" w:type="dxa"/>
            <w:shd w:val="clear" w:color="auto" w:fill="E7E6E6"/>
          </w:tcPr>
          <w:p w14:paraId="19FD4E5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2123" w:type="dxa"/>
          </w:tcPr>
          <w:p w14:paraId="25B2408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426289B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significant impacts this is a fee charging service There are alternative providers available</w:t>
            </w:r>
          </w:p>
        </w:tc>
      </w:tr>
      <w:tr w:rsidR="000729CF" w:rsidRPr="000729CF" w14:paraId="7DF7A324" w14:textId="77777777" w:rsidTr="000729CF">
        <w:trPr>
          <w:trHeight w:val="20"/>
        </w:trPr>
        <w:tc>
          <w:tcPr>
            <w:tcW w:w="2985" w:type="dxa"/>
            <w:shd w:val="clear" w:color="auto" w:fill="E7E6E6"/>
          </w:tcPr>
          <w:p w14:paraId="7C3BA93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2123" w:type="dxa"/>
          </w:tcPr>
          <w:p w14:paraId="17D852F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60F3A46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significant impacts this is a fee charging service There are alternative providers available</w:t>
            </w:r>
          </w:p>
        </w:tc>
      </w:tr>
      <w:tr w:rsidR="000729CF" w:rsidRPr="000729CF" w14:paraId="12B8BEFE" w14:textId="77777777" w:rsidTr="000729CF">
        <w:trPr>
          <w:trHeight w:val="20"/>
        </w:trPr>
        <w:tc>
          <w:tcPr>
            <w:tcW w:w="2985" w:type="dxa"/>
            <w:shd w:val="clear" w:color="auto" w:fill="E7E6E6"/>
          </w:tcPr>
          <w:p w14:paraId="203A891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Pregnancy, Maternity, Paternity, Adoption, Menopause, (In)fertility </w:t>
            </w:r>
            <w:r w:rsidRPr="000729CF">
              <w:rPr>
                <w:rFonts w:ascii="Arial" w:eastAsia="Calibri" w:hAnsi="Arial" w:cs="Arial"/>
                <w:color w:val="000000"/>
                <w:sz w:val="24"/>
                <w:szCs w:val="24"/>
              </w:rPr>
              <w:t>(across intersections and non-binary gender spectrum)</w:t>
            </w:r>
          </w:p>
        </w:tc>
        <w:tc>
          <w:tcPr>
            <w:tcW w:w="2123" w:type="dxa"/>
          </w:tcPr>
          <w:p w14:paraId="00AA690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248B654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significant impacts this is a fee charging service There are alternative providers available</w:t>
            </w:r>
          </w:p>
        </w:tc>
      </w:tr>
      <w:tr w:rsidR="000729CF" w:rsidRPr="000729CF" w14:paraId="66A49236" w14:textId="77777777" w:rsidTr="000729CF">
        <w:trPr>
          <w:trHeight w:val="20"/>
        </w:trPr>
        <w:tc>
          <w:tcPr>
            <w:tcW w:w="2985" w:type="dxa"/>
            <w:shd w:val="clear" w:color="auto" w:fill="E7E6E6"/>
          </w:tcPr>
          <w:p w14:paraId="5483DAB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2123" w:type="dxa"/>
          </w:tcPr>
          <w:p w14:paraId="616AAF2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54CD64E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significant impacts this is a fee charging service There are alternative providers available</w:t>
            </w:r>
          </w:p>
        </w:tc>
      </w:tr>
      <w:tr w:rsidR="000729CF" w:rsidRPr="000729CF" w14:paraId="61939AB1" w14:textId="77777777" w:rsidTr="000729CF">
        <w:trPr>
          <w:trHeight w:val="20"/>
        </w:trPr>
        <w:tc>
          <w:tcPr>
            <w:tcW w:w="2985" w:type="dxa"/>
            <w:shd w:val="clear" w:color="auto" w:fill="E7E6E6"/>
          </w:tcPr>
          <w:p w14:paraId="528A0678" w14:textId="77777777" w:rsidR="000729CF" w:rsidRPr="000729CF" w:rsidRDefault="000729CF" w:rsidP="000729CF">
            <w:pPr>
              <w:spacing w:after="120"/>
              <w:rPr>
                <w:rFonts w:ascii="Arial" w:eastAsia="Calibri" w:hAnsi="Arial" w:cs="Arial"/>
                <w:b/>
                <w:bCs/>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r w:rsidRPr="000729CF">
              <w:rPr>
                <w:rFonts w:ascii="Arial" w:hAnsi="Arial" w:cs="Arial"/>
                <w:color w:val="000000"/>
                <w:sz w:val="24"/>
                <w:szCs w:val="24"/>
              </w:rPr>
              <w:t>considering for age, language, and various intersections</w:t>
            </w:r>
          </w:p>
        </w:tc>
        <w:tc>
          <w:tcPr>
            <w:tcW w:w="2123" w:type="dxa"/>
          </w:tcPr>
          <w:p w14:paraId="1427162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3A8A2AA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significant impacts this is a fee charging service There are alternative providers available</w:t>
            </w:r>
          </w:p>
        </w:tc>
      </w:tr>
      <w:tr w:rsidR="000729CF" w:rsidRPr="000729CF" w14:paraId="455E1492" w14:textId="77777777" w:rsidTr="000729CF">
        <w:trPr>
          <w:trHeight w:val="20"/>
        </w:trPr>
        <w:tc>
          <w:tcPr>
            <w:tcW w:w="2985" w:type="dxa"/>
            <w:shd w:val="clear" w:color="auto" w:fill="E7E6E6"/>
          </w:tcPr>
          <w:p w14:paraId="76A2577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Carers </w:t>
            </w:r>
            <w:r w:rsidRPr="000729CF">
              <w:rPr>
                <w:rFonts w:ascii="Arial" w:hAnsi="Arial" w:cs="Arial"/>
                <w:color w:val="000000"/>
                <w:sz w:val="24"/>
                <w:szCs w:val="24"/>
              </w:rPr>
              <w:t>considering for age, language, and various intersections</w:t>
            </w:r>
          </w:p>
        </w:tc>
        <w:tc>
          <w:tcPr>
            <w:tcW w:w="2123" w:type="dxa"/>
          </w:tcPr>
          <w:p w14:paraId="4D02179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644EFD7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significant impacts this is a fee charging service There are alternative providers available</w:t>
            </w:r>
          </w:p>
        </w:tc>
      </w:tr>
      <w:tr w:rsidR="000729CF" w:rsidRPr="000729CF" w14:paraId="1C593EE2" w14:textId="77777777" w:rsidTr="000729CF">
        <w:trPr>
          <w:trHeight w:val="20"/>
        </w:trPr>
        <w:tc>
          <w:tcPr>
            <w:tcW w:w="2985" w:type="dxa"/>
            <w:shd w:val="clear" w:color="auto" w:fill="E7E6E6"/>
          </w:tcPr>
          <w:p w14:paraId="4547FF2E"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 xml:space="preserve">Looked after children, Care Leavers, Care and fostering experienced people </w:t>
            </w:r>
            <w:r w:rsidRPr="000729CF">
              <w:rPr>
                <w:rFonts w:ascii="Arial" w:hAnsi="Arial" w:cs="Arial"/>
                <w:color w:val="000000"/>
                <w:sz w:val="24"/>
                <w:szCs w:val="24"/>
              </w:rPr>
              <w:t>considering for age, language, and various intersections</w:t>
            </w:r>
          </w:p>
        </w:tc>
        <w:tc>
          <w:tcPr>
            <w:tcW w:w="2123" w:type="dxa"/>
          </w:tcPr>
          <w:p w14:paraId="76154EE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2A80701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significant impacts this is a fee charging service There are alternative providers available</w:t>
            </w:r>
          </w:p>
        </w:tc>
      </w:tr>
      <w:tr w:rsidR="000729CF" w:rsidRPr="000729CF" w14:paraId="6CDF0FEC" w14:textId="77777777" w:rsidTr="000729CF">
        <w:trPr>
          <w:trHeight w:val="20"/>
        </w:trPr>
        <w:tc>
          <w:tcPr>
            <w:tcW w:w="2985" w:type="dxa"/>
            <w:shd w:val="clear" w:color="auto" w:fill="E7E6E6"/>
          </w:tcPr>
          <w:p w14:paraId="26CE28B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w:t>
            </w:r>
          </w:p>
        </w:tc>
        <w:tc>
          <w:tcPr>
            <w:tcW w:w="2123" w:type="dxa"/>
          </w:tcPr>
          <w:p w14:paraId="4DFD9CD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15760D0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significant impacts this is a fee charging service There are alternative providers available</w:t>
            </w:r>
          </w:p>
        </w:tc>
      </w:tr>
      <w:tr w:rsidR="000729CF" w:rsidRPr="000729CF" w14:paraId="452477F0" w14:textId="77777777" w:rsidTr="000729CF">
        <w:trPr>
          <w:trHeight w:val="20"/>
        </w:trPr>
        <w:tc>
          <w:tcPr>
            <w:tcW w:w="2985" w:type="dxa"/>
            <w:shd w:val="clear" w:color="auto" w:fill="E7E6E6"/>
          </w:tcPr>
          <w:p w14:paraId="4472C20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Socio-economic disadvantage </w:t>
            </w:r>
            <w:r w:rsidRPr="000729CF">
              <w:rPr>
                <w:rFonts w:ascii="Arial" w:eastAsia="Calibri" w:hAnsi="Arial" w:cs="Arial"/>
                <w:color w:val="000000"/>
                <w:sz w:val="24"/>
                <w:szCs w:val="24"/>
              </w:rPr>
              <w:t>considering for age, disability, D/deaf/ blind, ethnicity, expatriate background, and various intersections</w:t>
            </w:r>
          </w:p>
        </w:tc>
        <w:tc>
          <w:tcPr>
            <w:tcW w:w="2123" w:type="dxa"/>
          </w:tcPr>
          <w:p w14:paraId="018A529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328F791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significant impacts this is a fee charging service There are alternative providers available</w:t>
            </w:r>
          </w:p>
        </w:tc>
      </w:tr>
      <w:tr w:rsidR="000729CF" w:rsidRPr="000729CF" w14:paraId="77C4D792" w14:textId="77777777" w:rsidTr="000729CF">
        <w:trPr>
          <w:trHeight w:val="20"/>
        </w:trPr>
        <w:tc>
          <w:tcPr>
            <w:tcW w:w="2985" w:type="dxa"/>
            <w:shd w:val="clear" w:color="auto" w:fill="E7E6E6"/>
          </w:tcPr>
          <w:p w14:paraId="231A13B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Homeless and rough sleepers </w:t>
            </w:r>
            <w:r w:rsidRPr="000729CF">
              <w:rPr>
                <w:rFonts w:ascii="Arial" w:eastAsia="Calibri" w:hAnsi="Arial" w:cs="Arial"/>
                <w:color w:val="000000"/>
                <w:sz w:val="24"/>
                <w:szCs w:val="24"/>
              </w:rPr>
              <w:t>considering for age, veteran, ethnicity, language, and various intersections</w:t>
            </w:r>
          </w:p>
        </w:tc>
        <w:tc>
          <w:tcPr>
            <w:tcW w:w="2123" w:type="dxa"/>
          </w:tcPr>
          <w:p w14:paraId="3A72DCE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63921F3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significant impacts this is a fee charging service There are alternative providers available</w:t>
            </w:r>
          </w:p>
        </w:tc>
      </w:tr>
      <w:tr w:rsidR="000729CF" w:rsidRPr="000729CF" w14:paraId="65CC1969" w14:textId="77777777" w:rsidTr="000729CF">
        <w:trPr>
          <w:trHeight w:val="20"/>
        </w:trPr>
        <w:tc>
          <w:tcPr>
            <w:tcW w:w="2985" w:type="dxa"/>
            <w:shd w:val="clear" w:color="auto" w:fill="E7E6E6"/>
          </w:tcPr>
          <w:p w14:paraId="558F04A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2123" w:type="dxa"/>
          </w:tcPr>
          <w:p w14:paraId="6AB199C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3A65932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significant impacts this is a fee charging service There are alternative providers available</w:t>
            </w:r>
          </w:p>
        </w:tc>
      </w:tr>
      <w:tr w:rsidR="000729CF" w:rsidRPr="000729CF" w14:paraId="5D72682F" w14:textId="77777777" w:rsidTr="000729CF">
        <w:trPr>
          <w:trHeight w:val="20"/>
        </w:trPr>
        <w:tc>
          <w:tcPr>
            <w:tcW w:w="2985" w:type="dxa"/>
            <w:shd w:val="clear" w:color="auto" w:fill="E7E6E6"/>
          </w:tcPr>
          <w:p w14:paraId="61F7B8D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 (please specify here and add additional rows as needed)</w:t>
            </w:r>
          </w:p>
        </w:tc>
        <w:tc>
          <w:tcPr>
            <w:tcW w:w="2123" w:type="dxa"/>
          </w:tcPr>
          <w:p w14:paraId="777B1F4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N/A</w:t>
            </w:r>
          </w:p>
        </w:tc>
        <w:tc>
          <w:tcPr>
            <w:tcW w:w="5377" w:type="dxa"/>
          </w:tcPr>
          <w:p w14:paraId="496C5E8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significant impacts this is a fee charging service There are alternative providers available</w:t>
            </w:r>
          </w:p>
        </w:tc>
      </w:tr>
    </w:tbl>
    <w:p w14:paraId="0913AD71" w14:textId="77777777" w:rsidR="000729CF" w:rsidRPr="000729CF" w:rsidRDefault="000729CF" w:rsidP="000729CF">
      <w:pPr>
        <w:spacing w:after="160" w:line="259" w:lineRule="auto"/>
        <w:rPr>
          <w:rFonts w:ascii="Arial" w:eastAsia="Calibri" w:hAnsi="Arial" w:cs="Arial"/>
          <w:b/>
          <w:bCs/>
          <w:sz w:val="24"/>
          <w:szCs w:val="24"/>
          <w:lang w:val="en-GB"/>
        </w:rPr>
      </w:pPr>
    </w:p>
    <w:p w14:paraId="52F17DC6"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1572F7D7"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769A9D96"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249C8352"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2366B622"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36660BEC"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03E420D9"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61CCDC94"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0B36F901"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56FB49AB"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014608B4" w14:textId="77777777" w:rsidR="000729CF" w:rsidRPr="000729CF" w:rsidRDefault="000729CF" w:rsidP="000729CF">
      <w:pPr>
        <w:rPr>
          <w:rFonts w:ascii="Arial" w:eastAsia="Calibri" w:hAnsi="Arial" w:cs="Arial"/>
          <w:sz w:val="24"/>
          <w:szCs w:val="24"/>
          <w:lang w:val="en-GB"/>
        </w:rPr>
      </w:pPr>
    </w:p>
    <w:p w14:paraId="76C8A439"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Cumulative impacts</w:t>
      </w:r>
    </w:p>
    <w:p w14:paraId="0A511FD0"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Are there other budget proposals from other service areas that might worsen or mitigate the impacts from your proposal? Please give a brief description including name of other service(s).</w:t>
      </w:r>
    </w:p>
    <w:tbl>
      <w:tblPr>
        <w:tblStyle w:val="TableGrid"/>
        <w:tblW w:w="0" w:type="auto"/>
        <w:tblLook w:val="04A0" w:firstRow="1" w:lastRow="0" w:firstColumn="1" w:lastColumn="0" w:noHBand="0" w:noVBand="1"/>
      </w:tblPr>
      <w:tblGrid>
        <w:gridCol w:w="10456"/>
      </w:tblGrid>
      <w:tr w:rsidR="000729CF" w:rsidRPr="000729CF" w14:paraId="1D395976" w14:textId="77777777" w:rsidTr="00BC26AB">
        <w:tc>
          <w:tcPr>
            <w:tcW w:w="10456" w:type="dxa"/>
          </w:tcPr>
          <w:p w14:paraId="653E2C60"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No</w:t>
            </w:r>
          </w:p>
        </w:tc>
      </w:tr>
    </w:tbl>
    <w:p w14:paraId="3C29BDA3" w14:textId="77777777" w:rsidR="000729CF" w:rsidRPr="000729CF" w:rsidRDefault="000729CF" w:rsidP="000729CF">
      <w:pPr>
        <w:spacing w:after="160" w:line="259" w:lineRule="auto"/>
        <w:rPr>
          <w:rFonts w:ascii="Arial" w:eastAsia="Calibri" w:hAnsi="Arial" w:cs="Arial"/>
          <w:sz w:val="24"/>
          <w:szCs w:val="24"/>
          <w:lang w:val="en-GB"/>
        </w:rPr>
      </w:pPr>
    </w:p>
    <w:p w14:paraId="285CF1C7"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Action planning</w:t>
      </w:r>
    </w:p>
    <w:p w14:paraId="10B437C9"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SMART actions will be taken to mitigate the disproportionate impacts identified in section 3? If no mitigating action is possible, please state and explain why. Add additional rows as required. </w:t>
      </w:r>
    </w:p>
    <w:tbl>
      <w:tblPr>
        <w:tblStyle w:val="TableGrid"/>
        <w:tblW w:w="0" w:type="auto"/>
        <w:tblLook w:val="04A0" w:firstRow="1" w:lastRow="0" w:firstColumn="1" w:lastColumn="0" w:noHBand="0" w:noVBand="1"/>
      </w:tblPr>
      <w:tblGrid>
        <w:gridCol w:w="10456"/>
      </w:tblGrid>
      <w:tr w:rsidR="000729CF" w:rsidRPr="000729CF" w14:paraId="0AEE108A" w14:textId="77777777" w:rsidTr="00BC26AB">
        <w:trPr>
          <w:trHeight w:val="847"/>
        </w:trPr>
        <w:tc>
          <w:tcPr>
            <w:tcW w:w="10456" w:type="dxa"/>
          </w:tcPr>
          <w:p w14:paraId="6CCCE15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mitigation actions are available due to: this is a fee charging service alternative providers are available</w:t>
            </w:r>
          </w:p>
        </w:tc>
      </w:tr>
    </w:tbl>
    <w:p w14:paraId="69FD45B0" w14:textId="77777777" w:rsidR="000729CF" w:rsidRPr="000729CF" w:rsidRDefault="000729CF" w:rsidP="000729CF">
      <w:pPr>
        <w:spacing w:after="160" w:line="259" w:lineRule="auto"/>
        <w:rPr>
          <w:rFonts w:ascii="Arial" w:eastAsia="Calibri" w:hAnsi="Arial" w:cs="Arial"/>
          <w:sz w:val="24"/>
          <w:szCs w:val="24"/>
          <w:lang w:val="en-GB"/>
        </w:rPr>
      </w:pPr>
    </w:p>
    <w:p w14:paraId="34675CAF"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Outcome of your assessment</w:t>
      </w:r>
    </w:p>
    <w:p w14:paraId="7C5B870D"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Based on the information above give the proposal an impact score between 1 – 5. </w:t>
      </w:r>
    </w:p>
    <w:p w14:paraId="5E5909FD"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1= proposal has minimal impact and/or mitigating actions will significantly minimise the impact</w:t>
      </w:r>
    </w:p>
    <w:p w14:paraId="18E109F3"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3= proposal will have a significant negative impact; however, mitigation actions will reduce the impact considerably.</w:t>
      </w:r>
    </w:p>
    <w:p w14:paraId="0C477D5B"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5= proposal has significant impact and mitigating actions will have limited effect on reducing impact.</w:t>
      </w:r>
    </w:p>
    <w:p w14:paraId="2DA0C9E0" w14:textId="77777777" w:rsidR="000729CF" w:rsidRPr="000729CF" w:rsidRDefault="000729CF" w:rsidP="000729CF">
      <w:pPr>
        <w:rPr>
          <w:rFonts w:ascii="Arial" w:eastAsia="Calibri" w:hAnsi="Arial" w:cs="Arial"/>
          <w:sz w:val="24"/>
          <w:szCs w:val="24"/>
          <w:highlight w:val="yellow"/>
          <w:lang w:val="en-GB"/>
        </w:rPr>
      </w:pPr>
    </w:p>
    <w:tbl>
      <w:tblPr>
        <w:tblStyle w:val="TableGrid"/>
        <w:tblW w:w="0" w:type="auto"/>
        <w:tblLook w:val="04A0" w:firstRow="1" w:lastRow="0" w:firstColumn="1" w:lastColumn="0" w:noHBand="0" w:noVBand="1"/>
      </w:tblPr>
      <w:tblGrid>
        <w:gridCol w:w="3114"/>
        <w:gridCol w:w="7342"/>
      </w:tblGrid>
      <w:tr w:rsidR="000729CF" w:rsidRPr="000729CF" w14:paraId="61023D42" w14:textId="77777777" w:rsidTr="00BC26AB">
        <w:trPr>
          <w:trHeight w:val="152"/>
        </w:trPr>
        <w:tc>
          <w:tcPr>
            <w:tcW w:w="3114" w:type="dxa"/>
          </w:tcPr>
          <w:p w14:paraId="0C6D6A9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Proposal’s impact score:</w:t>
            </w:r>
          </w:p>
        </w:tc>
        <w:tc>
          <w:tcPr>
            <w:tcW w:w="7342" w:type="dxa"/>
          </w:tcPr>
          <w:p w14:paraId="5C9F295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1</w:t>
            </w:r>
          </w:p>
        </w:tc>
      </w:tr>
    </w:tbl>
    <w:p w14:paraId="2DF4E578" w14:textId="77777777" w:rsidR="000729CF" w:rsidRPr="000729CF" w:rsidRDefault="000729CF" w:rsidP="000729CF">
      <w:pPr>
        <w:spacing w:after="160" w:line="259" w:lineRule="auto"/>
        <w:rPr>
          <w:rFonts w:ascii="Arial" w:eastAsia="Calibri" w:hAnsi="Arial" w:cs="Arial"/>
          <w:sz w:val="24"/>
          <w:szCs w:val="24"/>
          <w:lang w:val="en-GB"/>
        </w:rPr>
      </w:pPr>
    </w:p>
    <w:p w14:paraId="2713F3ED"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Publication</w:t>
      </w:r>
    </w:p>
    <w:p w14:paraId="4381A1F1"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All Equality Impact Assessments will be published. If you are recommending, and choosing not to publish your EIA, please provide a reason:</w:t>
      </w:r>
    </w:p>
    <w:tbl>
      <w:tblPr>
        <w:tblStyle w:val="TableGrid"/>
        <w:tblW w:w="0" w:type="auto"/>
        <w:tblLook w:val="04A0" w:firstRow="1" w:lastRow="0" w:firstColumn="1" w:lastColumn="0" w:noHBand="0" w:noVBand="1"/>
      </w:tblPr>
      <w:tblGrid>
        <w:gridCol w:w="10456"/>
      </w:tblGrid>
      <w:tr w:rsidR="000729CF" w:rsidRPr="000729CF" w14:paraId="1173B1B0" w14:textId="77777777" w:rsidTr="00BC26AB">
        <w:trPr>
          <w:trHeight w:val="803"/>
        </w:trPr>
        <w:tc>
          <w:tcPr>
            <w:tcW w:w="10456" w:type="dxa"/>
          </w:tcPr>
          <w:p w14:paraId="5F2E6208" w14:textId="77777777" w:rsidR="000729CF" w:rsidRPr="000729CF" w:rsidRDefault="000729CF" w:rsidP="000729CF">
            <w:pPr>
              <w:spacing w:after="120"/>
              <w:rPr>
                <w:rFonts w:ascii="Arial" w:eastAsia="Calibri" w:hAnsi="Arial" w:cs="Arial"/>
                <w:sz w:val="24"/>
                <w:szCs w:val="24"/>
              </w:rPr>
            </w:pPr>
          </w:p>
        </w:tc>
      </w:tr>
    </w:tbl>
    <w:p w14:paraId="1E746C2E" w14:textId="77777777" w:rsidR="000729CF" w:rsidRPr="000729CF" w:rsidRDefault="000729CF" w:rsidP="000729CF">
      <w:pPr>
        <w:spacing w:after="160" w:line="259" w:lineRule="auto"/>
        <w:rPr>
          <w:rFonts w:ascii="Arial" w:eastAsia="Calibri" w:hAnsi="Arial" w:cs="Arial"/>
          <w:sz w:val="24"/>
          <w:szCs w:val="24"/>
          <w:lang w:val="en-GB"/>
        </w:rPr>
      </w:pPr>
    </w:p>
    <w:p w14:paraId="7366DFDF"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Directorate and Service Approval</w:t>
      </w:r>
    </w:p>
    <w:tbl>
      <w:tblPr>
        <w:tblStyle w:val="TableGrid"/>
        <w:tblW w:w="0" w:type="auto"/>
        <w:tblLook w:val="04A0" w:firstRow="1" w:lastRow="0" w:firstColumn="1" w:lastColumn="0" w:noHBand="0" w:noVBand="1"/>
      </w:tblPr>
      <w:tblGrid>
        <w:gridCol w:w="3681"/>
        <w:gridCol w:w="4394"/>
        <w:gridCol w:w="2381"/>
      </w:tblGrid>
      <w:tr w:rsidR="000729CF" w:rsidRPr="000729CF" w14:paraId="3B36EB3B" w14:textId="77777777" w:rsidTr="000729CF">
        <w:trPr>
          <w:trHeight w:val="20"/>
        </w:trPr>
        <w:tc>
          <w:tcPr>
            <w:tcW w:w="3681" w:type="dxa"/>
            <w:tcBorders>
              <w:bottom w:val="single" w:sz="4" w:space="0" w:color="auto"/>
            </w:tcBorders>
            <w:shd w:val="clear" w:color="auto" w:fill="D9D9D9"/>
          </w:tcPr>
          <w:p w14:paraId="4CA772E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4EF11DA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 and Job Title:</w:t>
            </w:r>
          </w:p>
        </w:tc>
        <w:tc>
          <w:tcPr>
            <w:tcW w:w="2381" w:type="dxa"/>
            <w:shd w:val="clear" w:color="auto" w:fill="D9D9D9"/>
          </w:tcPr>
          <w:p w14:paraId="130B7FE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28343F62" w14:textId="77777777" w:rsidTr="000729CF">
        <w:trPr>
          <w:trHeight w:val="20"/>
        </w:trPr>
        <w:tc>
          <w:tcPr>
            <w:tcW w:w="3681" w:type="dxa"/>
            <w:shd w:val="clear" w:color="auto" w:fill="E7E6E6"/>
          </w:tcPr>
          <w:p w14:paraId="44EB0B4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Responsible Lead Officer:</w:t>
            </w:r>
          </w:p>
        </w:tc>
        <w:tc>
          <w:tcPr>
            <w:tcW w:w="4394" w:type="dxa"/>
          </w:tcPr>
          <w:p w14:paraId="081B87C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Jo Player</w:t>
            </w:r>
          </w:p>
        </w:tc>
        <w:tc>
          <w:tcPr>
            <w:tcW w:w="2381" w:type="dxa"/>
          </w:tcPr>
          <w:p w14:paraId="23344B2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17/01/2024</w:t>
            </w:r>
          </w:p>
        </w:tc>
      </w:tr>
      <w:tr w:rsidR="000729CF" w:rsidRPr="000729CF" w14:paraId="3F26BB2C" w14:textId="77777777" w:rsidTr="000729CF">
        <w:trPr>
          <w:trHeight w:val="20"/>
        </w:trPr>
        <w:tc>
          <w:tcPr>
            <w:tcW w:w="3681" w:type="dxa"/>
            <w:shd w:val="clear" w:color="auto" w:fill="E7E6E6"/>
          </w:tcPr>
          <w:p w14:paraId="7770641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Accountable Manager:</w:t>
            </w:r>
          </w:p>
        </w:tc>
        <w:tc>
          <w:tcPr>
            <w:tcW w:w="4394" w:type="dxa"/>
          </w:tcPr>
          <w:p w14:paraId="2DBDEB1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Rachel Sharpe</w:t>
            </w:r>
          </w:p>
        </w:tc>
        <w:tc>
          <w:tcPr>
            <w:tcW w:w="2381" w:type="dxa"/>
          </w:tcPr>
          <w:p w14:paraId="69F034C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24-01-24</w:t>
            </w:r>
          </w:p>
        </w:tc>
      </w:tr>
    </w:tbl>
    <w:p w14:paraId="4BE755E2" w14:textId="77777777" w:rsidR="000729CF" w:rsidRPr="000729CF" w:rsidRDefault="000729CF" w:rsidP="000729CF">
      <w:pPr>
        <w:spacing w:after="160" w:line="259" w:lineRule="auto"/>
        <w:rPr>
          <w:rFonts w:ascii="Arial" w:eastAsia="Calibri" w:hAnsi="Arial" w:cs="Arial"/>
          <w:sz w:val="24"/>
          <w:szCs w:val="24"/>
          <w:lang w:val="en-GB"/>
        </w:rPr>
      </w:pPr>
    </w:p>
    <w:p w14:paraId="04D6A336" w14:textId="77777777" w:rsidR="000729CF" w:rsidRPr="000729CF" w:rsidRDefault="000729CF" w:rsidP="000729CF">
      <w:pPr>
        <w:keepNext/>
        <w:keepLines/>
        <w:spacing w:before="40" w:after="160" w:line="259" w:lineRule="auto"/>
        <w:outlineLvl w:val="2"/>
        <w:rPr>
          <w:rFonts w:ascii="Arial" w:hAnsi="Arial" w:cs="Arial"/>
          <w:b/>
          <w:bCs/>
          <w:color w:val="000000"/>
          <w:sz w:val="28"/>
          <w:szCs w:val="28"/>
          <w:lang w:val="en-GB"/>
        </w:rPr>
      </w:pPr>
      <w:r w:rsidRPr="000729CF">
        <w:rPr>
          <w:rFonts w:ascii="Arial" w:hAnsi="Arial" w:cs="Arial"/>
          <w:b/>
          <w:bCs/>
          <w:color w:val="000000"/>
          <w:sz w:val="28"/>
          <w:szCs w:val="28"/>
          <w:lang w:val="en-GB"/>
        </w:rPr>
        <w:t>EDI Review and Approval:</w:t>
      </w:r>
    </w:p>
    <w:p w14:paraId="393FF581" w14:textId="77777777" w:rsidR="000729CF" w:rsidRPr="000729CF" w:rsidRDefault="000729CF" w:rsidP="000729CF">
      <w:pPr>
        <w:spacing w:after="160" w:line="259" w:lineRule="auto"/>
        <w:rPr>
          <w:rFonts w:ascii="Arial" w:eastAsia="Calibri" w:hAnsi="Arial" w:cs="Arial"/>
          <w:sz w:val="24"/>
          <w:szCs w:val="24"/>
          <w:lang w:val="en-GB"/>
        </w:rPr>
      </w:pPr>
    </w:p>
    <w:p w14:paraId="65BA3A1E" w14:textId="77777777" w:rsidR="000729CF" w:rsidRPr="000729CF" w:rsidRDefault="000729CF" w:rsidP="000729CF">
      <w:pPr>
        <w:keepNext/>
        <w:keepLines/>
        <w:spacing w:after="160" w:line="259" w:lineRule="auto"/>
        <w:ind w:left="283" w:hanging="283"/>
        <w:outlineLvl w:val="1"/>
        <w:rPr>
          <w:rFonts w:ascii="Arial" w:hAnsi="Arial" w:cs="Arial"/>
          <w:color w:val="2F5496"/>
          <w:sz w:val="24"/>
          <w:szCs w:val="24"/>
          <w:lang w:val="en-GB"/>
        </w:rPr>
      </w:pPr>
      <w:r w:rsidRPr="000729CF">
        <w:rPr>
          <w:rFonts w:ascii="Arial" w:hAnsi="Arial" w:cs="Arial"/>
          <w:color w:val="2F5496"/>
          <w:sz w:val="24"/>
          <w:szCs w:val="24"/>
          <w:lang w:val="en-GB"/>
        </w:rPr>
        <w:t>Equality Impact Assessment sign-off</w:t>
      </w:r>
    </w:p>
    <w:tbl>
      <w:tblPr>
        <w:tblStyle w:val="TableGrid"/>
        <w:tblW w:w="0" w:type="auto"/>
        <w:tblLook w:val="04A0" w:firstRow="1" w:lastRow="0" w:firstColumn="1" w:lastColumn="0" w:noHBand="0" w:noVBand="1"/>
      </w:tblPr>
      <w:tblGrid>
        <w:gridCol w:w="3681"/>
        <w:gridCol w:w="4394"/>
        <w:gridCol w:w="2381"/>
      </w:tblGrid>
      <w:tr w:rsidR="000729CF" w:rsidRPr="000729CF" w14:paraId="605B9CF1" w14:textId="77777777" w:rsidTr="000729CF">
        <w:trPr>
          <w:trHeight w:val="20"/>
        </w:trPr>
        <w:tc>
          <w:tcPr>
            <w:tcW w:w="3681" w:type="dxa"/>
            <w:tcBorders>
              <w:bottom w:val="single" w:sz="4" w:space="0" w:color="auto"/>
            </w:tcBorders>
            <w:shd w:val="clear" w:color="auto" w:fill="D9D9D9"/>
          </w:tcPr>
          <w:p w14:paraId="34546C1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25C3640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w:t>
            </w:r>
          </w:p>
        </w:tc>
        <w:tc>
          <w:tcPr>
            <w:tcW w:w="2381" w:type="dxa"/>
            <w:shd w:val="clear" w:color="auto" w:fill="D9D9D9"/>
          </w:tcPr>
          <w:p w14:paraId="53E0564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1C676A9A" w14:textId="77777777" w:rsidTr="000729CF">
        <w:trPr>
          <w:trHeight w:val="20"/>
        </w:trPr>
        <w:tc>
          <w:tcPr>
            <w:tcW w:w="3681" w:type="dxa"/>
            <w:shd w:val="clear" w:color="auto" w:fill="E7E6E6"/>
          </w:tcPr>
          <w:p w14:paraId="35A0A2A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Head of Communities, Equality, and Third Sector (CETS) Service:</w:t>
            </w:r>
          </w:p>
        </w:tc>
        <w:tc>
          <w:tcPr>
            <w:tcW w:w="4394" w:type="dxa"/>
          </w:tcPr>
          <w:p w14:paraId="6E8C464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Emma McDermott</w:t>
            </w:r>
          </w:p>
        </w:tc>
        <w:tc>
          <w:tcPr>
            <w:tcW w:w="2381" w:type="dxa"/>
          </w:tcPr>
          <w:p w14:paraId="1671877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24-01-24</w:t>
            </w:r>
          </w:p>
        </w:tc>
      </w:tr>
    </w:tbl>
    <w:p w14:paraId="46716585" w14:textId="77777777" w:rsidR="000729CF" w:rsidRPr="000729CF" w:rsidRDefault="000729CF" w:rsidP="000729CF">
      <w:pPr>
        <w:rPr>
          <w:rFonts w:ascii="Arial" w:eastAsia="Calibri" w:hAnsi="Arial" w:cs="Arial"/>
          <w:sz w:val="22"/>
          <w:szCs w:val="22"/>
          <w:lang w:val="en-GB"/>
        </w:rPr>
      </w:pPr>
    </w:p>
    <w:p w14:paraId="0750756A" w14:textId="77777777" w:rsidR="000729CF" w:rsidRPr="000729CF" w:rsidRDefault="000729CF" w:rsidP="000729CF">
      <w:pPr>
        <w:spacing w:after="160" w:line="259" w:lineRule="auto"/>
        <w:rPr>
          <w:rFonts w:ascii="Arial" w:eastAsia="Calibri" w:hAnsi="Arial" w:cs="Arial"/>
          <w:b/>
          <w:bCs/>
          <w:sz w:val="24"/>
          <w:szCs w:val="24"/>
          <w:lang w:val="en-GB"/>
        </w:rPr>
      </w:pPr>
    </w:p>
    <w:p w14:paraId="34B50BAC" w14:textId="77777777" w:rsidR="000729CF" w:rsidRPr="000729CF" w:rsidRDefault="000729CF" w:rsidP="000729CF">
      <w:pPr>
        <w:keepNext/>
        <w:keepLines/>
        <w:spacing w:after="160" w:line="259" w:lineRule="auto"/>
        <w:outlineLvl w:val="1"/>
        <w:rPr>
          <w:rFonts w:ascii="Arial" w:eastAsia="Calibri" w:hAnsi="Arial" w:cs="Arial"/>
          <w:sz w:val="24"/>
          <w:szCs w:val="24"/>
          <w:lang w:val="en-GB"/>
        </w:rPr>
      </w:pPr>
    </w:p>
    <w:p w14:paraId="208D86C0" w14:textId="77777777" w:rsidR="000729CF" w:rsidRPr="000729CF" w:rsidRDefault="000729CF" w:rsidP="000729CF">
      <w:pPr>
        <w:spacing w:after="160" w:line="259" w:lineRule="auto"/>
        <w:rPr>
          <w:rFonts w:ascii="Arial" w:eastAsia="Calibri" w:hAnsi="Arial" w:cs="Arial"/>
          <w:sz w:val="24"/>
          <w:szCs w:val="24"/>
          <w:lang w:val="en-GB"/>
        </w:rPr>
      </w:pPr>
    </w:p>
    <w:p w14:paraId="70772F3E"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br w:type="page"/>
      </w:r>
    </w:p>
    <w:p w14:paraId="275C3FE8" w14:textId="77777777" w:rsidR="000729CF" w:rsidRPr="000729CF" w:rsidRDefault="000729CF" w:rsidP="000729CF">
      <w:pPr>
        <w:keepNext/>
        <w:keepLines/>
        <w:spacing w:after="160" w:line="259" w:lineRule="auto"/>
        <w:outlineLvl w:val="0"/>
        <w:rPr>
          <w:rFonts w:ascii="Arial" w:hAnsi="Arial" w:cs="Arial"/>
          <w:b/>
          <w:bCs/>
          <w:color w:val="2F5496"/>
          <w:sz w:val="28"/>
          <w:szCs w:val="28"/>
          <w:lang w:val="en-GB"/>
        </w:rPr>
      </w:pPr>
      <w:r w:rsidRPr="000729CF">
        <w:rPr>
          <w:rFonts w:ascii="Arial" w:hAnsi="Arial" w:cs="Arial"/>
          <w:b/>
          <w:bCs/>
          <w:color w:val="2F5496"/>
          <w:sz w:val="28"/>
          <w:szCs w:val="28"/>
          <w:lang w:val="en-GB"/>
        </w:rPr>
        <w:t>Budget Equality Impact Assessment (EIA) 2024/25 – Service Users</w:t>
      </w:r>
    </w:p>
    <w:p w14:paraId="190C6DCB" w14:textId="77777777" w:rsidR="000729CF" w:rsidRPr="000729CF" w:rsidRDefault="000729CF" w:rsidP="000729CF">
      <w:pPr>
        <w:spacing w:after="160" w:line="259" w:lineRule="auto"/>
        <w:rPr>
          <w:rFonts w:ascii="Arial" w:eastAsia="Calibri" w:hAnsi="Arial" w:cs="Arial"/>
          <w:sz w:val="24"/>
          <w:szCs w:val="24"/>
          <w:lang w:val="en-GB"/>
        </w:rPr>
      </w:pPr>
    </w:p>
    <w:p w14:paraId="0CDCB54E" w14:textId="77777777" w:rsidR="000729CF" w:rsidRPr="000729CF" w:rsidRDefault="000729CF" w:rsidP="000729CF">
      <w:pPr>
        <w:keepNext/>
        <w:keepLines/>
        <w:spacing w:after="160" w:line="259" w:lineRule="auto"/>
        <w:ind w:left="720" w:hanging="360"/>
        <w:outlineLvl w:val="1"/>
        <w:rPr>
          <w:rFonts w:ascii="Arial" w:hAnsi="Arial" w:cs="Arial"/>
          <w:color w:val="2F5496"/>
          <w:sz w:val="24"/>
          <w:szCs w:val="24"/>
          <w:lang w:val="en-GB"/>
        </w:rPr>
      </w:pPr>
      <w:r w:rsidRPr="000729CF">
        <w:rPr>
          <w:rFonts w:ascii="Arial" w:hAnsi="Arial" w:cs="Arial"/>
          <w:color w:val="2F5496"/>
          <w:sz w:val="24"/>
          <w:szCs w:val="24"/>
          <w:lang w:val="en-GB"/>
        </w:rPr>
        <w:t xml:space="preserve">Budget Proposal </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6492"/>
      </w:tblGrid>
      <w:tr w:rsidR="000729CF" w:rsidRPr="000729CF" w14:paraId="08C424CF"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0A24196D"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Title of budget saving being assessed:</w:t>
            </w:r>
          </w:p>
        </w:tc>
        <w:tc>
          <w:tcPr>
            <w:tcW w:w="6492" w:type="dxa"/>
            <w:shd w:val="clear" w:color="auto" w:fill="auto"/>
          </w:tcPr>
          <w:p w14:paraId="25F024E5" w14:textId="77777777" w:rsidR="000729CF" w:rsidRPr="000729CF" w:rsidRDefault="000729CF" w:rsidP="000729CF">
            <w:pPr>
              <w:spacing w:after="12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Violence Against Women and Girls (VAWG) Services</w:t>
            </w:r>
          </w:p>
        </w:tc>
      </w:tr>
      <w:tr w:rsidR="000729CF" w:rsidRPr="000729CF" w14:paraId="24830FCA"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67C4D4D7"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Name and title of officer responsible for this EIA: </w:t>
            </w:r>
          </w:p>
        </w:tc>
        <w:tc>
          <w:tcPr>
            <w:tcW w:w="6492" w:type="dxa"/>
            <w:shd w:val="clear" w:color="auto" w:fill="auto"/>
          </w:tcPr>
          <w:p w14:paraId="05262C6D"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729CF">
              <w:rPr>
                <w:rFonts w:ascii="Arial" w:hAnsi="Arial" w:cs="Arial"/>
                <w:sz w:val="24"/>
                <w:szCs w:val="24"/>
              </w:rPr>
              <w:t>Jo Player, Head of Safer Communities</w:t>
            </w:r>
          </w:p>
        </w:tc>
      </w:tr>
      <w:tr w:rsidR="000729CF" w:rsidRPr="000729CF" w14:paraId="52FCF9F7" w14:textId="77777777" w:rsidTr="000729CF">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53018914"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Directorate and Service Name: </w:t>
            </w:r>
          </w:p>
        </w:tc>
        <w:tc>
          <w:tcPr>
            <w:tcW w:w="6492" w:type="dxa"/>
            <w:shd w:val="clear" w:color="auto" w:fill="auto"/>
          </w:tcPr>
          <w:p w14:paraId="7CF4B627" w14:textId="77777777" w:rsidR="000729CF" w:rsidRPr="000729CF" w:rsidRDefault="000729CF" w:rsidP="000729CF">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Housing, Neighbourhoods and Communities, Safer Communities</w:t>
            </w:r>
          </w:p>
        </w:tc>
      </w:tr>
      <w:tr w:rsidR="000729CF" w:rsidRPr="000729CF" w14:paraId="267AB715"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4E0E660D"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Budget proposal no.</w:t>
            </w:r>
          </w:p>
        </w:tc>
        <w:tc>
          <w:tcPr>
            <w:tcW w:w="6492" w:type="dxa"/>
            <w:shd w:val="clear" w:color="auto" w:fill="auto"/>
          </w:tcPr>
          <w:p w14:paraId="196DDB17"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729CF">
              <w:rPr>
                <w:rFonts w:ascii="Arial" w:hAnsi="Arial" w:cs="Arial"/>
                <w:sz w:val="24"/>
                <w:szCs w:val="24"/>
              </w:rPr>
              <w:t>27</w:t>
            </w:r>
          </w:p>
        </w:tc>
      </w:tr>
    </w:tbl>
    <w:p w14:paraId="4CCE5D2C" w14:textId="77777777" w:rsidR="000729CF" w:rsidRPr="000729CF" w:rsidRDefault="000729CF" w:rsidP="000729CF">
      <w:pPr>
        <w:spacing w:after="160" w:line="259" w:lineRule="auto"/>
        <w:rPr>
          <w:rFonts w:ascii="Arial" w:eastAsia="Calibri" w:hAnsi="Arial" w:cs="Arial"/>
          <w:sz w:val="24"/>
          <w:szCs w:val="24"/>
          <w:lang w:val="en-GB"/>
        </w:rPr>
      </w:pPr>
    </w:p>
    <w:p w14:paraId="23D931D6"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Briefly describe the budget saving proposal: (use the wording in the budget spreadsheet and more detail if needed)</w:t>
      </w:r>
    </w:p>
    <w:tbl>
      <w:tblPr>
        <w:tblStyle w:val="TableGrid"/>
        <w:tblW w:w="0" w:type="auto"/>
        <w:tblLook w:val="04A0" w:firstRow="1" w:lastRow="0" w:firstColumn="1" w:lastColumn="0" w:noHBand="0" w:noVBand="1"/>
      </w:tblPr>
      <w:tblGrid>
        <w:gridCol w:w="10456"/>
      </w:tblGrid>
      <w:tr w:rsidR="000729CF" w:rsidRPr="000729CF" w14:paraId="59100EF1" w14:textId="77777777" w:rsidTr="00BC26AB">
        <w:trPr>
          <w:trHeight w:val="851"/>
        </w:trPr>
        <w:tc>
          <w:tcPr>
            <w:tcW w:w="10456" w:type="dxa"/>
            <w:tcBorders>
              <w:bottom w:val="single" w:sz="4" w:space="0" w:color="auto"/>
            </w:tcBorders>
          </w:tcPr>
          <w:p w14:paraId="5E5991D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Review of commissioned DA/VAWG service provision.</w:t>
            </w:r>
          </w:p>
          <w:p w14:paraId="2D3CE0A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Reduction in budget </w:t>
            </w:r>
            <w:r w:rsidRPr="000729CF">
              <w:rPr>
                <w:rFonts w:ascii="Arial" w:eastAsia="Calibri" w:hAnsi="Arial" w:cs="Arial"/>
                <w:b/>
                <w:bCs/>
                <w:sz w:val="24"/>
                <w:szCs w:val="24"/>
              </w:rPr>
              <w:t>£60k</w:t>
            </w:r>
            <w:r w:rsidRPr="000729CF">
              <w:rPr>
                <w:rFonts w:ascii="Arial" w:eastAsia="Calibri" w:hAnsi="Arial" w:cs="Arial"/>
                <w:sz w:val="24"/>
                <w:szCs w:val="24"/>
              </w:rPr>
              <w:t xml:space="preserve"> saving initially identified as underspend plus unused interpretation &amp; BSL services.</w:t>
            </w:r>
          </w:p>
          <w:p w14:paraId="1383A16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br/>
              <w:t xml:space="preserve">Further </w:t>
            </w:r>
            <w:r w:rsidRPr="000729CF">
              <w:rPr>
                <w:rFonts w:ascii="Arial" w:eastAsia="Calibri" w:hAnsi="Arial" w:cs="Arial"/>
                <w:b/>
                <w:bCs/>
                <w:sz w:val="24"/>
                <w:szCs w:val="24"/>
              </w:rPr>
              <w:t>£60k</w:t>
            </w:r>
            <w:r w:rsidRPr="000729CF">
              <w:rPr>
                <w:rFonts w:ascii="Arial" w:eastAsia="Calibri" w:hAnsi="Arial" w:cs="Arial"/>
                <w:sz w:val="24"/>
                <w:szCs w:val="24"/>
              </w:rPr>
              <w:t xml:space="preserve"> saving from commissioned services:</w:t>
            </w:r>
          </w:p>
          <w:p w14:paraId="3BD345AE" w14:textId="77777777" w:rsidR="000729CF" w:rsidRPr="000729CF" w:rsidRDefault="000729CF" w:rsidP="00CE70A3">
            <w:pPr>
              <w:numPr>
                <w:ilvl w:val="0"/>
                <w:numId w:val="125"/>
              </w:numPr>
              <w:spacing w:after="120"/>
              <w:rPr>
                <w:rFonts w:ascii="Arial" w:eastAsia="Calibri" w:hAnsi="Arial" w:cs="Arial"/>
                <w:sz w:val="24"/>
                <w:szCs w:val="24"/>
              </w:rPr>
            </w:pPr>
            <w:r w:rsidRPr="000729CF">
              <w:rPr>
                <w:rFonts w:ascii="Arial" w:eastAsia="Calibri" w:hAnsi="Arial" w:cs="Arial"/>
                <w:sz w:val="24"/>
                <w:szCs w:val="24"/>
              </w:rPr>
              <w:t>50% funding of multiple compound needs specialist caseworker as part of Changing Futures programme due to end in 2024</w:t>
            </w:r>
          </w:p>
          <w:p w14:paraId="33250193" w14:textId="77777777" w:rsidR="000729CF" w:rsidRPr="000729CF" w:rsidRDefault="000729CF" w:rsidP="00CE70A3">
            <w:pPr>
              <w:numPr>
                <w:ilvl w:val="0"/>
                <w:numId w:val="125"/>
              </w:numPr>
              <w:spacing w:after="120"/>
              <w:rPr>
                <w:rFonts w:ascii="Arial" w:eastAsia="Calibri" w:hAnsi="Arial" w:cs="Arial"/>
                <w:sz w:val="24"/>
                <w:szCs w:val="24"/>
              </w:rPr>
            </w:pPr>
            <w:r w:rsidRPr="000729CF">
              <w:rPr>
                <w:rFonts w:ascii="Arial" w:eastAsia="Calibri" w:hAnsi="Arial" w:cs="Arial"/>
                <w:sz w:val="24"/>
                <w:szCs w:val="24"/>
              </w:rPr>
              <w:t>Current LGBTQ dispersed accommodation contract due to end in 2024,</w:t>
            </w:r>
          </w:p>
          <w:p w14:paraId="2DBA2451" w14:textId="77777777" w:rsidR="000729CF" w:rsidRPr="000729CF" w:rsidRDefault="000729CF" w:rsidP="00CE70A3">
            <w:pPr>
              <w:numPr>
                <w:ilvl w:val="0"/>
                <w:numId w:val="125"/>
              </w:numPr>
              <w:spacing w:after="120"/>
              <w:rPr>
                <w:rFonts w:ascii="Arial" w:eastAsia="Calibri" w:hAnsi="Arial" w:cs="Arial"/>
                <w:sz w:val="24"/>
                <w:szCs w:val="24"/>
              </w:rPr>
            </w:pPr>
            <w:r w:rsidRPr="000729CF">
              <w:rPr>
                <w:rFonts w:ascii="Arial" w:eastAsia="Calibri" w:hAnsi="Arial" w:cs="Arial"/>
                <w:sz w:val="24"/>
                <w:szCs w:val="24"/>
              </w:rPr>
              <w:t>Other funding unlikely to be required or where there is non-performance of contracts.</w:t>
            </w:r>
          </w:p>
        </w:tc>
      </w:tr>
      <w:tr w:rsidR="000729CF" w:rsidRPr="000729CF" w14:paraId="25C8FBA5" w14:textId="77777777" w:rsidTr="00BC26AB">
        <w:trPr>
          <w:trHeight w:val="851"/>
        </w:trPr>
        <w:tc>
          <w:tcPr>
            <w:tcW w:w="10456" w:type="dxa"/>
            <w:tcBorders>
              <w:left w:val="nil"/>
              <w:right w:val="nil"/>
            </w:tcBorders>
          </w:tcPr>
          <w:p w14:paraId="581A1362" w14:textId="77777777" w:rsidR="000729CF" w:rsidRPr="000729CF" w:rsidRDefault="000729CF" w:rsidP="000729CF">
            <w:pPr>
              <w:spacing w:after="120"/>
              <w:rPr>
                <w:rFonts w:ascii="Arial" w:eastAsia="Calibri" w:hAnsi="Arial" w:cs="Arial"/>
                <w:sz w:val="24"/>
                <w:szCs w:val="24"/>
              </w:rPr>
            </w:pPr>
          </w:p>
          <w:p w14:paraId="7B667CA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Summarise the most significant impacts identified by this assessment including which groups will be disproportionally negatively affected drawing out intersectional impacts as applicable:</w:t>
            </w:r>
          </w:p>
        </w:tc>
      </w:tr>
      <w:tr w:rsidR="000729CF" w:rsidRPr="000729CF" w14:paraId="59C2A6BA" w14:textId="77777777" w:rsidTr="00BC26AB">
        <w:trPr>
          <w:trHeight w:val="851"/>
        </w:trPr>
        <w:tc>
          <w:tcPr>
            <w:tcW w:w="10456" w:type="dxa"/>
          </w:tcPr>
          <w:p w14:paraId="2A6AAED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 most significant impacts will be on women and girls affected by domestic violence/abuse. However, the budget reduction is from additional short term new burdens money and will not directly impact core budget for commissioned services.</w:t>
            </w:r>
          </w:p>
        </w:tc>
      </w:tr>
    </w:tbl>
    <w:p w14:paraId="1B831CFE" w14:textId="77777777" w:rsidR="000729CF" w:rsidRPr="000729CF" w:rsidRDefault="000729CF" w:rsidP="000729CF">
      <w:pPr>
        <w:rPr>
          <w:rFonts w:ascii="Arial" w:eastAsia="Calibri" w:hAnsi="Arial" w:cs="Arial"/>
          <w:sz w:val="24"/>
          <w:szCs w:val="24"/>
          <w:lang w:val="en-GB"/>
        </w:rPr>
      </w:pPr>
    </w:p>
    <w:p w14:paraId="0FFBF393" w14:textId="77777777" w:rsidR="000729CF" w:rsidRPr="000729CF" w:rsidRDefault="000729CF" w:rsidP="000729CF">
      <w:pPr>
        <w:spacing w:after="160" w:line="259" w:lineRule="auto"/>
        <w:rPr>
          <w:rFonts w:ascii="Arial" w:eastAsia="Calibri" w:hAnsi="Arial" w:cs="Arial"/>
          <w:sz w:val="24"/>
          <w:szCs w:val="24"/>
          <w:lang w:val="en-GB"/>
        </w:rPr>
      </w:pPr>
    </w:p>
    <w:p w14:paraId="4FBC03D3"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Consultation, engagement and supporting EIAs</w:t>
      </w:r>
    </w:p>
    <w:p w14:paraId="7AEBA30B"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consultations or engagement activities are being used to inform this assessment? </w:t>
      </w:r>
    </w:p>
    <w:p w14:paraId="3CDAE4B1"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If consultation is planned or in process – state this and state when it will done/completed even if indicative. If no consultation completed or planned, state this, giving an explanation. </w:t>
      </w:r>
    </w:p>
    <w:tbl>
      <w:tblPr>
        <w:tblStyle w:val="TableGrid"/>
        <w:tblW w:w="0" w:type="auto"/>
        <w:tblLook w:val="04A0" w:firstRow="1" w:lastRow="0" w:firstColumn="1" w:lastColumn="0" w:noHBand="0" w:noVBand="1"/>
      </w:tblPr>
      <w:tblGrid>
        <w:gridCol w:w="10456"/>
      </w:tblGrid>
      <w:tr w:rsidR="000729CF" w:rsidRPr="000729CF" w14:paraId="4E8C1DDA" w14:textId="77777777" w:rsidTr="00BC26AB">
        <w:trPr>
          <w:trHeight w:val="871"/>
        </w:trPr>
        <w:tc>
          <w:tcPr>
            <w:tcW w:w="10456" w:type="dxa"/>
          </w:tcPr>
          <w:p w14:paraId="3484325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There has been no specific consultation carried out to inform this EIA. However, detailed consultation has recently been completed to inform the council’s new Combatting Violence Against Women and Girls Strategy and data and insights from this will be used to inform the allocation of the remaining new burdens funding, which will be put to elected members for approval. </w:t>
            </w:r>
          </w:p>
        </w:tc>
      </w:tr>
    </w:tbl>
    <w:p w14:paraId="706223C3" w14:textId="77777777" w:rsidR="000729CF" w:rsidRPr="000729CF" w:rsidRDefault="000729CF" w:rsidP="000729CF">
      <w:pPr>
        <w:spacing w:after="160" w:line="259" w:lineRule="auto"/>
        <w:rPr>
          <w:rFonts w:ascii="Arial" w:eastAsia="Calibri" w:hAnsi="Arial" w:cs="Arial"/>
          <w:sz w:val="24"/>
          <w:szCs w:val="24"/>
          <w:lang w:val="en-GB"/>
        </w:rPr>
      </w:pPr>
    </w:p>
    <w:p w14:paraId="0002DB71"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other budget or service EIAs can assist/have been used to inform this assessment?</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0729CF" w:rsidRPr="000729CF" w14:paraId="73DB69E3"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shd w:val="clear" w:color="auto" w:fill="FFFFFF"/>
          </w:tcPr>
          <w:p w14:paraId="08A92B3C"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None applicable</w:t>
            </w:r>
          </w:p>
          <w:p w14:paraId="5CEC6494" w14:textId="77777777" w:rsidR="000729CF" w:rsidRPr="000729CF" w:rsidRDefault="000729CF" w:rsidP="000729CF">
            <w:pPr>
              <w:spacing w:after="120"/>
              <w:rPr>
                <w:rFonts w:ascii="Arial" w:hAnsi="Arial" w:cs="Arial"/>
                <w:sz w:val="24"/>
                <w:szCs w:val="24"/>
              </w:rPr>
            </w:pPr>
          </w:p>
        </w:tc>
      </w:tr>
    </w:tbl>
    <w:p w14:paraId="437A0E52" w14:textId="77777777" w:rsidR="000729CF" w:rsidRPr="000729CF" w:rsidRDefault="000729CF" w:rsidP="000729CF">
      <w:pPr>
        <w:spacing w:after="160" w:line="259" w:lineRule="auto"/>
        <w:rPr>
          <w:rFonts w:ascii="Arial" w:eastAsia="Calibri" w:hAnsi="Arial" w:cs="Arial"/>
          <w:sz w:val="24"/>
          <w:szCs w:val="24"/>
          <w:lang w:val="en-GB"/>
        </w:rPr>
      </w:pPr>
    </w:p>
    <w:p w14:paraId="3C842626"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Current data and impact monitoring</w:t>
      </w:r>
    </w:p>
    <w:p w14:paraId="34B848C9"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Do you currently collect and analyse the following data to enable monitoring of the impact of this proposal? </w:t>
      </w:r>
    </w:p>
    <w:p w14:paraId="1CCD1DB7"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Consider all possible intersections (Delete and State Yes, No, Not Applicable)</w:t>
      </w:r>
    </w:p>
    <w:tbl>
      <w:tblPr>
        <w:tblStyle w:val="TableGrid"/>
        <w:tblW w:w="10485" w:type="dxa"/>
        <w:tblLook w:val="04A0" w:firstRow="1" w:lastRow="0" w:firstColumn="1" w:lastColumn="0" w:noHBand="0" w:noVBand="1"/>
      </w:tblPr>
      <w:tblGrid>
        <w:gridCol w:w="6658"/>
        <w:gridCol w:w="3827"/>
      </w:tblGrid>
      <w:tr w:rsidR="000729CF" w:rsidRPr="000729CF" w14:paraId="02A99763" w14:textId="77777777" w:rsidTr="000729CF">
        <w:trPr>
          <w:trHeight w:val="310"/>
        </w:trPr>
        <w:tc>
          <w:tcPr>
            <w:tcW w:w="6658" w:type="dxa"/>
            <w:shd w:val="clear" w:color="auto" w:fill="E7E6E6"/>
          </w:tcPr>
          <w:p w14:paraId="03F9AF0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Age</w:t>
            </w:r>
          </w:p>
        </w:tc>
        <w:tc>
          <w:tcPr>
            <w:tcW w:w="3827" w:type="dxa"/>
          </w:tcPr>
          <w:p w14:paraId="1CBC663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57728E3F" w14:textId="77777777" w:rsidTr="000729CF">
        <w:trPr>
          <w:trHeight w:val="20"/>
        </w:trPr>
        <w:tc>
          <w:tcPr>
            <w:tcW w:w="6658" w:type="dxa"/>
            <w:shd w:val="clear" w:color="auto" w:fill="E7E6E6"/>
          </w:tcPr>
          <w:p w14:paraId="3F2150C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Disability and inclusive adjustments, coverage under equality act and not</w:t>
            </w:r>
          </w:p>
        </w:tc>
        <w:tc>
          <w:tcPr>
            <w:tcW w:w="3827" w:type="dxa"/>
          </w:tcPr>
          <w:p w14:paraId="7C25F69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033F762A" w14:textId="77777777" w:rsidTr="000729CF">
        <w:trPr>
          <w:trHeight w:val="20"/>
        </w:trPr>
        <w:tc>
          <w:tcPr>
            <w:tcW w:w="6658" w:type="dxa"/>
            <w:shd w:val="clear" w:color="auto" w:fill="E7E6E6"/>
          </w:tcPr>
          <w:p w14:paraId="60C7DD2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Ethnicity, ‘Race’, ethnic heritage (including Gypsy, Roma, Travellers)</w:t>
            </w:r>
          </w:p>
        </w:tc>
        <w:tc>
          <w:tcPr>
            <w:tcW w:w="3827" w:type="dxa"/>
          </w:tcPr>
          <w:p w14:paraId="6E7B177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12F58E96" w14:textId="77777777" w:rsidTr="000729CF">
        <w:trPr>
          <w:trHeight w:val="20"/>
        </w:trPr>
        <w:tc>
          <w:tcPr>
            <w:tcW w:w="6658" w:type="dxa"/>
            <w:shd w:val="clear" w:color="auto" w:fill="E7E6E6"/>
          </w:tcPr>
          <w:p w14:paraId="34A4E59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Religion, Belief, Spirituality, Faith, or Atheism</w:t>
            </w:r>
          </w:p>
        </w:tc>
        <w:tc>
          <w:tcPr>
            <w:tcW w:w="3827" w:type="dxa"/>
          </w:tcPr>
          <w:p w14:paraId="35081AB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43856443" w14:textId="77777777" w:rsidTr="000729CF">
        <w:trPr>
          <w:trHeight w:val="20"/>
        </w:trPr>
        <w:tc>
          <w:tcPr>
            <w:tcW w:w="6658" w:type="dxa"/>
            <w:shd w:val="clear" w:color="auto" w:fill="E7E6E6"/>
          </w:tcPr>
          <w:p w14:paraId="716BDB7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Identity and Sex (including non-binary and Intersex people)</w:t>
            </w:r>
          </w:p>
        </w:tc>
        <w:tc>
          <w:tcPr>
            <w:tcW w:w="3827" w:type="dxa"/>
          </w:tcPr>
          <w:p w14:paraId="51D06A2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7A08924B" w14:textId="77777777" w:rsidTr="000729CF">
        <w:trPr>
          <w:trHeight w:val="20"/>
        </w:trPr>
        <w:tc>
          <w:tcPr>
            <w:tcW w:w="6658" w:type="dxa"/>
            <w:shd w:val="clear" w:color="auto" w:fill="E7E6E6"/>
          </w:tcPr>
          <w:p w14:paraId="6F642F1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3827" w:type="dxa"/>
          </w:tcPr>
          <w:p w14:paraId="71703E0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2CE9B9E0" w14:textId="77777777" w:rsidTr="000729CF">
        <w:trPr>
          <w:trHeight w:val="20"/>
        </w:trPr>
        <w:tc>
          <w:tcPr>
            <w:tcW w:w="6658" w:type="dxa"/>
            <w:shd w:val="clear" w:color="auto" w:fill="E7E6E6"/>
          </w:tcPr>
          <w:p w14:paraId="35E13BE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3827" w:type="dxa"/>
          </w:tcPr>
          <w:p w14:paraId="1CC42C7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6BAA263F" w14:textId="77777777" w:rsidTr="000729CF">
        <w:trPr>
          <w:trHeight w:val="20"/>
        </w:trPr>
        <w:tc>
          <w:tcPr>
            <w:tcW w:w="6658" w:type="dxa"/>
            <w:shd w:val="clear" w:color="auto" w:fill="E7E6E6"/>
          </w:tcPr>
          <w:p w14:paraId="1D8CA38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3827" w:type="dxa"/>
          </w:tcPr>
          <w:p w14:paraId="3769A9F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 Not applicable</w:t>
            </w:r>
          </w:p>
        </w:tc>
      </w:tr>
      <w:tr w:rsidR="000729CF" w:rsidRPr="000729CF" w14:paraId="4C2A2BE1" w14:textId="77777777" w:rsidTr="000729CF">
        <w:trPr>
          <w:trHeight w:val="20"/>
        </w:trPr>
        <w:tc>
          <w:tcPr>
            <w:tcW w:w="6658" w:type="dxa"/>
            <w:shd w:val="clear" w:color="auto" w:fill="E7E6E6"/>
          </w:tcPr>
          <w:p w14:paraId="798A1D9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Pregnant people, Maternity, Paternity, Adoption, Menopause, (In)fertility (across the gender spectrum)</w:t>
            </w:r>
          </w:p>
        </w:tc>
        <w:tc>
          <w:tcPr>
            <w:tcW w:w="3827" w:type="dxa"/>
          </w:tcPr>
          <w:p w14:paraId="429E40D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3A0CBE52" w14:textId="77777777" w:rsidTr="000729CF">
        <w:trPr>
          <w:trHeight w:val="20"/>
        </w:trPr>
        <w:tc>
          <w:tcPr>
            <w:tcW w:w="6658" w:type="dxa"/>
            <w:shd w:val="clear" w:color="auto" w:fill="E7E6E6"/>
          </w:tcPr>
          <w:p w14:paraId="08E2444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3827" w:type="dxa"/>
          </w:tcPr>
          <w:p w14:paraId="6B626D6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 Not applicable</w:t>
            </w:r>
          </w:p>
        </w:tc>
      </w:tr>
      <w:tr w:rsidR="000729CF" w:rsidRPr="000729CF" w14:paraId="2C165A6A" w14:textId="77777777" w:rsidTr="000729CF">
        <w:trPr>
          <w:trHeight w:val="20"/>
        </w:trPr>
        <w:tc>
          <w:tcPr>
            <w:tcW w:w="6658" w:type="dxa"/>
            <w:shd w:val="clear" w:color="auto" w:fill="E7E6E6"/>
          </w:tcPr>
          <w:p w14:paraId="15EE33D2" w14:textId="77777777" w:rsidR="000729CF" w:rsidRPr="000729CF" w:rsidRDefault="000729CF" w:rsidP="000729CF">
            <w:pPr>
              <w:spacing w:after="120"/>
              <w:rPr>
                <w:rFonts w:ascii="Arial" w:hAnsi="Arial" w:cs="Arial"/>
                <w:b/>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p>
        </w:tc>
        <w:tc>
          <w:tcPr>
            <w:tcW w:w="3827" w:type="dxa"/>
          </w:tcPr>
          <w:p w14:paraId="6E46C59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2272B039" w14:textId="77777777" w:rsidTr="000729CF">
        <w:trPr>
          <w:trHeight w:val="20"/>
        </w:trPr>
        <w:tc>
          <w:tcPr>
            <w:tcW w:w="6658" w:type="dxa"/>
            <w:shd w:val="clear" w:color="auto" w:fill="E7E6E6"/>
          </w:tcPr>
          <w:p w14:paraId="70976F65" w14:textId="77777777" w:rsidR="000729CF" w:rsidRPr="000729CF" w:rsidRDefault="000729CF" w:rsidP="000729CF">
            <w:pPr>
              <w:spacing w:after="120"/>
              <w:rPr>
                <w:rFonts w:ascii="Arial" w:hAnsi="Arial" w:cs="Arial"/>
                <w:b/>
                <w:sz w:val="24"/>
                <w:szCs w:val="24"/>
              </w:rPr>
            </w:pPr>
            <w:r w:rsidRPr="000729CF">
              <w:rPr>
                <w:rFonts w:ascii="Arial" w:eastAsia="Calibri" w:hAnsi="Arial" w:cs="Arial"/>
                <w:b/>
                <w:bCs/>
                <w:color w:val="000000"/>
                <w:sz w:val="24"/>
                <w:szCs w:val="24"/>
              </w:rPr>
              <w:t>Carers</w:t>
            </w:r>
          </w:p>
        </w:tc>
        <w:tc>
          <w:tcPr>
            <w:tcW w:w="3827" w:type="dxa"/>
          </w:tcPr>
          <w:p w14:paraId="7C995C3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 Not applicable</w:t>
            </w:r>
          </w:p>
        </w:tc>
      </w:tr>
      <w:tr w:rsidR="000729CF" w:rsidRPr="000729CF" w14:paraId="4BF28BFB" w14:textId="77777777" w:rsidTr="000729CF">
        <w:trPr>
          <w:trHeight w:val="20"/>
        </w:trPr>
        <w:tc>
          <w:tcPr>
            <w:tcW w:w="6658" w:type="dxa"/>
            <w:shd w:val="clear" w:color="auto" w:fill="E7E6E6"/>
          </w:tcPr>
          <w:p w14:paraId="24DF4E41"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Looked after children, Care Leavers, Care and fostering experienced people</w:t>
            </w:r>
          </w:p>
        </w:tc>
        <w:tc>
          <w:tcPr>
            <w:tcW w:w="3827" w:type="dxa"/>
          </w:tcPr>
          <w:p w14:paraId="25C9DB6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43CE1679" w14:textId="77777777" w:rsidTr="000729CF">
        <w:trPr>
          <w:trHeight w:val="20"/>
        </w:trPr>
        <w:tc>
          <w:tcPr>
            <w:tcW w:w="6658" w:type="dxa"/>
            <w:shd w:val="clear" w:color="auto" w:fill="E7E6E6"/>
          </w:tcPr>
          <w:p w14:paraId="32F0F14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 and people in vulnerable situations (All aspects and intersections)</w:t>
            </w:r>
          </w:p>
        </w:tc>
        <w:tc>
          <w:tcPr>
            <w:tcW w:w="3827" w:type="dxa"/>
          </w:tcPr>
          <w:p w14:paraId="6065FDF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6805A974" w14:textId="77777777" w:rsidTr="000729CF">
        <w:trPr>
          <w:trHeight w:val="20"/>
        </w:trPr>
        <w:tc>
          <w:tcPr>
            <w:tcW w:w="6658" w:type="dxa"/>
            <w:shd w:val="clear" w:color="auto" w:fill="E7E6E6"/>
          </w:tcPr>
          <w:p w14:paraId="5440FCF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Socio-economic Disadvantage</w:t>
            </w:r>
          </w:p>
        </w:tc>
        <w:tc>
          <w:tcPr>
            <w:tcW w:w="3827" w:type="dxa"/>
          </w:tcPr>
          <w:p w14:paraId="5C34935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0A6400F0" w14:textId="77777777" w:rsidTr="000729CF">
        <w:trPr>
          <w:trHeight w:val="20"/>
        </w:trPr>
        <w:tc>
          <w:tcPr>
            <w:tcW w:w="6658" w:type="dxa"/>
            <w:shd w:val="clear" w:color="auto" w:fill="E7E6E6"/>
          </w:tcPr>
          <w:p w14:paraId="3C42A51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Homelessness and associated risk and vulnerability</w:t>
            </w:r>
          </w:p>
        </w:tc>
        <w:tc>
          <w:tcPr>
            <w:tcW w:w="3827" w:type="dxa"/>
          </w:tcPr>
          <w:p w14:paraId="63C4A7B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48D5B13B" w14:textId="77777777" w:rsidTr="000729CF">
        <w:trPr>
          <w:trHeight w:val="20"/>
        </w:trPr>
        <w:tc>
          <w:tcPr>
            <w:tcW w:w="6658" w:type="dxa"/>
            <w:shd w:val="clear" w:color="auto" w:fill="E7E6E6"/>
          </w:tcPr>
          <w:p w14:paraId="3984B3A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3827" w:type="dxa"/>
          </w:tcPr>
          <w:p w14:paraId="32ECFDE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23FE292A" w14:textId="77777777" w:rsidTr="000729CF">
        <w:trPr>
          <w:trHeight w:val="20"/>
        </w:trPr>
        <w:tc>
          <w:tcPr>
            <w:tcW w:w="6658" w:type="dxa"/>
            <w:shd w:val="clear" w:color="auto" w:fill="E7E6E6"/>
          </w:tcPr>
          <w:p w14:paraId="48FCF94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 (please specify here and add additional rows as needed)</w:t>
            </w:r>
          </w:p>
        </w:tc>
        <w:tc>
          <w:tcPr>
            <w:tcW w:w="3827" w:type="dxa"/>
          </w:tcPr>
          <w:p w14:paraId="2BF2FDC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bl>
    <w:p w14:paraId="687DE561" w14:textId="77777777" w:rsidR="000729CF" w:rsidRPr="000729CF" w:rsidRDefault="000729CF" w:rsidP="000729CF">
      <w:pPr>
        <w:rPr>
          <w:rFonts w:ascii="Arial" w:eastAsia="Calibri" w:hAnsi="Arial" w:cs="Arial"/>
          <w:sz w:val="24"/>
          <w:szCs w:val="24"/>
          <w:lang w:val="en-GB"/>
        </w:rPr>
      </w:pPr>
    </w:p>
    <w:p w14:paraId="40D5B220"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611F4113"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071072BD"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1D0E614D"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4BB799FE"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5D9B8900"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32E3BC23"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65B55D35"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79C5B9EE"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317ACD15"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4F1A6E94" w14:textId="77777777" w:rsidR="000729CF" w:rsidRPr="000729CF" w:rsidRDefault="000729CF" w:rsidP="000729CF">
      <w:pPr>
        <w:rPr>
          <w:rFonts w:ascii="Arial" w:eastAsia="Calibri" w:hAnsi="Arial" w:cs="Arial"/>
          <w:sz w:val="24"/>
          <w:szCs w:val="24"/>
          <w:lang w:val="en-GB"/>
        </w:rPr>
      </w:pPr>
    </w:p>
    <w:p w14:paraId="4410F656"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If you answered “NO” to any of the above, how will you gather this data to enable improved monitoring of impact for this proposal?</w:t>
      </w:r>
    </w:p>
    <w:tbl>
      <w:tblPr>
        <w:tblStyle w:val="TableGrid"/>
        <w:tblW w:w="0" w:type="auto"/>
        <w:tblLook w:val="04A0" w:firstRow="1" w:lastRow="0" w:firstColumn="1" w:lastColumn="0" w:noHBand="0" w:noVBand="1"/>
      </w:tblPr>
      <w:tblGrid>
        <w:gridCol w:w="10456"/>
      </w:tblGrid>
      <w:tr w:rsidR="000729CF" w:rsidRPr="000729CF" w14:paraId="0E2B1C74" w14:textId="77777777" w:rsidTr="00BC26AB">
        <w:trPr>
          <w:trHeight w:val="757"/>
        </w:trPr>
        <w:tc>
          <w:tcPr>
            <w:tcW w:w="10456" w:type="dxa"/>
          </w:tcPr>
          <w:p w14:paraId="59C7218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N/A</w:t>
            </w:r>
          </w:p>
          <w:p w14:paraId="475DFB2E" w14:textId="77777777" w:rsidR="000729CF" w:rsidRPr="000729CF" w:rsidRDefault="000729CF" w:rsidP="000729CF">
            <w:pPr>
              <w:spacing w:after="120"/>
              <w:rPr>
                <w:rFonts w:ascii="Arial" w:eastAsia="Calibri" w:hAnsi="Arial" w:cs="Arial"/>
                <w:sz w:val="24"/>
                <w:szCs w:val="24"/>
              </w:rPr>
            </w:pPr>
          </w:p>
          <w:p w14:paraId="7B79E3F5" w14:textId="77777777" w:rsidR="000729CF" w:rsidRPr="000729CF" w:rsidRDefault="000729CF" w:rsidP="000729CF">
            <w:pPr>
              <w:spacing w:after="120"/>
              <w:rPr>
                <w:rFonts w:ascii="Arial" w:eastAsia="Calibri" w:hAnsi="Arial" w:cs="Arial"/>
                <w:sz w:val="24"/>
                <w:szCs w:val="24"/>
              </w:rPr>
            </w:pPr>
          </w:p>
        </w:tc>
      </w:tr>
    </w:tbl>
    <w:p w14:paraId="26EF37BA" w14:textId="77777777" w:rsidR="000729CF" w:rsidRPr="000729CF" w:rsidRDefault="000729CF" w:rsidP="000729CF">
      <w:pPr>
        <w:rPr>
          <w:rFonts w:ascii="Arial" w:eastAsia="Calibri" w:hAnsi="Arial" w:cs="Arial"/>
          <w:sz w:val="24"/>
          <w:szCs w:val="24"/>
          <w:lang w:val="en-GB"/>
        </w:rPr>
      </w:pPr>
    </w:p>
    <w:p w14:paraId="4239AD24" w14:textId="77777777" w:rsidR="000729CF" w:rsidRPr="000729CF" w:rsidRDefault="000729CF" w:rsidP="000729CF">
      <w:pPr>
        <w:rPr>
          <w:rFonts w:ascii="Arial" w:eastAsia="Calibri" w:hAnsi="Arial" w:cs="Arial"/>
          <w:sz w:val="24"/>
          <w:szCs w:val="24"/>
          <w:lang w:val="en-GB"/>
        </w:rPr>
      </w:pPr>
    </w:p>
    <w:p w14:paraId="39B41E5D"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are the arrangements for monitoring, and reviewing the impact of this proposal?</w:t>
      </w:r>
    </w:p>
    <w:tbl>
      <w:tblPr>
        <w:tblStyle w:val="TableGrid"/>
        <w:tblW w:w="0" w:type="auto"/>
        <w:tblLook w:val="04A0" w:firstRow="1" w:lastRow="0" w:firstColumn="1" w:lastColumn="0" w:noHBand="0" w:noVBand="1"/>
      </w:tblPr>
      <w:tblGrid>
        <w:gridCol w:w="10456"/>
      </w:tblGrid>
      <w:tr w:rsidR="000729CF" w:rsidRPr="000729CF" w14:paraId="14E065FC" w14:textId="77777777" w:rsidTr="00BC26AB">
        <w:trPr>
          <w:trHeight w:val="757"/>
        </w:trPr>
        <w:tc>
          <w:tcPr>
            <w:tcW w:w="10456" w:type="dxa"/>
          </w:tcPr>
          <w:p w14:paraId="4DFD98E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Monitoring data is collected from providers as part of quarterly contract monitoring arrangements.</w:t>
            </w:r>
          </w:p>
        </w:tc>
      </w:tr>
    </w:tbl>
    <w:p w14:paraId="7FB53CA0" w14:textId="77777777" w:rsidR="000729CF" w:rsidRPr="000729CF" w:rsidRDefault="000729CF" w:rsidP="000729CF">
      <w:pPr>
        <w:rPr>
          <w:rFonts w:ascii="Arial" w:eastAsia="Calibri" w:hAnsi="Arial" w:cs="Arial"/>
          <w:sz w:val="24"/>
          <w:szCs w:val="24"/>
          <w:lang w:val="en-GB"/>
        </w:rPr>
      </w:pPr>
    </w:p>
    <w:p w14:paraId="66E3BC49" w14:textId="77777777" w:rsidR="000729CF" w:rsidRPr="000729CF" w:rsidRDefault="000729CF" w:rsidP="000729CF">
      <w:pPr>
        <w:rPr>
          <w:rFonts w:ascii="Arial" w:eastAsia="Calibri" w:hAnsi="Arial" w:cs="Arial"/>
          <w:sz w:val="24"/>
          <w:szCs w:val="24"/>
          <w:lang w:val="en-GB"/>
        </w:rPr>
      </w:pPr>
    </w:p>
    <w:p w14:paraId="49BB2797"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Impacts</w:t>
      </w:r>
    </w:p>
    <w:p w14:paraId="2BEABB5A"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Briefly state source of data or data analysis being used to describe the </w:t>
      </w:r>
      <w:r w:rsidRPr="000729CF">
        <w:rPr>
          <w:rFonts w:ascii="Arial" w:eastAsia="Calibri" w:hAnsi="Arial" w:cs="Arial"/>
          <w:color w:val="000000"/>
          <w:sz w:val="24"/>
          <w:szCs w:val="24"/>
          <w:bdr w:val="none" w:sz="0" w:space="0" w:color="auto" w:frame="1"/>
          <w:lang w:val="en-GB"/>
        </w:rPr>
        <w:t xml:space="preserve">disproportionate negative impacts. </w:t>
      </w:r>
      <w:r w:rsidRPr="000729CF">
        <w:rPr>
          <w:rFonts w:ascii="Arial" w:eastAsia="Calibri" w:hAnsi="Arial" w:cs="Arial"/>
          <w:sz w:val="24"/>
          <w:szCs w:val="24"/>
          <w:lang w:val="en-GB"/>
        </w:rPr>
        <w:t xml:space="preserve">Preferably provide link to data/ analysis if open data source. </w:t>
      </w:r>
    </w:p>
    <w:tbl>
      <w:tblPr>
        <w:tblStyle w:val="TableGrid"/>
        <w:tblW w:w="10485" w:type="dxa"/>
        <w:tblLook w:val="04A0" w:firstRow="1" w:lastRow="0" w:firstColumn="1" w:lastColumn="0" w:noHBand="0" w:noVBand="1"/>
      </w:tblPr>
      <w:tblGrid>
        <w:gridCol w:w="2985"/>
        <w:gridCol w:w="2123"/>
        <w:gridCol w:w="5377"/>
      </w:tblGrid>
      <w:tr w:rsidR="000729CF" w:rsidRPr="000729CF" w14:paraId="322C9505" w14:textId="77777777" w:rsidTr="000729CF">
        <w:trPr>
          <w:trHeight w:val="20"/>
        </w:trPr>
        <w:tc>
          <w:tcPr>
            <w:tcW w:w="2985" w:type="dxa"/>
            <w:shd w:val="clear" w:color="auto" w:fill="E7E6E6"/>
          </w:tcPr>
          <w:p w14:paraId="672229F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Assess impact for different population groups</w:t>
            </w:r>
          </w:p>
        </w:tc>
        <w:tc>
          <w:tcPr>
            <w:tcW w:w="2123" w:type="dxa"/>
            <w:shd w:val="clear" w:color="auto" w:fill="E7E6E6"/>
          </w:tcPr>
          <w:p w14:paraId="24B09A0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Is there a possible disproportionate negative impact? </w:t>
            </w:r>
          </w:p>
          <w:p w14:paraId="261212AE" w14:textId="77777777" w:rsidR="000729CF" w:rsidRPr="000729CF" w:rsidRDefault="000729CF" w:rsidP="000729CF">
            <w:pPr>
              <w:spacing w:after="120"/>
              <w:rPr>
                <w:rFonts w:ascii="Arial" w:eastAsia="Calibri" w:hAnsi="Arial" w:cs="Arial"/>
                <w:b/>
                <w:bCs/>
                <w:sz w:val="24"/>
                <w:szCs w:val="24"/>
              </w:rPr>
            </w:pPr>
          </w:p>
          <w:p w14:paraId="1E6354A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b/>
                <w:bCs/>
                <w:sz w:val="24"/>
                <w:szCs w:val="24"/>
              </w:rPr>
              <w:t>State Yes or No</w:t>
            </w:r>
          </w:p>
        </w:tc>
        <w:tc>
          <w:tcPr>
            <w:tcW w:w="5377" w:type="dxa"/>
            <w:shd w:val="clear" w:color="auto" w:fill="E7E6E6"/>
          </w:tcPr>
          <w:p w14:paraId="63B39AC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Describe the potential negative impact, considering for differences within groups For example, different ethnic groups, and peoples intersecting identities e.g. disabled women of faith</w:t>
            </w:r>
          </w:p>
          <w:p w14:paraId="7C44C34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OR</w:t>
            </w:r>
          </w:p>
          <w:p w14:paraId="7503E9C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If no impact is identified, briefly state why.</w:t>
            </w:r>
          </w:p>
        </w:tc>
      </w:tr>
      <w:tr w:rsidR="000729CF" w:rsidRPr="000729CF" w14:paraId="4B9D87FA" w14:textId="77777777" w:rsidTr="000729CF">
        <w:trPr>
          <w:trHeight w:val="20"/>
        </w:trPr>
        <w:tc>
          <w:tcPr>
            <w:tcW w:w="2985" w:type="dxa"/>
            <w:shd w:val="clear" w:color="auto" w:fill="E7E6E6"/>
          </w:tcPr>
          <w:p w14:paraId="735DA1E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Age </w:t>
            </w:r>
          </w:p>
          <w:p w14:paraId="6A19FB6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sz w:val="24"/>
                <w:szCs w:val="24"/>
              </w:rPr>
              <w:t>including those under 16, young adults, multiple ethnicities, those with various intersections.</w:t>
            </w:r>
          </w:p>
        </w:tc>
        <w:tc>
          <w:tcPr>
            <w:tcW w:w="2123" w:type="dxa"/>
          </w:tcPr>
          <w:p w14:paraId="01CDA2D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48EDBDF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Proposed reduction does not affect services provided to children who are victims/survivors of domestic violence.</w:t>
            </w:r>
          </w:p>
          <w:p w14:paraId="639DAA16" w14:textId="77777777" w:rsidR="000729CF" w:rsidRPr="000729CF" w:rsidRDefault="000729CF" w:rsidP="000729CF">
            <w:pPr>
              <w:spacing w:after="120"/>
              <w:rPr>
                <w:rFonts w:ascii="Arial" w:eastAsia="Calibri" w:hAnsi="Arial" w:cs="Arial"/>
                <w:sz w:val="24"/>
                <w:szCs w:val="24"/>
              </w:rPr>
            </w:pPr>
          </w:p>
          <w:p w14:paraId="3292FA6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Data unavailable on adult age cohorts. Impact unknown. </w:t>
            </w:r>
          </w:p>
        </w:tc>
      </w:tr>
      <w:tr w:rsidR="000729CF" w:rsidRPr="000729CF" w14:paraId="5C73D1FE" w14:textId="77777777" w:rsidTr="000729CF">
        <w:trPr>
          <w:trHeight w:val="20"/>
        </w:trPr>
        <w:tc>
          <w:tcPr>
            <w:tcW w:w="2985" w:type="dxa"/>
            <w:shd w:val="clear" w:color="auto" w:fill="E7E6E6"/>
          </w:tcPr>
          <w:p w14:paraId="757668FE"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 xml:space="preserve">Disability </w:t>
            </w:r>
            <w:r w:rsidRPr="000729CF">
              <w:rPr>
                <w:rFonts w:ascii="Arial" w:eastAsia="Calibri" w:hAnsi="Arial" w:cs="Arial"/>
                <w:sz w:val="24"/>
                <w:szCs w:val="24"/>
              </w:rPr>
              <w:t>includes physical and sensory disabled, D/deaf, deafened, hard of hearing, blind, neurodiverse people, people with non-visible disabilities.</w:t>
            </w:r>
          </w:p>
        </w:tc>
        <w:tc>
          <w:tcPr>
            <w:tcW w:w="2123" w:type="dxa"/>
          </w:tcPr>
          <w:p w14:paraId="5AA6DD0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4E7AEA1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Proposed reduction may affect services provided to disabled people who are victims/survivors of domestic violence as a result of the offer from the specialist case worker supporting people with multiple complex need.</w:t>
            </w:r>
          </w:p>
        </w:tc>
      </w:tr>
      <w:tr w:rsidR="000729CF" w:rsidRPr="000729CF" w14:paraId="0E2C9AD2" w14:textId="77777777" w:rsidTr="000729CF">
        <w:trPr>
          <w:trHeight w:val="20"/>
        </w:trPr>
        <w:tc>
          <w:tcPr>
            <w:tcW w:w="2985" w:type="dxa"/>
            <w:shd w:val="clear" w:color="auto" w:fill="E7E6E6"/>
          </w:tcPr>
          <w:p w14:paraId="624BE25A" w14:textId="77777777" w:rsidR="000729CF" w:rsidRPr="000729CF" w:rsidRDefault="000729CF" w:rsidP="000729CF">
            <w:pPr>
              <w:keepNext/>
              <w:keepLines/>
              <w:spacing w:before="40"/>
              <w:outlineLvl w:val="2"/>
              <w:rPr>
                <w:rFonts w:ascii="Arial" w:hAnsi="Arial" w:cs="Arial"/>
                <w:color w:val="1F3763"/>
                <w:sz w:val="24"/>
                <w:szCs w:val="24"/>
              </w:rPr>
            </w:pPr>
            <w:r w:rsidRPr="000729CF">
              <w:rPr>
                <w:rFonts w:ascii="Arial" w:hAnsi="Arial" w:cs="Arial"/>
                <w:b/>
                <w:bCs/>
                <w:color w:val="000000"/>
                <w:sz w:val="24"/>
                <w:szCs w:val="24"/>
              </w:rPr>
              <w:t>Ethnicity, ‘</w:t>
            </w:r>
            <w:r w:rsidRPr="000729CF">
              <w:rPr>
                <w:rFonts w:ascii="Arial" w:hAnsi="Arial" w:cs="Arial"/>
                <w:color w:val="000000"/>
                <w:sz w:val="24"/>
                <w:szCs w:val="24"/>
              </w:rPr>
              <w:t>Race’, ethnic heritage including Gypsy, Roma, Travellers</w:t>
            </w:r>
          </w:p>
        </w:tc>
        <w:tc>
          <w:tcPr>
            <w:tcW w:w="2123" w:type="dxa"/>
          </w:tcPr>
          <w:p w14:paraId="143771D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2E15E73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Proposed reduction does not affect services provided to victims/survivors of domestic violence from ethnic backgrounds. </w:t>
            </w:r>
          </w:p>
          <w:p w14:paraId="19551596" w14:textId="77777777" w:rsidR="000729CF" w:rsidRPr="000729CF" w:rsidRDefault="000729CF" w:rsidP="000729CF">
            <w:pPr>
              <w:spacing w:after="120"/>
              <w:rPr>
                <w:rFonts w:ascii="Arial" w:eastAsia="Calibri" w:hAnsi="Arial" w:cs="Arial"/>
                <w:sz w:val="24"/>
                <w:szCs w:val="24"/>
              </w:rPr>
            </w:pPr>
          </w:p>
          <w:p w14:paraId="7029C9B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Sufficient funding remains in place for translation and interpreting services.</w:t>
            </w:r>
          </w:p>
        </w:tc>
      </w:tr>
      <w:tr w:rsidR="000729CF" w:rsidRPr="000729CF" w14:paraId="40A86526" w14:textId="77777777" w:rsidTr="000729CF">
        <w:trPr>
          <w:trHeight w:val="20"/>
        </w:trPr>
        <w:tc>
          <w:tcPr>
            <w:tcW w:w="2985" w:type="dxa"/>
            <w:shd w:val="clear" w:color="auto" w:fill="E7E6E6"/>
          </w:tcPr>
          <w:p w14:paraId="603C313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Religion, Spirituality, Faith, Atheism, and philosophical belief </w:t>
            </w:r>
          </w:p>
        </w:tc>
        <w:tc>
          <w:tcPr>
            <w:tcW w:w="2123" w:type="dxa"/>
          </w:tcPr>
          <w:p w14:paraId="003A184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4FC12B5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Proposed reduction does not affect services provided to victims/survivors of domestic violence based on their religion or faith.</w:t>
            </w:r>
          </w:p>
        </w:tc>
      </w:tr>
      <w:tr w:rsidR="000729CF" w:rsidRPr="000729CF" w14:paraId="4735E16C" w14:textId="77777777" w:rsidTr="000729CF">
        <w:trPr>
          <w:trHeight w:val="20"/>
        </w:trPr>
        <w:tc>
          <w:tcPr>
            <w:tcW w:w="2985" w:type="dxa"/>
            <w:shd w:val="clear" w:color="auto" w:fill="E7E6E6"/>
          </w:tcPr>
          <w:p w14:paraId="173D420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Gender and Sex </w:t>
            </w:r>
            <w:r w:rsidRPr="000729CF">
              <w:rPr>
                <w:rFonts w:ascii="Arial" w:eastAsia="Calibri" w:hAnsi="Arial" w:cs="Arial"/>
                <w:sz w:val="24"/>
                <w:szCs w:val="24"/>
              </w:rPr>
              <w:t>including non-binary and intersex people</w:t>
            </w:r>
          </w:p>
        </w:tc>
        <w:tc>
          <w:tcPr>
            <w:tcW w:w="2123" w:type="dxa"/>
          </w:tcPr>
          <w:p w14:paraId="241B4E4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4697C38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May disproportionately affect women at risk of domestic abuse/violence. However, core commissioned services remain in place.</w:t>
            </w:r>
          </w:p>
        </w:tc>
      </w:tr>
      <w:tr w:rsidR="000729CF" w:rsidRPr="000729CF" w14:paraId="039B7426" w14:textId="77777777" w:rsidTr="000729CF">
        <w:trPr>
          <w:trHeight w:val="20"/>
        </w:trPr>
        <w:tc>
          <w:tcPr>
            <w:tcW w:w="2985" w:type="dxa"/>
            <w:shd w:val="clear" w:color="auto" w:fill="E7E6E6"/>
          </w:tcPr>
          <w:p w14:paraId="7915C6F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2123" w:type="dxa"/>
          </w:tcPr>
          <w:p w14:paraId="537F170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4DA30FA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May disproportionately affect women at risk of domestic abuse/violence. However, core commissioned services remain in place.</w:t>
            </w:r>
          </w:p>
        </w:tc>
      </w:tr>
      <w:tr w:rsidR="000729CF" w:rsidRPr="000729CF" w14:paraId="2AE1EADB" w14:textId="77777777" w:rsidTr="000729CF">
        <w:trPr>
          <w:trHeight w:val="20"/>
        </w:trPr>
        <w:tc>
          <w:tcPr>
            <w:tcW w:w="2985" w:type="dxa"/>
            <w:shd w:val="clear" w:color="auto" w:fill="E7E6E6"/>
          </w:tcPr>
          <w:p w14:paraId="7DC3956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2123" w:type="dxa"/>
          </w:tcPr>
          <w:p w14:paraId="53480BE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0DFC80B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May disproportionately affected LGBT+ women at risk of domestic abuse/violence. However, core commissioned services remain in place.</w:t>
            </w:r>
          </w:p>
        </w:tc>
      </w:tr>
      <w:tr w:rsidR="000729CF" w:rsidRPr="000729CF" w14:paraId="2E4315DB" w14:textId="77777777" w:rsidTr="000729CF">
        <w:trPr>
          <w:trHeight w:val="20"/>
        </w:trPr>
        <w:tc>
          <w:tcPr>
            <w:tcW w:w="2985" w:type="dxa"/>
            <w:shd w:val="clear" w:color="auto" w:fill="E7E6E6"/>
          </w:tcPr>
          <w:p w14:paraId="37FBA44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2123" w:type="dxa"/>
          </w:tcPr>
          <w:p w14:paraId="4BD9438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68FF894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Proposed reduction does not affect services provided to children who are victims/survivors of domestic violence</w:t>
            </w:r>
          </w:p>
        </w:tc>
      </w:tr>
      <w:tr w:rsidR="000729CF" w:rsidRPr="000729CF" w14:paraId="5F9F7827" w14:textId="77777777" w:rsidTr="000729CF">
        <w:trPr>
          <w:trHeight w:val="20"/>
        </w:trPr>
        <w:tc>
          <w:tcPr>
            <w:tcW w:w="2985" w:type="dxa"/>
            <w:shd w:val="clear" w:color="auto" w:fill="E7E6E6"/>
          </w:tcPr>
          <w:p w14:paraId="5EAA45F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Pregnancy, Maternity, Paternity, Adoption, Menopause, (In)fertility </w:t>
            </w:r>
            <w:r w:rsidRPr="000729CF">
              <w:rPr>
                <w:rFonts w:ascii="Arial" w:eastAsia="Calibri" w:hAnsi="Arial" w:cs="Arial"/>
                <w:color w:val="000000"/>
                <w:sz w:val="24"/>
                <w:szCs w:val="24"/>
              </w:rPr>
              <w:t>(across intersections and non-binary gender spectrum)</w:t>
            </w:r>
          </w:p>
        </w:tc>
        <w:tc>
          <w:tcPr>
            <w:tcW w:w="2123" w:type="dxa"/>
          </w:tcPr>
          <w:p w14:paraId="454A81D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5664445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May disproportionately affect women at risk of domestic abuse/violence. However, core commissioned services will still be in place.</w:t>
            </w:r>
          </w:p>
        </w:tc>
      </w:tr>
      <w:tr w:rsidR="000729CF" w:rsidRPr="000729CF" w14:paraId="7D37D462" w14:textId="77777777" w:rsidTr="000729CF">
        <w:trPr>
          <w:trHeight w:val="20"/>
        </w:trPr>
        <w:tc>
          <w:tcPr>
            <w:tcW w:w="2985" w:type="dxa"/>
            <w:shd w:val="clear" w:color="auto" w:fill="E7E6E6"/>
          </w:tcPr>
          <w:p w14:paraId="03D15E3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2123" w:type="dxa"/>
          </w:tcPr>
          <w:p w14:paraId="12191D7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688CD0E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Proposed reduction does not affect services provided to victims/survivors of domestic violence from the armed forces</w:t>
            </w:r>
          </w:p>
        </w:tc>
      </w:tr>
      <w:tr w:rsidR="000729CF" w:rsidRPr="000729CF" w14:paraId="494C0741" w14:textId="77777777" w:rsidTr="000729CF">
        <w:trPr>
          <w:trHeight w:val="20"/>
        </w:trPr>
        <w:tc>
          <w:tcPr>
            <w:tcW w:w="2985" w:type="dxa"/>
            <w:shd w:val="clear" w:color="auto" w:fill="E7E6E6"/>
          </w:tcPr>
          <w:p w14:paraId="61DBADF5" w14:textId="77777777" w:rsidR="000729CF" w:rsidRPr="000729CF" w:rsidRDefault="000729CF" w:rsidP="000729CF">
            <w:pPr>
              <w:spacing w:after="120"/>
              <w:rPr>
                <w:rFonts w:ascii="Arial" w:eastAsia="Calibri" w:hAnsi="Arial" w:cs="Arial"/>
                <w:b/>
                <w:bCs/>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r w:rsidRPr="000729CF">
              <w:rPr>
                <w:rFonts w:ascii="Arial" w:hAnsi="Arial" w:cs="Arial"/>
                <w:color w:val="000000"/>
                <w:sz w:val="24"/>
                <w:szCs w:val="24"/>
              </w:rPr>
              <w:t>considering for age, language, and various intersections</w:t>
            </w:r>
          </w:p>
        </w:tc>
        <w:tc>
          <w:tcPr>
            <w:tcW w:w="2123" w:type="dxa"/>
          </w:tcPr>
          <w:p w14:paraId="43AD81A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72546C0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Proposed reduction does not affect services provided to victims/survivors of domestic violence who are refugees, migrants or asylum seekers. </w:t>
            </w:r>
          </w:p>
          <w:p w14:paraId="2BC0A8B3" w14:textId="77777777" w:rsidR="000729CF" w:rsidRPr="000729CF" w:rsidRDefault="000729CF" w:rsidP="000729CF">
            <w:pPr>
              <w:spacing w:after="120"/>
              <w:rPr>
                <w:rFonts w:ascii="Arial" w:eastAsia="Calibri" w:hAnsi="Arial" w:cs="Arial"/>
                <w:sz w:val="24"/>
                <w:szCs w:val="24"/>
              </w:rPr>
            </w:pPr>
          </w:p>
          <w:p w14:paraId="1914AD6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Sufficient funding remains in place for translation and interpreting services</w:t>
            </w:r>
          </w:p>
        </w:tc>
      </w:tr>
      <w:tr w:rsidR="000729CF" w:rsidRPr="000729CF" w14:paraId="4F4C4BE2" w14:textId="77777777" w:rsidTr="000729CF">
        <w:trPr>
          <w:trHeight w:val="20"/>
        </w:trPr>
        <w:tc>
          <w:tcPr>
            <w:tcW w:w="2985" w:type="dxa"/>
            <w:shd w:val="clear" w:color="auto" w:fill="E7E6E6"/>
          </w:tcPr>
          <w:p w14:paraId="04BF181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Carers </w:t>
            </w:r>
            <w:r w:rsidRPr="000729CF">
              <w:rPr>
                <w:rFonts w:ascii="Arial" w:hAnsi="Arial" w:cs="Arial"/>
                <w:color w:val="000000"/>
                <w:sz w:val="24"/>
                <w:szCs w:val="24"/>
              </w:rPr>
              <w:t>considering for age, language, and various intersections</w:t>
            </w:r>
          </w:p>
        </w:tc>
        <w:tc>
          <w:tcPr>
            <w:tcW w:w="2123" w:type="dxa"/>
          </w:tcPr>
          <w:p w14:paraId="320CDFA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32ED290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Proposed reduction does not affect services provided to victims/survivors of domestic violence who are carers.</w:t>
            </w:r>
          </w:p>
        </w:tc>
      </w:tr>
      <w:tr w:rsidR="000729CF" w:rsidRPr="000729CF" w14:paraId="10CC959D" w14:textId="77777777" w:rsidTr="000729CF">
        <w:trPr>
          <w:trHeight w:val="20"/>
        </w:trPr>
        <w:tc>
          <w:tcPr>
            <w:tcW w:w="2985" w:type="dxa"/>
            <w:shd w:val="clear" w:color="auto" w:fill="E7E6E6"/>
          </w:tcPr>
          <w:p w14:paraId="3D08027B"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 xml:space="preserve">Looked after children, Care Leavers, Care and fostering experienced people </w:t>
            </w:r>
            <w:r w:rsidRPr="000729CF">
              <w:rPr>
                <w:rFonts w:ascii="Arial" w:hAnsi="Arial" w:cs="Arial"/>
                <w:color w:val="000000"/>
                <w:sz w:val="24"/>
                <w:szCs w:val="24"/>
              </w:rPr>
              <w:t>considering for age, language, and various intersections</w:t>
            </w:r>
          </w:p>
        </w:tc>
        <w:tc>
          <w:tcPr>
            <w:tcW w:w="2123" w:type="dxa"/>
          </w:tcPr>
          <w:p w14:paraId="7753F94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6B90104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May disproportionately affect women and girls who are care experienced. However, core commissioned services will still be in place.</w:t>
            </w:r>
          </w:p>
        </w:tc>
      </w:tr>
      <w:tr w:rsidR="000729CF" w:rsidRPr="000729CF" w14:paraId="13A6FBE8" w14:textId="77777777" w:rsidTr="000729CF">
        <w:trPr>
          <w:trHeight w:val="20"/>
        </w:trPr>
        <w:tc>
          <w:tcPr>
            <w:tcW w:w="2985" w:type="dxa"/>
            <w:shd w:val="clear" w:color="auto" w:fill="E7E6E6"/>
          </w:tcPr>
          <w:p w14:paraId="13944F3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w:t>
            </w:r>
          </w:p>
        </w:tc>
        <w:tc>
          <w:tcPr>
            <w:tcW w:w="2123" w:type="dxa"/>
          </w:tcPr>
          <w:p w14:paraId="3BB0177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6D8147A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May disproportionately affect women at risk of domestic abuse/violence. However, core commissioned services will still be in place.</w:t>
            </w:r>
          </w:p>
        </w:tc>
      </w:tr>
      <w:tr w:rsidR="000729CF" w:rsidRPr="000729CF" w14:paraId="63CE54C3" w14:textId="77777777" w:rsidTr="000729CF">
        <w:trPr>
          <w:trHeight w:val="20"/>
        </w:trPr>
        <w:tc>
          <w:tcPr>
            <w:tcW w:w="2985" w:type="dxa"/>
            <w:shd w:val="clear" w:color="auto" w:fill="E7E6E6"/>
          </w:tcPr>
          <w:p w14:paraId="081AC12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Socio-economic disadvantage </w:t>
            </w:r>
            <w:r w:rsidRPr="000729CF">
              <w:rPr>
                <w:rFonts w:ascii="Arial" w:eastAsia="Calibri" w:hAnsi="Arial" w:cs="Arial"/>
                <w:color w:val="000000"/>
                <w:sz w:val="24"/>
                <w:szCs w:val="24"/>
              </w:rPr>
              <w:t>considering for age, disability, D/deaf/ blind, ethnicity, expatriate background, and various intersections</w:t>
            </w:r>
          </w:p>
        </w:tc>
        <w:tc>
          <w:tcPr>
            <w:tcW w:w="2123" w:type="dxa"/>
          </w:tcPr>
          <w:p w14:paraId="057004A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356E4EB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Proposed reduction does not affect services provided to people who are victims/survivors of domestic violence who are at risk of socio disadvantage</w:t>
            </w:r>
          </w:p>
        </w:tc>
      </w:tr>
      <w:tr w:rsidR="000729CF" w:rsidRPr="000729CF" w14:paraId="66293DFE" w14:textId="77777777" w:rsidTr="000729CF">
        <w:trPr>
          <w:trHeight w:val="20"/>
        </w:trPr>
        <w:tc>
          <w:tcPr>
            <w:tcW w:w="2985" w:type="dxa"/>
            <w:shd w:val="clear" w:color="auto" w:fill="E7E6E6"/>
          </w:tcPr>
          <w:p w14:paraId="7D96A2F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Homeless and rough sleepers </w:t>
            </w:r>
            <w:r w:rsidRPr="000729CF">
              <w:rPr>
                <w:rFonts w:ascii="Arial" w:eastAsia="Calibri" w:hAnsi="Arial" w:cs="Arial"/>
                <w:color w:val="000000"/>
                <w:sz w:val="24"/>
                <w:szCs w:val="24"/>
              </w:rPr>
              <w:t>considering for age, veteran, ethnicity, language, and various intersections</w:t>
            </w:r>
          </w:p>
        </w:tc>
        <w:tc>
          <w:tcPr>
            <w:tcW w:w="2123" w:type="dxa"/>
          </w:tcPr>
          <w:p w14:paraId="16F6CDA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153D27B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Proposed reduction does not affect services provided to rough sleepers who are victims/survivors of domestic violence</w:t>
            </w:r>
          </w:p>
        </w:tc>
      </w:tr>
      <w:tr w:rsidR="000729CF" w:rsidRPr="000729CF" w14:paraId="7BA188E1" w14:textId="77777777" w:rsidTr="000729CF">
        <w:trPr>
          <w:trHeight w:val="20"/>
        </w:trPr>
        <w:tc>
          <w:tcPr>
            <w:tcW w:w="2985" w:type="dxa"/>
            <w:shd w:val="clear" w:color="auto" w:fill="E7E6E6"/>
          </w:tcPr>
          <w:p w14:paraId="573C210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2123" w:type="dxa"/>
          </w:tcPr>
          <w:p w14:paraId="38CCB92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N/A</w:t>
            </w:r>
          </w:p>
        </w:tc>
        <w:tc>
          <w:tcPr>
            <w:tcW w:w="5377" w:type="dxa"/>
          </w:tcPr>
          <w:p w14:paraId="20E7E74F" w14:textId="77777777" w:rsidR="000729CF" w:rsidRPr="000729CF" w:rsidRDefault="000729CF" w:rsidP="000729CF">
            <w:pPr>
              <w:spacing w:after="120"/>
              <w:rPr>
                <w:rFonts w:ascii="Arial" w:eastAsia="Calibri" w:hAnsi="Arial" w:cs="Arial"/>
                <w:sz w:val="24"/>
                <w:szCs w:val="24"/>
              </w:rPr>
            </w:pPr>
          </w:p>
        </w:tc>
      </w:tr>
      <w:tr w:rsidR="000729CF" w:rsidRPr="000729CF" w14:paraId="4819F227" w14:textId="77777777" w:rsidTr="000729CF">
        <w:trPr>
          <w:trHeight w:val="20"/>
        </w:trPr>
        <w:tc>
          <w:tcPr>
            <w:tcW w:w="2985" w:type="dxa"/>
            <w:shd w:val="clear" w:color="auto" w:fill="E7E6E6"/>
          </w:tcPr>
          <w:p w14:paraId="7F0D0F0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w:t>
            </w:r>
          </w:p>
          <w:p w14:paraId="33058F87"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People with multiple complex need</w:t>
            </w:r>
          </w:p>
        </w:tc>
        <w:tc>
          <w:tcPr>
            <w:tcW w:w="2123" w:type="dxa"/>
          </w:tcPr>
          <w:p w14:paraId="775FF2C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36F09F3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Proposed reduction will reduce the offer to individuals identified as having multiple complex need.</w:t>
            </w:r>
          </w:p>
        </w:tc>
      </w:tr>
    </w:tbl>
    <w:p w14:paraId="266B99D6" w14:textId="77777777" w:rsidR="000729CF" w:rsidRPr="000729CF" w:rsidRDefault="000729CF" w:rsidP="000729CF">
      <w:pPr>
        <w:spacing w:after="160" w:line="259" w:lineRule="auto"/>
        <w:rPr>
          <w:rFonts w:ascii="Arial" w:eastAsia="Calibri" w:hAnsi="Arial" w:cs="Arial"/>
          <w:b/>
          <w:bCs/>
          <w:sz w:val="24"/>
          <w:szCs w:val="24"/>
          <w:lang w:val="en-GB"/>
        </w:rPr>
      </w:pPr>
    </w:p>
    <w:p w14:paraId="08F96E27"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6403859D"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7629C1C2"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3AFB14A1"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4D5346B8"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0ECCDFB5"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64AED494"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221E29F4"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7A3C369A"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73079E4A"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06506FE7" w14:textId="77777777" w:rsidR="000729CF" w:rsidRPr="000729CF" w:rsidRDefault="000729CF" w:rsidP="000729CF">
      <w:pPr>
        <w:rPr>
          <w:rFonts w:ascii="Arial" w:eastAsia="Calibri" w:hAnsi="Arial" w:cs="Arial"/>
          <w:sz w:val="24"/>
          <w:szCs w:val="24"/>
          <w:lang w:val="en-GB"/>
        </w:rPr>
      </w:pPr>
    </w:p>
    <w:p w14:paraId="56E19D80"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Cumulative impacts</w:t>
      </w:r>
    </w:p>
    <w:p w14:paraId="28641443"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Are there other budget proposals from other service areas that might worsen or mitigate the impacts from your proposal? Please give a brief description including name of other service(s).</w:t>
      </w:r>
    </w:p>
    <w:tbl>
      <w:tblPr>
        <w:tblStyle w:val="TableGrid"/>
        <w:tblW w:w="0" w:type="auto"/>
        <w:tblLook w:val="04A0" w:firstRow="1" w:lastRow="0" w:firstColumn="1" w:lastColumn="0" w:noHBand="0" w:noVBand="1"/>
      </w:tblPr>
      <w:tblGrid>
        <w:gridCol w:w="10456"/>
      </w:tblGrid>
      <w:tr w:rsidR="000729CF" w:rsidRPr="000729CF" w14:paraId="2D02C235" w14:textId="77777777" w:rsidTr="00BC26AB">
        <w:tc>
          <w:tcPr>
            <w:tcW w:w="10456" w:type="dxa"/>
          </w:tcPr>
          <w:p w14:paraId="226A233C"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Other budget savings across the council that impact on women and disabled people may worsen this proposal.</w:t>
            </w:r>
          </w:p>
          <w:p w14:paraId="5CD686EB" w14:textId="77777777" w:rsidR="000729CF" w:rsidRPr="000729CF" w:rsidRDefault="000729CF" w:rsidP="000729CF">
            <w:pPr>
              <w:rPr>
                <w:rFonts w:ascii="Arial" w:eastAsia="Calibri" w:hAnsi="Arial" w:cs="Arial"/>
                <w:sz w:val="24"/>
                <w:szCs w:val="24"/>
              </w:rPr>
            </w:pPr>
          </w:p>
        </w:tc>
      </w:tr>
    </w:tbl>
    <w:p w14:paraId="5DE1471D" w14:textId="77777777" w:rsidR="000729CF" w:rsidRPr="000729CF" w:rsidRDefault="000729CF" w:rsidP="000729CF">
      <w:pPr>
        <w:spacing w:after="160" w:line="259" w:lineRule="auto"/>
        <w:rPr>
          <w:rFonts w:ascii="Arial" w:eastAsia="Calibri" w:hAnsi="Arial" w:cs="Arial"/>
          <w:sz w:val="24"/>
          <w:szCs w:val="24"/>
          <w:lang w:val="en-GB"/>
        </w:rPr>
      </w:pPr>
    </w:p>
    <w:p w14:paraId="267217E7"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Action planning</w:t>
      </w:r>
    </w:p>
    <w:p w14:paraId="020BAFC5"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SMART actions will be taken to mitigate the disproportionate impacts identified in section 3? If no mitigating action is possible, please state and explain why. Add additional rows as required. </w:t>
      </w:r>
    </w:p>
    <w:tbl>
      <w:tblPr>
        <w:tblStyle w:val="TableGrid"/>
        <w:tblW w:w="0" w:type="auto"/>
        <w:tblLook w:val="04A0" w:firstRow="1" w:lastRow="0" w:firstColumn="1" w:lastColumn="0" w:noHBand="0" w:noVBand="1"/>
      </w:tblPr>
      <w:tblGrid>
        <w:gridCol w:w="10456"/>
      </w:tblGrid>
      <w:tr w:rsidR="000729CF" w:rsidRPr="000729CF" w14:paraId="0A011643" w14:textId="77777777" w:rsidTr="00BC26AB">
        <w:trPr>
          <w:trHeight w:val="847"/>
        </w:trPr>
        <w:tc>
          <w:tcPr>
            <w:tcW w:w="10456" w:type="dxa"/>
          </w:tcPr>
          <w:p w14:paraId="1562CA8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SMART action 1: Continued quarterly contract monitoring of those accessing core services to track impact of this proposal and explore further mitigating actions is needed.</w:t>
            </w:r>
          </w:p>
        </w:tc>
      </w:tr>
      <w:tr w:rsidR="000729CF" w:rsidRPr="000729CF" w14:paraId="1ED579BC" w14:textId="77777777" w:rsidTr="00BC26AB">
        <w:trPr>
          <w:trHeight w:val="847"/>
        </w:trPr>
        <w:tc>
          <w:tcPr>
            <w:tcW w:w="10456" w:type="dxa"/>
          </w:tcPr>
          <w:p w14:paraId="66BFB1B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SMART action 2: Core commissioned services will remain in place for the lifetime of the current contracts - until March 2026 as a minimum. </w:t>
            </w:r>
          </w:p>
          <w:p w14:paraId="6311040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SMART action 3: Review of all grant funded and commissioned services by end March 2024 to ensure that they are delivering against contract specification.</w:t>
            </w:r>
          </w:p>
        </w:tc>
      </w:tr>
    </w:tbl>
    <w:p w14:paraId="7EABE34E" w14:textId="77777777" w:rsidR="000729CF" w:rsidRPr="000729CF" w:rsidRDefault="000729CF" w:rsidP="000729CF">
      <w:pPr>
        <w:spacing w:after="160" w:line="259" w:lineRule="auto"/>
        <w:rPr>
          <w:rFonts w:ascii="Arial" w:eastAsia="Calibri" w:hAnsi="Arial" w:cs="Arial"/>
          <w:sz w:val="24"/>
          <w:szCs w:val="24"/>
          <w:lang w:val="en-GB"/>
        </w:rPr>
      </w:pPr>
    </w:p>
    <w:p w14:paraId="233C2884"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Outcome of your assessment</w:t>
      </w:r>
    </w:p>
    <w:p w14:paraId="55EB091F"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Based on the information above give the proposal an impact score between 1 – 5. </w:t>
      </w:r>
    </w:p>
    <w:p w14:paraId="34C9DACE"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1= proposal has minimal impact and/or mitigating actions will significantly minimise the impact</w:t>
      </w:r>
    </w:p>
    <w:p w14:paraId="3EDBE3EF"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3= proposal will have a significant negative impact; however, mitigation actions will reduce the impact considerably.</w:t>
      </w:r>
    </w:p>
    <w:p w14:paraId="14C40C29"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5= proposal has significant impact and mitigating actions will have limited effect on reducing impact.</w:t>
      </w:r>
    </w:p>
    <w:p w14:paraId="40134D8C" w14:textId="77777777" w:rsidR="000729CF" w:rsidRPr="000729CF" w:rsidRDefault="000729CF" w:rsidP="000729CF">
      <w:pPr>
        <w:rPr>
          <w:rFonts w:ascii="Arial" w:eastAsia="Calibri" w:hAnsi="Arial" w:cs="Arial"/>
          <w:sz w:val="24"/>
          <w:szCs w:val="24"/>
          <w:highlight w:val="yellow"/>
          <w:lang w:val="en-GB"/>
        </w:rPr>
      </w:pPr>
    </w:p>
    <w:tbl>
      <w:tblPr>
        <w:tblStyle w:val="TableGrid"/>
        <w:tblW w:w="0" w:type="auto"/>
        <w:tblLook w:val="04A0" w:firstRow="1" w:lastRow="0" w:firstColumn="1" w:lastColumn="0" w:noHBand="0" w:noVBand="1"/>
      </w:tblPr>
      <w:tblGrid>
        <w:gridCol w:w="3114"/>
        <w:gridCol w:w="7342"/>
      </w:tblGrid>
      <w:tr w:rsidR="000729CF" w:rsidRPr="000729CF" w14:paraId="09EDBD97" w14:textId="77777777" w:rsidTr="00BC26AB">
        <w:trPr>
          <w:trHeight w:val="152"/>
        </w:trPr>
        <w:tc>
          <w:tcPr>
            <w:tcW w:w="3114" w:type="dxa"/>
          </w:tcPr>
          <w:p w14:paraId="3F92C6B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Proposal’s impact score:</w:t>
            </w:r>
          </w:p>
        </w:tc>
        <w:tc>
          <w:tcPr>
            <w:tcW w:w="7342" w:type="dxa"/>
          </w:tcPr>
          <w:p w14:paraId="7CDEC9B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3</w:t>
            </w:r>
          </w:p>
        </w:tc>
      </w:tr>
    </w:tbl>
    <w:p w14:paraId="008EF53E" w14:textId="77777777" w:rsidR="000729CF" w:rsidRPr="000729CF" w:rsidRDefault="000729CF" w:rsidP="000729CF">
      <w:pPr>
        <w:spacing w:after="160" w:line="259" w:lineRule="auto"/>
        <w:rPr>
          <w:rFonts w:ascii="Arial" w:eastAsia="Calibri" w:hAnsi="Arial" w:cs="Arial"/>
          <w:sz w:val="24"/>
          <w:szCs w:val="24"/>
          <w:lang w:val="en-GB"/>
        </w:rPr>
      </w:pPr>
    </w:p>
    <w:p w14:paraId="07630586"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Publication</w:t>
      </w:r>
    </w:p>
    <w:p w14:paraId="7CD7896B"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All Equality Impact Assessments will be published. If you are recommending, and choosing not to publish your EIA, please provide a reason:</w:t>
      </w:r>
    </w:p>
    <w:tbl>
      <w:tblPr>
        <w:tblStyle w:val="TableGrid"/>
        <w:tblW w:w="0" w:type="auto"/>
        <w:tblLook w:val="04A0" w:firstRow="1" w:lastRow="0" w:firstColumn="1" w:lastColumn="0" w:noHBand="0" w:noVBand="1"/>
      </w:tblPr>
      <w:tblGrid>
        <w:gridCol w:w="10456"/>
      </w:tblGrid>
      <w:tr w:rsidR="000729CF" w:rsidRPr="000729CF" w14:paraId="1FFCB46E" w14:textId="77777777" w:rsidTr="00BC26AB">
        <w:trPr>
          <w:trHeight w:val="803"/>
        </w:trPr>
        <w:tc>
          <w:tcPr>
            <w:tcW w:w="10456" w:type="dxa"/>
          </w:tcPr>
          <w:p w14:paraId="73BFCBDC" w14:textId="77777777" w:rsidR="000729CF" w:rsidRPr="000729CF" w:rsidRDefault="000729CF" w:rsidP="000729CF">
            <w:pPr>
              <w:spacing w:after="120"/>
              <w:rPr>
                <w:rFonts w:ascii="Arial" w:eastAsia="Calibri" w:hAnsi="Arial" w:cs="Arial"/>
                <w:sz w:val="24"/>
                <w:szCs w:val="24"/>
              </w:rPr>
            </w:pPr>
          </w:p>
        </w:tc>
      </w:tr>
    </w:tbl>
    <w:p w14:paraId="3CA29D07" w14:textId="77777777" w:rsidR="000729CF" w:rsidRPr="000729CF" w:rsidRDefault="000729CF" w:rsidP="000729CF">
      <w:pPr>
        <w:spacing w:after="160" w:line="259" w:lineRule="auto"/>
        <w:rPr>
          <w:rFonts w:ascii="Arial" w:eastAsia="Calibri" w:hAnsi="Arial" w:cs="Arial"/>
          <w:sz w:val="24"/>
          <w:szCs w:val="24"/>
          <w:lang w:val="en-GB"/>
        </w:rPr>
      </w:pPr>
    </w:p>
    <w:p w14:paraId="456EF0CE"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Directorate and Service Approval</w:t>
      </w:r>
    </w:p>
    <w:tbl>
      <w:tblPr>
        <w:tblStyle w:val="TableGrid"/>
        <w:tblW w:w="0" w:type="auto"/>
        <w:tblLook w:val="04A0" w:firstRow="1" w:lastRow="0" w:firstColumn="1" w:lastColumn="0" w:noHBand="0" w:noVBand="1"/>
      </w:tblPr>
      <w:tblGrid>
        <w:gridCol w:w="3681"/>
        <w:gridCol w:w="4394"/>
        <w:gridCol w:w="2381"/>
      </w:tblGrid>
      <w:tr w:rsidR="000729CF" w:rsidRPr="000729CF" w14:paraId="3D6627CB" w14:textId="77777777" w:rsidTr="000729CF">
        <w:trPr>
          <w:trHeight w:val="20"/>
        </w:trPr>
        <w:tc>
          <w:tcPr>
            <w:tcW w:w="3681" w:type="dxa"/>
            <w:tcBorders>
              <w:bottom w:val="single" w:sz="4" w:space="0" w:color="auto"/>
            </w:tcBorders>
            <w:shd w:val="clear" w:color="auto" w:fill="D9D9D9"/>
          </w:tcPr>
          <w:p w14:paraId="4C18F1D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7401B6B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 and Job Title:</w:t>
            </w:r>
          </w:p>
        </w:tc>
        <w:tc>
          <w:tcPr>
            <w:tcW w:w="2381" w:type="dxa"/>
            <w:shd w:val="clear" w:color="auto" w:fill="D9D9D9"/>
          </w:tcPr>
          <w:p w14:paraId="00CC6C5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07772FDC" w14:textId="77777777" w:rsidTr="000729CF">
        <w:trPr>
          <w:trHeight w:val="20"/>
        </w:trPr>
        <w:tc>
          <w:tcPr>
            <w:tcW w:w="3681" w:type="dxa"/>
            <w:shd w:val="clear" w:color="auto" w:fill="E7E6E6"/>
          </w:tcPr>
          <w:p w14:paraId="131161D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Responsible Lead Officer:</w:t>
            </w:r>
          </w:p>
        </w:tc>
        <w:tc>
          <w:tcPr>
            <w:tcW w:w="4394" w:type="dxa"/>
          </w:tcPr>
          <w:p w14:paraId="1CE2C11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Jo Player</w:t>
            </w:r>
          </w:p>
        </w:tc>
        <w:tc>
          <w:tcPr>
            <w:tcW w:w="2381" w:type="dxa"/>
          </w:tcPr>
          <w:p w14:paraId="4217006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17/01/2024</w:t>
            </w:r>
          </w:p>
        </w:tc>
      </w:tr>
      <w:tr w:rsidR="000729CF" w:rsidRPr="000729CF" w14:paraId="6973907E" w14:textId="77777777" w:rsidTr="000729CF">
        <w:trPr>
          <w:trHeight w:val="20"/>
        </w:trPr>
        <w:tc>
          <w:tcPr>
            <w:tcW w:w="3681" w:type="dxa"/>
            <w:shd w:val="clear" w:color="auto" w:fill="E7E6E6"/>
          </w:tcPr>
          <w:p w14:paraId="0273C67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Accountable Manager:</w:t>
            </w:r>
          </w:p>
        </w:tc>
        <w:tc>
          <w:tcPr>
            <w:tcW w:w="4394" w:type="dxa"/>
          </w:tcPr>
          <w:p w14:paraId="2E9292C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Rachel Sharpe</w:t>
            </w:r>
          </w:p>
        </w:tc>
        <w:tc>
          <w:tcPr>
            <w:tcW w:w="2381" w:type="dxa"/>
          </w:tcPr>
          <w:p w14:paraId="4815052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26-01-24</w:t>
            </w:r>
          </w:p>
        </w:tc>
      </w:tr>
    </w:tbl>
    <w:p w14:paraId="117B1E1F" w14:textId="77777777" w:rsidR="000729CF" w:rsidRPr="000729CF" w:rsidRDefault="000729CF" w:rsidP="000729CF">
      <w:pPr>
        <w:spacing w:after="160" w:line="259" w:lineRule="auto"/>
        <w:rPr>
          <w:rFonts w:ascii="Arial" w:eastAsia="Calibri" w:hAnsi="Arial" w:cs="Arial"/>
          <w:b/>
          <w:bCs/>
          <w:sz w:val="24"/>
          <w:szCs w:val="24"/>
          <w:lang w:val="en-GB"/>
        </w:rPr>
      </w:pPr>
    </w:p>
    <w:p w14:paraId="3B3F57C4" w14:textId="77777777" w:rsidR="000729CF" w:rsidRPr="000729CF" w:rsidRDefault="000729CF" w:rsidP="000729CF">
      <w:pPr>
        <w:keepNext/>
        <w:keepLines/>
        <w:spacing w:before="40" w:after="160" w:line="259" w:lineRule="auto"/>
        <w:outlineLvl w:val="2"/>
        <w:rPr>
          <w:rFonts w:ascii="Arial" w:hAnsi="Arial" w:cs="Arial"/>
          <w:b/>
          <w:bCs/>
          <w:color w:val="000000"/>
          <w:sz w:val="28"/>
          <w:szCs w:val="28"/>
          <w:lang w:val="en-GB"/>
        </w:rPr>
      </w:pPr>
      <w:r w:rsidRPr="000729CF">
        <w:rPr>
          <w:rFonts w:ascii="Arial" w:hAnsi="Arial" w:cs="Arial"/>
          <w:b/>
          <w:bCs/>
          <w:color w:val="000000"/>
          <w:sz w:val="28"/>
          <w:szCs w:val="28"/>
          <w:lang w:val="en-GB"/>
        </w:rPr>
        <w:t>EDI Review and Approval:</w:t>
      </w:r>
    </w:p>
    <w:p w14:paraId="0816BF24" w14:textId="77777777" w:rsidR="000729CF" w:rsidRPr="000729CF" w:rsidRDefault="000729CF" w:rsidP="000729CF">
      <w:pPr>
        <w:spacing w:after="160" w:line="259" w:lineRule="auto"/>
        <w:rPr>
          <w:rFonts w:ascii="Arial" w:eastAsia="Calibri" w:hAnsi="Arial" w:cs="Arial"/>
          <w:sz w:val="24"/>
          <w:szCs w:val="24"/>
          <w:lang w:val="en-GB"/>
        </w:rPr>
      </w:pPr>
    </w:p>
    <w:p w14:paraId="6BAF7FBF" w14:textId="77777777" w:rsidR="000729CF" w:rsidRPr="000729CF" w:rsidRDefault="000729CF" w:rsidP="000729CF">
      <w:pPr>
        <w:keepNext/>
        <w:keepLines/>
        <w:spacing w:after="160" w:line="259" w:lineRule="auto"/>
        <w:ind w:left="283" w:hanging="283"/>
        <w:outlineLvl w:val="1"/>
        <w:rPr>
          <w:rFonts w:ascii="Arial" w:hAnsi="Arial" w:cs="Arial"/>
          <w:color w:val="2F5496"/>
          <w:sz w:val="24"/>
          <w:szCs w:val="24"/>
          <w:lang w:val="en-GB"/>
        </w:rPr>
      </w:pPr>
      <w:r w:rsidRPr="000729CF">
        <w:rPr>
          <w:rFonts w:ascii="Arial" w:hAnsi="Arial" w:cs="Arial"/>
          <w:color w:val="2F5496"/>
          <w:sz w:val="24"/>
          <w:szCs w:val="24"/>
          <w:lang w:val="en-GB"/>
        </w:rPr>
        <w:t>Equality Impact Assessment sign-off</w:t>
      </w:r>
    </w:p>
    <w:tbl>
      <w:tblPr>
        <w:tblStyle w:val="TableGrid"/>
        <w:tblW w:w="0" w:type="auto"/>
        <w:tblLook w:val="04A0" w:firstRow="1" w:lastRow="0" w:firstColumn="1" w:lastColumn="0" w:noHBand="0" w:noVBand="1"/>
      </w:tblPr>
      <w:tblGrid>
        <w:gridCol w:w="3681"/>
        <w:gridCol w:w="4394"/>
        <w:gridCol w:w="2381"/>
      </w:tblGrid>
      <w:tr w:rsidR="000729CF" w:rsidRPr="000729CF" w14:paraId="7DCA4012" w14:textId="77777777" w:rsidTr="000729CF">
        <w:trPr>
          <w:trHeight w:val="20"/>
        </w:trPr>
        <w:tc>
          <w:tcPr>
            <w:tcW w:w="3681" w:type="dxa"/>
            <w:tcBorders>
              <w:bottom w:val="single" w:sz="4" w:space="0" w:color="auto"/>
            </w:tcBorders>
            <w:shd w:val="clear" w:color="auto" w:fill="D9D9D9"/>
          </w:tcPr>
          <w:p w14:paraId="46C4C10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052D8F6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w:t>
            </w:r>
          </w:p>
        </w:tc>
        <w:tc>
          <w:tcPr>
            <w:tcW w:w="2381" w:type="dxa"/>
            <w:shd w:val="clear" w:color="auto" w:fill="D9D9D9"/>
          </w:tcPr>
          <w:p w14:paraId="3FE2E07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28810DB8" w14:textId="77777777" w:rsidTr="000729CF">
        <w:trPr>
          <w:trHeight w:val="20"/>
        </w:trPr>
        <w:tc>
          <w:tcPr>
            <w:tcW w:w="3681" w:type="dxa"/>
            <w:shd w:val="clear" w:color="auto" w:fill="E7E6E6"/>
          </w:tcPr>
          <w:p w14:paraId="5308E2A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Head of Communities, Equality, and Third Sector (CETS) Service:</w:t>
            </w:r>
          </w:p>
        </w:tc>
        <w:tc>
          <w:tcPr>
            <w:tcW w:w="4394" w:type="dxa"/>
          </w:tcPr>
          <w:p w14:paraId="16EB308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Emma McDermott</w:t>
            </w:r>
          </w:p>
        </w:tc>
        <w:tc>
          <w:tcPr>
            <w:tcW w:w="2381" w:type="dxa"/>
          </w:tcPr>
          <w:p w14:paraId="57B07B8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26-01-24</w:t>
            </w:r>
          </w:p>
        </w:tc>
      </w:tr>
    </w:tbl>
    <w:p w14:paraId="79F80D7A" w14:textId="77777777" w:rsidR="000729CF" w:rsidRPr="000729CF" w:rsidRDefault="000729CF" w:rsidP="000729CF">
      <w:pPr>
        <w:rPr>
          <w:rFonts w:ascii="Arial" w:eastAsia="Calibri" w:hAnsi="Arial" w:cs="Arial"/>
          <w:sz w:val="22"/>
          <w:szCs w:val="22"/>
          <w:lang w:val="en-GB"/>
        </w:rPr>
      </w:pPr>
    </w:p>
    <w:p w14:paraId="3C2A0605" w14:textId="77777777" w:rsidR="000729CF" w:rsidRPr="000729CF" w:rsidRDefault="000729CF" w:rsidP="000729CF">
      <w:pPr>
        <w:spacing w:after="160" w:line="259" w:lineRule="auto"/>
        <w:rPr>
          <w:rFonts w:ascii="Arial" w:eastAsia="Calibri" w:hAnsi="Arial" w:cs="Arial"/>
          <w:b/>
          <w:bCs/>
          <w:sz w:val="24"/>
          <w:szCs w:val="24"/>
          <w:lang w:val="en-GB"/>
        </w:rPr>
      </w:pPr>
    </w:p>
    <w:p w14:paraId="3335BBAB" w14:textId="77777777" w:rsidR="000729CF" w:rsidRPr="000729CF" w:rsidRDefault="000729CF" w:rsidP="000729CF">
      <w:pPr>
        <w:keepNext/>
        <w:keepLines/>
        <w:spacing w:after="160" w:line="259" w:lineRule="auto"/>
        <w:outlineLvl w:val="1"/>
        <w:rPr>
          <w:rFonts w:ascii="Arial" w:eastAsia="Calibri" w:hAnsi="Arial" w:cs="Arial"/>
          <w:sz w:val="24"/>
          <w:szCs w:val="24"/>
          <w:lang w:val="en-GB"/>
        </w:rPr>
      </w:pPr>
    </w:p>
    <w:p w14:paraId="2F6D5E66" w14:textId="77777777" w:rsidR="000729CF" w:rsidRPr="000729CF" w:rsidRDefault="000729CF" w:rsidP="000729CF">
      <w:pPr>
        <w:spacing w:after="160" w:line="259" w:lineRule="auto"/>
        <w:rPr>
          <w:rFonts w:ascii="Arial" w:eastAsia="Calibri" w:hAnsi="Arial" w:cs="Arial"/>
          <w:sz w:val="24"/>
          <w:szCs w:val="24"/>
          <w:lang w:val="en-GB"/>
        </w:rPr>
      </w:pPr>
    </w:p>
    <w:p w14:paraId="11CB2947"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br w:type="page"/>
      </w:r>
    </w:p>
    <w:p w14:paraId="39FB4171" w14:textId="77777777" w:rsidR="000729CF" w:rsidRPr="000729CF" w:rsidRDefault="000729CF" w:rsidP="000729CF">
      <w:pPr>
        <w:keepNext/>
        <w:keepLines/>
        <w:spacing w:after="160" w:line="259" w:lineRule="auto"/>
        <w:outlineLvl w:val="0"/>
        <w:rPr>
          <w:rFonts w:ascii="Arial" w:hAnsi="Arial" w:cs="Arial"/>
          <w:b/>
          <w:bCs/>
          <w:color w:val="2F5496"/>
          <w:sz w:val="28"/>
          <w:szCs w:val="28"/>
          <w:lang w:val="en-GB"/>
        </w:rPr>
      </w:pPr>
      <w:r w:rsidRPr="000729CF">
        <w:rPr>
          <w:rFonts w:ascii="Arial" w:hAnsi="Arial" w:cs="Arial"/>
          <w:b/>
          <w:bCs/>
          <w:color w:val="2F5496"/>
          <w:sz w:val="28"/>
          <w:szCs w:val="28"/>
          <w:lang w:val="en-GB"/>
        </w:rPr>
        <w:t>Budget Equality Impact Assessment (EIA) 2024/25 – Service Users</w:t>
      </w:r>
    </w:p>
    <w:p w14:paraId="770A4BD0" w14:textId="77777777" w:rsidR="000729CF" w:rsidRPr="000729CF" w:rsidRDefault="000729CF" w:rsidP="000729CF">
      <w:pPr>
        <w:spacing w:after="160" w:line="259" w:lineRule="auto"/>
        <w:rPr>
          <w:rFonts w:ascii="Arial" w:eastAsia="Calibri" w:hAnsi="Arial" w:cs="Arial"/>
          <w:sz w:val="24"/>
          <w:szCs w:val="24"/>
          <w:lang w:val="en-GB"/>
        </w:rPr>
      </w:pPr>
    </w:p>
    <w:p w14:paraId="610B5A81" w14:textId="77777777" w:rsidR="000729CF" w:rsidRPr="000729CF" w:rsidRDefault="000729CF" w:rsidP="000729CF">
      <w:pPr>
        <w:keepNext/>
        <w:keepLines/>
        <w:spacing w:after="160" w:line="259" w:lineRule="auto"/>
        <w:ind w:left="720" w:hanging="360"/>
        <w:outlineLvl w:val="1"/>
        <w:rPr>
          <w:rFonts w:ascii="Arial" w:hAnsi="Arial" w:cs="Arial"/>
          <w:color w:val="2F5496"/>
          <w:sz w:val="24"/>
          <w:szCs w:val="24"/>
          <w:lang w:val="en-GB"/>
        </w:rPr>
      </w:pPr>
      <w:r w:rsidRPr="000729CF">
        <w:rPr>
          <w:rFonts w:ascii="Arial" w:hAnsi="Arial" w:cs="Arial"/>
          <w:color w:val="2F5496"/>
          <w:sz w:val="24"/>
          <w:szCs w:val="24"/>
          <w:lang w:val="en-GB"/>
        </w:rPr>
        <w:t xml:space="preserve">Budget Proposal </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6492"/>
      </w:tblGrid>
      <w:tr w:rsidR="000729CF" w:rsidRPr="000729CF" w14:paraId="67384935"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0B9BEF18"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Title of budget saving being assessed:</w:t>
            </w:r>
          </w:p>
        </w:tc>
        <w:tc>
          <w:tcPr>
            <w:tcW w:w="6492" w:type="dxa"/>
            <w:shd w:val="clear" w:color="auto" w:fill="auto"/>
          </w:tcPr>
          <w:p w14:paraId="7830123B" w14:textId="77777777" w:rsidR="000729CF" w:rsidRPr="000729CF" w:rsidRDefault="000729CF" w:rsidP="000729CF">
            <w:pPr>
              <w:spacing w:after="12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Third Party Reporting Centres</w:t>
            </w:r>
          </w:p>
        </w:tc>
      </w:tr>
      <w:tr w:rsidR="000729CF" w:rsidRPr="000729CF" w14:paraId="3EFFC393"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755D661E"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Name and title of officer responsible for this EIA: </w:t>
            </w:r>
          </w:p>
        </w:tc>
        <w:tc>
          <w:tcPr>
            <w:tcW w:w="6492" w:type="dxa"/>
            <w:shd w:val="clear" w:color="auto" w:fill="auto"/>
          </w:tcPr>
          <w:p w14:paraId="1B23945F"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729CF">
              <w:rPr>
                <w:rFonts w:ascii="Arial" w:hAnsi="Arial" w:cs="Arial"/>
                <w:sz w:val="24"/>
                <w:szCs w:val="24"/>
              </w:rPr>
              <w:t>Jo Player Head of Safer Communities</w:t>
            </w:r>
          </w:p>
        </w:tc>
      </w:tr>
      <w:tr w:rsidR="000729CF" w:rsidRPr="000729CF" w14:paraId="395191CB" w14:textId="77777777" w:rsidTr="000729CF">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74FEA7AE"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Directorate and Service Name: </w:t>
            </w:r>
          </w:p>
        </w:tc>
        <w:tc>
          <w:tcPr>
            <w:tcW w:w="6492" w:type="dxa"/>
            <w:shd w:val="clear" w:color="auto" w:fill="auto"/>
          </w:tcPr>
          <w:p w14:paraId="6873B0C6" w14:textId="77777777" w:rsidR="000729CF" w:rsidRPr="000729CF" w:rsidRDefault="000729CF" w:rsidP="000729CF">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729CF">
              <w:rPr>
                <w:rFonts w:ascii="Arial" w:hAnsi="Arial" w:cs="Arial"/>
                <w:sz w:val="24"/>
                <w:szCs w:val="24"/>
              </w:rPr>
              <w:t>Housing, Neighbourhoods &amp; Communities, Safer Communities</w:t>
            </w:r>
          </w:p>
        </w:tc>
      </w:tr>
      <w:tr w:rsidR="000729CF" w:rsidRPr="000729CF" w14:paraId="37A29C49" w14:textId="77777777" w:rsidTr="00072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cPr>
          <w:p w14:paraId="0952E7E0"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Budget proposal no.</w:t>
            </w:r>
          </w:p>
        </w:tc>
        <w:tc>
          <w:tcPr>
            <w:tcW w:w="6492" w:type="dxa"/>
            <w:shd w:val="clear" w:color="auto" w:fill="auto"/>
          </w:tcPr>
          <w:p w14:paraId="4C9628A8" w14:textId="77777777" w:rsidR="000729CF" w:rsidRPr="000729CF" w:rsidRDefault="000729CF" w:rsidP="000729CF">
            <w:pPr>
              <w:spacing w:after="120"/>
              <w:cnfStyle w:val="000000100000" w:firstRow="0" w:lastRow="0" w:firstColumn="0" w:lastColumn="0" w:oddVBand="0" w:evenVBand="0" w:oddHBand="1" w:evenHBand="0" w:firstRowFirstColumn="0" w:firstRowLastColumn="0" w:lastRowFirstColumn="0" w:lastRowLastColumn="0"/>
              <w:rPr>
                <w:rFonts w:ascii="Arial" w:hAnsi="Arial" w:cs="Arial"/>
                <w:i/>
                <w:iCs/>
                <w:sz w:val="24"/>
                <w:szCs w:val="24"/>
              </w:rPr>
            </w:pPr>
            <w:r w:rsidRPr="000729CF">
              <w:rPr>
                <w:rFonts w:ascii="Arial" w:hAnsi="Arial" w:cs="Arial"/>
                <w:i/>
                <w:iCs/>
                <w:sz w:val="24"/>
                <w:szCs w:val="24"/>
              </w:rPr>
              <w:t>28</w:t>
            </w:r>
          </w:p>
        </w:tc>
      </w:tr>
    </w:tbl>
    <w:p w14:paraId="74525B88" w14:textId="77777777" w:rsidR="000729CF" w:rsidRPr="000729CF" w:rsidRDefault="000729CF" w:rsidP="000729CF">
      <w:pPr>
        <w:spacing w:after="160" w:line="259" w:lineRule="auto"/>
        <w:rPr>
          <w:rFonts w:ascii="Arial" w:eastAsia="Calibri" w:hAnsi="Arial" w:cs="Arial"/>
          <w:sz w:val="24"/>
          <w:szCs w:val="24"/>
          <w:lang w:val="en-GB"/>
        </w:rPr>
      </w:pPr>
    </w:p>
    <w:p w14:paraId="168E6765"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Briefly describe the budget saving proposal: (use the wording in the budget spreadsheet and more detail if needed)</w:t>
      </w:r>
    </w:p>
    <w:tbl>
      <w:tblPr>
        <w:tblStyle w:val="TableGrid"/>
        <w:tblW w:w="0" w:type="auto"/>
        <w:tblLook w:val="04A0" w:firstRow="1" w:lastRow="0" w:firstColumn="1" w:lastColumn="0" w:noHBand="0" w:noVBand="1"/>
      </w:tblPr>
      <w:tblGrid>
        <w:gridCol w:w="10456"/>
      </w:tblGrid>
      <w:tr w:rsidR="000729CF" w:rsidRPr="000729CF" w14:paraId="19D8C5DC" w14:textId="77777777" w:rsidTr="00BC26AB">
        <w:trPr>
          <w:trHeight w:val="851"/>
        </w:trPr>
        <w:tc>
          <w:tcPr>
            <w:tcW w:w="10456" w:type="dxa"/>
            <w:tcBorders>
              <w:bottom w:val="single" w:sz="4" w:space="0" w:color="auto"/>
            </w:tcBorders>
          </w:tcPr>
          <w:p w14:paraId="7021524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Cease all funding for third party reporting centres.</w:t>
            </w:r>
          </w:p>
          <w:p w14:paraId="495D42C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Currently there are three third party reporting centres for disabled, Black and racially minoritized residents and LGBTQ+ residents to report hate incidents if they do not feel wish/able to report to statutory services.</w:t>
            </w:r>
          </w:p>
        </w:tc>
      </w:tr>
      <w:tr w:rsidR="000729CF" w:rsidRPr="000729CF" w14:paraId="4FE714E3" w14:textId="77777777" w:rsidTr="00BC26AB">
        <w:trPr>
          <w:trHeight w:val="851"/>
        </w:trPr>
        <w:tc>
          <w:tcPr>
            <w:tcW w:w="10456" w:type="dxa"/>
            <w:tcBorders>
              <w:left w:val="nil"/>
              <w:right w:val="nil"/>
            </w:tcBorders>
          </w:tcPr>
          <w:p w14:paraId="2C2B476A" w14:textId="77777777" w:rsidR="000729CF" w:rsidRPr="000729CF" w:rsidRDefault="000729CF" w:rsidP="000729CF">
            <w:pPr>
              <w:spacing w:after="120"/>
              <w:rPr>
                <w:rFonts w:ascii="Arial" w:eastAsia="Calibri" w:hAnsi="Arial" w:cs="Arial"/>
                <w:sz w:val="24"/>
                <w:szCs w:val="24"/>
              </w:rPr>
            </w:pPr>
          </w:p>
          <w:p w14:paraId="135F73B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Summarise the most significant impacts identified by this assessment including which groups will be disproportionally negatively affected drawing out intersectional impacts as applicable:</w:t>
            </w:r>
          </w:p>
        </w:tc>
      </w:tr>
      <w:tr w:rsidR="000729CF" w:rsidRPr="000729CF" w14:paraId="07CA32D6" w14:textId="77777777" w:rsidTr="00BC26AB">
        <w:trPr>
          <w:trHeight w:val="851"/>
        </w:trPr>
        <w:tc>
          <w:tcPr>
            <w:tcW w:w="10456" w:type="dxa"/>
          </w:tcPr>
          <w:p w14:paraId="6F19276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These centres are provided by three voluntary organisations in the city that specifically support these cohorts of the city’s population. This proposal will therefore directly impact on disabled, Black and racially minoritized people and LGBTQ+ residents. Including the intersectional work that the centres were starting to do for people with experiencing marginalisation based on their multiple identities. For the first three quarters of the year 63 people contacted the centres for support with a hate incident.</w:t>
            </w:r>
          </w:p>
          <w:p w14:paraId="33095337" w14:textId="77777777" w:rsidR="000729CF" w:rsidRPr="000729CF" w:rsidRDefault="000729CF" w:rsidP="000729CF">
            <w:pPr>
              <w:spacing w:after="120"/>
              <w:rPr>
                <w:rFonts w:ascii="Arial" w:eastAsia="Calibri" w:hAnsi="Arial" w:cs="Arial"/>
                <w:sz w:val="24"/>
                <w:szCs w:val="24"/>
              </w:rPr>
            </w:pPr>
          </w:p>
        </w:tc>
      </w:tr>
    </w:tbl>
    <w:p w14:paraId="730CE4A6" w14:textId="77777777" w:rsidR="000729CF" w:rsidRPr="000729CF" w:rsidRDefault="000729CF" w:rsidP="000729CF">
      <w:pPr>
        <w:rPr>
          <w:rFonts w:ascii="Arial" w:eastAsia="Calibri" w:hAnsi="Arial" w:cs="Arial"/>
          <w:sz w:val="24"/>
          <w:szCs w:val="24"/>
          <w:lang w:val="en-GB"/>
        </w:rPr>
      </w:pPr>
    </w:p>
    <w:p w14:paraId="50ACBB40" w14:textId="77777777" w:rsidR="000729CF" w:rsidRPr="000729CF" w:rsidRDefault="000729CF" w:rsidP="000729CF">
      <w:pPr>
        <w:spacing w:after="160" w:line="259" w:lineRule="auto"/>
        <w:rPr>
          <w:rFonts w:ascii="Arial" w:eastAsia="Calibri" w:hAnsi="Arial" w:cs="Arial"/>
          <w:sz w:val="24"/>
          <w:szCs w:val="24"/>
          <w:lang w:val="en-GB"/>
        </w:rPr>
      </w:pPr>
    </w:p>
    <w:p w14:paraId="0D986556"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Consultation, engagement and supporting EIAs</w:t>
      </w:r>
    </w:p>
    <w:p w14:paraId="2A745AFA"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consultations or engagement activities are being used to inform this assessment? </w:t>
      </w:r>
    </w:p>
    <w:p w14:paraId="4CD2EE47"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If consultation is planned or in process – state this and state when it will done/completed even if indicative. If no consultation completed or planned, state this, giving an explanation. </w:t>
      </w:r>
    </w:p>
    <w:tbl>
      <w:tblPr>
        <w:tblStyle w:val="TableGrid"/>
        <w:tblW w:w="0" w:type="auto"/>
        <w:tblLook w:val="04A0" w:firstRow="1" w:lastRow="0" w:firstColumn="1" w:lastColumn="0" w:noHBand="0" w:noVBand="1"/>
      </w:tblPr>
      <w:tblGrid>
        <w:gridCol w:w="10456"/>
      </w:tblGrid>
      <w:tr w:rsidR="000729CF" w:rsidRPr="000729CF" w14:paraId="4C9619BF" w14:textId="77777777" w:rsidTr="00BC26AB">
        <w:trPr>
          <w:trHeight w:val="871"/>
        </w:trPr>
        <w:tc>
          <w:tcPr>
            <w:tcW w:w="10456" w:type="dxa"/>
          </w:tcPr>
          <w:p w14:paraId="530C023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The setting up of the centres was a pilot based on best practice rather than a statutory requirement. Monitoring reports from the providers has been used to inform this EIA. </w:t>
            </w:r>
          </w:p>
          <w:p w14:paraId="0EBEE64F" w14:textId="77777777" w:rsidR="000729CF" w:rsidRPr="000729CF" w:rsidRDefault="000729CF" w:rsidP="000729CF">
            <w:pPr>
              <w:spacing w:after="120"/>
              <w:rPr>
                <w:rFonts w:ascii="Arial" w:eastAsia="Calibri" w:hAnsi="Arial" w:cs="Arial"/>
                <w:sz w:val="24"/>
                <w:szCs w:val="24"/>
              </w:rPr>
            </w:pPr>
          </w:p>
        </w:tc>
      </w:tr>
    </w:tbl>
    <w:p w14:paraId="3566A54E" w14:textId="77777777" w:rsidR="000729CF" w:rsidRPr="000729CF" w:rsidRDefault="000729CF" w:rsidP="000729CF">
      <w:pPr>
        <w:spacing w:after="160" w:line="259" w:lineRule="auto"/>
        <w:rPr>
          <w:rFonts w:ascii="Arial" w:eastAsia="Calibri" w:hAnsi="Arial" w:cs="Arial"/>
          <w:sz w:val="24"/>
          <w:szCs w:val="24"/>
          <w:lang w:val="en-GB"/>
        </w:rPr>
      </w:pPr>
    </w:p>
    <w:p w14:paraId="3DE070E9"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other budget or service EIAs can assist/have been used to inform this assessment?</w:t>
      </w:r>
    </w:p>
    <w:tbl>
      <w:tblPr>
        <w:tblStyle w:val="Plain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0729CF" w:rsidRPr="000729CF" w14:paraId="4A0ADFB3" w14:textId="77777777" w:rsidTr="00072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shd w:val="clear" w:color="auto" w:fill="FFFFFF"/>
          </w:tcPr>
          <w:p w14:paraId="665870BC" w14:textId="77777777" w:rsidR="000729CF" w:rsidRPr="000729CF" w:rsidRDefault="000729CF" w:rsidP="000729CF">
            <w:pPr>
              <w:spacing w:after="120"/>
              <w:rPr>
                <w:rFonts w:ascii="Arial" w:hAnsi="Arial" w:cs="Arial"/>
                <w:sz w:val="24"/>
                <w:szCs w:val="24"/>
              </w:rPr>
            </w:pPr>
            <w:r w:rsidRPr="000729CF">
              <w:rPr>
                <w:rFonts w:ascii="Arial" w:hAnsi="Arial" w:cs="Arial"/>
                <w:sz w:val="24"/>
                <w:szCs w:val="24"/>
              </w:rPr>
              <w:t xml:space="preserve">None </w:t>
            </w:r>
          </w:p>
          <w:p w14:paraId="69E9D12F" w14:textId="77777777" w:rsidR="000729CF" w:rsidRPr="000729CF" w:rsidRDefault="000729CF" w:rsidP="000729CF">
            <w:pPr>
              <w:spacing w:after="120"/>
              <w:rPr>
                <w:rFonts w:ascii="Arial" w:hAnsi="Arial" w:cs="Arial"/>
                <w:sz w:val="24"/>
                <w:szCs w:val="24"/>
              </w:rPr>
            </w:pPr>
          </w:p>
        </w:tc>
      </w:tr>
    </w:tbl>
    <w:p w14:paraId="1E34B7E3" w14:textId="77777777" w:rsidR="000729CF" w:rsidRPr="000729CF" w:rsidRDefault="000729CF" w:rsidP="000729CF">
      <w:pPr>
        <w:spacing w:after="160" w:line="259" w:lineRule="auto"/>
        <w:rPr>
          <w:rFonts w:ascii="Arial" w:eastAsia="Calibri" w:hAnsi="Arial" w:cs="Arial"/>
          <w:sz w:val="24"/>
          <w:szCs w:val="24"/>
          <w:lang w:val="en-GB"/>
        </w:rPr>
      </w:pPr>
    </w:p>
    <w:p w14:paraId="677F3B7B"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Current data and impact monitoring</w:t>
      </w:r>
    </w:p>
    <w:p w14:paraId="1719CA7B"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Do you currently collect and analyse the following data to enable monitoring of the impact of this proposal? </w:t>
      </w:r>
    </w:p>
    <w:p w14:paraId="5379A0A2"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Consider all possible intersections (Delete and State Yes, No, Not Applicable)</w:t>
      </w:r>
    </w:p>
    <w:tbl>
      <w:tblPr>
        <w:tblStyle w:val="TableGrid"/>
        <w:tblW w:w="10485" w:type="dxa"/>
        <w:tblLook w:val="04A0" w:firstRow="1" w:lastRow="0" w:firstColumn="1" w:lastColumn="0" w:noHBand="0" w:noVBand="1"/>
      </w:tblPr>
      <w:tblGrid>
        <w:gridCol w:w="6658"/>
        <w:gridCol w:w="3827"/>
      </w:tblGrid>
      <w:tr w:rsidR="000729CF" w:rsidRPr="000729CF" w14:paraId="25DEE587" w14:textId="77777777" w:rsidTr="000729CF">
        <w:trPr>
          <w:trHeight w:val="310"/>
        </w:trPr>
        <w:tc>
          <w:tcPr>
            <w:tcW w:w="6658" w:type="dxa"/>
            <w:shd w:val="clear" w:color="auto" w:fill="E7E6E6"/>
          </w:tcPr>
          <w:p w14:paraId="7C14396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Age</w:t>
            </w:r>
          </w:p>
        </w:tc>
        <w:tc>
          <w:tcPr>
            <w:tcW w:w="3827" w:type="dxa"/>
          </w:tcPr>
          <w:p w14:paraId="2EEBC48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1978CB39" w14:textId="77777777" w:rsidTr="000729CF">
        <w:trPr>
          <w:trHeight w:val="20"/>
        </w:trPr>
        <w:tc>
          <w:tcPr>
            <w:tcW w:w="6658" w:type="dxa"/>
            <w:shd w:val="clear" w:color="auto" w:fill="E7E6E6"/>
          </w:tcPr>
          <w:p w14:paraId="7318434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Disability and inclusive adjustments, coverage under equality act and not</w:t>
            </w:r>
          </w:p>
        </w:tc>
        <w:tc>
          <w:tcPr>
            <w:tcW w:w="3827" w:type="dxa"/>
          </w:tcPr>
          <w:p w14:paraId="04D9254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Yes </w:t>
            </w:r>
          </w:p>
        </w:tc>
      </w:tr>
      <w:tr w:rsidR="000729CF" w:rsidRPr="000729CF" w14:paraId="3D13C9B6" w14:textId="77777777" w:rsidTr="000729CF">
        <w:trPr>
          <w:trHeight w:val="20"/>
        </w:trPr>
        <w:tc>
          <w:tcPr>
            <w:tcW w:w="6658" w:type="dxa"/>
            <w:shd w:val="clear" w:color="auto" w:fill="E7E6E6"/>
          </w:tcPr>
          <w:p w14:paraId="4A1911C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Ethnicity, ‘Race’, ethnic heritage (including Gypsy, Roma, Travellers)</w:t>
            </w:r>
          </w:p>
        </w:tc>
        <w:tc>
          <w:tcPr>
            <w:tcW w:w="3827" w:type="dxa"/>
          </w:tcPr>
          <w:p w14:paraId="3ECC422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1B38BCCA" w14:textId="77777777" w:rsidTr="000729CF">
        <w:trPr>
          <w:trHeight w:val="20"/>
        </w:trPr>
        <w:tc>
          <w:tcPr>
            <w:tcW w:w="6658" w:type="dxa"/>
            <w:shd w:val="clear" w:color="auto" w:fill="E7E6E6"/>
          </w:tcPr>
          <w:p w14:paraId="3B2E0D4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Religion, Belief, Spirituality, Faith, or Atheism</w:t>
            </w:r>
          </w:p>
        </w:tc>
        <w:tc>
          <w:tcPr>
            <w:tcW w:w="3827" w:type="dxa"/>
          </w:tcPr>
          <w:p w14:paraId="70C0458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6DC9EB46" w14:textId="77777777" w:rsidTr="000729CF">
        <w:trPr>
          <w:trHeight w:val="20"/>
        </w:trPr>
        <w:tc>
          <w:tcPr>
            <w:tcW w:w="6658" w:type="dxa"/>
            <w:shd w:val="clear" w:color="auto" w:fill="E7E6E6"/>
          </w:tcPr>
          <w:p w14:paraId="6AAF5C6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Identity and Sex (including non-binary and Intersex people)</w:t>
            </w:r>
          </w:p>
        </w:tc>
        <w:tc>
          <w:tcPr>
            <w:tcW w:w="3827" w:type="dxa"/>
          </w:tcPr>
          <w:p w14:paraId="647814F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4F2C151D" w14:textId="77777777" w:rsidTr="000729CF">
        <w:trPr>
          <w:trHeight w:val="20"/>
        </w:trPr>
        <w:tc>
          <w:tcPr>
            <w:tcW w:w="6658" w:type="dxa"/>
            <w:shd w:val="clear" w:color="auto" w:fill="E7E6E6"/>
          </w:tcPr>
          <w:p w14:paraId="7653D39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3827" w:type="dxa"/>
          </w:tcPr>
          <w:p w14:paraId="08E8345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6F5A8E3D" w14:textId="77777777" w:rsidTr="000729CF">
        <w:trPr>
          <w:trHeight w:val="20"/>
        </w:trPr>
        <w:tc>
          <w:tcPr>
            <w:tcW w:w="6658" w:type="dxa"/>
            <w:shd w:val="clear" w:color="auto" w:fill="E7E6E6"/>
          </w:tcPr>
          <w:p w14:paraId="6932E5E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3827" w:type="dxa"/>
          </w:tcPr>
          <w:p w14:paraId="60A9DB9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7A9192A4" w14:textId="77777777" w:rsidTr="000729CF">
        <w:trPr>
          <w:trHeight w:val="20"/>
        </w:trPr>
        <w:tc>
          <w:tcPr>
            <w:tcW w:w="6658" w:type="dxa"/>
            <w:shd w:val="clear" w:color="auto" w:fill="E7E6E6"/>
          </w:tcPr>
          <w:p w14:paraId="000FBE9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3827" w:type="dxa"/>
          </w:tcPr>
          <w:p w14:paraId="770E4C49"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 Not applicable</w:t>
            </w:r>
          </w:p>
        </w:tc>
      </w:tr>
      <w:tr w:rsidR="000729CF" w:rsidRPr="000729CF" w14:paraId="609C3EFC" w14:textId="77777777" w:rsidTr="000729CF">
        <w:trPr>
          <w:trHeight w:val="20"/>
        </w:trPr>
        <w:tc>
          <w:tcPr>
            <w:tcW w:w="6658" w:type="dxa"/>
            <w:shd w:val="clear" w:color="auto" w:fill="E7E6E6"/>
          </w:tcPr>
          <w:p w14:paraId="3DB38A7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Pregnant people, Maternity, Paternity, Adoption, Menopause, (In)fertility (across the gender spectrum)</w:t>
            </w:r>
          </w:p>
        </w:tc>
        <w:tc>
          <w:tcPr>
            <w:tcW w:w="3827" w:type="dxa"/>
          </w:tcPr>
          <w:p w14:paraId="2BD334C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7A0550AA" w14:textId="77777777" w:rsidTr="000729CF">
        <w:trPr>
          <w:trHeight w:val="20"/>
        </w:trPr>
        <w:tc>
          <w:tcPr>
            <w:tcW w:w="6658" w:type="dxa"/>
            <w:shd w:val="clear" w:color="auto" w:fill="E7E6E6"/>
          </w:tcPr>
          <w:p w14:paraId="6529261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3827" w:type="dxa"/>
          </w:tcPr>
          <w:p w14:paraId="76A6D9FA"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 Not applicable</w:t>
            </w:r>
          </w:p>
        </w:tc>
      </w:tr>
      <w:tr w:rsidR="000729CF" w:rsidRPr="000729CF" w14:paraId="07631E0E" w14:textId="77777777" w:rsidTr="000729CF">
        <w:trPr>
          <w:trHeight w:val="20"/>
        </w:trPr>
        <w:tc>
          <w:tcPr>
            <w:tcW w:w="6658" w:type="dxa"/>
            <w:shd w:val="clear" w:color="auto" w:fill="E7E6E6"/>
          </w:tcPr>
          <w:p w14:paraId="38F48BE9" w14:textId="77777777" w:rsidR="000729CF" w:rsidRPr="000729CF" w:rsidRDefault="000729CF" w:rsidP="000729CF">
            <w:pPr>
              <w:spacing w:after="120"/>
              <w:rPr>
                <w:rFonts w:ascii="Arial" w:hAnsi="Arial" w:cs="Arial"/>
                <w:b/>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p>
        </w:tc>
        <w:tc>
          <w:tcPr>
            <w:tcW w:w="3827" w:type="dxa"/>
          </w:tcPr>
          <w:p w14:paraId="18A830C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r>
      <w:tr w:rsidR="000729CF" w:rsidRPr="000729CF" w14:paraId="4947F8AF" w14:textId="77777777" w:rsidTr="000729CF">
        <w:trPr>
          <w:trHeight w:val="20"/>
        </w:trPr>
        <w:tc>
          <w:tcPr>
            <w:tcW w:w="6658" w:type="dxa"/>
            <w:shd w:val="clear" w:color="auto" w:fill="E7E6E6"/>
          </w:tcPr>
          <w:p w14:paraId="0084AC92" w14:textId="77777777" w:rsidR="000729CF" w:rsidRPr="000729CF" w:rsidRDefault="000729CF" w:rsidP="000729CF">
            <w:pPr>
              <w:spacing w:after="120"/>
              <w:rPr>
                <w:rFonts w:ascii="Arial" w:hAnsi="Arial" w:cs="Arial"/>
                <w:b/>
                <w:sz w:val="24"/>
                <w:szCs w:val="24"/>
              </w:rPr>
            </w:pPr>
            <w:r w:rsidRPr="000729CF">
              <w:rPr>
                <w:rFonts w:ascii="Arial" w:eastAsia="Calibri" w:hAnsi="Arial" w:cs="Arial"/>
                <w:b/>
                <w:bCs/>
                <w:color w:val="000000"/>
                <w:sz w:val="24"/>
                <w:szCs w:val="24"/>
              </w:rPr>
              <w:t>Carers</w:t>
            </w:r>
          </w:p>
        </w:tc>
        <w:tc>
          <w:tcPr>
            <w:tcW w:w="3827" w:type="dxa"/>
          </w:tcPr>
          <w:p w14:paraId="7CDD1A5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 Not applicable</w:t>
            </w:r>
          </w:p>
        </w:tc>
      </w:tr>
      <w:tr w:rsidR="000729CF" w:rsidRPr="000729CF" w14:paraId="5DE438DA" w14:textId="77777777" w:rsidTr="000729CF">
        <w:trPr>
          <w:trHeight w:val="20"/>
        </w:trPr>
        <w:tc>
          <w:tcPr>
            <w:tcW w:w="6658" w:type="dxa"/>
            <w:shd w:val="clear" w:color="auto" w:fill="E7E6E6"/>
          </w:tcPr>
          <w:p w14:paraId="691C33CE"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Looked after children, Care Leavers, Care and fostering experienced people</w:t>
            </w:r>
          </w:p>
        </w:tc>
        <w:tc>
          <w:tcPr>
            <w:tcW w:w="3827" w:type="dxa"/>
          </w:tcPr>
          <w:p w14:paraId="79FC44B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6361AD8C" w14:textId="77777777" w:rsidTr="000729CF">
        <w:trPr>
          <w:trHeight w:val="20"/>
        </w:trPr>
        <w:tc>
          <w:tcPr>
            <w:tcW w:w="6658" w:type="dxa"/>
            <w:shd w:val="clear" w:color="auto" w:fill="E7E6E6"/>
          </w:tcPr>
          <w:p w14:paraId="1765FB7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 and people in vulnerable situations (All aspects and intersections)</w:t>
            </w:r>
          </w:p>
        </w:tc>
        <w:tc>
          <w:tcPr>
            <w:tcW w:w="3827" w:type="dxa"/>
          </w:tcPr>
          <w:p w14:paraId="3E6C7F6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2C484E5A" w14:textId="77777777" w:rsidTr="000729CF">
        <w:trPr>
          <w:trHeight w:val="20"/>
        </w:trPr>
        <w:tc>
          <w:tcPr>
            <w:tcW w:w="6658" w:type="dxa"/>
            <w:shd w:val="clear" w:color="auto" w:fill="E7E6E6"/>
          </w:tcPr>
          <w:p w14:paraId="354BC71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Socio-economic Disadvantage</w:t>
            </w:r>
          </w:p>
        </w:tc>
        <w:tc>
          <w:tcPr>
            <w:tcW w:w="3827" w:type="dxa"/>
          </w:tcPr>
          <w:p w14:paraId="3721F1D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2A0FD128" w14:textId="77777777" w:rsidTr="000729CF">
        <w:trPr>
          <w:trHeight w:val="20"/>
        </w:trPr>
        <w:tc>
          <w:tcPr>
            <w:tcW w:w="6658" w:type="dxa"/>
            <w:shd w:val="clear" w:color="auto" w:fill="E7E6E6"/>
          </w:tcPr>
          <w:p w14:paraId="6CF2ACD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Homelessness and associated risk and vulnerability</w:t>
            </w:r>
          </w:p>
        </w:tc>
        <w:tc>
          <w:tcPr>
            <w:tcW w:w="3827" w:type="dxa"/>
          </w:tcPr>
          <w:p w14:paraId="34DD54E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2709F7DF" w14:textId="77777777" w:rsidTr="000729CF">
        <w:trPr>
          <w:trHeight w:val="20"/>
        </w:trPr>
        <w:tc>
          <w:tcPr>
            <w:tcW w:w="6658" w:type="dxa"/>
            <w:shd w:val="clear" w:color="auto" w:fill="E7E6E6"/>
          </w:tcPr>
          <w:p w14:paraId="3BD7A2D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3827" w:type="dxa"/>
          </w:tcPr>
          <w:p w14:paraId="5A8E7AC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Not applicable</w:t>
            </w:r>
          </w:p>
        </w:tc>
      </w:tr>
      <w:tr w:rsidR="000729CF" w:rsidRPr="000729CF" w14:paraId="1E7AF616" w14:textId="77777777" w:rsidTr="000729CF">
        <w:trPr>
          <w:trHeight w:val="20"/>
        </w:trPr>
        <w:tc>
          <w:tcPr>
            <w:tcW w:w="6658" w:type="dxa"/>
            <w:shd w:val="clear" w:color="auto" w:fill="E7E6E6"/>
          </w:tcPr>
          <w:p w14:paraId="4476E0F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 (please specify here and add additional rows as needed)</w:t>
            </w:r>
          </w:p>
        </w:tc>
        <w:tc>
          <w:tcPr>
            <w:tcW w:w="3827" w:type="dxa"/>
          </w:tcPr>
          <w:p w14:paraId="1FA1D52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 xml:space="preserve"> Not applicable</w:t>
            </w:r>
          </w:p>
        </w:tc>
      </w:tr>
    </w:tbl>
    <w:p w14:paraId="6E3F7751" w14:textId="77777777" w:rsidR="000729CF" w:rsidRPr="000729CF" w:rsidRDefault="000729CF" w:rsidP="000729CF">
      <w:pPr>
        <w:rPr>
          <w:rFonts w:ascii="Arial" w:eastAsia="Calibri" w:hAnsi="Arial" w:cs="Arial"/>
          <w:sz w:val="24"/>
          <w:szCs w:val="24"/>
          <w:lang w:val="en-GB"/>
        </w:rPr>
      </w:pPr>
    </w:p>
    <w:p w14:paraId="13D149A7"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5F033C72"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1A32C4C6"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28B38DDD"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0B561807"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00E475A0"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57812DA0"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11C03D4D"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16FC80AD"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6FE12E2F"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2CB5A9E7" w14:textId="77777777" w:rsidR="000729CF" w:rsidRPr="000729CF" w:rsidRDefault="000729CF" w:rsidP="000729CF">
      <w:pPr>
        <w:rPr>
          <w:rFonts w:ascii="Arial" w:eastAsia="Calibri" w:hAnsi="Arial" w:cs="Arial"/>
          <w:sz w:val="24"/>
          <w:szCs w:val="24"/>
          <w:lang w:val="en-GB"/>
        </w:rPr>
      </w:pPr>
    </w:p>
    <w:p w14:paraId="5043BAE4"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If you answered “NO” to any of the above, how will you gather this data to enable improved monitoring of impact for this proposal?</w:t>
      </w:r>
    </w:p>
    <w:tbl>
      <w:tblPr>
        <w:tblStyle w:val="TableGrid"/>
        <w:tblW w:w="0" w:type="auto"/>
        <w:tblLook w:val="04A0" w:firstRow="1" w:lastRow="0" w:firstColumn="1" w:lastColumn="0" w:noHBand="0" w:noVBand="1"/>
      </w:tblPr>
      <w:tblGrid>
        <w:gridCol w:w="10456"/>
      </w:tblGrid>
      <w:tr w:rsidR="000729CF" w:rsidRPr="000729CF" w14:paraId="3F83249D" w14:textId="77777777" w:rsidTr="00BC26AB">
        <w:trPr>
          <w:trHeight w:val="757"/>
        </w:trPr>
        <w:tc>
          <w:tcPr>
            <w:tcW w:w="10456" w:type="dxa"/>
          </w:tcPr>
          <w:p w14:paraId="51658A9A" w14:textId="77777777" w:rsidR="000729CF" w:rsidRPr="000729CF" w:rsidRDefault="000729CF" w:rsidP="000729CF">
            <w:pPr>
              <w:spacing w:after="120"/>
              <w:rPr>
                <w:rFonts w:ascii="Arial" w:eastAsia="Calibri" w:hAnsi="Arial" w:cs="Arial"/>
                <w:sz w:val="24"/>
                <w:szCs w:val="24"/>
              </w:rPr>
            </w:pPr>
          </w:p>
        </w:tc>
      </w:tr>
    </w:tbl>
    <w:p w14:paraId="25207FBE" w14:textId="77777777" w:rsidR="000729CF" w:rsidRPr="000729CF" w:rsidRDefault="000729CF" w:rsidP="000729CF">
      <w:pPr>
        <w:rPr>
          <w:rFonts w:ascii="Arial" w:eastAsia="Calibri" w:hAnsi="Arial" w:cs="Arial"/>
          <w:sz w:val="24"/>
          <w:szCs w:val="24"/>
          <w:lang w:val="en-GB"/>
        </w:rPr>
      </w:pPr>
    </w:p>
    <w:p w14:paraId="6AD1544B"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What are the arrangements for monitoring, and reviewing the impact of this proposal?</w:t>
      </w:r>
    </w:p>
    <w:tbl>
      <w:tblPr>
        <w:tblStyle w:val="TableGrid"/>
        <w:tblW w:w="0" w:type="auto"/>
        <w:tblLook w:val="04A0" w:firstRow="1" w:lastRow="0" w:firstColumn="1" w:lastColumn="0" w:noHBand="0" w:noVBand="1"/>
      </w:tblPr>
      <w:tblGrid>
        <w:gridCol w:w="10456"/>
      </w:tblGrid>
      <w:tr w:rsidR="000729CF" w:rsidRPr="000729CF" w14:paraId="1DF7F187" w14:textId="77777777" w:rsidTr="00BC26AB">
        <w:trPr>
          <w:trHeight w:val="757"/>
        </w:trPr>
        <w:tc>
          <w:tcPr>
            <w:tcW w:w="10456" w:type="dxa"/>
          </w:tcPr>
          <w:p w14:paraId="7B9BAAE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Hate crime reporting data will be collected from providers and from statutory agencies</w:t>
            </w:r>
          </w:p>
        </w:tc>
      </w:tr>
    </w:tbl>
    <w:p w14:paraId="4BF995E5" w14:textId="77777777" w:rsidR="000729CF" w:rsidRPr="000729CF" w:rsidRDefault="000729CF" w:rsidP="000729CF">
      <w:pPr>
        <w:rPr>
          <w:rFonts w:ascii="Arial" w:eastAsia="Calibri" w:hAnsi="Arial" w:cs="Arial"/>
          <w:sz w:val="24"/>
          <w:szCs w:val="24"/>
          <w:lang w:val="en-GB"/>
        </w:rPr>
      </w:pPr>
    </w:p>
    <w:p w14:paraId="40F84177" w14:textId="77777777" w:rsidR="000729CF" w:rsidRPr="000729CF" w:rsidRDefault="000729CF" w:rsidP="000729CF">
      <w:pPr>
        <w:rPr>
          <w:rFonts w:ascii="Arial" w:eastAsia="Calibri" w:hAnsi="Arial" w:cs="Arial"/>
          <w:sz w:val="24"/>
          <w:szCs w:val="24"/>
          <w:lang w:val="en-GB"/>
        </w:rPr>
      </w:pPr>
    </w:p>
    <w:p w14:paraId="0EF452D1"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Impacts</w:t>
      </w:r>
    </w:p>
    <w:p w14:paraId="4E19D492"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Briefly state source of data or data analysis being used to describe the </w:t>
      </w:r>
      <w:r w:rsidRPr="000729CF">
        <w:rPr>
          <w:rFonts w:ascii="Arial" w:eastAsia="Calibri" w:hAnsi="Arial" w:cs="Arial"/>
          <w:color w:val="000000"/>
          <w:sz w:val="24"/>
          <w:szCs w:val="24"/>
          <w:bdr w:val="none" w:sz="0" w:space="0" w:color="auto" w:frame="1"/>
          <w:lang w:val="en-GB"/>
        </w:rPr>
        <w:t xml:space="preserve">disproportionate negative impacts. </w:t>
      </w:r>
      <w:r w:rsidRPr="000729CF">
        <w:rPr>
          <w:rFonts w:ascii="Arial" w:eastAsia="Calibri" w:hAnsi="Arial" w:cs="Arial"/>
          <w:sz w:val="24"/>
          <w:szCs w:val="24"/>
          <w:lang w:val="en-GB"/>
        </w:rPr>
        <w:t xml:space="preserve">Preferably provide link to data/ analysis if open data source. </w:t>
      </w:r>
    </w:p>
    <w:tbl>
      <w:tblPr>
        <w:tblStyle w:val="TableGrid"/>
        <w:tblW w:w="10485" w:type="dxa"/>
        <w:tblLook w:val="04A0" w:firstRow="1" w:lastRow="0" w:firstColumn="1" w:lastColumn="0" w:noHBand="0" w:noVBand="1"/>
      </w:tblPr>
      <w:tblGrid>
        <w:gridCol w:w="2985"/>
        <w:gridCol w:w="2123"/>
        <w:gridCol w:w="5377"/>
      </w:tblGrid>
      <w:tr w:rsidR="000729CF" w:rsidRPr="000729CF" w14:paraId="781E0C40" w14:textId="77777777" w:rsidTr="000729CF">
        <w:trPr>
          <w:trHeight w:val="20"/>
        </w:trPr>
        <w:tc>
          <w:tcPr>
            <w:tcW w:w="2985" w:type="dxa"/>
            <w:shd w:val="clear" w:color="auto" w:fill="E7E6E6"/>
          </w:tcPr>
          <w:p w14:paraId="4FFCCB2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Assess impact for different population groups</w:t>
            </w:r>
          </w:p>
        </w:tc>
        <w:tc>
          <w:tcPr>
            <w:tcW w:w="2123" w:type="dxa"/>
            <w:shd w:val="clear" w:color="auto" w:fill="E7E6E6"/>
          </w:tcPr>
          <w:p w14:paraId="300AFA34"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Is there a possible disproportionate negative impact? </w:t>
            </w:r>
          </w:p>
          <w:p w14:paraId="302D5E9B" w14:textId="77777777" w:rsidR="000729CF" w:rsidRPr="000729CF" w:rsidRDefault="000729CF" w:rsidP="000729CF">
            <w:pPr>
              <w:spacing w:after="120"/>
              <w:rPr>
                <w:rFonts w:ascii="Arial" w:eastAsia="Calibri" w:hAnsi="Arial" w:cs="Arial"/>
                <w:b/>
                <w:bCs/>
                <w:sz w:val="24"/>
                <w:szCs w:val="24"/>
              </w:rPr>
            </w:pPr>
          </w:p>
          <w:p w14:paraId="57931F3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b/>
                <w:bCs/>
                <w:sz w:val="24"/>
                <w:szCs w:val="24"/>
              </w:rPr>
              <w:t>State Yes or No</w:t>
            </w:r>
          </w:p>
        </w:tc>
        <w:tc>
          <w:tcPr>
            <w:tcW w:w="5377" w:type="dxa"/>
            <w:shd w:val="clear" w:color="auto" w:fill="E7E6E6"/>
          </w:tcPr>
          <w:p w14:paraId="4222A3E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Describe the potential negative impact, considering for differences within groups For example, different ethnic groups, and peoples intersecting identities e.g. disabled women of faith</w:t>
            </w:r>
          </w:p>
          <w:p w14:paraId="45F6C3F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OR</w:t>
            </w:r>
          </w:p>
          <w:p w14:paraId="26C8958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If no impact is identified, briefly state why.</w:t>
            </w:r>
          </w:p>
        </w:tc>
      </w:tr>
      <w:tr w:rsidR="000729CF" w:rsidRPr="000729CF" w14:paraId="27BADAC3" w14:textId="77777777" w:rsidTr="000729CF">
        <w:trPr>
          <w:trHeight w:val="20"/>
        </w:trPr>
        <w:tc>
          <w:tcPr>
            <w:tcW w:w="2985" w:type="dxa"/>
            <w:shd w:val="clear" w:color="auto" w:fill="E7E6E6"/>
          </w:tcPr>
          <w:p w14:paraId="33C8DEC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Age </w:t>
            </w:r>
          </w:p>
          <w:p w14:paraId="3C171E9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sz w:val="24"/>
                <w:szCs w:val="24"/>
              </w:rPr>
              <w:t>including those under 16, young adults, multiple ethnicities, those with various intersections.</w:t>
            </w:r>
          </w:p>
        </w:tc>
        <w:tc>
          <w:tcPr>
            <w:tcW w:w="2123" w:type="dxa"/>
          </w:tcPr>
          <w:p w14:paraId="5DFD0D0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4FE88EC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significant impacts funding not provided third party reporting centre for this group</w:t>
            </w:r>
          </w:p>
        </w:tc>
      </w:tr>
      <w:tr w:rsidR="000729CF" w:rsidRPr="000729CF" w14:paraId="4311AD1A" w14:textId="77777777" w:rsidTr="000729CF">
        <w:trPr>
          <w:trHeight w:val="20"/>
        </w:trPr>
        <w:tc>
          <w:tcPr>
            <w:tcW w:w="2985" w:type="dxa"/>
            <w:shd w:val="clear" w:color="auto" w:fill="E7E6E6"/>
          </w:tcPr>
          <w:p w14:paraId="46673C96" w14:textId="77777777" w:rsidR="000729CF" w:rsidRPr="000729CF" w:rsidRDefault="000729CF" w:rsidP="000729CF">
            <w:pPr>
              <w:rPr>
                <w:rFonts w:ascii="Arial" w:eastAsia="Calibri" w:hAnsi="Arial" w:cs="Arial"/>
                <w:b/>
                <w:bCs/>
                <w:sz w:val="24"/>
                <w:szCs w:val="24"/>
              </w:rPr>
            </w:pPr>
            <w:r w:rsidRPr="000729CF">
              <w:rPr>
                <w:rFonts w:ascii="Arial" w:eastAsia="Calibri" w:hAnsi="Arial" w:cs="Arial"/>
                <w:b/>
                <w:bCs/>
                <w:sz w:val="24"/>
                <w:szCs w:val="24"/>
              </w:rPr>
              <w:t xml:space="preserve">Disability </w:t>
            </w:r>
            <w:r w:rsidRPr="000729CF">
              <w:rPr>
                <w:rFonts w:ascii="Arial" w:eastAsia="Calibri" w:hAnsi="Arial" w:cs="Arial"/>
                <w:sz w:val="24"/>
                <w:szCs w:val="24"/>
              </w:rPr>
              <w:t>includes physical and sensory disabled, D/deaf, deafened, hard of hearing, blind, neurodiverse people, people with non-visible disabilities.</w:t>
            </w:r>
          </w:p>
        </w:tc>
        <w:tc>
          <w:tcPr>
            <w:tcW w:w="2123" w:type="dxa"/>
          </w:tcPr>
          <w:p w14:paraId="018C26D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78BB434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Reduction of hate incidents reported</w:t>
            </w:r>
          </w:p>
        </w:tc>
      </w:tr>
      <w:tr w:rsidR="000729CF" w:rsidRPr="000729CF" w14:paraId="04E5CD37" w14:textId="77777777" w:rsidTr="000729CF">
        <w:trPr>
          <w:trHeight w:val="20"/>
        </w:trPr>
        <w:tc>
          <w:tcPr>
            <w:tcW w:w="2985" w:type="dxa"/>
            <w:shd w:val="clear" w:color="auto" w:fill="E7E6E6"/>
          </w:tcPr>
          <w:p w14:paraId="182A9271" w14:textId="77777777" w:rsidR="000729CF" w:rsidRPr="000729CF" w:rsidRDefault="000729CF" w:rsidP="000729CF">
            <w:pPr>
              <w:keepNext/>
              <w:keepLines/>
              <w:spacing w:before="40"/>
              <w:outlineLvl w:val="2"/>
              <w:rPr>
                <w:rFonts w:ascii="Arial" w:hAnsi="Arial" w:cs="Arial"/>
                <w:color w:val="1F3763"/>
                <w:sz w:val="24"/>
                <w:szCs w:val="24"/>
              </w:rPr>
            </w:pPr>
            <w:r w:rsidRPr="000729CF">
              <w:rPr>
                <w:rFonts w:ascii="Arial" w:hAnsi="Arial" w:cs="Arial"/>
                <w:b/>
                <w:bCs/>
                <w:color w:val="000000"/>
                <w:sz w:val="24"/>
                <w:szCs w:val="24"/>
              </w:rPr>
              <w:t>Ethnicity, ‘</w:t>
            </w:r>
            <w:r w:rsidRPr="000729CF">
              <w:rPr>
                <w:rFonts w:ascii="Arial" w:hAnsi="Arial" w:cs="Arial"/>
                <w:color w:val="000000"/>
                <w:sz w:val="24"/>
                <w:szCs w:val="24"/>
              </w:rPr>
              <w:t>Race’, ethnic heritage including Gypsy, Roma, Travellers</w:t>
            </w:r>
          </w:p>
        </w:tc>
        <w:tc>
          <w:tcPr>
            <w:tcW w:w="2123" w:type="dxa"/>
          </w:tcPr>
          <w:p w14:paraId="3440C44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33B6BFB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Reduction of hate incidents reported</w:t>
            </w:r>
          </w:p>
        </w:tc>
      </w:tr>
      <w:tr w:rsidR="000729CF" w:rsidRPr="000729CF" w14:paraId="71268264" w14:textId="77777777" w:rsidTr="000729CF">
        <w:trPr>
          <w:trHeight w:val="20"/>
        </w:trPr>
        <w:tc>
          <w:tcPr>
            <w:tcW w:w="2985" w:type="dxa"/>
            <w:shd w:val="clear" w:color="auto" w:fill="E7E6E6"/>
          </w:tcPr>
          <w:p w14:paraId="7EFE628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Religion, Spirituality, Faith, Atheism, and philosophical belief </w:t>
            </w:r>
          </w:p>
        </w:tc>
        <w:tc>
          <w:tcPr>
            <w:tcW w:w="2123" w:type="dxa"/>
          </w:tcPr>
          <w:p w14:paraId="001629E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6D51AB5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Reduction of hate incidents reported</w:t>
            </w:r>
          </w:p>
        </w:tc>
      </w:tr>
      <w:tr w:rsidR="000729CF" w:rsidRPr="000729CF" w14:paraId="77CE5939" w14:textId="77777777" w:rsidTr="000729CF">
        <w:trPr>
          <w:trHeight w:val="20"/>
        </w:trPr>
        <w:tc>
          <w:tcPr>
            <w:tcW w:w="2985" w:type="dxa"/>
            <w:shd w:val="clear" w:color="auto" w:fill="E7E6E6"/>
          </w:tcPr>
          <w:p w14:paraId="6D652BE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Gender and Sex </w:t>
            </w:r>
            <w:r w:rsidRPr="000729CF">
              <w:rPr>
                <w:rFonts w:ascii="Arial" w:eastAsia="Calibri" w:hAnsi="Arial" w:cs="Arial"/>
                <w:sz w:val="24"/>
                <w:szCs w:val="24"/>
              </w:rPr>
              <w:t>including non-binary and intersex people</w:t>
            </w:r>
          </w:p>
        </w:tc>
        <w:tc>
          <w:tcPr>
            <w:tcW w:w="2123" w:type="dxa"/>
          </w:tcPr>
          <w:p w14:paraId="5D51A38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1FFAE92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Reduction of hate incidents reported</w:t>
            </w:r>
          </w:p>
        </w:tc>
      </w:tr>
      <w:tr w:rsidR="000729CF" w:rsidRPr="000729CF" w14:paraId="2A212096" w14:textId="77777777" w:rsidTr="000729CF">
        <w:trPr>
          <w:trHeight w:val="20"/>
        </w:trPr>
        <w:tc>
          <w:tcPr>
            <w:tcW w:w="2985" w:type="dxa"/>
            <w:shd w:val="clear" w:color="auto" w:fill="E7E6E6"/>
          </w:tcPr>
          <w:p w14:paraId="4241CF6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Gender Reassignment</w:t>
            </w:r>
          </w:p>
        </w:tc>
        <w:tc>
          <w:tcPr>
            <w:tcW w:w="2123" w:type="dxa"/>
          </w:tcPr>
          <w:p w14:paraId="71BF5BD7"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55333FB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Reduction of hate incidents reported</w:t>
            </w:r>
          </w:p>
        </w:tc>
      </w:tr>
      <w:tr w:rsidR="000729CF" w:rsidRPr="000729CF" w14:paraId="69CE4654" w14:textId="77777777" w:rsidTr="000729CF">
        <w:trPr>
          <w:trHeight w:val="20"/>
        </w:trPr>
        <w:tc>
          <w:tcPr>
            <w:tcW w:w="2985" w:type="dxa"/>
            <w:shd w:val="clear" w:color="auto" w:fill="E7E6E6"/>
          </w:tcPr>
          <w:p w14:paraId="53EBD5A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Sexual Orientation</w:t>
            </w:r>
          </w:p>
        </w:tc>
        <w:tc>
          <w:tcPr>
            <w:tcW w:w="2123" w:type="dxa"/>
          </w:tcPr>
          <w:p w14:paraId="19718773"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Yes</w:t>
            </w:r>
          </w:p>
        </w:tc>
        <w:tc>
          <w:tcPr>
            <w:tcW w:w="5377" w:type="dxa"/>
          </w:tcPr>
          <w:p w14:paraId="3365F75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Reduction of hate incidents reported</w:t>
            </w:r>
          </w:p>
        </w:tc>
      </w:tr>
      <w:tr w:rsidR="000729CF" w:rsidRPr="000729CF" w14:paraId="68262DD4" w14:textId="77777777" w:rsidTr="000729CF">
        <w:trPr>
          <w:trHeight w:val="20"/>
        </w:trPr>
        <w:tc>
          <w:tcPr>
            <w:tcW w:w="2985" w:type="dxa"/>
            <w:shd w:val="clear" w:color="auto" w:fill="E7E6E6"/>
          </w:tcPr>
          <w:p w14:paraId="296CE52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Marriage and Civil Partnership </w:t>
            </w:r>
          </w:p>
        </w:tc>
        <w:tc>
          <w:tcPr>
            <w:tcW w:w="2123" w:type="dxa"/>
          </w:tcPr>
          <w:p w14:paraId="51A0AEF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1C64F56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significant impacts funding not provided third party reporting centre for this group</w:t>
            </w:r>
          </w:p>
        </w:tc>
      </w:tr>
      <w:tr w:rsidR="000729CF" w:rsidRPr="000729CF" w14:paraId="478EF7DF" w14:textId="77777777" w:rsidTr="000729CF">
        <w:trPr>
          <w:trHeight w:val="20"/>
        </w:trPr>
        <w:tc>
          <w:tcPr>
            <w:tcW w:w="2985" w:type="dxa"/>
            <w:shd w:val="clear" w:color="auto" w:fill="E7E6E6"/>
          </w:tcPr>
          <w:p w14:paraId="1BB90292"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Pregnancy, Maternity, Paternity, Adoption, Menopause, (In)fertility </w:t>
            </w:r>
            <w:r w:rsidRPr="000729CF">
              <w:rPr>
                <w:rFonts w:ascii="Arial" w:eastAsia="Calibri" w:hAnsi="Arial" w:cs="Arial"/>
                <w:color w:val="000000"/>
                <w:sz w:val="24"/>
                <w:szCs w:val="24"/>
              </w:rPr>
              <w:t>(across intersections and non-binary gender spectrum)</w:t>
            </w:r>
          </w:p>
        </w:tc>
        <w:tc>
          <w:tcPr>
            <w:tcW w:w="2123" w:type="dxa"/>
          </w:tcPr>
          <w:p w14:paraId="23A46BB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75C5FD2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significant impacts funding not provided third party reporting centre for this group</w:t>
            </w:r>
          </w:p>
        </w:tc>
      </w:tr>
      <w:tr w:rsidR="000729CF" w:rsidRPr="000729CF" w14:paraId="2626FF94" w14:textId="77777777" w:rsidTr="000729CF">
        <w:trPr>
          <w:trHeight w:val="20"/>
        </w:trPr>
        <w:tc>
          <w:tcPr>
            <w:tcW w:w="2985" w:type="dxa"/>
            <w:shd w:val="clear" w:color="auto" w:fill="E7E6E6"/>
          </w:tcPr>
          <w:p w14:paraId="52C81355"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Armed Forces Personnel, their families, and Veterans</w:t>
            </w:r>
          </w:p>
        </w:tc>
        <w:tc>
          <w:tcPr>
            <w:tcW w:w="2123" w:type="dxa"/>
          </w:tcPr>
          <w:p w14:paraId="609A7E3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21E9EC9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significant impacts funding not provided third party reporting centre for this group</w:t>
            </w:r>
          </w:p>
        </w:tc>
      </w:tr>
      <w:tr w:rsidR="000729CF" w:rsidRPr="000729CF" w14:paraId="6F38104B" w14:textId="77777777" w:rsidTr="000729CF">
        <w:trPr>
          <w:trHeight w:val="20"/>
        </w:trPr>
        <w:tc>
          <w:tcPr>
            <w:tcW w:w="2985" w:type="dxa"/>
            <w:shd w:val="clear" w:color="auto" w:fill="E7E6E6"/>
          </w:tcPr>
          <w:p w14:paraId="4127A19D" w14:textId="77777777" w:rsidR="000729CF" w:rsidRPr="000729CF" w:rsidRDefault="000729CF" w:rsidP="000729CF">
            <w:pPr>
              <w:spacing w:after="120"/>
              <w:rPr>
                <w:rFonts w:ascii="Arial" w:eastAsia="Calibri" w:hAnsi="Arial" w:cs="Arial"/>
                <w:b/>
                <w:bCs/>
                <w:sz w:val="24"/>
                <w:szCs w:val="24"/>
              </w:rPr>
            </w:pPr>
            <w:r w:rsidRPr="000729CF">
              <w:rPr>
                <w:rFonts w:ascii="Arial" w:hAnsi="Arial" w:cs="Arial"/>
                <w:b/>
                <w:bCs/>
                <w:color w:val="000000"/>
                <w:sz w:val="24"/>
                <w:szCs w:val="24"/>
              </w:rPr>
              <w:t>Expatriates,</w:t>
            </w:r>
            <w:r w:rsidRPr="000729CF">
              <w:rPr>
                <w:rFonts w:ascii="Arial" w:eastAsia="Calibri" w:hAnsi="Arial" w:cs="Arial"/>
                <w:b/>
                <w:bCs/>
                <w:color w:val="000000"/>
                <w:sz w:val="24"/>
                <w:szCs w:val="24"/>
              </w:rPr>
              <w:t xml:space="preserve"> Migrants, Asylum Seekers, and Refugees </w:t>
            </w:r>
            <w:r w:rsidRPr="000729CF">
              <w:rPr>
                <w:rFonts w:ascii="Arial" w:hAnsi="Arial" w:cs="Arial"/>
                <w:color w:val="000000"/>
                <w:sz w:val="24"/>
                <w:szCs w:val="24"/>
              </w:rPr>
              <w:t>considering for age, language, and various intersections</w:t>
            </w:r>
          </w:p>
        </w:tc>
        <w:tc>
          <w:tcPr>
            <w:tcW w:w="2123" w:type="dxa"/>
          </w:tcPr>
          <w:p w14:paraId="286FDD8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66914CB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Reduction of hate incidents reported, based on the intersectional identities of ethnicity and immigration status.</w:t>
            </w:r>
          </w:p>
        </w:tc>
      </w:tr>
      <w:tr w:rsidR="000729CF" w:rsidRPr="000729CF" w14:paraId="4F445C3D" w14:textId="77777777" w:rsidTr="000729CF">
        <w:trPr>
          <w:trHeight w:val="20"/>
        </w:trPr>
        <w:tc>
          <w:tcPr>
            <w:tcW w:w="2985" w:type="dxa"/>
            <w:shd w:val="clear" w:color="auto" w:fill="E7E6E6"/>
          </w:tcPr>
          <w:p w14:paraId="54D5FFF6"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color w:val="000000"/>
                <w:sz w:val="24"/>
                <w:szCs w:val="24"/>
              </w:rPr>
              <w:t xml:space="preserve">Carers </w:t>
            </w:r>
            <w:r w:rsidRPr="000729CF">
              <w:rPr>
                <w:rFonts w:ascii="Arial" w:hAnsi="Arial" w:cs="Arial"/>
                <w:color w:val="000000"/>
                <w:sz w:val="24"/>
                <w:szCs w:val="24"/>
              </w:rPr>
              <w:t>considering for age, language, and various intersections</w:t>
            </w:r>
          </w:p>
        </w:tc>
        <w:tc>
          <w:tcPr>
            <w:tcW w:w="2123" w:type="dxa"/>
          </w:tcPr>
          <w:p w14:paraId="30C95DCE"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38206EB8"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significant impacts funding not provided third party reporting centre for this group</w:t>
            </w:r>
          </w:p>
        </w:tc>
      </w:tr>
      <w:tr w:rsidR="000729CF" w:rsidRPr="000729CF" w14:paraId="3634EED6" w14:textId="77777777" w:rsidTr="000729CF">
        <w:trPr>
          <w:trHeight w:val="20"/>
        </w:trPr>
        <w:tc>
          <w:tcPr>
            <w:tcW w:w="2985" w:type="dxa"/>
            <w:shd w:val="clear" w:color="auto" w:fill="E7E6E6"/>
          </w:tcPr>
          <w:p w14:paraId="0C93705F" w14:textId="77777777" w:rsidR="000729CF" w:rsidRPr="000729CF" w:rsidRDefault="000729CF" w:rsidP="000729CF">
            <w:pPr>
              <w:spacing w:after="120"/>
              <w:rPr>
                <w:rFonts w:ascii="Arial" w:eastAsia="Calibri" w:hAnsi="Arial" w:cs="Arial"/>
                <w:b/>
                <w:bCs/>
                <w:color w:val="000000"/>
                <w:sz w:val="24"/>
                <w:szCs w:val="24"/>
              </w:rPr>
            </w:pPr>
            <w:r w:rsidRPr="000729CF">
              <w:rPr>
                <w:rFonts w:ascii="Arial" w:eastAsia="Calibri" w:hAnsi="Arial" w:cs="Arial"/>
                <w:b/>
                <w:bCs/>
                <w:color w:val="000000"/>
                <w:sz w:val="24"/>
                <w:szCs w:val="24"/>
              </w:rPr>
              <w:t xml:space="preserve">Looked after children, Care Leavers, Care and fostering experienced people </w:t>
            </w:r>
            <w:r w:rsidRPr="000729CF">
              <w:rPr>
                <w:rFonts w:ascii="Arial" w:hAnsi="Arial" w:cs="Arial"/>
                <w:color w:val="000000"/>
                <w:sz w:val="24"/>
                <w:szCs w:val="24"/>
              </w:rPr>
              <w:t>considering for age, language, and various intersections</w:t>
            </w:r>
          </w:p>
        </w:tc>
        <w:tc>
          <w:tcPr>
            <w:tcW w:w="2123" w:type="dxa"/>
          </w:tcPr>
          <w:p w14:paraId="0F4AA8AF"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3E35EF95"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significant impacts funding not provided third party reporting centre for this group</w:t>
            </w:r>
          </w:p>
        </w:tc>
      </w:tr>
      <w:tr w:rsidR="000729CF" w:rsidRPr="000729CF" w14:paraId="4BF249DF" w14:textId="77777777" w:rsidTr="000729CF">
        <w:trPr>
          <w:trHeight w:val="20"/>
        </w:trPr>
        <w:tc>
          <w:tcPr>
            <w:tcW w:w="2985" w:type="dxa"/>
            <w:shd w:val="clear" w:color="auto" w:fill="E7E6E6"/>
          </w:tcPr>
          <w:p w14:paraId="27BB5B10"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Domestic and/or sexual abuse and violence survivors</w:t>
            </w:r>
          </w:p>
        </w:tc>
        <w:tc>
          <w:tcPr>
            <w:tcW w:w="2123" w:type="dxa"/>
          </w:tcPr>
          <w:p w14:paraId="59A14E0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1C3C2F6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significant impacts funding not provided third party reporting centre for this group</w:t>
            </w:r>
          </w:p>
        </w:tc>
      </w:tr>
      <w:tr w:rsidR="000729CF" w:rsidRPr="000729CF" w14:paraId="14986552" w14:textId="77777777" w:rsidTr="000729CF">
        <w:trPr>
          <w:trHeight w:val="20"/>
        </w:trPr>
        <w:tc>
          <w:tcPr>
            <w:tcW w:w="2985" w:type="dxa"/>
            <w:shd w:val="clear" w:color="auto" w:fill="E7E6E6"/>
          </w:tcPr>
          <w:p w14:paraId="2908BB3E"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Socio-economic disadvantage </w:t>
            </w:r>
            <w:r w:rsidRPr="000729CF">
              <w:rPr>
                <w:rFonts w:ascii="Arial" w:eastAsia="Calibri" w:hAnsi="Arial" w:cs="Arial"/>
                <w:color w:val="000000"/>
                <w:sz w:val="24"/>
                <w:szCs w:val="24"/>
              </w:rPr>
              <w:t>considering for age, disability, D/deaf/ blind, ethnicity, expatriate background, and various intersections</w:t>
            </w:r>
          </w:p>
        </w:tc>
        <w:tc>
          <w:tcPr>
            <w:tcW w:w="2123" w:type="dxa"/>
          </w:tcPr>
          <w:p w14:paraId="4F03FB1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66C4525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significant impacts funding not provided third party reporting centre for this group</w:t>
            </w:r>
          </w:p>
        </w:tc>
      </w:tr>
      <w:tr w:rsidR="000729CF" w:rsidRPr="000729CF" w14:paraId="18024A49" w14:textId="77777777" w:rsidTr="000729CF">
        <w:trPr>
          <w:trHeight w:val="20"/>
        </w:trPr>
        <w:tc>
          <w:tcPr>
            <w:tcW w:w="2985" w:type="dxa"/>
            <w:shd w:val="clear" w:color="auto" w:fill="E7E6E6"/>
          </w:tcPr>
          <w:p w14:paraId="3573C2B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Homeless and rough sleepers </w:t>
            </w:r>
            <w:r w:rsidRPr="000729CF">
              <w:rPr>
                <w:rFonts w:ascii="Arial" w:eastAsia="Calibri" w:hAnsi="Arial" w:cs="Arial"/>
                <w:color w:val="000000"/>
                <w:sz w:val="24"/>
                <w:szCs w:val="24"/>
              </w:rPr>
              <w:t>considering for age, veteran, ethnicity, language, and various intersections</w:t>
            </w:r>
          </w:p>
        </w:tc>
        <w:tc>
          <w:tcPr>
            <w:tcW w:w="2123" w:type="dxa"/>
          </w:tcPr>
          <w:p w14:paraId="3501F51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2723806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significant impacts funding not provided third party reporting centre for this group</w:t>
            </w:r>
          </w:p>
        </w:tc>
      </w:tr>
      <w:tr w:rsidR="000729CF" w:rsidRPr="000729CF" w14:paraId="00EBDCFF" w14:textId="77777777" w:rsidTr="000729CF">
        <w:trPr>
          <w:trHeight w:val="20"/>
        </w:trPr>
        <w:tc>
          <w:tcPr>
            <w:tcW w:w="2985" w:type="dxa"/>
            <w:shd w:val="clear" w:color="auto" w:fill="E7E6E6"/>
          </w:tcPr>
          <w:p w14:paraId="2AE89BF3"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Human Rights</w:t>
            </w:r>
          </w:p>
        </w:tc>
        <w:tc>
          <w:tcPr>
            <w:tcW w:w="2123" w:type="dxa"/>
          </w:tcPr>
          <w:p w14:paraId="38B3936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w:t>
            </w:r>
          </w:p>
        </w:tc>
        <w:tc>
          <w:tcPr>
            <w:tcW w:w="5377" w:type="dxa"/>
          </w:tcPr>
          <w:p w14:paraId="5C2B370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significant impacts funding not provided third party reporting centre for this group</w:t>
            </w:r>
          </w:p>
        </w:tc>
      </w:tr>
      <w:tr w:rsidR="000729CF" w:rsidRPr="000729CF" w14:paraId="618B52BF" w14:textId="77777777" w:rsidTr="000729CF">
        <w:trPr>
          <w:trHeight w:val="20"/>
        </w:trPr>
        <w:tc>
          <w:tcPr>
            <w:tcW w:w="2985" w:type="dxa"/>
            <w:shd w:val="clear" w:color="auto" w:fill="E7E6E6"/>
          </w:tcPr>
          <w:p w14:paraId="7389CBFF"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Another relevant group (please specify here and add additional rows as needed)</w:t>
            </w:r>
          </w:p>
        </w:tc>
        <w:tc>
          <w:tcPr>
            <w:tcW w:w="2123" w:type="dxa"/>
          </w:tcPr>
          <w:p w14:paraId="0863D9AC"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N/A</w:t>
            </w:r>
          </w:p>
        </w:tc>
        <w:tc>
          <w:tcPr>
            <w:tcW w:w="5377" w:type="dxa"/>
          </w:tcPr>
          <w:p w14:paraId="79A2470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No significant impacts funding not provided third party reporting centre for this group</w:t>
            </w:r>
          </w:p>
        </w:tc>
      </w:tr>
    </w:tbl>
    <w:p w14:paraId="38F2519D" w14:textId="77777777" w:rsidR="000729CF" w:rsidRPr="000729CF" w:rsidRDefault="000729CF" w:rsidP="000729CF">
      <w:pPr>
        <w:spacing w:after="160" w:line="259" w:lineRule="auto"/>
        <w:rPr>
          <w:rFonts w:ascii="Arial" w:eastAsia="Calibri" w:hAnsi="Arial" w:cs="Arial"/>
          <w:b/>
          <w:bCs/>
          <w:sz w:val="24"/>
          <w:szCs w:val="24"/>
          <w:lang w:val="en-GB"/>
        </w:rPr>
      </w:pPr>
    </w:p>
    <w:p w14:paraId="4331C0E9" w14:textId="77777777" w:rsidR="000729CF" w:rsidRPr="000729CF" w:rsidRDefault="000729CF" w:rsidP="000729CF">
      <w:pPr>
        <w:spacing w:after="160" w:line="259" w:lineRule="auto"/>
        <w:rPr>
          <w:rFonts w:ascii="Arial" w:eastAsia="Calibri" w:hAnsi="Arial" w:cs="Arial"/>
          <w:b/>
          <w:bCs/>
          <w:sz w:val="24"/>
          <w:szCs w:val="24"/>
          <w:lang w:val="en-GB"/>
        </w:rPr>
      </w:pPr>
      <w:r w:rsidRPr="000729CF">
        <w:rPr>
          <w:rFonts w:ascii="Arial" w:eastAsia="Calibri" w:hAnsi="Arial" w:cs="Arial"/>
          <w:b/>
          <w:bCs/>
          <w:sz w:val="24"/>
          <w:szCs w:val="24"/>
          <w:lang w:val="en-GB"/>
        </w:rPr>
        <w:t xml:space="preserve">Additional relevant groups that may be widely disadvantaged and have intersecting experiences that create exclusion and systemic barriers may include: </w:t>
      </w:r>
    </w:p>
    <w:p w14:paraId="66C2926B"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Ex-offenders and people with unrelated convictions </w:t>
      </w:r>
    </w:p>
    <w:p w14:paraId="517802AA"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Lone parents </w:t>
      </w:r>
    </w:p>
    <w:p w14:paraId="040B0DE7"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experiencing homelessness </w:t>
      </w:r>
    </w:p>
    <w:p w14:paraId="3720F7BD"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facing literacy and numeracy barriers</w:t>
      </w:r>
    </w:p>
    <w:p w14:paraId="06CCD692"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on a low income and people living in the most deprived areas </w:t>
      </w:r>
    </w:p>
    <w:p w14:paraId="7B504865"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People who have experienced female genital mutilation (FGM) </w:t>
      </w:r>
    </w:p>
    <w:p w14:paraId="51F65515"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who have experienced human trafficking or modern slavery</w:t>
      </w:r>
    </w:p>
    <w:p w14:paraId="722AF359"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People with experience of or living with addiction and/ or a substance use disorder (SUD)</w:t>
      </w:r>
    </w:p>
    <w:p w14:paraId="74C68CAC" w14:textId="77777777" w:rsidR="000729CF" w:rsidRPr="000729CF" w:rsidRDefault="000729CF" w:rsidP="00CE70A3">
      <w:pPr>
        <w:numPr>
          <w:ilvl w:val="0"/>
          <w:numId w:val="101"/>
        </w:numPr>
        <w:spacing w:after="160" w:line="259" w:lineRule="auto"/>
        <w:contextualSpacing/>
        <w:rPr>
          <w:rFonts w:ascii="Arial" w:eastAsia="Calibri" w:hAnsi="Arial" w:cs="Arial"/>
          <w:sz w:val="24"/>
          <w:szCs w:val="24"/>
          <w:lang w:val="en-GB"/>
        </w:rPr>
      </w:pPr>
      <w:r w:rsidRPr="000729CF">
        <w:rPr>
          <w:rFonts w:ascii="Arial" w:eastAsia="Calibri" w:hAnsi="Arial" w:cs="Arial"/>
          <w:sz w:val="24"/>
          <w:szCs w:val="24"/>
          <w:lang w:val="en-GB"/>
        </w:rPr>
        <w:t xml:space="preserve">Sex workers </w:t>
      </w:r>
    </w:p>
    <w:p w14:paraId="000F9FB2" w14:textId="77777777" w:rsidR="000729CF" w:rsidRPr="000729CF" w:rsidRDefault="000729CF" w:rsidP="000729CF">
      <w:pPr>
        <w:rPr>
          <w:rFonts w:ascii="Arial" w:eastAsia="Calibri" w:hAnsi="Arial" w:cs="Arial"/>
          <w:sz w:val="24"/>
          <w:szCs w:val="24"/>
          <w:lang w:val="en-GB"/>
        </w:rPr>
      </w:pPr>
    </w:p>
    <w:p w14:paraId="726E10DB"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Cumulative impacts</w:t>
      </w:r>
    </w:p>
    <w:p w14:paraId="03898D50"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Are there other budget proposals from other service areas that might worsen or mitigate the impacts from your proposal? Please give a brief description including name of other service(s).</w:t>
      </w:r>
    </w:p>
    <w:tbl>
      <w:tblPr>
        <w:tblStyle w:val="TableGrid"/>
        <w:tblW w:w="0" w:type="auto"/>
        <w:tblLook w:val="04A0" w:firstRow="1" w:lastRow="0" w:firstColumn="1" w:lastColumn="0" w:noHBand="0" w:noVBand="1"/>
      </w:tblPr>
      <w:tblGrid>
        <w:gridCol w:w="10456"/>
      </w:tblGrid>
      <w:tr w:rsidR="000729CF" w:rsidRPr="000729CF" w14:paraId="243150F0" w14:textId="77777777" w:rsidTr="00BC26AB">
        <w:tc>
          <w:tcPr>
            <w:tcW w:w="10456" w:type="dxa"/>
          </w:tcPr>
          <w:p w14:paraId="4EFED89B" w14:textId="77777777" w:rsidR="000729CF" w:rsidRPr="000729CF" w:rsidRDefault="000729CF" w:rsidP="000729CF">
            <w:pPr>
              <w:rPr>
                <w:rFonts w:ascii="Arial" w:eastAsia="Calibri" w:hAnsi="Arial" w:cs="Arial"/>
                <w:sz w:val="24"/>
                <w:szCs w:val="24"/>
              </w:rPr>
            </w:pPr>
            <w:r w:rsidRPr="000729CF">
              <w:rPr>
                <w:rFonts w:ascii="Arial" w:eastAsia="Calibri" w:hAnsi="Arial" w:cs="Arial"/>
                <w:sz w:val="24"/>
                <w:szCs w:val="24"/>
              </w:rPr>
              <w:t xml:space="preserve">The deletion of the Communities Fund may worsen the impact of the proposal as it will not be available as an alternative source of CVS funding. </w:t>
            </w:r>
          </w:p>
          <w:p w14:paraId="21C88209" w14:textId="77777777" w:rsidR="000729CF" w:rsidRPr="000729CF" w:rsidRDefault="000729CF" w:rsidP="000729CF">
            <w:pPr>
              <w:rPr>
                <w:rFonts w:ascii="Arial" w:eastAsia="Calibri" w:hAnsi="Arial" w:cs="Arial"/>
                <w:sz w:val="24"/>
                <w:szCs w:val="24"/>
              </w:rPr>
            </w:pPr>
          </w:p>
        </w:tc>
      </w:tr>
    </w:tbl>
    <w:p w14:paraId="12FACD79" w14:textId="77777777" w:rsidR="000729CF" w:rsidRPr="000729CF" w:rsidRDefault="000729CF" w:rsidP="000729CF">
      <w:pPr>
        <w:spacing w:after="160" w:line="259" w:lineRule="auto"/>
        <w:rPr>
          <w:rFonts w:ascii="Arial" w:eastAsia="Calibri" w:hAnsi="Arial" w:cs="Arial"/>
          <w:sz w:val="24"/>
          <w:szCs w:val="24"/>
          <w:lang w:val="en-GB"/>
        </w:rPr>
      </w:pPr>
    </w:p>
    <w:p w14:paraId="3AA95CF8"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Action planning</w:t>
      </w:r>
    </w:p>
    <w:p w14:paraId="0E6070E9"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What SMART actions will be taken to mitigate the disproportionate impacts identified in section 3? If no mitigating action is possible, please state and explain why. Add additional rows as required. </w:t>
      </w:r>
    </w:p>
    <w:tbl>
      <w:tblPr>
        <w:tblStyle w:val="TableGrid"/>
        <w:tblW w:w="0" w:type="auto"/>
        <w:tblLook w:val="04A0" w:firstRow="1" w:lastRow="0" w:firstColumn="1" w:lastColumn="0" w:noHBand="0" w:noVBand="1"/>
      </w:tblPr>
      <w:tblGrid>
        <w:gridCol w:w="10456"/>
      </w:tblGrid>
      <w:tr w:rsidR="000729CF" w:rsidRPr="000729CF" w14:paraId="1A14431C" w14:textId="77777777" w:rsidTr="00BC26AB">
        <w:trPr>
          <w:trHeight w:val="847"/>
        </w:trPr>
        <w:tc>
          <w:tcPr>
            <w:tcW w:w="10456" w:type="dxa"/>
          </w:tcPr>
          <w:p w14:paraId="24D853D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SMART action 1: Increased awareness campaign by statutory agencies to encourage reporting by those communities susceptible to hate incidents, to statutory services by March 2025</w:t>
            </w:r>
          </w:p>
        </w:tc>
      </w:tr>
    </w:tbl>
    <w:p w14:paraId="165F35E8" w14:textId="77777777" w:rsidR="000729CF" w:rsidRPr="000729CF" w:rsidRDefault="000729CF" w:rsidP="000729CF">
      <w:pPr>
        <w:spacing w:after="160" w:line="259" w:lineRule="auto"/>
        <w:rPr>
          <w:rFonts w:ascii="Arial" w:eastAsia="Calibri" w:hAnsi="Arial" w:cs="Arial"/>
          <w:sz w:val="24"/>
          <w:szCs w:val="24"/>
          <w:lang w:val="en-GB"/>
        </w:rPr>
      </w:pPr>
    </w:p>
    <w:p w14:paraId="5DA3C99D"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Outcome of your assessment</w:t>
      </w:r>
    </w:p>
    <w:p w14:paraId="6F7A7F0C"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 xml:space="preserve">Based on the information above give the proposal an impact score between 1 – 5. </w:t>
      </w:r>
    </w:p>
    <w:p w14:paraId="4968E898"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1= proposal has minimal impact and/or mitigating actions will significantly minimise the impact</w:t>
      </w:r>
    </w:p>
    <w:p w14:paraId="58AFE529"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3= proposal will have a significant negative impact; however, mitigation actions will reduce the impact considerably.</w:t>
      </w:r>
    </w:p>
    <w:p w14:paraId="6EF73CD8"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5= proposal has significant impact and mitigating actions will have limited effect on reducing impact.</w:t>
      </w:r>
    </w:p>
    <w:p w14:paraId="1DE61A57" w14:textId="77777777" w:rsidR="000729CF" w:rsidRPr="000729CF" w:rsidRDefault="000729CF" w:rsidP="000729CF">
      <w:pPr>
        <w:rPr>
          <w:rFonts w:ascii="Arial" w:eastAsia="Calibri" w:hAnsi="Arial" w:cs="Arial"/>
          <w:sz w:val="24"/>
          <w:szCs w:val="24"/>
          <w:highlight w:val="yellow"/>
          <w:lang w:val="en-GB"/>
        </w:rPr>
      </w:pPr>
    </w:p>
    <w:tbl>
      <w:tblPr>
        <w:tblStyle w:val="TableGrid"/>
        <w:tblW w:w="0" w:type="auto"/>
        <w:tblLook w:val="04A0" w:firstRow="1" w:lastRow="0" w:firstColumn="1" w:lastColumn="0" w:noHBand="0" w:noVBand="1"/>
      </w:tblPr>
      <w:tblGrid>
        <w:gridCol w:w="3114"/>
        <w:gridCol w:w="7342"/>
      </w:tblGrid>
      <w:tr w:rsidR="000729CF" w:rsidRPr="000729CF" w14:paraId="18108EA6" w14:textId="77777777" w:rsidTr="00BC26AB">
        <w:trPr>
          <w:trHeight w:val="152"/>
        </w:trPr>
        <w:tc>
          <w:tcPr>
            <w:tcW w:w="3114" w:type="dxa"/>
          </w:tcPr>
          <w:p w14:paraId="1F8D366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Proposal’s impact score:</w:t>
            </w:r>
          </w:p>
        </w:tc>
        <w:tc>
          <w:tcPr>
            <w:tcW w:w="7342" w:type="dxa"/>
          </w:tcPr>
          <w:p w14:paraId="076DBDA1"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3</w:t>
            </w:r>
          </w:p>
        </w:tc>
      </w:tr>
    </w:tbl>
    <w:p w14:paraId="4E3D42E2" w14:textId="77777777" w:rsidR="000729CF" w:rsidRPr="000729CF" w:rsidRDefault="000729CF" w:rsidP="000729CF">
      <w:pPr>
        <w:spacing w:after="160" w:line="259" w:lineRule="auto"/>
        <w:rPr>
          <w:rFonts w:ascii="Arial" w:eastAsia="Calibri" w:hAnsi="Arial" w:cs="Arial"/>
          <w:sz w:val="24"/>
          <w:szCs w:val="24"/>
          <w:lang w:val="en-GB"/>
        </w:rPr>
      </w:pPr>
    </w:p>
    <w:p w14:paraId="1F3BA402"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Publication</w:t>
      </w:r>
    </w:p>
    <w:p w14:paraId="4E0F9447"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t>All Equality Impact Assessments will be published. If you are recommending, and choosing not to publish your EIA, please provide a reason:</w:t>
      </w:r>
    </w:p>
    <w:tbl>
      <w:tblPr>
        <w:tblStyle w:val="TableGrid"/>
        <w:tblW w:w="0" w:type="auto"/>
        <w:tblLook w:val="04A0" w:firstRow="1" w:lastRow="0" w:firstColumn="1" w:lastColumn="0" w:noHBand="0" w:noVBand="1"/>
      </w:tblPr>
      <w:tblGrid>
        <w:gridCol w:w="10456"/>
      </w:tblGrid>
      <w:tr w:rsidR="000729CF" w:rsidRPr="000729CF" w14:paraId="258CB798" w14:textId="77777777" w:rsidTr="00BC26AB">
        <w:trPr>
          <w:trHeight w:val="803"/>
        </w:trPr>
        <w:tc>
          <w:tcPr>
            <w:tcW w:w="10456" w:type="dxa"/>
          </w:tcPr>
          <w:p w14:paraId="46B8406F" w14:textId="77777777" w:rsidR="000729CF" w:rsidRPr="000729CF" w:rsidRDefault="000729CF" w:rsidP="000729CF">
            <w:pPr>
              <w:spacing w:after="120"/>
              <w:rPr>
                <w:rFonts w:ascii="Arial" w:eastAsia="Calibri" w:hAnsi="Arial" w:cs="Arial"/>
                <w:sz w:val="24"/>
                <w:szCs w:val="24"/>
              </w:rPr>
            </w:pPr>
          </w:p>
        </w:tc>
      </w:tr>
    </w:tbl>
    <w:p w14:paraId="226C10D2" w14:textId="77777777" w:rsidR="000729CF" w:rsidRPr="000729CF" w:rsidRDefault="000729CF" w:rsidP="000729CF">
      <w:pPr>
        <w:spacing w:after="160" w:line="259" w:lineRule="auto"/>
        <w:rPr>
          <w:rFonts w:ascii="Arial" w:eastAsia="Calibri" w:hAnsi="Arial" w:cs="Arial"/>
          <w:sz w:val="24"/>
          <w:szCs w:val="24"/>
          <w:lang w:val="en-GB"/>
        </w:rPr>
      </w:pPr>
    </w:p>
    <w:p w14:paraId="26CE1086" w14:textId="77777777" w:rsidR="000729CF" w:rsidRPr="000729CF" w:rsidRDefault="000729CF" w:rsidP="000729CF">
      <w:pPr>
        <w:keepNext/>
        <w:keepLines/>
        <w:spacing w:after="160" w:line="259" w:lineRule="auto"/>
        <w:ind w:left="283" w:hanging="357"/>
        <w:outlineLvl w:val="1"/>
        <w:rPr>
          <w:rFonts w:ascii="Arial" w:hAnsi="Arial" w:cs="Arial"/>
          <w:color w:val="2F5496"/>
          <w:sz w:val="24"/>
          <w:szCs w:val="24"/>
          <w:lang w:val="en-GB"/>
        </w:rPr>
      </w:pPr>
      <w:r w:rsidRPr="000729CF">
        <w:rPr>
          <w:rFonts w:ascii="Arial" w:hAnsi="Arial" w:cs="Arial"/>
          <w:color w:val="2F5496"/>
          <w:sz w:val="24"/>
          <w:szCs w:val="24"/>
          <w:lang w:val="en-GB"/>
        </w:rPr>
        <w:t>Directorate and Service Approval</w:t>
      </w:r>
    </w:p>
    <w:tbl>
      <w:tblPr>
        <w:tblStyle w:val="TableGrid"/>
        <w:tblW w:w="0" w:type="auto"/>
        <w:tblLook w:val="04A0" w:firstRow="1" w:lastRow="0" w:firstColumn="1" w:lastColumn="0" w:noHBand="0" w:noVBand="1"/>
      </w:tblPr>
      <w:tblGrid>
        <w:gridCol w:w="3681"/>
        <w:gridCol w:w="4394"/>
        <w:gridCol w:w="2381"/>
      </w:tblGrid>
      <w:tr w:rsidR="000729CF" w:rsidRPr="000729CF" w14:paraId="1553BEEE" w14:textId="77777777" w:rsidTr="000729CF">
        <w:trPr>
          <w:trHeight w:val="20"/>
        </w:trPr>
        <w:tc>
          <w:tcPr>
            <w:tcW w:w="3681" w:type="dxa"/>
            <w:tcBorders>
              <w:bottom w:val="single" w:sz="4" w:space="0" w:color="auto"/>
            </w:tcBorders>
            <w:shd w:val="clear" w:color="auto" w:fill="D9D9D9"/>
          </w:tcPr>
          <w:p w14:paraId="4A5C9C0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5DDB817A"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 and Job Title:</w:t>
            </w:r>
          </w:p>
        </w:tc>
        <w:tc>
          <w:tcPr>
            <w:tcW w:w="2381" w:type="dxa"/>
            <w:shd w:val="clear" w:color="auto" w:fill="D9D9D9"/>
          </w:tcPr>
          <w:p w14:paraId="49030E98"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41AC20C3" w14:textId="77777777" w:rsidTr="000729CF">
        <w:trPr>
          <w:trHeight w:val="20"/>
        </w:trPr>
        <w:tc>
          <w:tcPr>
            <w:tcW w:w="3681" w:type="dxa"/>
            <w:shd w:val="clear" w:color="auto" w:fill="E7E6E6"/>
          </w:tcPr>
          <w:p w14:paraId="48D05E8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Responsible Lead Officer:</w:t>
            </w:r>
          </w:p>
        </w:tc>
        <w:tc>
          <w:tcPr>
            <w:tcW w:w="4394" w:type="dxa"/>
          </w:tcPr>
          <w:p w14:paraId="7CC7C92B"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Jo Player</w:t>
            </w:r>
          </w:p>
        </w:tc>
        <w:tc>
          <w:tcPr>
            <w:tcW w:w="2381" w:type="dxa"/>
          </w:tcPr>
          <w:p w14:paraId="177D6C30"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17/01/2024</w:t>
            </w:r>
          </w:p>
        </w:tc>
      </w:tr>
      <w:tr w:rsidR="000729CF" w:rsidRPr="000729CF" w14:paraId="7417A4FF" w14:textId="77777777" w:rsidTr="000729CF">
        <w:trPr>
          <w:trHeight w:val="20"/>
        </w:trPr>
        <w:tc>
          <w:tcPr>
            <w:tcW w:w="3681" w:type="dxa"/>
            <w:shd w:val="clear" w:color="auto" w:fill="E7E6E6"/>
          </w:tcPr>
          <w:p w14:paraId="0371C2F1"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Accountable Manager:</w:t>
            </w:r>
          </w:p>
        </w:tc>
        <w:tc>
          <w:tcPr>
            <w:tcW w:w="4394" w:type="dxa"/>
          </w:tcPr>
          <w:p w14:paraId="3E5052D2"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Rachel Sharpe</w:t>
            </w:r>
          </w:p>
        </w:tc>
        <w:tc>
          <w:tcPr>
            <w:tcW w:w="2381" w:type="dxa"/>
          </w:tcPr>
          <w:p w14:paraId="2A860FC4"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24-01-24</w:t>
            </w:r>
          </w:p>
        </w:tc>
      </w:tr>
    </w:tbl>
    <w:p w14:paraId="4A21BFD3" w14:textId="77777777" w:rsidR="000729CF" w:rsidRPr="000729CF" w:rsidRDefault="000729CF" w:rsidP="000729CF">
      <w:pPr>
        <w:spacing w:after="160" w:line="259" w:lineRule="auto"/>
        <w:rPr>
          <w:rFonts w:ascii="Arial" w:eastAsia="Calibri" w:hAnsi="Arial" w:cs="Arial"/>
          <w:sz w:val="24"/>
          <w:szCs w:val="24"/>
          <w:lang w:val="en-GB"/>
        </w:rPr>
      </w:pPr>
    </w:p>
    <w:p w14:paraId="0BC8DECB" w14:textId="77777777" w:rsidR="000729CF" w:rsidRPr="000729CF" w:rsidRDefault="000729CF" w:rsidP="000729CF">
      <w:pPr>
        <w:keepNext/>
        <w:keepLines/>
        <w:spacing w:before="40" w:after="160" w:line="259" w:lineRule="auto"/>
        <w:outlineLvl w:val="2"/>
        <w:rPr>
          <w:rFonts w:ascii="Arial" w:hAnsi="Arial" w:cs="Arial"/>
          <w:b/>
          <w:bCs/>
          <w:color w:val="000000"/>
          <w:sz w:val="28"/>
          <w:szCs w:val="28"/>
          <w:lang w:val="en-GB"/>
        </w:rPr>
      </w:pPr>
      <w:r w:rsidRPr="000729CF">
        <w:rPr>
          <w:rFonts w:ascii="Arial" w:hAnsi="Arial" w:cs="Arial"/>
          <w:b/>
          <w:bCs/>
          <w:color w:val="000000"/>
          <w:sz w:val="28"/>
          <w:szCs w:val="28"/>
          <w:lang w:val="en-GB"/>
        </w:rPr>
        <w:t>EDI Review and Approval:</w:t>
      </w:r>
    </w:p>
    <w:p w14:paraId="3417BCC2" w14:textId="77777777" w:rsidR="000729CF" w:rsidRPr="000729CF" w:rsidRDefault="000729CF" w:rsidP="000729CF">
      <w:pPr>
        <w:spacing w:after="160" w:line="259" w:lineRule="auto"/>
        <w:rPr>
          <w:rFonts w:ascii="Arial" w:eastAsia="Calibri" w:hAnsi="Arial" w:cs="Arial"/>
          <w:sz w:val="24"/>
          <w:szCs w:val="24"/>
          <w:lang w:val="en-GB"/>
        </w:rPr>
      </w:pPr>
    </w:p>
    <w:p w14:paraId="0DB11BFF" w14:textId="77777777" w:rsidR="000729CF" w:rsidRPr="000729CF" w:rsidRDefault="000729CF" w:rsidP="000729CF">
      <w:pPr>
        <w:keepNext/>
        <w:keepLines/>
        <w:spacing w:after="160" w:line="259" w:lineRule="auto"/>
        <w:ind w:left="283" w:hanging="283"/>
        <w:outlineLvl w:val="1"/>
        <w:rPr>
          <w:rFonts w:ascii="Arial" w:hAnsi="Arial" w:cs="Arial"/>
          <w:color w:val="2F5496"/>
          <w:sz w:val="24"/>
          <w:szCs w:val="24"/>
          <w:lang w:val="en-GB"/>
        </w:rPr>
      </w:pPr>
      <w:r w:rsidRPr="000729CF">
        <w:rPr>
          <w:rFonts w:ascii="Arial" w:hAnsi="Arial" w:cs="Arial"/>
          <w:color w:val="2F5496"/>
          <w:sz w:val="24"/>
          <w:szCs w:val="24"/>
          <w:lang w:val="en-GB"/>
        </w:rPr>
        <w:t>Equality Impact Assessment sign-off</w:t>
      </w:r>
    </w:p>
    <w:tbl>
      <w:tblPr>
        <w:tblStyle w:val="TableGrid"/>
        <w:tblW w:w="0" w:type="auto"/>
        <w:tblLook w:val="04A0" w:firstRow="1" w:lastRow="0" w:firstColumn="1" w:lastColumn="0" w:noHBand="0" w:noVBand="1"/>
      </w:tblPr>
      <w:tblGrid>
        <w:gridCol w:w="3681"/>
        <w:gridCol w:w="4394"/>
        <w:gridCol w:w="2381"/>
      </w:tblGrid>
      <w:tr w:rsidR="000729CF" w:rsidRPr="000729CF" w14:paraId="1CCDDE59" w14:textId="77777777" w:rsidTr="000729CF">
        <w:trPr>
          <w:trHeight w:val="20"/>
        </w:trPr>
        <w:tc>
          <w:tcPr>
            <w:tcW w:w="3681" w:type="dxa"/>
            <w:tcBorders>
              <w:bottom w:val="single" w:sz="4" w:space="0" w:color="auto"/>
            </w:tcBorders>
            <w:shd w:val="clear" w:color="auto" w:fill="D9D9D9"/>
          </w:tcPr>
          <w:p w14:paraId="5E8BBDFB"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Signatory:</w:t>
            </w:r>
          </w:p>
        </w:tc>
        <w:tc>
          <w:tcPr>
            <w:tcW w:w="4394" w:type="dxa"/>
            <w:shd w:val="clear" w:color="auto" w:fill="D9D9D9"/>
          </w:tcPr>
          <w:p w14:paraId="320436CD"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Name:</w:t>
            </w:r>
          </w:p>
        </w:tc>
        <w:tc>
          <w:tcPr>
            <w:tcW w:w="2381" w:type="dxa"/>
            <w:shd w:val="clear" w:color="auto" w:fill="D9D9D9"/>
          </w:tcPr>
          <w:p w14:paraId="66B73089"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 xml:space="preserve">Date: </w:t>
            </w:r>
            <w:r w:rsidRPr="000729CF">
              <w:rPr>
                <w:rFonts w:ascii="Arial" w:eastAsia="Calibri" w:hAnsi="Arial" w:cs="Arial"/>
                <w:sz w:val="24"/>
                <w:szCs w:val="24"/>
              </w:rPr>
              <w:t>DD-MMM-YY</w:t>
            </w:r>
          </w:p>
        </w:tc>
      </w:tr>
      <w:tr w:rsidR="000729CF" w:rsidRPr="000729CF" w14:paraId="7C0137C8" w14:textId="77777777" w:rsidTr="000729CF">
        <w:trPr>
          <w:trHeight w:val="20"/>
        </w:trPr>
        <w:tc>
          <w:tcPr>
            <w:tcW w:w="3681" w:type="dxa"/>
            <w:shd w:val="clear" w:color="auto" w:fill="E7E6E6"/>
          </w:tcPr>
          <w:p w14:paraId="20D7C95C" w14:textId="77777777" w:rsidR="000729CF" w:rsidRPr="000729CF" w:rsidRDefault="000729CF" w:rsidP="000729CF">
            <w:pPr>
              <w:spacing w:after="120"/>
              <w:rPr>
                <w:rFonts w:ascii="Arial" w:eastAsia="Calibri" w:hAnsi="Arial" w:cs="Arial"/>
                <w:b/>
                <w:bCs/>
                <w:sz w:val="24"/>
                <w:szCs w:val="24"/>
              </w:rPr>
            </w:pPr>
            <w:r w:rsidRPr="000729CF">
              <w:rPr>
                <w:rFonts w:ascii="Arial" w:eastAsia="Calibri" w:hAnsi="Arial" w:cs="Arial"/>
                <w:b/>
                <w:bCs/>
                <w:sz w:val="24"/>
                <w:szCs w:val="24"/>
              </w:rPr>
              <w:t>Head of Communities, Equality, and Third Sector (CETS) Service:</w:t>
            </w:r>
          </w:p>
        </w:tc>
        <w:tc>
          <w:tcPr>
            <w:tcW w:w="4394" w:type="dxa"/>
          </w:tcPr>
          <w:p w14:paraId="11549DC6"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Emma McDermott</w:t>
            </w:r>
          </w:p>
        </w:tc>
        <w:tc>
          <w:tcPr>
            <w:tcW w:w="2381" w:type="dxa"/>
          </w:tcPr>
          <w:p w14:paraId="7635761D" w14:textId="77777777" w:rsidR="000729CF" w:rsidRPr="000729CF" w:rsidRDefault="000729CF" w:rsidP="000729CF">
            <w:pPr>
              <w:spacing w:after="120"/>
              <w:rPr>
                <w:rFonts w:ascii="Arial" w:eastAsia="Calibri" w:hAnsi="Arial" w:cs="Arial"/>
                <w:sz w:val="24"/>
                <w:szCs w:val="24"/>
              </w:rPr>
            </w:pPr>
            <w:r w:rsidRPr="000729CF">
              <w:rPr>
                <w:rFonts w:ascii="Arial" w:eastAsia="Calibri" w:hAnsi="Arial" w:cs="Arial"/>
                <w:sz w:val="24"/>
                <w:szCs w:val="24"/>
              </w:rPr>
              <w:t>25-01-24</w:t>
            </w:r>
          </w:p>
        </w:tc>
      </w:tr>
    </w:tbl>
    <w:p w14:paraId="55C60098" w14:textId="77777777" w:rsidR="000729CF" w:rsidRPr="000729CF" w:rsidRDefault="000729CF" w:rsidP="000729CF">
      <w:pPr>
        <w:rPr>
          <w:rFonts w:ascii="Arial" w:eastAsia="Calibri" w:hAnsi="Arial" w:cs="Arial"/>
          <w:sz w:val="22"/>
          <w:szCs w:val="22"/>
          <w:lang w:val="en-GB"/>
        </w:rPr>
      </w:pPr>
    </w:p>
    <w:p w14:paraId="2811BAAF" w14:textId="77777777" w:rsidR="000729CF" w:rsidRPr="000729CF" w:rsidRDefault="000729CF" w:rsidP="000729CF">
      <w:pPr>
        <w:spacing w:after="160" w:line="259" w:lineRule="auto"/>
        <w:rPr>
          <w:rFonts w:ascii="Arial" w:eastAsia="Calibri" w:hAnsi="Arial" w:cs="Arial"/>
          <w:b/>
          <w:bCs/>
          <w:sz w:val="24"/>
          <w:szCs w:val="24"/>
          <w:lang w:val="en-GB"/>
        </w:rPr>
      </w:pPr>
    </w:p>
    <w:p w14:paraId="4B33A1E4" w14:textId="77777777" w:rsidR="000729CF" w:rsidRPr="000729CF" w:rsidRDefault="000729CF" w:rsidP="000729CF">
      <w:pPr>
        <w:keepNext/>
        <w:keepLines/>
        <w:spacing w:after="160" w:line="259" w:lineRule="auto"/>
        <w:outlineLvl w:val="1"/>
        <w:rPr>
          <w:rFonts w:ascii="Arial" w:eastAsia="Calibri" w:hAnsi="Arial" w:cs="Arial"/>
          <w:sz w:val="24"/>
          <w:szCs w:val="24"/>
          <w:lang w:val="en-GB"/>
        </w:rPr>
      </w:pPr>
    </w:p>
    <w:p w14:paraId="16D68B43" w14:textId="77777777" w:rsidR="000729CF" w:rsidRPr="000729CF" w:rsidRDefault="000729CF" w:rsidP="000729CF">
      <w:pPr>
        <w:spacing w:after="160" w:line="259" w:lineRule="auto"/>
        <w:rPr>
          <w:rFonts w:ascii="Arial" w:eastAsia="Calibri" w:hAnsi="Arial" w:cs="Arial"/>
          <w:sz w:val="24"/>
          <w:szCs w:val="24"/>
          <w:lang w:val="en-GB"/>
        </w:rPr>
      </w:pPr>
      <w:r w:rsidRPr="000729CF">
        <w:rPr>
          <w:rFonts w:ascii="Arial" w:eastAsia="Calibri" w:hAnsi="Arial" w:cs="Arial"/>
          <w:sz w:val="24"/>
          <w:szCs w:val="24"/>
          <w:lang w:val="en-GB"/>
        </w:rPr>
        <w:br w:type="page"/>
      </w:r>
    </w:p>
    <w:p w14:paraId="3FA93E3D" w14:textId="77777777" w:rsidR="000729CF" w:rsidRPr="000729CF" w:rsidRDefault="000729CF" w:rsidP="000729CF">
      <w:pPr>
        <w:spacing w:after="160" w:line="259" w:lineRule="auto"/>
        <w:rPr>
          <w:rFonts w:ascii="Arial" w:eastAsia="Calibri" w:hAnsi="Arial" w:cs="Arial"/>
          <w:b/>
          <w:bCs/>
          <w:color w:val="000000"/>
          <w:sz w:val="32"/>
          <w:szCs w:val="24"/>
          <w:lang w:val="en-GB"/>
        </w:rPr>
      </w:pPr>
      <w:r w:rsidRPr="000729CF">
        <w:rPr>
          <w:rFonts w:ascii="Arial" w:eastAsia="Calibri" w:hAnsi="Arial" w:cs="Arial"/>
          <w:b/>
          <w:bCs/>
          <w:color w:val="000000"/>
          <w:sz w:val="32"/>
          <w:szCs w:val="24"/>
          <w:lang w:val="en-GB"/>
        </w:rPr>
        <w:t>Equality Act 2010: section 149 Public Sector Equality Duty</w:t>
      </w:r>
    </w:p>
    <w:p w14:paraId="5AC58D24" w14:textId="77777777" w:rsidR="000729CF" w:rsidRPr="000729CF" w:rsidRDefault="000729CF" w:rsidP="000729CF">
      <w:pPr>
        <w:shd w:val="clear" w:color="auto" w:fill="FFFFFF"/>
        <w:spacing w:after="160" w:line="259" w:lineRule="auto"/>
        <w:outlineLvl w:val="3"/>
        <w:rPr>
          <w:rFonts w:ascii="Arial" w:eastAsia="Calibri" w:hAnsi="Arial" w:cs="Arial"/>
          <w:b/>
          <w:bCs/>
          <w:color w:val="000000"/>
          <w:sz w:val="24"/>
          <w:szCs w:val="24"/>
          <w:lang w:val="en-GB"/>
        </w:rPr>
      </w:pPr>
    </w:p>
    <w:p w14:paraId="67C475E4" w14:textId="77777777" w:rsidR="000729CF" w:rsidRPr="000729CF" w:rsidRDefault="000729CF" w:rsidP="000729CF">
      <w:pPr>
        <w:shd w:val="clear" w:color="auto" w:fill="FFFFFF"/>
        <w:spacing w:after="160" w:line="259" w:lineRule="auto"/>
        <w:rPr>
          <w:rFonts w:ascii="Arial" w:eastAsia="Calibri" w:hAnsi="Arial" w:cs="Arial"/>
          <w:color w:val="000000"/>
          <w:sz w:val="24"/>
          <w:szCs w:val="24"/>
          <w:lang w:val="en-GB"/>
        </w:rPr>
      </w:pPr>
      <w:r w:rsidRPr="000729CF">
        <w:rPr>
          <w:rFonts w:ascii="Arial" w:eastAsia="Calibri" w:hAnsi="Arial" w:cs="Arial"/>
          <w:color w:val="000000"/>
          <w:sz w:val="24"/>
          <w:szCs w:val="24"/>
          <w:lang w:val="en-GB"/>
        </w:rPr>
        <w:t>(1) A public authority must, in the exercise of its functions, have due regard to the need to —</w:t>
      </w:r>
    </w:p>
    <w:p w14:paraId="76EBA788" w14:textId="77777777" w:rsidR="000729CF" w:rsidRPr="000729CF" w:rsidRDefault="000729CF" w:rsidP="000729CF">
      <w:pPr>
        <w:shd w:val="clear" w:color="auto" w:fill="FFFFFF"/>
        <w:spacing w:after="160" w:line="259" w:lineRule="auto"/>
        <w:ind w:left="720"/>
        <w:rPr>
          <w:rFonts w:ascii="Arial" w:eastAsia="Calibri" w:hAnsi="Arial" w:cs="Arial"/>
          <w:color w:val="000000"/>
          <w:sz w:val="24"/>
          <w:szCs w:val="24"/>
          <w:lang w:val="en-GB"/>
        </w:rPr>
      </w:pPr>
      <w:r w:rsidRPr="000729CF">
        <w:rPr>
          <w:rFonts w:ascii="Arial" w:eastAsia="Calibri" w:hAnsi="Arial" w:cs="Arial"/>
          <w:color w:val="000000"/>
          <w:sz w:val="24"/>
          <w:szCs w:val="24"/>
          <w:lang w:val="en-GB"/>
        </w:rPr>
        <w:t>(a) eliminate discrimination, harassment, victimisation and any other conduct that is prohibited by or under this Act;</w:t>
      </w:r>
    </w:p>
    <w:p w14:paraId="49870856" w14:textId="77777777" w:rsidR="000729CF" w:rsidRPr="000729CF" w:rsidRDefault="000729CF" w:rsidP="000729CF">
      <w:pPr>
        <w:shd w:val="clear" w:color="auto" w:fill="FFFFFF"/>
        <w:spacing w:after="160" w:line="259" w:lineRule="auto"/>
        <w:ind w:left="720"/>
        <w:rPr>
          <w:rFonts w:ascii="Arial" w:eastAsia="Calibri" w:hAnsi="Arial" w:cs="Arial"/>
          <w:color w:val="000000"/>
          <w:sz w:val="24"/>
          <w:szCs w:val="24"/>
          <w:lang w:val="en-GB"/>
        </w:rPr>
      </w:pPr>
      <w:r w:rsidRPr="000729CF">
        <w:rPr>
          <w:rFonts w:ascii="Arial" w:eastAsia="Calibri" w:hAnsi="Arial" w:cs="Arial"/>
          <w:color w:val="000000"/>
          <w:sz w:val="24"/>
          <w:szCs w:val="24"/>
          <w:lang w:val="en-GB"/>
        </w:rPr>
        <w:t>(b) advance equality of opportunity between persons who share a relevant protected characteristic and persons who do not share it;</w:t>
      </w:r>
    </w:p>
    <w:p w14:paraId="5C57B5DD" w14:textId="77777777" w:rsidR="000729CF" w:rsidRPr="000729CF" w:rsidRDefault="000729CF" w:rsidP="000729CF">
      <w:pPr>
        <w:shd w:val="clear" w:color="auto" w:fill="FFFFFF"/>
        <w:spacing w:after="160" w:line="259" w:lineRule="auto"/>
        <w:ind w:left="720"/>
        <w:rPr>
          <w:rFonts w:ascii="Arial" w:eastAsia="Calibri" w:hAnsi="Arial" w:cs="Arial"/>
          <w:color w:val="000000"/>
          <w:sz w:val="24"/>
          <w:szCs w:val="24"/>
          <w:lang w:val="en-GB"/>
        </w:rPr>
      </w:pPr>
      <w:r w:rsidRPr="000729CF">
        <w:rPr>
          <w:rFonts w:ascii="Arial" w:eastAsia="Calibri" w:hAnsi="Arial" w:cs="Arial"/>
          <w:color w:val="000000"/>
          <w:sz w:val="24"/>
          <w:szCs w:val="24"/>
          <w:lang w:val="en-GB"/>
        </w:rPr>
        <w:t>(c) foster good relations between persons who share a relevant protected characteristic and persons who do not share it.</w:t>
      </w:r>
    </w:p>
    <w:p w14:paraId="2BE8CB55" w14:textId="77777777" w:rsidR="000729CF" w:rsidRPr="000729CF" w:rsidRDefault="000729CF" w:rsidP="000729CF">
      <w:pPr>
        <w:shd w:val="clear" w:color="auto" w:fill="FFFFFF"/>
        <w:spacing w:after="160" w:line="259" w:lineRule="auto"/>
        <w:rPr>
          <w:rFonts w:ascii="Arial" w:eastAsia="Calibri" w:hAnsi="Arial" w:cs="Arial"/>
          <w:color w:val="000000"/>
          <w:sz w:val="24"/>
          <w:szCs w:val="24"/>
          <w:lang w:val="en-GB"/>
        </w:rPr>
      </w:pPr>
    </w:p>
    <w:p w14:paraId="1CCD52E0" w14:textId="77777777" w:rsidR="000729CF" w:rsidRPr="000729CF" w:rsidRDefault="000729CF" w:rsidP="000729CF">
      <w:pPr>
        <w:shd w:val="clear" w:color="auto" w:fill="FFFFFF"/>
        <w:spacing w:after="160" w:line="259" w:lineRule="auto"/>
        <w:rPr>
          <w:rFonts w:ascii="Arial" w:eastAsia="Calibri" w:hAnsi="Arial" w:cs="Arial"/>
          <w:color w:val="000000"/>
          <w:sz w:val="24"/>
          <w:szCs w:val="24"/>
          <w:lang w:val="en-GB"/>
        </w:rPr>
      </w:pPr>
      <w:r w:rsidRPr="000729CF">
        <w:rPr>
          <w:rFonts w:ascii="Arial" w:eastAsia="Calibri" w:hAnsi="Arial" w:cs="Arial"/>
          <w:color w:val="000000"/>
          <w:sz w:val="24"/>
          <w:szCs w:val="24"/>
          <w:lang w:val="en-GB"/>
        </w:rPr>
        <w:t>(2) A person who is not a public authority but who exercises public functions must, in the exercise of those functions, have due regard to the matters mentioned in subsection (1).</w:t>
      </w:r>
    </w:p>
    <w:p w14:paraId="0BF10A6F" w14:textId="77777777" w:rsidR="000729CF" w:rsidRPr="000729CF" w:rsidRDefault="000729CF" w:rsidP="000729CF">
      <w:pPr>
        <w:shd w:val="clear" w:color="auto" w:fill="FFFFFF"/>
        <w:spacing w:after="160" w:line="259" w:lineRule="auto"/>
        <w:rPr>
          <w:rFonts w:ascii="Arial" w:eastAsia="Calibri" w:hAnsi="Arial" w:cs="Arial"/>
          <w:color w:val="000000"/>
          <w:sz w:val="24"/>
          <w:szCs w:val="24"/>
          <w:lang w:val="en-GB"/>
        </w:rPr>
      </w:pPr>
    </w:p>
    <w:p w14:paraId="3929FA80" w14:textId="77777777" w:rsidR="000729CF" w:rsidRPr="000729CF" w:rsidRDefault="000729CF" w:rsidP="000729CF">
      <w:pPr>
        <w:shd w:val="clear" w:color="auto" w:fill="FFFFFF"/>
        <w:spacing w:after="160" w:line="259" w:lineRule="auto"/>
        <w:rPr>
          <w:rFonts w:ascii="Arial" w:eastAsia="Calibri" w:hAnsi="Arial" w:cs="Arial"/>
          <w:color w:val="000000"/>
          <w:sz w:val="24"/>
          <w:szCs w:val="24"/>
          <w:lang w:val="en-GB"/>
        </w:rPr>
      </w:pPr>
      <w:r w:rsidRPr="000729CF">
        <w:rPr>
          <w:rFonts w:ascii="Arial" w:eastAsia="Calibri" w:hAnsi="Arial" w:cs="Arial"/>
          <w:color w:val="000000"/>
          <w:sz w:val="24"/>
          <w:szCs w:val="24"/>
          <w:lang w:val="en-GB"/>
        </w:rPr>
        <w:t>(3) Having due regard to the need to advance equality of opportunity between persons who share a relevant protected characteristic and persons who do not share it involves having due regard, in particular, to the need to —</w:t>
      </w:r>
    </w:p>
    <w:p w14:paraId="1A7BC07E" w14:textId="77777777" w:rsidR="000729CF" w:rsidRPr="000729CF" w:rsidRDefault="000729CF" w:rsidP="000729CF">
      <w:pPr>
        <w:shd w:val="clear" w:color="auto" w:fill="FFFFFF"/>
        <w:spacing w:after="160" w:line="259" w:lineRule="auto"/>
        <w:ind w:left="720"/>
        <w:rPr>
          <w:rFonts w:ascii="Arial" w:eastAsia="Calibri" w:hAnsi="Arial" w:cs="Arial"/>
          <w:color w:val="000000"/>
          <w:sz w:val="24"/>
          <w:szCs w:val="24"/>
          <w:lang w:val="en-GB"/>
        </w:rPr>
      </w:pPr>
      <w:r w:rsidRPr="000729CF">
        <w:rPr>
          <w:rFonts w:ascii="Arial" w:eastAsia="Calibri" w:hAnsi="Arial" w:cs="Arial"/>
          <w:color w:val="000000"/>
          <w:sz w:val="24"/>
          <w:szCs w:val="24"/>
          <w:lang w:val="en-GB"/>
        </w:rPr>
        <w:t>(a) remove or minimise disadvantages suffered by persons who share a relevant protected characteristic that are connected to that characteristic;</w:t>
      </w:r>
    </w:p>
    <w:p w14:paraId="189459E6" w14:textId="77777777" w:rsidR="000729CF" w:rsidRPr="000729CF" w:rsidRDefault="000729CF" w:rsidP="000729CF">
      <w:pPr>
        <w:shd w:val="clear" w:color="auto" w:fill="FFFFFF"/>
        <w:spacing w:after="160" w:line="259" w:lineRule="auto"/>
        <w:ind w:left="720"/>
        <w:rPr>
          <w:rFonts w:ascii="Arial" w:eastAsia="Calibri" w:hAnsi="Arial" w:cs="Arial"/>
          <w:color w:val="000000"/>
          <w:sz w:val="24"/>
          <w:szCs w:val="24"/>
          <w:lang w:val="en-GB"/>
        </w:rPr>
      </w:pPr>
      <w:r w:rsidRPr="000729CF">
        <w:rPr>
          <w:rFonts w:ascii="Arial" w:eastAsia="Calibri" w:hAnsi="Arial" w:cs="Arial"/>
          <w:color w:val="000000"/>
          <w:sz w:val="24"/>
          <w:szCs w:val="24"/>
          <w:lang w:val="en-GB"/>
        </w:rPr>
        <w:t>(b) take steps to meet the needs of persons who share a relevant protected characteristic that are different from the needs of persons who do not share it;</w:t>
      </w:r>
    </w:p>
    <w:p w14:paraId="0E4981E8" w14:textId="77777777" w:rsidR="000729CF" w:rsidRPr="000729CF" w:rsidRDefault="000729CF" w:rsidP="000729CF">
      <w:pPr>
        <w:shd w:val="clear" w:color="auto" w:fill="FFFFFF"/>
        <w:spacing w:after="160" w:line="259" w:lineRule="auto"/>
        <w:ind w:left="720"/>
        <w:rPr>
          <w:rFonts w:ascii="Arial" w:eastAsia="Calibri" w:hAnsi="Arial" w:cs="Arial"/>
          <w:color w:val="000000"/>
          <w:sz w:val="24"/>
          <w:szCs w:val="24"/>
          <w:lang w:val="en-GB"/>
        </w:rPr>
      </w:pPr>
      <w:r w:rsidRPr="000729CF">
        <w:rPr>
          <w:rFonts w:ascii="Arial" w:eastAsia="Calibri" w:hAnsi="Arial" w:cs="Arial"/>
          <w:color w:val="000000"/>
          <w:sz w:val="24"/>
          <w:szCs w:val="24"/>
          <w:lang w:val="en-GB"/>
        </w:rPr>
        <w:t>(c) encourage persons who share a relevant protected characteristic to participate in public life or in any other activity in which participation by such persons is disproportionately low.</w:t>
      </w:r>
    </w:p>
    <w:p w14:paraId="35096159" w14:textId="77777777" w:rsidR="000729CF" w:rsidRPr="000729CF" w:rsidRDefault="000729CF" w:rsidP="000729CF">
      <w:pPr>
        <w:shd w:val="clear" w:color="auto" w:fill="FFFFFF"/>
        <w:spacing w:after="160" w:line="259" w:lineRule="auto"/>
        <w:rPr>
          <w:rFonts w:ascii="Arial" w:eastAsia="Calibri" w:hAnsi="Arial" w:cs="Arial"/>
          <w:color w:val="000000"/>
          <w:sz w:val="24"/>
          <w:szCs w:val="24"/>
          <w:lang w:val="en-GB"/>
        </w:rPr>
      </w:pPr>
    </w:p>
    <w:p w14:paraId="43E8526C" w14:textId="77777777" w:rsidR="000729CF" w:rsidRPr="000729CF" w:rsidRDefault="000729CF" w:rsidP="000729CF">
      <w:pPr>
        <w:shd w:val="clear" w:color="auto" w:fill="FFFFFF"/>
        <w:spacing w:after="160" w:line="259" w:lineRule="auto"/>
        <w:rPr>
          <w:rFonts w:ascii="Arial" w:eastAsia="Calibri" w:hAnsi="Arial" w:cs="Arial"/>
          <w:color w:val="000000"/>
          <w:sz w:val="24"/>
          <w:szCs w:val="24"/>
          <w:lang w:val="en-GB"/>
        </w:rPr>
      </w:pPr>
      <w:r w:rsidRPr="000729CF">
        <w:rPr>
          <w:rFonts w:ascii="Arial" w:eastAsia="Calibri" w:hAnsi="Arial" w:cs="Arial"/>
          <w:color w:val="000000"/>
          <w:sz w:val="24"/>
          <w:szCs w:val="24"/>
          <w:lang w:val="en-GB"/>
        </w:rPr>
        <w:t>(4 )The steps involved in meeting the needs of disabled persons that are different from the needs of persons who are not disabled include, in particular, steps to take account of disabled persons' disabilities.</w:t>
      </w:r>
    </w:p>
    <w:p w14:paraId="42AED0D3" w14:textId="77777777" w:rsidR="000729CF" w:rsidRPr="000729CF" w:rsidRDefault="000729CF" w:rsidP="000729CF">
      <w:pPr>
        <w:shd w:val="clear" w:color="auto" w:fill="FFFFFF"/>
        <w:spacing w:after="160" w:line="259" w:lineRule="auto"/>
        <w:rPr>
          <w:rFonts w:ascii="Arial" w:eastAsia="Calibri" w:hAnsi="Arial" w:cs="Arial"/>
          <w:color w:val="000000"/>
          <w:sz w:val="24"/>
          <w:szCs w:val="24"/>
          <w:lang w:val="en-GB"/>
        </w:rPr>
      </w:pPr>
    </w:p>
    <w:p w14:paraId="478E1574" w14:textId="77777777" w:rsidR="000729CF" w:rsidRPr="000729CF" w:rsidRDefault="000729CF" w:rsidP="000729CF">
      <w:pPr>
        <w:shd w:val="clear" w:color="auto" w:fill="FFFFFF"/>
        <w:spacing w:after="160" w:line="259" w:lineRule="auto"/>
        <w:rPr>
          <w:rFonts w:ascii="Arial" w:eastAsia="Calibri" w:hAnsi="Arial" w:cs="Arial"/>
          <w:color w:val="000000"/>
          <w:sz w:val="24"/>
          <w:szCs w:val="24"/>
          <w:lang w:val="en-GB"/>
        </w:rPr>
      </w:pPr>
      <w:r w:rsidRPr="000729CF">
        <w:rPr>
          <w:rFonts w:ascii="Arial" w:eastAsia="Calibri" w:hAnsi="Arial" w:cs="Arial"/>
          <w:color w:val="000000"/>
          <w:sz w:val="24"/>
          <w:szCs w:val="24"/>
          <w:lang w:val="en-GB"/>
        </w:rPr>
        <w:t>(5) Having due regard to the need to foster good relations between persons who share a relevant protected characteristic and persons who do not share it involves having due regard, in particular, to the need to—</w:t>
      </w:r>
    </w:p>
    <w:p w14:paraId="30D9E513" w14:textId="77777777" w:rsidR="000729CF" w:rsidRPr="000729CF" w:rsidRDefault="000729CF" w:rsidP="000729CF">
      <w:pPr>
        <w:shd w:val="clear" w:color="auto" w:fill="FFFFFF"/>
        <w:spacing w:after="160" w:line="259" w:lineRule="auto"/>
        <w:ind w:left="720"/>
        <w:rPr>
          <w:rFonts w:ascii="Arial" w:eastAsia="Calibri" w:hAnsi="Arial" w:cs="Arial"/>
          <w:color w:val="000000"/>
          <w:sz w:val="24"/>
          <w:szCs w:val="24"/>
          <w:lang w:val="en-GB"/>
        </w:rPr>
      </w:pPr>
      <w:r w:rsidRPr="000729CF">
        <w:rPr>
          <w:rFonts w:ascii="Arial" w:eastAsia="Calibri" w:hAnsi="Arial" w:cs="Arial"/>
          <w:color w:val="000000"/>
          <w:sz w:val="24"/>
          <w:szCs w:val="24"/>
          <w:lang w:val="en-GB"/>
        </w:rPr>
        <w:t>(a) tackle prejudice, and</w:t>
      </w:r>
    </w:p>
    <w:p w14:paraId="3235CCE4" w14:textId="77777777" w:rsidR="000729CF" w:rsidRPr="000729CF" w:rsidRDefault="000729CF" w:rsidP="000729CF">
      <w:pPr>
        <w:shd w:val="clear" w:color="auto" w:fill="FFFFFF"/>
        <w:spacing w:after="160" w:line="259" w:lineRule="auto"/>
        <w:ind w:left="720"/>
        <w:rPr>
          <w:rFonts w:ascii="Arial" w:eastAsia="Calibri" w:hAnsi="Arial" w:cs="Arial"/>
          <w:color w:val="000000"/>
          <w:sz w:val="24"/>
          <w:szCs w:val="24"/>
          <w:lang w:val="en-GB"/>
        </w:rPr>
      </w:pPr>
      <w:r w:rsidRPr="000729CF">
        <w:rPr>
          <w:rFonts w:ascii="Arial" w:eastAsia="Calibri" w:hAnsi="Arial" w:cs="Arial"/>
          <w:color w:val="000000"/>
          <w:sz w:val="24"/>
          <w:szCs w:val="24"/>
          <w:lang w:val="en-GB"/>
        </w:rPr>
        <w:t>(b) promote understanding.</w:t>
      </w:r>
    </w:p>
    <w:p w14:paraId="55020924" w14:textId="77777777" w:rsidR="000729CF" w:rsidRPr="000729CF" w:rsidRDefault="000729CF" w:rsidP="000729CF">
      <w:pPr>
        <w:shd w:val="clear" w:color="auto" w:fill="FFFFFF"/>
        <w:spacing w:after="160" w:line="259" w:lineRule="auto"/>
        <w:rPr>
          <w:rFonts w:ascii="Arial" w:eastAsia="Calibri" w:hAnsi="Arial" w:cs="Arial"/>
          <w:color w:val="000000"/>
          <w:sz w:val="24"/>
          <w:szCs w:val="24"/>
          <w:lang w:val="en-GB"/>
        </w:rPr>
      </w:pPr>
    </w:p>
    <w:p w14:paraId="4A257A67" w14:textId="77777777" w:rsidR="000729CF" w:rsidRPr="000729CF" w:rsidRDefault="000729CF" w:rsidP="000729CF">
      <w:pPr>
        <w:shd w:val="clear" w:color="auto" w:fill="FFFFFF"/>
        <w:spacing w:after="160" w:line="259" w:lineRule="auto"/>
        <w:rPr>
          <w:rFonts w:ascii="Arial" w:eastAsia="Calibri" w:hAnsi="Arial" w:cs="Arial"/>
          <w:color w:val="000000"/>
          <w:sz w:val="24"/>
          <w:szCs w:val="24"/>
          <w:lang w:val="en-GB"/>
        </w:rPr>
      </w:pPr>
      <w:r w:rsidRPr="000729CF">
        <w:rPr>
          <w:rFonts w:ascii="Arial" w:eastAsia="Calibri" w:hAnsi="Arial" w:cs="Arial"/>
          <w:color w:val="000000"/>
          <w:sz w:val="24"/>
          <w:szCs w:val="24"/>
          <w:lang w:val="en-GB"/>
        </w:rPr>
        <w:t>(6) Compliance with the duties in this section may involve treating some persons more favourably than others; but that is not to be taken as permitting conduct that would otherwise be prohibited by or under this Act.</w:t>
      </w:r>
    </w:p>
    <w:p w14:paraId="1AD59078" w14:textId="77777777" w:rsidR="000729CF" w:rsidRPr="000729CF" w:rsidRDefault="000729CF" w:rsidP="000729CF">
      <w:pPr>
        <w:shd w:val="clear" w:color="auto" w:fill="FFFFFF"/>
        <w:spacing w:after="160" w:line="259" w:lineRule="auto"/>
        <w:rPr>
          <w:rFonts w:ascii="Arial" w:eastAsia="Calibri" w:hAnsi="Arial" w:cs="Arial"/>
          <w:color w:val="000000"/>
          <w:sz w:val="24"/>
          <w:szCs w:val="24"/>
          <w:lang w:val="en-GB"/>
        </w:rPr>
      </w:pPr>
    </w:p>
    <w:p w14:paraId="0E141746" w14:textId="77777777" w:rsidR="000729CF" w:rsidRPr="000729CF" w:rsidRDefault="000729CF" w:rsidP="000729CF">
      <w:pPr>
        <w:shd w:val="clear" w:color="auto" w:fill="FFFFFF"/>
        <w:spacing w:after="160" w:line="259" w:lineRule="auto"/>
        <w:rPr>
          <w:rFonts w:ascii="Arial" w:eastAsia="Calibri" w:hAnsi="Arial" w:cs="Arial"/>
          <w:color w:val="000000"/>
          <w:sz w:val="24"/>
          <w:szCs w:val="24"/>
          <w:lang w:val="en-GB"/>
        </w:rPr>
      </w:pPr>
      <w:r w:rsidRPr="000729CF">
        <w:rPr>
          <w:rFonts w:ascii="Arial" w:eastAsia="Calibri" w:hAnsi="Arial" w:cs="Arial"/>
          <w:color w:val="000000"/>
          <w:sz w:val="24"/>
          <w:szCs w:val="24"/>
          <w:lang w:val="en-GB"/>
        </w:rPr>
        <w:t>(7) The relevant protected characteristics are—</w:t>
      </w:r>
    </w:p>
    <w:p w14:paraId="33CD9D71" w14:textId="77777777" w:rsidR="000729CF" w:rsidRPr="000729CF" w:rsidRDefault="000729CF" w:rsidP="00CE70A3">
      <w:pPr>
        <w:numPr>
          <w:ilvl w:val="0"/>
          <w:numId w:val="126"/>
        </w:numPr>
        <w:shd w:val="clear" w:color="auto" w:fill="FFFFFF"/>
        <w:spacing w:after="160" w:line="259" w:lineRule="auto"/>
        <w:ind w:left="426"/>
        <w:jc w:val="both"/>
        <w:rPr>
          <w:rFonts w:ascii="Arial" w:eastAsia="Calibri" w:hAnsi="Arial" w:cs="Arial"/>
          <w:color w:val="000000"/>
          <w:sz w:val="24"/>
          <w:szCs w:val="24"/>
          <w:lang w:val="en-GB"/>
        </w:rPr>
      </w:pPr>
      <w:r w:rsidRPr="000729CF">
        <w:rPr>
          <w:rFonts w:ascii="Arial" w:eastAsia="Calibri" w:hAnsi="Arial" w:cs="Arial"/>
          <w:color w:val="000000"/>
          <w:sz w:val="24"/>
          <w:szCs w:val="24"/>
          <w:lang w:val="en-GB"/>
        </w:rPr>
        <w:t xml:space="preserve">age; </w:t>
      </w:r>
    </w:p>
    <w:p w14:paraId="721DB6B0" w14:textId="77777777" w:rsidR="000729CF" w:rsidRPr="000729CF" w:rsidRDefault="000729CF" w:rsidP="00CE70A3">
      <w:pPr>
        <w:numPr>
          <w:ilvl w:val="0"/>
          <w:numId w:val="126"/>
        </w:numPr>
        <w:shd w:val="clear" w:color="auto" w:fill="FFFFFF"/>
        <w:spacing w:after="160" w:line="259" w:lineRule="auto"/>
        <w:ind w:left="426"/>
        <w:jc w:val="both"/>
        <w:rPr>
          <w:rFonts w:ascii="Arial" w:eastAsia="Calibri" w:hAnsi="Arial" w:cs="Arial"/>
          <w:color w:val="000000"/>
          <w:sz w:val="24"/>
          <w:szCs w:val="24"/>
          <w:lang w:val="en-GB"/>
        </w:rPr>
      </w:pPr>
      <w:r w:rsidRPr="000729CF">
        <w:rPr>
          <w:rFonts w:ascii="Arial" w:eastAsia="Calibri" w:hAnsi="Arial" w:cs="Arial"/>
          <w:color w:val="000000"/>
          <w:sz w:val="24"/>
          <w:szCs w:val="24"/>
          <w:lang w:val="en-GB"/>
        </w:rPr>
        <w:t xml:space="preserve">disability; </w:t>
      </w:r>
    </w:p>
    <w:p w14:paraId="78F67871" w14:textId="77777777" w:rsidR="000729CF" w:rsidRPr="000729CF" w:rsidRDefault="000729CF" w:rsidP="00CE70A3">
      <w:pPr>
        <w:numPr>
          <w:ilvl w:val="0"/>
          <w:numId w:val="126"/>
        </w:numPr>
        <w:shd w:val="clear" w:color="auto" w:fill="FFFFFF"/>
        <w:spacing w:after="160" w:line="259" w:lineRule="auto"/>
        <w:ind w:left="426"/>
        <w:jc w:val="both"/>
        <w:rPr>
          <w:rFonts w:ascii="Arial" w:eastAsia="Calibri" w:hAnsi="Arial" w:cs="Arial"/>
          <w:color w:val="000000"/>
          <w:sz w:val="24"/>
          <w:szCs w:val="24"/>
          <w:lang w:val="en-GB"/>
        </w:rPr>
      </w:pPr>
      <w:r w:rsidRPr="000729CF">
        <w:rPr>
          <w:rFonts w:ascii="Arial" w:eastAsia="Calibri" w:hAnsi="Arial" w:cs="Arial"/>
          <w:color w:val="000000"/>
          <w:sz w:val="24"/>
          <w:szCs w:val="24"/>
          <w:lang w:val="en-GB"/>
        </w:rPr>
        <w:t xml:space="preserve">gender reassignment; </w:t>
      </w:r>
    </w:p>
    <w:p w14:paraId="227786A8" w14:textId="77777777" w:rsidR="000729CF" w:rsidRPr="000729CF" w:rsidRDefault="000729CF" w:rsidP="00CE70A3">
      <w:pPr>
        <w:numPr>
          <w:ilvl w:val="0"/>
          <w:numId w:val="126"/>
        </w:numPr>
        <w:shd w:val="clear" w:color="auto" w:fill="FFFFFF"/>
        <w:spacing w:after="160" w:line="259" w:lineRule="auto"/>
        <w:ind w:left="426"/>
        <w:jc w:val="both"/>
        <w:rPr>
          <w:rFonts w:ascii="Arial" w:eastAsia="Calibri" w:hAnsi="Arial" w:cs="Arial"/>
          <w:color w:val="000000"/>
          <w:sz w:val="24"/>
          <w:szCs w:val="24"/>
          <w:lang w:val="en-GB"/>
        </w:rPr>
      </w:pPr>
      <w:r w:rsidRPr="000729CF">
        <w:rPr>
          <w:rFonts w:ascii="Arial" w:eastAsia="Calibri" w:hAnsi="Arial" w:cs="Arial"/>
          <w:color w:val="000000"/>
          <w:sz w:val="24"/>
          <w:szCs w:val="24"/>
          <w:lang w:val="en-GB"/>
        </w:rPr>
        <w:t xml:space="preserve">pregnancy and maternity; </w:t>
      </w:r>
    </w:p>
    <w:p w14:paraId="5E759B65" w14:textId="77777777" w:rsidR="000729CF" w:rsidRPr="000729CF" w:rsidRDefault="000729CF" w:rsidP="00CE70A3">
      <w:pPr>
        <w:numPr>
          <w:ilvl w:val="0"/>
          <w:numId w:val="126"/>
        </w:numPr>
        <w:shd w:val="clear" w:color="auto" w:fill="FFFFFF"/>
        <w:spacing w:after="160" w:line="259" w:lineRule="auto"/>
        <w:ind w:left="426"/>
        <w:jc w:val="both"/>
        <w:rPr>
          <w:rFonts w:ascii="Arial" w:eastAsia="Calibri" w:hAnsi="Arial" w:cs="Arial"/>
          <w:color w:val="000000"/>
          <w:sz w:val="24"/>
          <w:szCs w:val="24"/>
          <w:lang w:val="en-GB"/>
        </w:rPr>
      </w:pPr>
      <w:r w:rsidRPr="000729CF">
        <w:rPr>
          <w:rFonts w:ascii="Arial" w:eastAsia="Calibri" w:hAnsi="Arial" w:cs="Arial"/>
          <w:color w:val="000000"/>
          <w:sz w:val="24"/>
          <w:szCs w:val="24"/>
          <w:lang w:val="en-GB"/>
        </w:rPr>
        <w:t xml:space="preserve">race; </w:t>
      </w:r>
    </w:p>
    <w:p w14:paraId="60D74CA7" w14:textId="77777777" w:rsidR="000729CF" w:rsidRPr="000729CF" w:rsidRDefault="000729CF" w:rsidP="00CE70A3">
      <w:pPr>
        <w:numPr>
          <w:ilvl w:val="0"/>
          <w:numId w:val="126"/>
        </w:numPr>
        <w:shd w:val="clear" w:color="auto" w:fill="FFFFFF"/>
        <w:spacing w:after="160" w:line="259" w:lineRule="auto"/>
        <w:ind w:left="426"/>
        <w:jc w:val="both"/>
        <w:rPr>
          <w:rFonts w:ascii="Arial" w:eastAsia="Calibri" w:hAnsi="Arial" w:cs="Arial"/>
          <w:color w:val="000000"/>
          <w:sz w:val="24"/>
          <w:szCs w:val="24"/>
          <w:lang w:val="en-GB"/>
        </w:rPr>
      </w:pPr>
      <w:r w:rsidRPr="000729CF">
        <w:rPr>
          <w:rFonts w:ascii="Arial" w:eastAsia="Calibri" w:hAnsi="Arial" w:cs="Arial"/>
          <w:color w:val="000000"/>
          <w:sz w:val="24"/>
          <w:szCs w:val="24"/>
          <w:lang w:val="en-GB"/>
        </w:rPr>
        <w:t xml:space="preserve">religion or belief; </w:t>
      </w:r>
    </w:p>
    <w:p w14:paraId="3EA49023" w14:textId="77777777" w:rsidR="000729CF" w:rsidRPr="000729CF" w:rsidRDefault="000729CF" w:rsidP="00CE70A3">
      <w:pPr>
        <w:numPr>
          <w:ilvl w:val="0"/>
          <w:numId w:val="126"/>
        </w:numPr>
        <w:shd w:val="clear" w:color="auto" w:fill="FFFFFF"/>
        <w:spacing w:after="160" w:line="259" w:lineRule="auto"/>
        <w:ind w:left="426"/>
        <w:jc w:val="both"/>
        <w:rPr>
          <w:rFonts w:ascii="Arial" w:eastAsia="Calibri" w:hAnsi="Arial" w:cs="Arial"/>
          <w:color w:val="000000"/>
          <w:sz w:val="24"/>
          <w:szCs w:val="24"/>
          <w:lang w:val="en-GB"/>
        </w:rPr>
      </w:pPr>
      <w:r w:rsidRPr="000729CF">
        <w:rPr>
          <w:rFonts w:ascii="Arial" w:eastAsia="Calibri" w:hAnsi="Arial" w:cs="Arial"/>
          <w:color w:val="000000"/>
          <w:sz w:val="24"/>
          <w:szCs w:val="24"/>
          <w:lang w:val="en-GB"/>
        </w:rPr>
        <w:t xml:space="preserve">sex; </w:t>
      </w:r>
    </w:p>
    <w:p w14:paraId="4A3A7704" w14:textId="77777777" w:rsidR="000729CF" w:rsidRPr="000729CF" w:rsidRDefault="000729CF" w:rsidP="00CE70A3">
      <w:pPr>
        <w:numPr>
          <w:ilvl w:val="0"/>
          <w:numId w:val="126"/>
        </w:numPr>
        <w:shd w:val="clear" w:color="auto" w:fill="FFFFFF"/>
        <w:spacing w:after="160" w:line="259" w:lineRule="auto"/>
        <w:ind w:left="426"/>
        <w:jc w:val="both"/>
        <w:rPr>
          <w:rFonts w:ascii="Arial" w:eastAsia="Calibri" w:hAnsi="Arial" w:cs="Arial"/>
          <w:color w:val="000000"/>
          <w:sz w:val="24"/>
          <w:szCs w:val="24"/>
          <w:lang w:val="en-GB"/>
        </w:rPr>
      </w:pPr>
      <w:r w:rsidRPr="000729CF">
        <w:rPr>
          <w:rFonts w:ascii="Arial" w:eastAsia="Calibri" w:hAnsi="Arial" w:cs="Arial"/>
          <w:color w:val="000000"/>
          <w:sz w:val="24"/>
          <w:szCs w:val="24"/>
          <w:lang w:val="en-GB"/>
        </w:rPr>
        <w:t xml:space="preserve">sexual orientation. </w:t>
      </w:r>
    </w:p>
    <w:p w14:paraId="3FF4A84C" w14:textId="77777777" w:rsidR="000729CF" w:rsidRPr="000729CF" w:rsidRDefault="000729CF" w:rsidP="000729CF">
      <w:pPr>
        <w:shd w:val="clear" w:color="auto" w:fill="FFFFFF"/>
        <w:spacing w:after="160" w:line="259" w:lineRule="auto"/>
        <w:rPr>
          <w:rFonts w:ascii="Arial" w:eastAsia="Calibri" w:hAnsi="Arial" w:cs="Arial"/>
          <w:color w:val="000000"/>
          <w:sz w:val="24"/>
          <w:szCs w:val="24"/>
          <w:lang w:val="en-GB"/>
        </w:rPr>
      </w:pPr>
    </w:p>
    <w:p w14:paraId="27E94F44" w14:textId="77777777" w:rsidR="000729CF" w:rsidRPr="000729CF" w:rsidRDefault="000729CF" w:rsidP="000729CF">
      <w:pPr>
        <w:shd w:val="clear" w:color="auto" w:fill="FFFFFF"/>
        <w:spacing w:after="160" w:line="259" w:lineRule="auto"/>
        <w:rPr>
          <w:rFonts w:ascii="Arial" w:eastAsia="Calibri" w:hAnsi="Arial" w:cs="Arial"/>
          <w:color w:val="000000"/>
          <w:sz w:val="24"/>
          <w:szCs w:val="24"/>
          <w:lang w:val="en-GB"/>
        </w:rPr>
      </w:pPr>
      <w:r w:rsidRPr="000729CF">
        <w:rPr>
          <w:rFonts w:ascii="Arial" w:eastAsia="Calibri" w:hAnsi="Arial" w:cs="Arial"/>
          <w:color w:val="000000"/>
          <w:sz w:val="24"/>
          <w:szCs w:val="24"/>
          <w:lang w:val="en-GB"/>
        </w:rPr>
        <w:t>(8) A reference to conduct that is prohibited by or under this Act includes a reference to—</w:t>
      </w:r>
    </w:p>
    <w:p w14:paraId="3C92AD82" w14:textId="77777777" w:rsidR="000729CF" w:rsidRPr="000729CF" w:rsidRDefault="000729CF" w:rsidP="000729CF">
      <w:pPr>
        <w:shd w:val="clear" w:color="auto" w:fill="FFFFFF"/>
        <w:spacing w:after="160" w:line="259" w:lineRule="auto"/>
        <w:ind w:left="720"/>
        <w:rPr>
          <w:rFonts w:ascii="Arial" w:eastAsia="Calibri" w:hAnsi="Arial" w:cs="Arial"/>
          <w:color w:val="000000"/>
          <w:sz w:val="24"/>
          <w:szCs w:val="24"/>
          <w:lang w:val="en-GB"/>
        </w:rPr>
      </w:pPr>
      <w:r w:rsidRPr="000729CF">
        <w:rPr>
          <w:rFonts w:ascii="Arial" w:eastAsia="Calibri" w:hAnsi="Arial" w:cs="Arial"/>
          <w:color w:val="000000"/>
          <w:sz w:val="24"/>
          <w:szCs w:val="24"/>
          <w:lang w:val="en-GB"/>
        </w:rPr>
        <w:t>(a) a breach of an equality clause or rule;</w:t>
      </w:r>
    </w:p>
    <w:p w14:paraId="62172AD8" w14:textId="77777777" w:rsidR="000729CF" w:rsidRPr="000729CF" w:rsidRDefault="000729CF" w:rsidP="000729CF">
      <w:pPr>
        <w:shd w:val="clear" w:color="auto" w:fill="FFFFFF"/>
        <w:spacing w:after="160" w:line="259" w:lineRule="auto"/>
        <w:ind w:left="720"/>
        <w:rPr>
          <w:rFonts w:ascii="Arial" w:eastAsia="Calibri" w:hAnsi="Arial" w:cs="Arial"/>
          <w:color w:val="000000"/>
          <w:sz w:val="24"/>
          <w:szCs w:val="24"/>
          <w:lang w:val="en-GB"/>
        </w:rPr>
      </w:pPr>
      <w:r w:rsidRPr="000729CF">
        <w:rPr>
          <w:rFonts w:ascii="Arial" w:eastAsia="Calibri" w:hAnsi="Arial" w:cs="Arial"/>
          <w:color w:val="000000"/>
          <w:sz w:val="24"/>
          <w:szCs w:val="24"/>
          <w:lang w:val="en-GB"/>
        </w:rPr>
        <w:t>(b) a breach of a non-discrimination rule.</w:t>
      </w:r>
    </w:p>
    <w:p w14:paraId="2DD37969" w14:textId="77777777" w:rsidR="000729CF" w:rsidRPr="000729CF" w:rsidRDefault="000729CF" w:rsidP="000729CF">
      <w:pPr>
        <w:shd w:val="clear" w:color="auto" w:fill="FFFFFF"/>
        <w:spacing w:after="160" w:line="259" w:lineRule="auto"/>
        <w:ind w:left="720"/>
        <w:rPr>
          <w:rFonts w:ascii="Arial" w:eastAsia="Calibri" w:hAnsi="Arial" w:cs="Arial"/>
          <w:color w:val="000000"/>
          <w:sz w:val="24"/>
          <w:szCs w:val="24"/>
          <w:lang w:val="en-GB"/>
        </w:rPr>
      </w:pPr>
      <w:r w:rsidRPr="000729CF">
        <w:rPr>
          <w:rFonts w:ascii="Arial" w:eastAsia="Calibri" w:hAnsi="Arial" w:cs="Arial"/>
          <w:color w:val="000000"/>
          <w:sz w:val="24"/>
          <w:szCs w:val="24"/>
          <w:lang w:val="en-GB"/>
        </w:rPr>
        <w:t>(9) Schedule 18 (exceptions) has effect.</w:t>
      </w:r>
    </w:p>
    <w:p w14:paraId="24E57BED" w14:textId="77777777" w:rsidR="000729CF" w:rsidRPr="000729CF" w:rsidRDefault="000729CF" w:rsidP="000729CF">
      <w:pPr>
        <w:spacing w:after="160" w:line="259" w:lineRule="auto"/>
        <w:rPr>
          <w:rFonts w:ascii="Arial" w:eastAsia="Calibri" w:hAnsi="Arial" w:cs="Arial"/>
          <w:sz w:val="24"/>
          <w:szCs w:val="24"/>
          <w:lang w:val="en-GB"/>
        </w:rPr>
      </w:pPr>
    </w:p>
    <w:p w14:paraId="12CFF137" w14:textId="77777777" w:rsidR="000729CF" w:rsidRPr="000729CF" w:rsidRDefault="000729CF" w:rsidP="000729CF">
      <w:pPr>
        <w:spacing w:after="160" w:line="259" w:lineRule="auto"/>
        <w:rPr>
          <w:rFonts w:ascii="Arial" w:eastAsia="Calibri" w:hAnsi="Arial" w:cs="Arial"/>
          <w:sz w:val="24"/>
          <w:szCs w:val="24"/>
          <w:lang w:val="en-GB"/>
        </w:rPr>
      </w:pPr>
    </w:p>
    <w:p w14:paraId="2D540187" w14:textId="77777777" w:rsidR="00BC6ACC" w:rsidRPr="00E05745" w:rsidRDefault="00BC6ACC" w:rsidP="009B058F">
      <w:pPr>
        <w:rPr>
          <w:rFonts w:ascii="Arial" w:hAnsi="Arial" w:cs="Arial"/>
          <w:sz w:val="24"/>
          <w:szCs w:val="24"/>
          <w:lang w:val="en-GB"/>
        </w:rPr>
      </w:pPr>
    </w:p>
    <w:sectPr w:rsidR="00BC6ACC" w:rsidRPr="00E05745" w:rsidSect="001F3072">
      <w:headerReference w:type="default" r:id="rId45"/>
      <w:footerReference w:type="default" r:id="rId46"/>
      <w:pgSz w:w="11906" w:h="16838"/>
      <w:pgMar w:top="720" w:right="720" w:bottom="720" w:left="720" w:header="708" w:footer="5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2CBBE" w14:textId="77777777" w:rsidR="00B933E3" w:rsidRDefault="00B933E3">
      <w:r>
        <w:separator/>
      </w:r>
    </w:p>
  </w:endnote>
  <w:endnote w:type="continuationSeparator" w:id="0">
    <w:p w14:paraId="05AFABF6" w14:textId="77777777" w:rsidR="00B933E3" w:rsidRDefault="00B93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unga">
    <w:panose1 w:val="00000400000000000000"/>
    <w:charset w:val="00"/>
    <w:family w:val="swiss"/>
    <w:pitch w:val="variable"/>
    <w:sig w:usb0="004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Optima LT Std">
    <w:altName w:val="Calibri"/>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Tms Rmn 12p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w:altName w:val="Segoe UI"/>
    <w:panose1 w:val="00000000000000000000"/>
    <w:charset w:val="00"/>
    <w:family w:val="swiss"/>
    <w:notTrueType/>
    <w:pitch w:val="variable"/>
    <w:sig w:usb0="00000003" w:usb1="00000000" w:usb2="00000000" w:usb3="00000000" w:csb0="00000001" w:csb1="00000000"/>
  </w:font>
  <w:font w:name="BtnHove-Light">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Bliss 2 Light">
    <w:altName w:val="Arial"/>
    <w:panose1 w:val="00000000000000000000"/>
    <w:charset w:val="00"/>
    <w:family w:val="modern"/>
    <w:notTrueType/>
    <w:pitch w:val="variable"/>
    <w:sig w:usb0="00000001" w:usb1="00000000"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Bliss 2 Bold">
    <w:altName w:val="Arial"/>
    <w:panose1 w:val="00000000000000000000"/>
    <w:charset w:val="00"/>
    <w:family w:val="modern"/>
    <w:notTrueType/>
    <w:pitch w:val="variable"/>
    <w:sig w:usb0="00000001" w:usb1="00000000" w:usb2="00000000" w:usb3="00000000" w:csb0="0000009B" w:csb1="00000000"/>
  </w:font>
  <w:font w:name="Consolas">
    <w:panose1 w:val="020B0609020204030204"/>
    <w:charset w:val="00"/>
    <w:family w:val="modern"/>
    <w:pitch w:val="fixed"/>
    <w:sig w:usb0="E00006FF" w:usb1="0000FCFF" w:usb2="00000001" w:usb3="00000000" w:csb0="0000019F" w:csb1="00000000"/>
  </w:font>
  <w:font w:name="Bliss 2 Regular">
    <w:altName w:val="Arial Narrow"/>
    <w:panose1 w:val="00000000000000000000"/>
    <w:charset w:val="00"/>
    <w:family w:val="modern"/>
    <w:notTrueType/>
    <w:pitch w:val="variable"/>
    <w:sig w:usb0="A00000AF" w:usb1="5000204B" w:usb2="00000000" w:usb3="00000000" w:csb0="0000009B" w:csb1="00000000"/>
  </w:font>
  <w:font w:name="Arial Bold">
    <w:panose1 w:val="020B0704020202020204"/>
    <w:charset w:val="00"/>
    <w:family w:val="auto"/>
    <w:pitch w:val="variable"/>
    <w:sig w:usb0="03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Fairwater Script">
    <w:charset w:val="00"/>
    <w:family w:val="auto"/>
    <w:pitch w:val="variable"/>
    <w:sig w:usb0="A000002F" w:usb1="1000004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FD22A" w14:textId="3415C974" w:rsidR="00FE36AC" w:rsidRDefault="00FE36AC">
    <w:pPr>
      <w:pStyle w:val="Footer"/>
      <w:jc w:val="right"/>
    </w:pPr>
  </w:p>
  <w:p w14:paraId="312E7CBC" w14:textId="77777777" w:rsidR="00FE36AC" w:rsidRDefault="00FE36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0D689" w14:textId="77777777" w:rsidR="000729CF" w:rsidRPr="001604BB" w:rsidRDefault="000729CF" w:rsidP="001604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60A5A" w14:textId="77777777" w:rsidR="00000000" w:rsidRDefault="000000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1131F" w14:textId="77777777" w:rsidR="00000000" w:rsidRDefault="0000000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E4D85" w14:textId="77777777" w:rsidR="00000000" w:rsidRDefault="0000000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D8059" w14:textId="77777777" w:rsidR="000729CF" w:rsidRDefault="000729CF">
    <w:pPr>
      <w:pStyle w:val="Footer"/>
      <w:jc w:val="center"/>
    </w:pPr>
  </w:p>
  <w:p w14:paraId="5A819D70" w14:textId="77777777" w:rsidR="000729CF" w:rsidRDefault="000729C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D9F9D" w14:textId="77777777" w:rsidR="000729CF" w:rsidRDefault="000729CF" w:rsidP="009E74DE">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3504059"/>
      <w:docPartObj>
        <w:docPartGallery w:val="Page Numbers (Bottom of Page)"/>
        <w:docPartUnique/>
      </w:docPartObj>
    </w:sdtPr>
    <w:sdtContent>
      <w:sdt>
        <w:sdtPr>
          <w:id w:val="-1769616900"/>
          <w:docPartObj>
            <w:docPartGallery w:val="Page Numbers (Top of Page)"/>
            <w:docPartUnique/>
          </w:docPartObj>
        </w:sdtPr>
        <w:sdtContent>
          <w:p w14:paraId="2689C501" w14:textId="77777777" w:rsidR="00000000" w:rsidRDefault="00000000" w:rsidP="003C5D9D">
            <w:pPr>
              <w:pStyle w:val="Footer"/>
              <w:tabs>
                <w:tab w:val="clear" w:pos="9026"/>
                <w:tab w:val="right" w:pos="10466"/>
              </w:tabs>
            </w:pPr>
          </w:p>
          <w:p w14:paraId="0E577AA7" w14:textId="77777777" w:rsidR="00000000" w:rsidRPr="001F3072" w:rsidRDefault="00000000" w:rsidP="003C5D9D">
            <w:pPr>
              <w:pStyle w:val="Footer"/>
              <w:tabs>
                <w:tab w:val="clear" w:pos="9026"/>
                <w:tab w:val="right" w:pos="10466"/>
              </w:tabs>
            </w:pPr>
            <w:r>
              <w:t>BHCC-Budget-Equality-Impact-Assessment</w:t>
            </w:r>
            <w:r>
              <w:tab/>
              <w:t xml:space="preserve">     </w:t>
            </w:r>
            <w:r w:rsidRPr="001F3072">
              <w:t xml:space="preserve">Page </w:t>
            </w:r>
            <w:r w:rsidRPr="001F3072">
              <w:rPr>
                <w:color w:val="2B579A"/>
                <w:shd w:val="clear" w:color="auto" w:fill="E6E6E6"/>
              </w:rPr>
              <w:fldChar w:fldCharType="begin"/>
            </w:r>
            <w:r w:rsidRPr="001F3072">
              <w:instrText xml:space="preserve"> PAGE </w:instrText>
            </w:r>
            <w:r w:rsidRPr="001F3072">
              <w:rPr>
                <w:color w:val="2B579A"/>
                <w:shd w:val="clear" w:color="auto" w:fill="E6E6E6"/>
              </w:rPr>
              <w:fldChar w:fldCharType="separate"/>
            </w:r>
            <w:r w:rsidRPr="001F3072">
              <w:rPr>
                <w:noProof/>
              </w:rPr>
              <w:t>2</w:t>
            </w:r>
            <w:r w:rsidRPr="001F3072">
              <w:rPr>
                <w:color w:val="2B579A"/>
                <w:shd w:val="clear" w:color="auto" w:fill="E6E6E6"/>
              </w:rPr>
              <w:fldChar w:fldCharType="end"/>
            </w:r>
            <w:r w:rsidRPr="001F3072">
              <w:t xml:space="preserve"> of </w:t>
            </w:r>
            <w:r>
              <w:rPr>
                <w:color w:val="2B579A"/>
                <w:shd w:val="clear" w:color="auto" w:fill="E6E6E6"/>
              </w:rPr>
              <w:fldChar w:fldCharType="begin"/>
            </w:r>
            <w:r>
              <w:instrText>NUMPAGES</w:instrText>
            </w:r>
            <w:r>
              <w:rPr>
                <w:color w:val="2B579A"/>
                <w:shd w:val="clear" w:color="auto" w:fill="E6E6E6"/>
              </w:rPr>
              <w:fldChar w:fldCharType="separate"/>
            </w:r>
            <w:r w:rsidRPr="001F3072">
              <w:rPr>
                <w:noProof/>
              </w:rPr>
              <w:t>2</w:t>
            </w:r>
            <w:r>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9593B" w14:textId="77777777" w:rsidR="00B933E3" w:rsidRDefault="00B933E3">
      <w:r>
        <w:separator/>
      </w:r>
    </w:p>
  </w:footnote>
  <w:footnote w:type="continuationSeparator" w:id="0">
    <w:p w14:paraId="5C4FD104" w14:textId="77777777" w:rsidR="00B933E3" w:rsidRDefault="00B933E3">
      <w:r>
        <w:continuationSeparator/>
      </w:r>
    </w:p>
  </w:footnote>
  <w:footnote w:id="1">
    <w:p w14:paraId="0F52FEE3" w14:textId="7497EE1E" w:rsidR="00500A50" w:rsidRDefault="007004BD">
      <w:pPr>
        <w:pStyle w:val="FootnoteText"/>
      </w:pPr>
      <w:r>
        <w:rPr>
          <w:rStyle w:val="FootnoteReference"/>
        </w:rPr>
        <w:footnoteRef/>
      </w:r>
      <w:r>
        <w:t xml:space="preserve"> Non-Financial investments are investments in capital assets such as plant, property, equipment, hardware and software.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F1E8A" w14:textId="77777777" w:rsidR="009B058F" w:rsidRPr="009B058F" w:rsidRDefault="007004BD" w:rsidP="0000377C">
    <w:pPr>
      <w:pStyle w:val="Header"/>
      <w:tabs>
        <w:tab w:val="right" w:pos="8789"/>
      </w:tabs>
      <w:jc w:val="center"/>
      <w:rPr>
        <w:rFonts w:ascii="Arial" w:hAnsi="Arial" w:cs="Arial"/>
        <w:b/>
        <w:bCs/>
        <w:sz w:val="32"/>
        <w:szCs w:val="32"/>
      </w:rPr>
    </w:pPr>
    <w:r w:rsidRPr="009B058F">
      <w:rPr>
        <w:rFonts w:ascii="Arial" w:hAnsi="Arial" w:cs="Arial"/>
        <w:b/>
        <w:bCs/>
        <w:sz w:val="32"/>
        <w:szCs w:val="32"/>
      </w:rPr>
      <w:t>Brighton &amp; Hove City Council</w:t>
    </w:r>
  </w:p>
  <w:p w14:paraId="3B638919" w14:textId="77777777" w:rsidR="009B058F" w:rsidRDefault="009B058F" w:rsidP="003F33B8">
    <w:pPr>
      <w:pStyle w:val="Heade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75F8D" w14:textId="77777777" w:rsidR="00000000" w:rsidRDefault="00000000" w:rsidP="003E470B">
    <w:pPr>
      <w:pStyle w:val="Header"/>
      <w:jc w:val="right"/>
      <w:rPr>
        <w:noProof/>
      </w:rPr>
    </w:pPr>
    <w:r w:rsidRPr="00D14921">
      <w:rPr>
        <w:noProof/>
      </w:rPr>
      <w:t xml:space="preserve"> </w:t>
    </w:r>
    <w:r w:rsidRPr="00D14921">
      <w:rPr>
        <w:noProof/>
        <w:color w:val="2B579A"/>
        <w:shd w:val="clear" w:color="auto" w:fill="E6E6E6"/>
      </w:rPr>
      <w:drawing>
        <wp:inline distT="0" distB="0" distL="0" distR="0" wp14:anchorId="6FCA719C" wp14:editId="44756495">
          <wp:extent cx="798669" cy="533010"/>
          <wp:effectExtent l="0" t="0" r="1905" b="635"/>
          <wp:docPr id="1788805919" name="Picture 1788805919" descr="Brighton and Hove City Council logo">
            <a:extLst xmlns:a="http://schemas.openxmlformats.org/drawingml/2006/main">
              <a:ext uri="{FF2B5EF4-FFF2-40B4-BE49-F238E27FC236}">
                <a16:creationId xmlns:a16="http://schemas.microsoft.com/office/drawing/2014/main" id="{613001D2-E795-0970-E272-EABF559828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Brighton and Hove City Council logo">
                    <a:extLst>
                      <a:ext uri="{FF2B5EF4-FFF2-40B4-BE49-F238E27FC236}">
                        <a16:creationId xmlns:a16="http://schemas.microsoft.com/office/drawing/2014/main" id="{613001D2-E795-0970-E272-EABF559828E2}"/>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05204" cy="537371"/>
                  </a:xfrm>
                  <a:prstGeom prst="rect">
                    <a:avLst/>
                  </a:prstGeom>
                  <a:noFill/>
                </pic:spPr>
              </pic:pic>
            </a:graphicData>
          </a:graphic>
        </wp:inline>
      </w:drawing>
    </w:r>
  </w:p>
  <w:p w14:paraId="26F9462B" w14:textId="77777777" w:rsidR="00000000" w:rsidRPr="00687884" w:rsidRDefault="00000000" w:rsidP="003E470B">
    <w:pPr>
      <w:pStyle w:val="Header"/>
      <w:jc w:val="right"/>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F76CC" w14:textId="77777777" w:rsidR="009B058F" w:rsidRPr="00283035" w:rsidRDefault="009B058F" w:rsidP="003F33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92E44" w14:textId="600C4C5E" w:rsidR="00FE36AC" w:rsidRPr="003D77A2" w:rsidRDefault="00FE36AC" w:rsidP="003D77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0DF3D" w14:textId="77777777" w:rsidR="00000000" w:rsidRDefault="000000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D3E3F" w14:textId="77777777" w:rsidR="00000000" w:rsidRPr="008D4545" w:rsidRDefault="00000000" w:rsidP="008D4738">
    <w:pPr>
      <w:pStyle w:val="Header"/>
      <w:jc w:val="right"/>
      <w:rPr>
        <w:rFonts w:ascii="Arial" w:hAnsi="Arial" w:cs="Arial"/>
        <w:b/>
        <w:sz w:val="24"/>
      </w:rPr>
    </w:pPr>
    <w:r w:rsidRPr="008D4545">
      <w:rPr>
        <w:rFonts w:ascii="Arial" w:hAnsi="Arial" w:cs="Arial"/>
        <w:b/>
        <w:sz w:val="24"/>
      </w:rPr>
      <w:t>Appendix 2</w:t>
    </w:r>
    <w:r>
      <w:rPr>
        <w:rFonts w:ascii="Arial" w:hAnsi="Arial" w:cs="Arial"/>
        <w:b/>
        <w:sz w:val="24"/>
      </w:rPr>
      <w:t xml:space="preserve"> – Capital Strategy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B0BA3" w14:textId="77777777" w:rsidR="00000000" w:rsidRDefault="0000000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9D9B7" w14:textId="77777777" w:rsidR="000729CF" w:rsidRPr="003241DD" w:rsidRDefault="000729CF" w:rsidP="0066752A">
    <w:pPr>
      <w:pStyle w:val="Header"/>
      <w:jc w:val="right"/>
      <w:rPr>
        <w:rFonts w:ascii="Arial" w:hAnsi="Arial" w:cs="Arial"/>
        <w:b/>
        <w:sz w:val="24"/>
      </w:rPr>
    </w:pPr>
    <w:r>
      <w:rPr>
        <w:rFonts w:ascii="Arial" w:hAnsi="Arial" w:cs="Arial"/>
        <w:b/>
        <w:sz w:val="24"/>
      </w:rPr>
      <w:t>Appendix 3 – Treasury Management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92492" w14:textId="77777777" w:rsidR="000729CF" w:rsidRPr="006434F4" w:rsidRDefault="000729CF" w:rsidP="006434F4">
    <w:pPr>
      <w:pStyle w:val="Header"/>
      <w:jc w:val="right"/>
      <w:rPr>
        <w:rFonts w:ascii="Arial" w:hAnsi="Arial" w:cs="Arial"/>
        <w:b/>
        <w:sz w:val="24"/>
        <w:szCs w:val="24"/>
      </w:rPr>
    </w:pPr>
    <w:r>
      <w:rPr>
        <w:rFonts w:ascii="Arial" w:hAnsi="Arial" w:cs="Arial"/>
        <w:b/>
        <w:sz w:val="24"/>
        <w:szCs w:val="24"/>
      </w:rPr>
      <w:t>Appendix 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CBC38" w14:textId="77777777" w:rsidR="000729CF" w:rsidRPr="000729CF" w:rsidRDefault="000729CF" w:rsidP="000729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20EC57E"/>
    <w:lvl w:ilvl="0">
      <w:start w:val="1"/>
      <w:numFmt w:val="decimal"/>
      <w:pStyle w:val="ListNumber"/>
      <w:lvlText w:val="%1."/>
      <w:lvlJc w:val="left"/>
      <w:pPr>
        <w:tabs>
          <w:tab w:val="num" w:pos="360"/>
        </w:tabs>
        <w:ind w:left="360" w:hanging="360"/>
      </w:pPr>
    </w:lvl>
  </w:abstractNum>
  <w:abstractNum w:abstractNumId="1" w15:restartNumberingAfterBreak="0">
    <w:nsid w:val="01B586C5"/>
    <w:multiLevelType w:val="hybridMultilevel"/>
    <w:tmpl w:val="FFFFFFFF"/>
    <w:lvl w:ilvl="0" w:tplc="4AA89B86">
      <w:start w:val="1"/>
      <w:numFmt w:val="bullet"/>
      <w:lvlText w:val=""/>
      <w:lvlJc w:val="left"/>
      <w:pPr>
        <w:ind w:left="720" w:hanging="360"/>
      </w:pPr>
      <w:rPr>
        <w:rFonts w:ascii="Symbol" w:hAnsi="Symbol" w:hint="default"/>
      </w:rPr>
    </w:lvl>
    <w:lvl w:ilvl="1" w:tplc="DF4C0F3C">
      <w:start w:val="1"/>
      <w:numFmt w:val="bullet"/>
      <w:lvlText w:val="o"/>
      <w:lvlJc w:val="left"/>
      <w:pPr>
        <w:ind w:left="1440" w:hanging="360"/>
      </w:pPr>
      <w:rPr>
        <w:rFonts w:ascii="Courier New" w:hAnsi="Courier New" w:hint="default"/>
      </w:rPr>
    </w:lvl>
    <w:lvl w:ilvl="2" w:tplc="BA7A6188">
      <w:start w:val="1"/>
      <w:numFmt w:val="bullet"/>
      <w:lvlText w:val=""/>
      <w:lvlJc w:val="left"/>
      <w:pPr>
        <w:ind w:left="2160" w:hanging="360"/>
      </w:pPr>
      <w:rPr>
        <w:rFonts w:ascii="Wingdings" w:hAnsi="Wingdings" w:hint="default"/>
      </w:rPr>
    </w:lvl>
    <w:lvl w:ilvl="3" w:tplc="301ABCF2">
      <w:start w:val="1"/>
      <w:numFmt w:val="bullet"/>
      <w:lvlText w:val=""/>
      <w:lvlJc w:val="left"/>
      <w:pPr>
        <w:ind w:left="2880" w:hanging="360"/>
      </w:pPr>
      <w:rPr>
        <w:rFonts w:ascii="Symbol" w:hAnsi="Symbol" w:hint="default"/>
      </w:rPr>
    </w:lvl>
    <w:lvl w:ilvl="4" w:tplc="33E8BE8C">
      <w:start w:val="1"/>
      <w:numFmt w:val="bullet"/>
      <w:lvlText w:val="o"/>
      <w:lvlJc w:val="left"/>
      <w:pPr>
        <w:ind w:left="3600" w:hanging="360"/>
      </w:pPr>
      <w:rPr>
        <w:rFonts w:ascii="Courier New" w:hAnsi="Courier New" w:hint="default"/>
      </w:rPr>
    </w:lvl>
    <w:lvl w:ilvl="5" w:tplc="B486EFAC">
      <w:start w:val="1"/>
      <w:numFmt w:val="bullet"/>
      <w:lvlText w:val=""/>
      <w:lvlJc w:val="left"/>
      <w:pPr>
        <w:ind w:left="4320" w:hanging="360"/>
      </w:pPr>
      <w:rPr>
        <w:rFonts w:ascii="Wingdings" w:hAnsi="Wingdings" w:hint="default"/>
      </w:rPr>
    </w:lvl>
    <w:lvl w:ilvl="6" w:tplc="18F4A2D2">
      <w:start w:val="1"/>
      <w:numFmt w:val="bullet"/>
      <w:lvlText w:val=""/>
      <w:lvlJc w:val="left"/>
      <w:pPr>
        <w:ind w:left="5040" w:hanging="360"/>
      </w:pPr>
      <w:rPr>
        <w:rFonts w:ascii="Symbol" w:hAnsi="Symbol" w:hint="default"/>
      </w:rPr>
    </w:lvl>
    <w:lvl w:ilvl="7" w:tplc="C05ABC40">
      <w:start w:val="1"/>
      <w:numFmt w:val="bullet"/>
      <w:lvlText w:val="o"/>
      <w:lvlJc w:val="left"/>
      <w:pPr>
        <w:ind w:left="5760" w:hanging="360"/>
      </w:pPr>
      <w:rPr>
        <w:rFonts w:ascii="Courier New" w:hAnsi="Courier New" w:hint="default"/>
      </w:rPr>
    </w:lvl>
    <w:lvl w:ilvl="8" w:tplc="8ECCB76A">
      <w:start w:val="1"/>
      <w:numFmt w:val="bullet"/>
      <w:lvlText w:val=""/>
      <w:lvlJc w:val="left"/>
      <w:pPr>
        <w:ind w:left="6480" w:hanging="360"/>
      </w:pPr>
      <w:rPr>
        <w:rFonts w:ascii="Wingdings" w:hAnsi="Wingdings" w:hint="default"/>
      </w:rPr>
    </w:lvl>
  </w:abstractNum>
  <w:abstractNum w:abstractNumId="2" w15:restartNumberingAfterBreak="0">
    <w:nsid w:val="029244B6"/>
    <w:multiLevelType w:val="hybridMultilevel"/>
    <w:tmpl w:val="7A5A7124"/>
    <w:lvl w:ilvl="0" w:tplc="4A3075CA">
      <w:start w:val="1"/>
      <w:numFmt w:val="bullet"/>
      <w:lvlText w:val=""/>
      <w:lvlJc w:val="left"/>
      <w:pPr>
        <w:ind w:left="1069" w:hanging="360"/>
      </w:pPr>
      <w:rPr>
        <w:rFonts w:ascii="Symbol" w:hAnsi="Symbol" w:hint="default"/>
      </w:rPr>
    </w:lvl>
    <w:lvl w:ilvl="1" w:tplc="686A1246">
      <w:start w:val="1"/>
      <w:numFmt w:val="bullet"/>
      <w:lvlText w:val="o"/>
      <w:lvlJc w:val="left"/>
      <w:pPr>
        <w:ind w:left="1789" w:hanging="360"/>
      </w:pPr>
      <w:rPr>
        <w:rFonts w:ascii="Courier New" w:hAnsi="Courier New" w:cs="Courier New" w:hint="default"/>
      </w:rPr>
    </w:lvl>
    <w:lvl w:ilvl="2" w:tplc="89E22562" w:tentative="1">
      <w:start w:val="1"/>
      <w:numFmt w:val="bullet"/>
      <w:lvlText w:val=""/>
      <w:lvlJc w:val="left"/>
      <w:pPr>
        <w:ind w:left="2509" w:hanging="360"/>
      </w:pPr>
      <w:rPr>
        <w:rFonts w:ascii="Wingdings" w:hAnsi="Wingdings" w:hint="default"/>
      </w:rPr>
    </w:lvl>
    <w:lvl w:ilvl="3" w:tplc="8668E22A" w:tentative="1">
      <w:start w:val="1"/>
      <w:numFmt w:val="bullet"/>
      <w:lvlText w:val=""/>
      <w:lvlJc w:val="left"/>
      <w:pPr>
        <w:ind w:left="3229" w:hanging="360"/>
      </w:pPr>
      <w:rPr>
        <w:rFonts w:ascii="Symbol" w:hAnsi="Symbol" w:hint="default"/>
      </w:rPr>
    </w:lvl>
    <w:lvl w:ilvl="4" w:tplc="E55A392A" w:tentative="1">
      <w:start w:val="1"/>
      <w:numFmt w:val="bullet"/>
      <w:lvlText w:val="o"/>
      <w:lvlJc w:val="left"/>
      <w:pPr>
        <w:ind w:left="3949" w:hanging="360"/>
      </w:pPr>
      <w:rPr>
        <w:rFonts w:ascii="Courier New" w:hAnsi="Courier New" w:cs="Courier New" w:hint="default"/>
      </w:rPr>
    </w:lvl>
    <w:lvl w:ilvl="5" w:tplc="8FCAC6BE" w:tentative="1">
      <w:start w:val="1"/>
      <w:numFmt w:val="bullet"/>
      <w:lvlText w:val=""/>
      <w:lvlJc w:val="left"/>
      <w:pPr>
        <w:ind w:left="4669" w:hanging="360"/>
      </w:pPr>
      <w:rPr>
        <w:rFonts w:ascii="Wingdings" w:hAnsi="Wingdings" w:hint="default"/>
      </w:rPr>
    </w:lvl>
    <w:lvl w:ilvl="6" w:tplc="F6084706" w:tentative="1">
      <w:start w:val="1"/>
      <w:numFmt w:val="bullet"/>
      <w:lvlText w:val=""/>
      <w:lvlJc w:val="left"/>
      <w:pPr>
        <w:ind w:left="5389" w:hanging="360"/>
      </w:pPr>
      <w:rPr>
        <w:rFonts w:ascii="Symbol" w:hAnsi="Symbol" w:hint="default"/>
      </w:rPr>
    </w:lvl>
    <w:lvl w:ilvl="7" w:tplc="19A2C756" w:tentative="1">
      <w:start w:val="1"/>
      <w:numFmt w:val="bullet"/>
      <w:lvlText w:val="o"/>
      <w:lvlJc w:val="left"/>
      <w:pPr>
        <w:ind w:left="6109" w:hanging="360"/>
      </w:pPr>
      <w:rPr>
        <w:rFonts w:ascii="Courier New" w:hAnsi="Courier New" w:cs="Courier New" w:hint="default"/>
      </w:rPr>
    </w:lvl>
    <w:lvl w:ilvl="8" w:tplc="A73E9F38" w:tentative="1">
      <w:start w:val="1"/>
      <w:numFmt w:val="bullet"/>
      <w:lvlText w:val=""/>
      <w:lvlJc w:val="left"/>
      <w:pPr>
        <w:ind w:left="6829" w:hanging="360"/>
      </w:pPr>
      <w:rPr>
        <w:rFonts w:ascii="Wingdings" w:hAnsi="Wingdings" w:hint="default"/>
      </w:rPr>
    </w:lvl>
  </w:abstractNum>
  <w:abstractNum w:abstractNumId="3" w15:restartNumberingAfterBreak="0">
    <w:nsid w:val="0302212B"/>
    <w:multiLevelType w:val="hybridMultilevel"/>
    <w:tmpl w:val="7C924F5E"/>
    <w:lvl w:ilvl="0" w:tplc="18BAE6D2">
      <w:start w:val="1"/>
      <w:numFmt w:val="bullet"/>
      <w:lvlText w:val="•"/>
      <w:lvlJc w:val="left"/>
      <w:pPr>
        <w:ind w:left="720" w:hanging="360"/>
      </w:pPr>
      <w:rPr>
        <w:rFonts w:ascii="Arial" w:hAnsi="Arial" w:hint="default"/>
      </w:rPr>
    </w:lvl>
    <w:lvl w:ilvl="1" w:tplc="81C837B6" w:tentative="1">
      <w:start w:val="1"/>
      <w:numFmt w:val="bullet"/>
      <w:lvlText w:val="o"/>
      <w:lvlJc w:val="left"/>
      <w:pPr>
        <w:ind w:left="1440" w:hanging="360"/>
      </w:pPr>
      <w:rPr>
        <w:rFonts w:ascii="Courier New" w:hAnsi="Courier New" w:cs="Courier New" w:hint="default"/>
      </w:rPr>
    </w:lvl>
    <w:lvl w:ilvl="2" w:tplc="9A72A6AA" w:tentative="1">
      <w:start w:val="1"/>
      <w:numFmt w:val="bullet"/>
      <w:lvlText w:val=""/>
      <w:lvlJc w:val="left"/>
      <w:pPr>
        <w:ind w:left="2160" w:hanging="360"/>
      </w:pPr>
      <w:rPr>
        <w:rFonts w:ascii="Wingdings" w:hAnsi="Wingdings" w:hint="default"/>
      </w:rPr>
    </w:lvl>
    <w:lvl w:ilvl="3" w:tplc="66288380" w:tentative="1">
      <w:start w:val="1"/>
      <w:numFmt w:val="bullet"/>
      <w:lvlText w:val=""/>
      <w:lvlJc w:val="left"/>
      <w:pPr>
        <w:ind w:left="2880" w:hanging="360"/>
      </w:pPr>
      <w:rPr>
        <w:rFonts w:ascii="Symbol" w:hAnsi="Symbol" w:hint="default"/>
      </w:rPr>
    </w:lvl>
    <w:lvl w:ilvl="4" w:tplc="6DFE0D70" w:tentative="1">
      <w:start w:val="1"/>
      <w:numFmt w:val="bullet"/>
      <w:lvlText w:val="o"/>
      <w:lvlJc w:val="left"/>
      <w:pPr>
        <w:ind w:left="3600" w:hanging="360"/>
      </w:pPr>
      <w:rPr>
        <w:rFonts w:ascii="Courier New" w:hAnsi="Courier New" w:cs="Courier New" w:hint="default"/>
      </w:rPr>
    </w:lvl>
    <w:lvl w:ilvl="5" w:tplc="EBD01E92" w:tentative="1">
      <w:start w:val="1"/>
      <w:numFmt w:val="bullet"/>
      <w:lvlText w:val=""/>
      <w:lvlJc w:val="left"/>
      <w:pPr>
        <w:ind w:left="4320" w:hanging="360"/>
      </w:pPr>
      <w:rPr>
        <w:rFonts w:ascii="Wingdings" w:hAnsi="Wingdings" w:hint="default"/>
      </w:rPr>
    </w:lvl>
    <w:lvl w:ilvl="6" w:tplc="47C0EAFC" w:tentative="1">
      <w:start w:val="1"/>
      <w:numFmt w:val="bullet"/>
      <w:lvlText w:val=""/>
      <w:lvlJc w:val="left"/>
      <w:pPr>
        <w:ind w:left="5040" w:hanging="360"/>
      </w:pPr>
      <w:rPr>
        <w:rFonts w:ascii="Symbol" w:hAnsi="Symbol" w:hint="default"/>
      </w:rPr>
    </w:lvl>
    <w:lvl w:ilvl="7" w:tplc="4BCA170E" w:tentative="1">
      <w:start w:val="1"/>
      <w:numFmt w:val="bullet"/>
      <w:lvlText w:val="o"/>
      <w:lvlJc w:val="left"/>
      <w:pPr>
        <w:ind w:left="5760" w:hanging="360"/>
      </w:pPr>
      <w:rPr>
        <w:rFonts w:ascii="Courier New" w:hAnsi="Courier New" w:cs="Courier New" w:hint="default"/>
      </w:rPr>
    </w:lvl>
    <w:lvl w:ilvl="8" w:tplc="D222F058" w:tentative="1">
      <w:start w:val="1"/>
      <w:numFmt w:val="bullet"/>
      <w:lvlText w:val=""/>
      <w:lvlJc w:val="left"/>
      <w:pPr>
        <w:ind w:left="6480" w:hanging="360"/>
      </w:pPr>
      <w:rPr>
        <w:rFonts w:ascii="Wingdings" w:hAnsi="Wingdings" w:hint="default"/>
      </w:rPr>
    </w:lvl>
  </w:abstractNum>
  <w:abstractNum w:abstractNumId="4" w15:restartNumberingAfterBreak="0">
    <w:nsid w:val="0508BFBD"/>
    <w:multiLevelType w:val="hybridMultilevel"/>
    <w:tmpl w:val="FFFFFFFF"/>
    <w:lvl w:ilvl="0" w:tplc="19B8FA88">
      <w:start w:val="1"/>
      <w:numFmt w:val="bullet"/>
      <w:lvlText w:val=""/>
      <w:lvlJc w:val="left"/>
      <w:pPr>
        <w:ind w:left="720" w:hanging="360"/>
      </w:pPr>
      <w:rPr>
        <w:rFonts w:ascii="Symbol" w:hAnsi="Symbol" w:hint="default"/>
      </w:rPr>
    </w:lvl>
    <w:lvl w:ilvl="1" w:tplc="FE243F56">
      <w:start w:val="1"/>
      <w:numFmt w:val="bullet"/>
      <w:lvlText w:val="o"/>
      <w:lvlJc w:val="left"/>
      <w:pPr>
        <w:ind w:left="1440" w:hanging="360"/>
      </w:pPr>
      <w:rPr>
        <w:rFonts w:ascii="Courier New" w:hAnsi="Courier New" w:hint="default"/>
      </w:rPr>
    </w:lvl>
    <w:lvl w:ilvl="2" w:tplc="44024E42">
      <w:start w:val="1"/>
      <w:numFmt w:val="bullet"/>
      <w:lvlText w:val=""/>
      <w:lvlJc w:val="left"/>
      <w:pPr>
        <w:ind w:left="2160" w:hanging="360"/>
      </w:pPr>
      <w:rPr>
        <w:rFonts w:ascii="Wingdings" w:hAnsi="Wingdings" w:hint="default"/>
      </w:rPr>
    </w:lvl>
    <w:lvl w:ilvl="3" w:tplc="BF24808A">
      <w:start w:val="1"/>
      <w:numFmt w:val="bullet"/>
      <w:lvlText w:val=""/>
      <w:lvlJc w:val="left"/>
      <w:pPr>
        <w:ind w:left="2880" w:hanging="360"/>
      </w:pPr>
      <w:rPr>
        <w:rFonts w:ascii="Symbol" w:hAnsi="Symbol" w:hint="default"/>
      </w:rPr>
    </w:lvl>
    <w:lvl w:ilvl="4" w:tplc="A608078C">
      <w:start w:val="1"/>
      <w:numFmt w:val="bullet"/>
      <w:lvlText w:val="o"/>
      <w:lvlJc w:val="left"/>
      <w:pPr>
        <w:ind w:left="3600" w:hanging="360"/>
      </w:pPr>
      <w:rPr>
        <w:rFonts w:ascii="Courier New" w:hAnsi="Courier New" w:hint="default"/>
      </w:rPr>
    </w:lvl>
    <w:lvl w:ilvl="5" w:tplc="DFE60864">
      <w:start w:val="1"/>
      <w:numFmt w:val="bullet"/>
      <w:lvlText w:val=""/>
      <w:lvlJc w:val="left"/>
      <w:pPr>
        <w:ind w:left="4320" w:hanging="360"/>
      </w:pPr>
      <w:rPr>
        <w:rFonts w:ascii="Wingdings" w:hAnsi="Wingdings" w:hint="default"/>
      </w:rPr>
    </w:lvl>
    <w:lvl w:ilvl="6" w:tplc="58A05AF4">
      <w:start w:val="1"/>
      <w:numFmt w:val="bullet"/>
      <w:lvlText w:val=""/>
      <w:lvlJc w:val="left"/>
      <w:pPr>
        <w:ind w:left="5040" w:hanging="360"/>
      </w:pPr>
      <w:rPr>
        <w:rFonts w:ascii="Symbol" w:hAnsi="Symbol" w:hint="default"/>
      </w:rPr>
    </w:lvl>
    <w:lvl w:ilvl="7" w:tplc="DE3A0568">
      <w:start w:val="1"/>
      <w:numFmt w:val="bullet"/>
      <w:lvlText w:val="o"/>
      <w:lvlJc w:val="left"/>
      <w:pPr>
        <w:ind w:left="5760" w:hanging="360"/>
      </w:pPr>
      <w:rPr>
        <w:rFonts w:ascii="Courier New" w:hAnsi="Courier New" w:hint="default"/>
      </w:rPr>
    </w:lvl>
    <w:lvl w:ilvl="8" w:tplc="C19E7ABE">
      <w:start w:val="1"/>
      <w:numFmt w:val="bullet"/>
      <w:lvlText w:val=""/>
      <w:lvlJc w:val="left"/>
      <w:pPr>
        <w:ind w:left="6480" w:hanging="360"/>
      </w:pPr>
      <w:rPr>
        <w:rFonts w:ascii="Wingdings" w:hAnsi="Wingdings" w:hint="default"/>
      </w:rPr>
    </w:lvl>
  </w:abstractNum>
  <w:abstractNum w:abstractNumId="5" w15:restartNumberingAfterBreak="0">
    <w:nsid w:val="067867DF"/>
    <w:multiLevelType w:val="hybridMultilevel"/>
    <w:tmpl w:val="4B8000EE"/>
    <w:lvl w:ilvl="0" w:tplc="6C82213E">
      <w:start w:val="1"/>
      <w:numFmt w:val="bullet"/>
      <w:lvlText w:val=""/>
      <w:lvlJc w:val="left"/>
      <w:pPr>
        <w:ind w:left="720" w:hanging="360"/>
      </w:pPr>
      <w:rPr>
        <w:rFonts w:ascii="Symbol" w:hAnsi="Symbol" w:hint="default"/>
      </w:rPr>
    </w:lvl>
    <w:lvl w:ilvl="1" w:tplc="8A7E8D12" w:tentative="1">
      <w:start w:val="1"/>
      <w:numFmt w:val="bullet"/>
      <w:lvlText w:val="o"/>
      <w:lvlJc w:val="left"/>
      <w:pPr>
        <w:ind w:left="1440" w:hanging="360"/>
      </w:pPr>
      <w:rPr>
        <w:rFonts w:ascii="Courier New" w:hAnsi="Courier New" w:cs="Courier New" w:hint="default"/>
      </w:rPr>
    </w:lvl>
    <w:lvl w:ilvl="2" w:tplc="53A8DF8E" w:tentative="1">
      <w:start w:val="1"/>
      <w:numFmt w:val="bullet"/>
      <w:lvlText w:val=""/>
      <w:lvlJc w:val="left"/>
      <w:pPr>
        <w:ind w:left="2160" w:hanging="360"/>
      </w:pPr>
      <w:rPr>
        <w:rFonts w:ascii="Wingdings" w:hAnsi="Wingdings" w:hint="default"/>
      </w:rPr>
    </w:lvl>
    <w:lvl w:ilvl="3" w:tplc="E022F604" w:tentative="1">
      <w:start w:val="1"/>
      <w:numFmt w:val="bullet"/>
      <w:lvlText w:val=""/>
      <w:lvlJc w:val="left"/>
      <w:pPr>
        <w:ind w:left="2880" w:hanging="360"/>
      </w:pPr>
      <w:rPr>
        <w:rFonts w:ascii="Symbol" w:hAnsi="Symbol" w:hint="default"/>
      </w:rPr>
    </w:lvl>
    <w:lvl w:ilvl="4" w:tplc="ABA6B4B4" w:tentative="1">
      <w:start w:val="1"/>
      <w:numFmt w:val="bullet"/>
      <w:lvlText w:val="o"/>
      <w:lvlJc w:val="left"/>
      <w:pPr>
        <w:ind w:left="3600" w:hanging="360"/>
      </w:pPr>
      <w:rPr>
        <w:rFonts w:ascii="Courier New" w:hAnsi="Courier New" w:cs="Courier New" w:hint="default"/>
      </w:rPr>
    </w:lvl>
    <w:lvl w:ilvl="5" w:tplc="14C4F328" w:tentative="1">
      <w:start w:val="1"/>
      <w:numFmt w:val="bullet"/>
      <w:lvlText w:val=""/>
      <w:lvlJc w:val="left"/>
      <w:pPr>
        <w:ind w:left="4320" w:hanging="360"/>
      </w:pPr>
      <w:rPr>
        <w:rFonts w:ascii="Wingdings" w:hAnsi="Wingdings" w:hint="default"/>
      </w:rPr>
    </w:lvl>
    <w:lvl w:ilvl="6" w:tplc="F746CF6A" w:tentative="1">
      <w:start w:val="1"/>
      <w:numFmt w:val="bullet"/>
      <w:lvlText w:val=""/>
      <w:lvlJc w:val="left"/>
      <w:pPr>
        <w:ind w:left="5040" w:hanging="360"/>
      </w:pPr>
      <w:rPr>
        <w:rFonts w:ascii="Symbol" w:hAnsi="Symbol" w:hint="default"/>
      </w:rPr>
    </w:lvl>
    <w:lvl w:ilvl="7" w:tplc="A82AD33E" w:tentative="1">
      <w:start w:val="1"/>
      <w:numFmt w:val="bullet"/>
      <w:lvlText w:val="o"/>
      <w:lvlJc w:val="left"/>
      <w:pPr>
        <w:ind w:left="5760" w:hanging="360"/>
      </w:pPr>
      <w:rPr>
        <w:rFonts w:ascii="Courier New" w:hAnsi="Courier New" w:cs="Courier New" w:hint="default"/>
      </w:rPr>
    </w:lvl>
    <w:lvl w:ilvl="8" w:tplc="7ACE9730" w:tentative="1">
      <w:start w:val="1"/>
      <w:numFmt w:val="bullet"/>
      <w:lvlText w:val=""/>
      <w:lvlJc w:val="left"/>
      <w:pPr>
        <w:ind w:left="6480" w:hanging="360"/>
      </w:pPr>
      <w:rPr>
        <w:rFonts w:ascii="Wingdings" w:hAnsi="Wingdings" w:hint="default"/>
      </w:rPr>
    </w:lvl>
  </w:abstractNum>
  <w:abstractNum w:abstractNumId="6" w15:restartNumberingAfterBreak="0">
    <w:nsid w:val="072B1C03"/>
    <w:multiLevelType w:val="hybridMultilevel"/>
    <w:tmpl w:val="AE6E32C8"/>
    <w:lvl w:ilvl="0" w:tplc="FE129766">
      <w:start w:val="1"/>
      <w:numFmt w:val="bullet"/>
      <w:lvlText w:val=""/>
      <w:lvlJc w:val="left"/>
      <w:pPr>
        <w:ind w:left="96" w:hanging="360"/>
      </w:pPr>
      <w:rPr>
        <w:rFonts w:ascii="Symbol" w:hAnsi="Symbol" w:hint="default"/>
      </w:rPr>
    </w:lvl>
    <w:lvl w:ilvl="1" w:tplc="C8725DDA">
      <w:start w:val="1"/>
      <w:numFmt w:val="bullet"/>
      <w:lvlText w:val="o"/>
      <w:lvlJc w:val="left"/>
      <w:pPr>
        <w:ind w:left="816" w:hanging="360"/>
      </w:pPr>
      <w:rPr>
        <w:rFonts w:ascii="Courier New" w:hAnsi="Courier New" w:cs="Courier New" w:hint="default"/>
      </w:rPr>
    </w:lvl>
    <w:lvl w:ilvl="2" w:tplc="11787CF8" w:tentative="1">
      <w:start w:val="1"/>
      <w:numFmt w:val="bullet"/>
      <w:lvlText w:val=""/>
      <w:lvlJc w:val="left"/>
      <w:pPr>
        <w:ind w:left="1536" w:hanging="360"/>
      </w:pPr>
      <w:rPr>
        <w:rFonts w:ascii="Wingdings" w:hAnsi="Wingdings" w:hint="default"/>
      </w:rPr>
    </w:lvl>
    <w:lvl w:ilvl="3" w:tplc="C74C67A0" w:tentative="1">
      <w:start w:val="1"/>
      <w:numFmt w:val="bullet"/>
      <w:lvlText w:val=""/>
      <w:lvlJc w:val="left"/>
      <w:pPr>
        <w:ind w:left="2256" w:hanging="360"/>
      </w:pPr>
      <w:rPr>
        <w:rFonts w:ascii="Symbol" w:hAnsi="Symbol" w:hint="default"/>
      </w:rPr>
    </w:lvl>
    <w:lvl w:ilvl="4" w:tplc="01C0A00A" w:tentative="1">
      <w:start w:val="1"/>
      <w:numFmt w:val="bullet"/>
      <w:lvlText w:val="o"/>
      <w:lvlJc w:val="left"/>
      <w:pPr>
        <w:ind w:left="2976" w:hanging="360"/>
      </w:pPr>
      <w:rPr>
        <w:rFonts w:ascii="Courier New" w:hAnsi="Courier New" w:cs="Courier New" w:hint="default"/>
      </w:rPr>
    </w:lvl>
    <w:lvl w:ilvl="5" w:tplc="245C3608" w:tentative="1">
      <w:start w:val="1"/>
      <w:numFmt w:val="bullet"/>
      <w:lvlText w:val=""/>
      <w:lvlJc w:val="left"/>
      <w:pPr>
        <w:ind w:left="3696" w:hanging="360"/>
      </w:pPr>
      <w:rPr>
        <w:rFonts w:ascii="Wingdings" w:hAnsi="Wingdings" w:hint="default"/>
      </w:rPr>
    </w:lvl>
    <w:lvl w:ilvl="6" w:tplc="2AA438F0" w:tentative="1">
      <w:start w:val="1"/>
      <w:numFmt w:val="bullet"/>
      <w:lvlText w:val=""/>
      <w:lvlJc w:val="left"/>
      <w:pPr>
        <w:ind w:left="4416" w:hanging="360"/>
      </w:pPr>
      <w:rPr>
        <w:rFonts w:ascii="Symbol" w:hAnsi="Symbol" w:hint="default"/>
      </w:rPr>
    </w:lvl>
    <w:lvl w:ilvl="7" w:tplc="A83226A6" w:tentative="1">
      <w:start w:val="1"/>
      <w:numFmt w:val="bullet"/>
      <w:lvlText w:val="o"/>
      <w:lvlJc w:val="left"/>
      <w:pPr>
        <w:ind w:left="5136" w:hanging="360"/>
      </w:pPr>
      <w:rPr>
        <w:rFonts w:ascii="Courier New" w:hAnsi="Courier New" w:cs="Courier New" w:hint="default"/>
      </w:rPr>
    </w:lvl>
    <w:lvl w:ilvl="8" w:tplc="FF12E2B0" w:tentative="1">
      <w:start w:val="1"/>
      <w:numFmt w:val="bullet"/>
      <w:lvlText w:val=""/>
      <w:lvlJc w:val="left"/>
      <w:pPr>
        <w:ind w:left="5856" w:hanging="360"/>
      </w:pPr>
      <w:rPr>
        <w:rFonts w:ascii="Wingdings" w:hAnsi="Wingdings" w:hint="default"/>
      </w:rPr>
    </w:lvl>
  </w:abstractNum>
  <w:abstractNum w:abstractNumId="7" w15:restartNumberingAfterBreak="0">
    <w:nsid w:val="07B15502"/>
    <w:multiLevelType w:val="hybridMultilevel"/>
    <w:tmpl w:val="C00AD608"/>
    <w:lvl w:ilvl="0" w:tplc="FB3A8DB0">
      <w:start w:val="1"/>
      <w:numFmt w:val="bullet"/>
      <w:lvlText w:val=""/>
      <w:lvlJc w:val="left"/>
      <w:pPr>
        <w:ind w:left="720" w:hanging="360"/>
      </w:pPr>
      <w:rPr>
        <w:rFonts w:ascii="Symbol" w:hAnsi="Symbol" w:hint="default"/>
      </w:rPr>
    </w:lvl>
    <w:lvl w:ilvl="1" w:tplc="1EAE5924" w:tentative="1">
      <w:start w:val="1"/>
      <w:numFmt w:val="bullet"/>
      <w:lvlText w:val="o"/>
      <w:lvlJc w:val="left"/>
      <w:pPr>
        <w:ind w:left="1440" w:hanging="360"/>
      </w:pPr>
      <w:rPr>
        <w:rFonts w:ascii="Courier New" w:hAnsi="Courier New" w:cs="Courier New" w:hint="default"/>
      </w:rPr>
    </w:lvl>
    <w:lvl w:ilvl="2" w:tplc="0D00F794" w:tentative="1">
      <w:start w:val="1"/>
      <w:numFmt w:val="bullet"/>
      <w:lvlText w:val=""/>
      <w:lvlJc w:val="left"/>
      <w:pPr>
        <w:ind w:left="2160" w:hanging="360"/>
      </w:pPr>
      <w:rPr>
        <w:rFonts w:ascii="Wingdings" w:hAnsi="Wingdings" w:hint="default"/>
      </w:rPr>
    </w:lvl>
    <w:lvl w:ilvl="3" w:tplc="900CB158" w:tentative="1">
      <w:start w:val="1"/>
      <w:numFmt w:val="bullet"/>
      <w:lvlText w:val=""/>
      <w:lvlJc w:val="left"/>
      <w:pPr>
        <w:ind w:left="2880" w:hanging="360"/>
      </w:pPr>
      <w:rPr>
        <w:rFonts w:ascii="Symbol" w:hAnsi="Symbol" w:hint="default"/>
      </w:rPr>
    </w:lvl>
    <w:lvl w:ilvl="4" w:tplc="FE989F6E" w:tentative="1">
      <w:start w:val="1"/>
      <w:numFmt w:val="bullet"/>
      <w:lvlText w:val="o"/>
      <w:lvlJc w:val="left"/>
      <w:pPr>
        <w:ind w:left="3600" w:hanging="360"/>
      </w:pPr>
      <w:rPr>
        <w:rFonts w:ascii="Courier New" w:hAnsi="Courier New" w:cs="Courier New" w:hint="default"/>
      </w:rPr>
    </w:lvl>
    <w:lvl w:ilvl="5" w:tplc="E5C0BA42" w:tentative="1">
      <w:start w:val="1"/>
      <w:numFmt w:val="bullet"/>
      <w:lvlText w:val=""/>
      <w:lvlJc w:val="left"/>
      <w:pPr>
        <w:ind w:left="4320" w:hanging="360"/>
      </w:pPr>
      <w:rPr>
        <w:rFonts w:ascii="Wingdings" w:hAnsi="Wingdings" w:hint="default"/>
      </w:rPr>
    </w:lvl>
    <w:lvl w:ilvl="6" w:tplc="196CC808" w:tentative="1">
      <w:start w:val="1"/>
      <w:numFmt w:val="bullet"/>
      <w:lvlText w:val=""/>
      <w:lvlJc w:val="left"/>
      <w:pPr>
        <w:ind w:left="5040" w:hanging="360"/>
      </w:pPr>
      <w:rPr>
        <w:rFonts w:ascii="Symbol" w:hAnsi="Symbol" w:hint="default"/>
      </w:rPr>
    </w:lvl>
    <w:lvl w:ilvl="7" w:tplc="77628CFA" w:tentative="1">
      <w:start w:val="1"/>
      <w:numFmt w:val="bullet"/>
      <w:lvlText w:val="o"/>
      <w:lvlJc w:val="left"/>
      <w:pPr>
        <w:ind w:left="5760" w:hanging="360"/>
      </w:pPr>
      <w:rPr>
        <w:rFonts w:ascii="Courier New" w:hAnsi="Courier New" w:cs="Courier New" w:hint="default"/>
      </w:rPr>
    </w:lvl>
    <w:lvl w:ilvl="8" w:tplc="D472AD16" w:tentative="1">
      <w:start w:val="1"/>
      <w:numFmt w:val="bullet"/>
      <w:lvlText w:val=""/>
      <w:lvlJc w:val="left"/>
      <w:pPr>
        <w:ind w:left="6480" w:hanging="360"/>
      </w:pPr>
      <w:rPr>
        <w:rFonts w:ascii="Wingdings" w:hAnsi="Wingdings" w:hint="default"/>
      </w:rPr>
    </w:lvl>
  </w:abstractNum>
  <w:abstractNum w:abstractNumId="8" w15:restartNumberingAfterBreak="0">
    <w:nsid w:val="07C42131"/>
    <w:multiLevelType w:val="hybridMultilevel"/>
    <w:tmpl w:val="3050C09A"/>
    <w:lvl w:ilvl="0" w:tplc="3E20A54C">
      <w:start w:val="1"/>
      <w:numFmt w:val="decimal"/>
      <w:lvlText w:val="%1."/>
      <w:lvlJc w:val="left"/>
      <w:pPr>
        <w:ind w:left="360" w:hanging="360"/>
      </w:pPr>
      <w:rPr>
        <w:rFonts w:hint="default"/>
      </w:rPr>
    </w:lvl>
    <w:lvl w:ilvl="1" w:tplc="DE505CB8" w:tentative="1">
      <w:start w:val="1"/>
      <w:numFmt w:val="lowerLetter"/>
      <w:lvlText w:val="%2."/>
      <w:lvlJc w:val="left"/>
      <w:pPr>
        <w:ind w:left="1080" w:hanging="360"/>
      </w:pPr>
    </w:lvl>
    <w:lvl w:ilvl="2" w:tplc="7098EF66" w:tentative="1">
      <w:start w:val="1"/>
      <w:numFmt w:val="lowerRoman"/>
      <w:lvlText w:val="%3."/>
      <w:lvlJc w:val="right"/>
      <w:pPr>
        <w:ind w:left="1800" w:hanging="180"/>
      </w:pPr>
    </w:lvl>
    <w:lvl w:ilvl="3" w:tplc="D0E45DBE" w:tentative="1">
      <w:start w:val="1"/>
      <w:numFmt w:val="decimal"/>
      <w:lvlText w:val="%4."/>
      <w:lvlJc w:val="left"/>
      <w:pPr>
        <w:ind w:left="2520" w:hanging="360"/>
      </w:pPr>
    </w:lvl>
    <w:lvl w:ilvl="4" w:tplc="DD5482D0" w:tentative="1">
      <w:start w:val="1"/>
      <w:numFmt w:val="lowerLetter"/>
      <w:lvlText w:val="%5."/>
      <w:lvlJc w:val="left"/>
      <w:pPr>
        <w:ind w:left="3240" w:hanging="360"/>
      </w:pPr>
    </w:lvl>
    <w:lvl w:ilvl="5" w:tplc="E77629D6" w:tentative="1">
      <w:start w:val="1"/>
      <w:numFmt w:val="lowerRoman"/>
      <w:lvlText w:val="%6."/>
      <w:lvlJc w:val="right"/>
      <w:pPr>
        <w:ind w:left="3960" w:hanging="180"/>
      </w:pPr>
    </w:lvl>
    <w:lvl w:ilvl="6" w:tplc="78609D8A" w:tentative="1">
      <w:start w:val="1"/>
      <w:numFmt w:val="decimal"/>
      <w:lvlText w:val="%7."/>
      <w:lvlJc w:val="left"/>
      <w:pPr>
        <w:ind w:left="4680" w:hanging="360"/>
      </w:pPr>
    </w:lvl>
    <w:lvl w:ilvl="7" w:tplc="269CB2BA" w:tentative="1">
      <w:start w:val="1"/>
      <w:numFmt w:val="lowerLetter"/>
      <w:lvlText w:val="%8."/>
      <w:lvlJc w:val="left"/>
      <w:pPr>
        <w:ind w:left="5400" w:hanging="360"/>
      </w:pPr>
    </w:lvl>
    <w:lvl w:ilvl="8" w:tplc="2B0AA872" w:tentative="1">
      <w:start w:val="1"/>
      <w:numFmt w:val="lowerRoman"/>
      <w:lvlText w:val="%9."/>
      <w:lvlJc w:val="right"/>
      <w:pPr>
        <w:ind w:left="6120" w:hanging="180"/>
      </w:pPr>
    </w:lvl>
  </w:abstractNum>
  <w:abstractNum w:abstractNumId="9" w15:restartNumberingAfterBreak="0">
    <w:nsid w:val="09A64613"/>
    <w:multiLevelType w:val="multilevel"/>
    <w:tmpl w:val="549AEF8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AAA566B"/>
    <w:multiLevelType w:val="hybridMultilevel"/>
    <w:tmpl w:val="E4727B06"/>
    <w:lvl w:ilvl="0" w:tplc="68E6ACE2">
      <w:start w:val="1"/>
      <w:numFmt w:val="decimal"/>
      <w:lvlText w:val="%1)"/>
      <w:lvlJc w:val="left"/>
      <w:pPr>
        <w:ind w:left="720" w:hanging="360"/>
      </w:pPr>
      <w:rPr>
        <w:rFonts w:hint="default"/>
      </w:rPr>
    </w:lvl>
    <w:lvl w:ilvl="1" w:tplc="EDD82140" w:tentative="1">
      <w:start w:val="1"/>
      <w:numFmt w:val="lowerLetter"/>
      <w:lvlText w:val="%2."/>
      <w:lvlJc w:val="left"/>
      <w:pPr>
        <w:ind w:left="1440" w:hanging="360"/>
      </w:pPr>
    </w:lvl>
    <w:lvl w:ilvl="2" w:tplc="FD985B1C" w:tentative="1">
      <w:start w:val="1"/>
      <w:numFmt w:val="lowerRoman"/>
      <w:lvlText w:val="%3."/>
      <w:lvlJc w:val="right"/>
      <w:pPr>
        <w:ind w:left="2160" w:hanging="180"/>
      </w:pPr>
    </w:lvl>
    <w:lvl w:ilvl="3" w:tplc="D1F8B07A" w:tentative="1">
      <w:start w:val="1"/>
      <w:numFmt w:val="decimal"/>
      <w:lvlText w:val="%4."/>
      <w:lvlJc w:val="left"/>
      <w:pPr>
        <w:ind w:left="2880" w:hanging="360"/>
      </w:pPr>
    </w:lvl>
    <w:lvl w:ilvl="4" w:tplc="ABC66D22" w:tentative="1">
      <w:start w:val="1"/>
      <w:numFmt w:val="lowerLetter"/>
      <w:lvlText w:val="%5."/>
      <w:lvlJc w:val="left"/>
      <w:pPr>
        <w:ind w:left="3600" w:hanging="360"/>
      </w:pPr>
    </w:lvl>
    <w:lvl w:ilvl="5" w:tplc="42BA4FEA" w:tentative="1">
      <w:start w:val="1"/>
      <w:numFmt w:val="lowerRoman"/>
      <w:lvlText w:val="%6."/>
      <w:lvlJc w:val="right"/>
      <w:pPr>
        <w:ind w:left="4320" w:hanging="180"/>
      </w:pPr>
    </w:lvl>
    <w:lvl w:ilvl="6" w:tplc="1610D368" w:tentative="1">
      <w:start w:val="1"/>
      <w:numFmt w:val="decimal"/>
      <w:lvlText w:val="%7."/>
      <w:lvlJc w:val="left"/>
      <w:pPr>
        <w:ind w:left="5040" w:hanging="360"/>
      </w:pPr>
    </w:lvl>
    <w:lvl w:ilvl="7" w:tplc="E2BE58BA" w:tentative="1">
      <w:start w:val="1"/>
      <w:numFmt w:val="lowerLetter"/>
      <w:lvlText w:val="%8."/>
      <w:lvlJc w:val="left"/>
      <w:pPr>
        <w:ind w:left="5760" w:hanging="360"/>
      </w:pPr>
    </w:lvl>
    <w:lvl w:ilvl="8" w:tplc="60A2C4B0" w:tentative="1">
      <w:start w:val="1"/>
      <w:numFmt w:val="lowerRoman"/>
      <w:lvlText w:val="%9."/>
      <w:lvlJc w:val="right"/>
      <w:pPr>
        <w:ind w:left="6480" w:hanging="180"/>
      </w:pPr>
    </w:lvl>
  </w:abstractNum>
  <w:abstractNum w:abstractNumId="11" w15:restartNumberingAfterBreak="0">
    <w:nsid w:val="0C3E6AEA"/>
    <w:multiLevelType w:val="hybridMultilevel"/>
    <w:tmpl w:val="A880C236"/>
    <w:lvl w:ilvl="0" w:tplc="A4C24ADC">
      <w:start w:val="1"/>
      <w:numFmt w:val="decimal"/>
      <w:lvlText w:val="(%1)"/>
      <w:lvlJc w:val="left"/>
      <w:pPr>
        <w:ind w:left="720" w:hanging="360"/>
      </w:pPr>
      <w:rPr>
        <w:rFonts w:hint="default"/>
      </w:rPr>
    </w:lvl>
    <w:lvl w:ilvl="1" w:tplc="4A02842A" w:tentative="1">
      <w:start w:val="1"/>
      <w:numFmt w:val="lowerLetter"/>
      <w:lvlText w:val="%2."/>
      <w:lvlJc w:val="left"/>
      <w:pPr>
        <w:ind w:left="1440" w:hanging="360"/>
      </w:pPr>
    </w:lvl>
    <w:lvl w:ilvl="2" w:tplc="E442465E" w:tentative="1">
      <w:start w:val="1"/>
      <w:numFmt w:val="lowerRoman"/>
      <w:lvlText w:val="%3."/>
      <w:lvlJc w:val="right"/>
      <w:pPr>
        <w:ind w:left="2160" w:hanging="180"/>
      </w:pPr>
    </w:lvl>
    <w:lvl w:ilvl="3" w:tplc="F3A48B58" w:tentative="1">
      <w:start w:val="1"/>
      <w:numFmt w:val="decimal"/>
      <w:lvlText w:val="%4."/>
      <w:lvlJc w:val="left"/>
      <w:pPr>
        <w:ind w:left="2880" w:hanging="360"/>
      </w:pPr>
    </w:lvl>
    <w:lvl w:ilvl="4" w:tplc="2D522660" w:tentative="1">
      <w:start w:val="1"/>
      <w:numFmt w:val="lowerLetter"/>
      <w:lvlText w:val="%5."/>
      <w:lvlJc w:val="left"/>
      <w:pPr>
        <w:ind w:left="3600" w:hanging="360"/>
      </w:pPr>
    </w:lvl>
    <w:lvl w:ilvl="5" w:tplc="A956E3DE" w:tentative="1">
      <w:start w:val="1"/>
      <w:numFmt w:val="lowerRoman"/>
      <w:lvlText w:val="%6."/>
      <w:lvlJc w:val="right"/>
      <w:pPr>
        <w:ind w:left="4320" w:hanging="180"/>
      </w:pPr>
    </w:lvl>
    <w:lvl w:ilvl="6" w:tplc="62E2052C" w:tentative="1">
      <w:start w:val="1"/>
      <w:numFmt w:val="decimal"/>
      <w:lvlText w:val="%7."/>
      <w:lvlJc w:val="left"/>
      <w:pPr>
        <w:ind w:left="5040" w:hanging="360"/>
      </w:pPr>
    </w:lvl>
    <w:lvl w:ilvl="7" w:tplc="ED3805F0" w:tentative="1">
      <w:start w:val="1"/>
      <w:numFmt w:val="lowerLetter"/>
      <w:lvlText w:val="%8."/>
      <w:lvlJc w:val="left"/>
      <w:pPr>
        <w:ind w:left="5760" w:hanging="360"/>
      </w:pPr>
    </w:lvl>
    <w:lvl w:ilvl="8" w:tplc="3438A158" w:tentative="1">
      <w:start w:val="1"/>
      <w:numFmt w:val="lowerRoman"/>
      <w:lvlText w:val="%9."/>
      <w:lvlJc w:val="right"/>
      <w:pPr>
        <w:ind w:left="6480" w:hanging="180"/>
      </w:pPr>
    </w:lvl>
  </w:abstractNum>
  <w:abstractNum w:abstractNumId="12" w15:restartNumberingAfterBreak="0">
    <w:nsid w:val="0E54A1B0"/>
    <w:multiLevelType w:val="hybridMultilevel"/>
    <w:tmpl w:val="FFFFFFFF"/>
    <w:lvl w:ilvl="0" w:tplc="604E08FC">
      <w:start w:val="1"/>
      <w:numFmt w:val="bullet"/>
      <w:lvlText w:val="·"/>
      <w:lvlJc w:val="left"/>
      <w:pPr>
        <w:ind w:left="720" w:hanging="360"/>
      </w:pPr>
      <w:rPr>
        <w:rFonts w:ascii="Symbol" w:hAnsi="Symbol" w:hint="default"/>
      </w:rPr>
    </w:lvl>
    <w:lvl w:ilvl="1" w:tplc="FEA0FE36">
      <w:start w:val="1"/>
      <w:numFmt w:val="bullet"/>
      <w:lvlText w:val="o"/>
      <w:lvlJc w:val="left"/>
      <w:pPr>
        <w:ind w:left="1440" w:hanging="360"/>
      </w:pPr>
      <w:rPr>
        <w:rFonts w:ascii="Courier New" w:hAnsi="Courier New" w:hint="default"/>
      </w:rPr>
    </w:lvl>
    <w:lvl w:ilvl="2" w:tplc="20A82152">
      <w:start w:val="1"/>
      <w:numFmt w:val="bullet"/>
      <w:lvlText w:val=""/>
      <w:lvlJc w:val="left"/>
      <w:pPr>
        <w:ind w:left="2160" w:hanging="360"/>
      </w:pPr>
      <w:rPr>
        <w:rFonts w:ascii="Wingdings" w:hAnsi="Wingdings" w:hint="default"/>
      </w:rPr>
    </w:lvl>
    <w:lvl w:ilvl="3" w:tplc="A198F08C">
      <w:start w:val="1"/>
      <w:numFmt w:val="bullet"/>
      <w:lvlText w:val=""/>
      <w:lvlJc w:val="left"/>
      <w:pPr>
        <w:ind w:left="2880" w:hanging="360"/>
      </w:pPr>
      <w:rPr>
        <w:rFonts w:ascii="Symbol" w:hAnsi="Symbol" w:hint="default"/>
      </w:rPr>
    </w:lvl>
    <w:lvl w:ilvl="4" w:tplc="EF0C564C">
      <w:start w:val="1"/>
      <w:numFmt w:val="bullet"/>
      <w:lvlText w:val="o"/>
      <w:lvlJc w:val="left"/>
      <w:pPr>
        <w:ind w:left="3600" w:hanging="360"/>
      </w:pPr>
      <w:rPr>
        <w:rFonts w:ascii="Courier New" w:hAnsi="Courier New" w:hint="default"/>
      </w:rPr>
    </w:lvl>
    <w:lvl w:ilvl="5" w:tplc="F760A19C">
      <w:start w:val="1"/>
      <w:numFmt w:val="bullet"/>
      <w:lvlText w:val=""/>
      <w:lvlJc w:val="left"/>
      <w:pPr>
        <w:ind w:left="4320" w:hanging="360"/>
      </w:pPr>
      <w:rPr>
        <w:rFonts w:ascii="Wingdings" w:hAnsi="Wingdings" w:hint="default"/>
      </w:rPr>
    </w:lvl>
    <w:lvl w:ilvl="6" w:tplc="7FBEFFB2">
      <w:start w:val="1"/>
      <w:numFmt w:val="bullet"/>
      <w:lvlText w:val=""/>
      <w:lvlJc w:val="left"/>
      <w:pPr>
        <w:ind w:left="5040" w:hanging="360"/>
      </w:pPr>
      <w:rPr>
        <w:rFonts w:ascii="Symbol" w:hAnsi="Symbol" w:hint="default"/>
      </w:rPr>
    </w:lvl>
    <w:lvl w:ilvl="7" w:tplc="1256E428">
      <w:start w:val="1"/>
      <w:numFmt w:val="bullet"/>
      <w:lvlText w:val="o"/>
      <w:lvlJc w:val="left"/>
      <w:pPr>
        <w:ind w:left="5760" w:hanging="360"/>
      </w:pPr>
      <w:rPr>
        <w:rFonts w:ascii="Courier New" w:hAnsi="Courier New" w:hint="default"/>
      </w:rPr>
    </w:lvl>
    <w:lvl w:ilvl="8" w:tplc="812E34B8">
      <w:start w:val="1"/>
      <w:numFmt w:val="bullet"/>
      <w:lvlText w:val=""/>
      <w:lvlJc w:val="left"/>
      <w:pPr>
        <w:ind w:left="6480" w:hanging="360"/>
      </w:pPr>
      <w:rPr>
        <w:rFonts w:ascii="Wingdings" w:hAnsi="Wingdings" w:hint="default"/>
      </w:rPr>
    </w:lvl>
  </w:abstractNum>
  <w:abstractNum w:abstractNumId="13" w15:restartNumberingAfterBreak="0">
    <w:nsid w:val="11063A25"/>
    <w:multiLevelType w:val="hybridMultilevel"/>
    <w:tmpl w:val="B9CC3BAA"/>
    <w:lvl w:ilvl="0" w:tplc="198EAE0E">
      <w:start w:val="1"/>
      <w:numFmt w:val="bullet"/>
      <w:lvlText w:val=""/>
      <w:lvlJc w:val="left"/>
      <w:pPr>
        <w:ind w:left="720" w:hanging="360"/>
      </w:pPr>
      <w:rPr>
        <w:rFonts w:ascii="Symbol" w:hAnsi="Symbol" w:hint="default"/>
      </w:rPr>
    </w:lvl>
    <w:lvl w:ilvl="1" w:tplc="E732F54C" w:tentative="1">
      <w:start w:val="1"/>
      <w:numFmt w:val="bullet"/>
      <w:lvlText w:val="o"/>
      <w:lvlJc w:val="left"/>
      <w:pPr>
        <w:ind w:left="1440" w:hanging="360"/>
      </w:pPr>
      <w:rPr>
        <w:rFonts w:ascii="Courier New" w:hAnsi="Courier New" w:cs="Courier New" w:hint="default"/>
      </w:rPr>
    </w:lvl>
    <w:lvl w:ilvl="2" w:tplc="EC80A5F0" w:tentative="1">
      <w:start w:val="1"/>
      <w:numFmt w:val="bullet"/>
      <w:lvlText w:val=""/>
      <w:lvlJc w:val="left"/>
      <w:pPr>
        <w:ind w:left="2160" w:hanging="360"/>
      </w:pPr>
      <w:rPr>
        <w:rFonts w:ascii="Wingdings" w:hAnsi="Wingdings" w:hint="default"/>
      </w:rPr>
    </w:lvl>
    <w:lvl w:ilvl="3" w:tplc="5196626A" w:tentative="1">
      <w:start w:val="1"/>
      <w:numFmt w:val="bullet"/>
      <w:lvlText w:val=""/>
      <w:lvlJc w:val="left"/>
      <w:pPr>
        <w:ind w:left="2880" w:hanging="360"/>
      </w:pPr>
      <w:rPr>
        <w:rFonts w:ascii="Symbol" w:hAnsi="Symbol" w:hint="default"/>
      </w:rPr>
    </w:lvl>
    <w:lvl w:ilvl="4" w:tplc="E6BA054E" w:tentative="1">
      <w:start w:val="1"/>
      <w:numFmt w:val="bullet"/>
      <w:lvlText w:val="o"/>
      <w:lvlJc w:val="left"/>
      <w:pPr>
        <w:ind w:left="3600" w:hanging="360"/>
      </w:pPr>
      <w:rPr>
        <w:rFonts w:ascii="Courier New" w:hAnsi="Courier New" w:cs="Courier New" w:hint="default"/>
      </w:rPr>
    </w:lvl>
    <w:lvl w:ilvl="5" w:tplc="E1C28D8A" w:tentative="1">
      <w:start w:val="1"/>
      <w:numFmt w:val="bullet"/>
      <w:lvlText w:val=""/>
      <w:lvlJc w:val="left"/>
      <w:pPr>
        <w:ind w:left="4320" w:hanging="360"/>
      </w:pPr>
      <w:rPr>
        <w:rFonts w:ascii="Wingdings" w:hAnsi="Wingdings" w:hint="default"/>
      </w:rPr>
    </w:lvl>
    <w:lvl w:ilvl="6" w:tplc="5D804B32" w:tentative="1">
      <w:start w:val="1"/>
      <w:numFmt w:val="bullet"/>
      <w:lvlText w:val=""/>
      <w:lvlJc w:val="left"/>
      <w:pPr>
        <w:ind w:left="5040" w:hanging="360"/>
      </w:pPr>
      <w:rPr>
        <w:rFonts w:ascii="Symbol" w:hAnsi="Symbol" w:hint="default"/>
      </w:rPr>
    </w:lvl>
    <w:lvl w:ilvl="7" w:tplc="4C3AA31C" w:tentative="1">
      <w:start w:val="1"/>
      <w:numFmt w:val="bullet"/>
      <w:lvlText w:val="o"/>
      <w:lvlJc w:val="left"/>
      <w:pPr>
        <w:ind w:left="5760" w:hanging="360"/>
      </w:pPr>
      <w:rPr>
        <w:rFonts w:ascii="Courier New" w:hAnsi="Courier New" w:cs="Courier New" w:hint="default"/>
      </w:rPr>
    </w:lvl>
    <w:lvl w:ilvl="8" w:tplc="EAE2962A" w:tentative="1">
      <w:start w:val="1"/>
      <w:numFmt w:val="bullet"/>
      <w:lvlText w:val=""/>
      <w:lvlJc w:val="left"/>
      <w:pPr>
        <w:ind w:left="6480" w:hanging="360"/>
      </w:pPr>
      <w:rPr>
        <w:rFonts w:ascii="Wingdings" w:hAnsi="Wingdings" w:hint="default"/>
      </w:rPr>
    </w:lvl>
  </w:abstractNum>
  <w:abstractNum w:abstractNumId="14" w15:restartNumberingAfterBreak="0">
    <w:nsid w:val="11800A3E"/>
    <w:multiLevelType w:val="hybridMultilevel"/>
    <w:tmpl w:val="17F45552"/>
    <w:lvl w:ilvl="0" w:tplc="A1D2A7C4">
      <w:start w:val="1"/>
      <w:numFmt w:val="bullet"/>
      <w:lvlText w:val=""/>
      <w:lvlJc w:val="left"/>
      <w:pPr>
        <w:ind w:left="360" w:hanging="360"/>
      </w:pPr>
      <w:rPr>
        <w:rFonts w:ascii="Symbol" w:hAnsi="Symbol" w:hint="default"/>
      </w:rPr>
    </w:lvl>
    <w:lvl w:ilvl="1" w:tplc="A61E6AB8" w:tentative="1">
      <w:start w:val="1"/>
      <w:numFmt w:val="bullet"/>
      <w:lvlText w:val="o"/>
      <w:lvlJc w:val="left"/>
      <w:pPr>
        <w:ind w:left="1080" w:hanging="360"/>
      </w:pPr>
      <w:rPr>
        <w:rFonts w:ascii="Courier New" w:hAnsi="Courier New" w:cs="Courier New" w:hint="default"/>
      </w:rPr>
    </w:lvl>
    <w:lvl w:ilvl="2" w:tplc="9FFE56EC" w:tentative="1">
      <w:start w:val="1"/>
      <w:numFmt w:val="bullet"/>
      <w:lvlText w:val=""/>
      <w:lvlJc w:val="left"/>
      <w:pPr>
        <w:ind w:left="1800" w:hanging="360"/>
      </w:pPr>
      <w:rPr>
        <w:rFonts w:ascii="Wingdings" w:hAnsi="Wingdings" w:hint="default"/>
      </w:rPr>
    </w:lvl>
    <w:lvl w:ilvl="3" w:tplc="F314C9E2" w:tentative="1">
      <w:start w:val="1"/>
      <w:numFmt w:val="bullet"/>
      <w:lvlText w:val=""/>
      <w:lvlJc w:val="left"/>
      <w:pPr>
        <w:ind w:left="2520" w:hanging="360"/>
      </w:pPr>
      <w:rPr>
        <w:rFonts w:ascii="Symbol" w:hAnsi="Symbol" w:hint="default"/>
      </w:rPr>
    </w:lvl>
    <w:lvl w:ilvl="4" w:tplc="79C882E8" w:tentative="1">
      <w:start w:val="1"/>
      <w:numFmt w:val="bullet"/>
      <w:lvlText w:val="o"/>
      <w:lvlJc w:val="left"/>
      <w:pPr>
        <w:ind w:left="3240" w:hanging="360"/>
      </w:pPr>
      <w:rPr>
        <w:rFonts w:ascii="Courier New" w:hAnsi="Courier New" w:cs="Courier New" w:hint="default"/>
      </w:rPr>
    </w:lvl>
    <w:lvl w:ilvl="5" w:tplc="6B7CFEA2" w:tentative="1">
      <w:start w:val="1"/>
      <w:numFmt w:val="bullet"/>
      <w:lvlText w:val=""/>
      <w:lvlJc w:val="left"/>
      <w:pPr>
        <w:ind w:left="3960" w:hanging="360"/>
      </w:pPr>
      <w:rPr>
        <w:rFonts w:ascii="Wingdings" w:hAnsi="Wingdings" w:hint="default"/>
      </w:rPr>
    </w:lvl>
    <w:lvl w:ilvl="6" w:tplc="11007B8E" w:tentative="1">
      <w:start w:val="1"/>
      <w:numFmt w:val="bullet"/>
      <w:lvlText w:val=""/>
      <w:lvlJc w:val="left"/>
      <w:pPr>
        <w:ind w:left="4680" w:hanging="360"/>
      </w:pPr>
      <w:rPr>
        <w:rFonts w:ascii="Symbol" w:hAnsi="Symbol" w:hint="default"/>
      </w:rPr>
    </w:lvl>
    <w:lvl w:ilvl="7" w:tplc="6F6AA4DE" w:tentative="1">
      <w:start w:val="1"/>
      <w:numFmt w:val="bullet"/>
      <w:lvlText w:val="o"/>
      <w:lvlJc w:val="left"/>
      <w:pPr>
        <w:ind w:left="5400" w:hanging="360"/>
      </w:pPr>
      <w:rPr>
        <w:rFonts w:ascii="Courier New" w:hAnsi="Courier New" w:cs="Courier New" w:hint="default"/>
      </w:rPr>
    </w:lvl>
    <w:lvl w:ilvl="8" w:tplc="6CA2DA08" w:tentative="1">
      <w:start w:val="1"/>
      <w:numFmt w:val="bullet"/>
      <w:lvlText w:val=""/>
      <w:lvlJc w:val="left"/>
      <w:pPr>
        <w:ind w:left="6120" w:hanging="360"/>
      </w:pPr>
      <w:rPr>
        <w:rFonts w:ascii="Wingdings" w:hAnsi="Wingdings" w:hint="default"/>
      </w:rPr>
    </w:lvl>
  </w:abstractNum>
  <w:abstractNum w:abstractNumId="15" w15:restartNumberingAfterBreak="0">
    <w:nsid w:val="12922CE5"/>
    <w:multiLevelType w:val="hybridMultilevel"/>
    <w:tmpl w:val="ECA8675E"/>
    <w:lvl w:ilvl="0" w:tplc="1CAE987C">
      <w:start w:val="1"/>
      <w:numFmt w:val="bullet"/>
      <w:lvlText w:val=""/>
      <w:lvlJc w:val="left"/>
      <w:pPr>
        <w:ind w:left="720" w:hanging="360"/>
      </w:pPr>
      <w:rPr>
        <w:rFonts w:ascii="Symbol" w:hAnsi="Symbol" w:hint="default"/>
      </w:rPr>
    </w:lvl>
    <w:lvl w:ilvl="1" w:tplc="6DA61BAA">
      <w:start w:val="1"/>
      <w:numFmt w:val="bullet"/>
      <w:lvlText w:val="o"/>
      <w:lvlJc w:val="left"/>
      <w:pPr>
        <w:ind w:left="1440" w:hanging="360"/>
      </w:pPr>
      <w:rPr>
        <w:rFonts w:ascii="Courier New" w:hAnsi="Courier New" w:cs="Courier New" w:hint="default"/>
      </w:rPr>
    </w:lvl>
    <w:lvl w:ilvl="2" w:tplc="8B162ECA">
      <w:start w:val="1"/>
      <w:numFmt w:val="bullet"/>
      <w:lvlText w:val=""/>
      <w:lvlJc w:val="left"/>
      <w:pPr>
        <w:ind w:left="2160" w:hanging="360"/>
      </w:pPr>
      <w:rPr>
        <w:rFonts w:ascii="Wingdings" w:hAnsi="Wingdings" w:hint="default"/>
      </w:rPr>
    </w:lvl>
    <w:lvl w:ilvl="3" w:tplc="76B200C4" w:tentative="1">
      <w:start w:val="1"/>
      <w:numFmt w:val="bullet"/>
      <w:lvlText w:val=""/>
      <w:lvlJc w:val="left"/>
      <w:pPr>
        <w:ind w:left="2880" w:hanging="360"/>
      </w:pPr>
      <w:rPr>
        <w:rFonts w:ascii="Symbol" w:hAnsi="Symbol" w:hint="default"/>
      </w:rPr>
    </w:lvl>
    <w:lvl w:ilvl="4" w:tplc="D504B30A" w:tentative="1">
      <w:start w:val="1"/>
      <w:numFmt w:val="bullet"/>
      <w:lvlText w:val="o"/>
      <w:lvlJc w:val="left"/>
      <w:pPr>
        <w:ind w:left="3600" w:hanging="360"/>
      </w:pPr>
      <w:rPr>
        <w:rFonts w:ascii="Courier New" w:hAnsi="Courier New" w:cs="Courier New" w:hint="default"/>
      </w:rPr>
    </w:lvl>
    <w:lvl w:ilvl="5" w:tplc="17B27178" w:tentative="1">
      <w:start w:val="1"/>
      <w:numFmt w:val="bullet"/>
      <w:lvlText w:val=""/>
      <w:lvlJc w:val="left"/>
      <w:pPr>
        <w:ind w:left="4320" w:hanging="360"/>
      </w:pPr>
      <w:rPr>
        <w:rFonts w:ascii="Wingdings" w:hAnsi="Wingdings" w:hint="default"/>
      </w:rPr>
    </w:lvl>
    <w:lvl w:ilvl="6" w:tplc="ACE08664" w:tentative="1">
      <w:start w:val="1"/>
      <w:numFmt w:val="bullet"/>
      <w:lvlText w:val=""/>
      <w:lvlJc w:val="left"/>
      <w:pPr>
        <w:ind w:left="5040" w:hanging="360"/>
      </w:pPr>
      <w:rPr>
        <w:rFonts w:ascii="Symbol" w:hAnsi="Symbol" w:hint="default"/>
      </w:rPr>
    </w:lvl>
    <w:lvl w:ilvl="7" w:tplc="25220F6C" w:tentative="1">
      <w:start w:val="1"/>
      <w:numFmt w:val="bullet"/>
      <w:lvlText w:val="o"/>
      <w:lvlJc w:val="left"/>
      <w:pPr>
        <w:ind w:left="5760" w:hanging="360"/>
      </w:pPr>
      <w:rPr>
        <w:rFonts w:ascii="Courier New" w:hAnsi="Courier New" w:cs="Courier New" w:hint="default"/>
      </w:rPr>
    </w:lvl>
    <w:lvl w:ilvl="8" w:tplc="0B0E52B4" w:tentative="1">
      <w:start w:val="1"/>
      <w:numFmt w:val="bullet"/>
      <w:lvlText w:val=""/>
      <w:lvlJc w:val="left"/>
      <w:pPr>
        <w:ind w:left="6480" w:hanging="360"/>
      </w:pPr>
      <w:rPr>
        <w:rFonts w:ascii="Wingdings" w:hAnsi="Wingdings" w:hint="default"/>
      </w:rPr>
    </w:lvl>
  </w:abstractNum>
  <w:abstractNum w:abstractNumId="16" w15:restartNumberingAfterBreak="0">
    <w:nsid w:val="135671BB"/>
    <w:multiLevelType w:val="multilevel"/>
    <w:tmpl w:val="967809FA"/>
    <w:lvl w:ilvl="0">
      <w:start w:val="1"/>
      <w:numFmt w:val="decimal"/>
      <w:lvlText w:val="%1."/>
      <w:lvlJc w:val="left"/>
      <w:pPr>
        <w:tabs>
          <w:tab w:val="num" w:pos="0"/>
        </w:tabs>
        <w:ind w:left="794" w:hanging="794"/>
      </w:pPr>
      <w:rPr>
        <w:rFonts w:cs="Tunga" w:hint="default"/>
        <w:color w:val="auto"/>
      </w:rPr>
    </w:lvl>
    <w:lvl w:ilvl="1">
      <w:start w:val="1"/>
      <w:numFmt w:val="decimal"/>
      <w:lvlText w:val="%1.%2"/>
      <w:lvlJc w:val="left"/>
      <w:pPr>
        <w:tabs>
          <w:tab w:val="num" w:pos="0"/>
        </w:tabs>
        <w:ind w:left="794" w:hanging="794"/>
      </w:pPr>
      <w:rPr>
        <w:rFonts w:ascii="Arial" w:hAnsi="Arial" w:cs="Arial" w:hint="default"/>
        <w:color w:val="auto"/>
        <w:sz w:val="24"/>
        <w:szCs w:val="24"/>
      </w:rPr>
    </w:lvl>
    <w:lvl w:ilvl="2">
      <w:start w:val="1"/>
      <w:numFmt w:val="decimal"/>
      <w:lvlText w:val="%1.%2.%3"/>
      <w:lvlJc w:val="left"/>
      <w:pPr>
        <w:tabs>
          <w:tab w:val="num" w:pos="0"/>
        </w:tabs>
        <w:ind w:left="720" w:hanging="720"/>
      </w:pPr>
      <w:rPr>
        <w:rFonts w:cs="Tunga" w:hint="default"/>
      </w:rPr>
    </w:lvl>
    <w:lvl w:ilvl="3">
      <w:start w:val="1"/>
      <w:numFmt w:val="decimal"/>
      <w:lvlText w:val="%1.%2.%3.%4"/>
      <w:lvlJc w:val="left"/>
      <w:pPr>
        <w:tabs>
          <w:tab w:val="num" w:pos="0"/>
        </w:tabs>
        <w:ind w:left="864" w:hanging="864"/>
      </w:pPr>
      <w:rPr>
        <w:rFonts w:cs="Tunga" w:hint="default"/>
      </w:rPr>
    </w:lvl>
    <w:lvl w:ilvl="4">
      <w:start w:val="10"/>
      <w:numFmt w:val="bullet"/>
      <w:lvlText w:val="o"/>
      <w:lvlJc w:val="left"/>
      <w:pPr>
        <w:tabs>
          <w:tab w:val="num" w:pos="0"/>
        </w:tabs>
        <w:ind w:left="1191" w:hanging="397"/>
      </w:pPr>
      <w:rPr>
        <w:rFonts w:ascii="Courier New" w:hAnsi="Courier New" w:cs="Courier New" w:hint="default"/>
        <w:color w:val="auto"/>
      </w:rPr>
    </w:lvl>
    <w:lvl w:ilvl="5">
      <w:start w:val="4"/>
      <w:numFmt w:val="lowerRoman"/>
      <w:lvlText w:val="(%6)"/>
      <w:lvlJc w:val="left"/>
      <w:pPr>
        <w:tabs>
          <w:tab w:val="num" w:pos="0"/>
        </w:tabs>
        <w:ind w:left="1191" w:hanging="397"/>
      </w:pPr>
      <w:rPr>
        <w:rFonts w:cs="Tunga" w:hint="default"/>
      </w:rPr>
    </w:lvl>
    <w:lvl w:ilvl="6">
      <w:start w:val="1"/>
      <w:numFmt w:val="decimal"/>
      <w:lvlText w:val="%1.%2.%3.%4.%5.%6.%7"/>
      <w:lvlJc w:val="left"/>
      <w:pPr>
        <w:tabs>
          <w:tab w:val="num" w:pos="0"/>
        </w:tabs>
        <w:ind w:left="1296" w:hanging="1296"/>
      </w:pPr>
      <w:rPr>
        <w:rFonts w:cs="Tunga" w:hint="default"/>
      </w:rPr>
    </w:lvl>
    <w:lvl w:ilvl="7">
      <w:start w:val="1"/>
      <w:numFmt w:val="decimal"/>
      <w:lvlText w:val="%1.%2.%3.%4.%5.%6.%7.%8"/>
      <w:lvlJc w:val="left"/>
      <w:pPr>
        <w:tabs>
          <w:tab w:val="num" w:pos="0"/>
        </w:tabs>
        <w:ind w:left="1440" w:hanging="1440"/>
      </w:pPr>
      <w:rPr>
        <w:rFonts w:cs="Tunga" w:hint="default"/>
      </w:rPr>
    </w:lvl>
    <w:lvl w:ilvl="8">
      <w:start w:val="1"/>
      <w:numFmt w:val="decimal"/>
      <w:lvlText w:val="%1.%2.%3.%4.%5.%6.%7.%8.%9"/>
      <w:lvlJc w:val="left"/>
      <w:pPr>
        <w:tabs>
          <w:tab w:val="num" w:pos="0"/>
        </w:tabs>
        <w:ind w:left="1584" w:hanging="1584"/>
      </w:pPr>
      <w:rPr>
        <w:rFonts w:cs="Tunga" w:hint="default"/>
      </w:rPr>
    </w:lvl>
  </w:abstractNum>
  <w:abstractNum w:abstractNumId="17" w15:restartNumberingAfterBreak="0">
    <w:nsid w:val="138B72F3"/>
    <w:multiLevelType w:val="hybridMultilevel"/>
    <w:tmpl w:val="58C2991E"/>
    <w:lvl w:ilvl="0" w:tplc="E1762CFC">
      <w:start w:val="1"/>
      <w:numFmt w:val="bullet"/>
      <w:lvlText w:val=""/>
      <w:lvlJc w:val="left"/>
      <w:pPr>
        <w:ind w:left="720" w:hanging="360"/>
      </w:pPr>
      <w:rPr>
        <w:rFonts w:ascii="Symbol" w:hAnsi="Symbol" w:hint="default"/>
      </w:rPr>
    </w:lvl>
    <w:lvl w:ilvl="1" w:tplc="07A23F62" w:tentative="1">
      <w:start w:val="1"/>
      <w:numFmt w:val="bullet"/>
      <w:lvlText w:val="o"/>
      <w:lvlJc w:val="left"/>
      <w:pPr>
        <w:ind w:left="1440" w:hanging="360"/>
      </w:pPr>
      <w:rPr>
        <w:rFonts w:ascii="Courier New" w:hAnsi="Courier New" w:cs="Courier New" w:hint="default"/>
      </w:rPr>
    </w:lvl>
    <w:lvl w:ilvl="2" w:tplc="1EFCFB44" w:tentative="1">
      <w:start w:val="1"/>
      <w:numFmt w:val="bullet"/>
      <w:lvlText w:val=""/>
      <w:lvlJc w:val="left"/>
      <w:pPr>
        <w:ind w:left="2160" w:hanging="360"/>
      </w:pPr>
      <w:rPr>
        <w:rFonts w:ascii="Wingdings" w:hAnsi="Wingdings" w:hint="default"/>
      </w:rPr>
    </w:lvl>
    <w:lvl w:ilvl="3" w:tplc="23ACD280" w:tentative="1">
      <w:start w:val="1"/>
      <w:numFmt w:val="bullet"/>
      <w:lvlText w:val=""/>
      <w:lvlJc w:val="left"/>
      <w:pPr>
        <w:ind w:left="2880" w:hanging="360"/>
      </w:pPr>
      <w:rPr>
        <w:rFonts w:ascii="Symbol" w:hAnsi="Symbol" w:hint="default"/>
      </w:rPr>
    </w:lvl>
    <w:lvl w:ilvl="4" w:tplc="0098FDB0" w:tentative="1">
      <w:start w:val="1"/>
      <w:numFmt w:val="bullet"/>
      <w:lvlText w:val="o"/>
      <w:lvlJc w:val="left"/>
      <w:pPr>
        <w:ind w:left="3600" w:hanging="360"/>
      </w:pPr>
      <w:rPr>
        <w:rFonts w:ascii="Courier New" w:hAnsi="Courier New" w:cs="Courier New" w:hint="default"/>
      </w:rPr>
    </w:lvl>
    <w:lvl w:ilvl="5" w:tplc="11765AA2" w:tentative="1">
      <w:start w:val="1"/>
      <w:numFmt w:val="bullet"/>
      <w:lvlText w:val=""/>
      <w:lvlJc w:val="left"/>
      <w:pPr>
        <w:ind w:left="4320" w:hanging="360"/>
      </w:pPr>
      <w:rPr>
        <w:rFonts w:ascii="Wingdings" w:hAnsi="Wingdings" w:hint="default"/>
      </w:rPr>
    </w:lvl>
    <w:lvl w:ilvl="6" w:tplc="6CB86424" w:tentative="1">
      <w:start w:val="1"/>
      <w:numFmt w:val="bullet"/>
      <w:lvlText w:val=""/>
      <w:lvlJc w:val="left"/>
      <w:pPr>
        <w:ind w:left="5040" w:hanging="360"/>
      </w:pPr>
      <w:rPr>
        <w:rFonts w:ascii="Symbol" w:hAnsi="Symbol" w:hint="default"/>
      </w:rPr>
    </w:lvl>
    <w:lvl w:ilvl="7" w:tplc="327C4936" w:tentative="1">
      <w:start w:val="1"/>
      <w:numFmt w:val="bullet"/>
      <w:lvlText w:val="o"/>
      <w:lvlJc w:val="left"/>
      <w:pPr>
        <w:ind w:left="5760" w:hanging="360"/>
      </w:pPr>
      <w:rPr>
        <w:rFonts w:ascii="Courier New" w:hAnsi="Courier New" w:cs="Courier New" w:hint="default"/>
      </w:rPr>
    </w:lvl>
    <w:lvl w:ilvl="8" w:tplc="2AB851CC" w:tentative="1">
      <w:start w:val="1"/>
      <w:numFmt w:val="bullet"/>
      <w:lvlText w:val=""/>
      <w:lvlJc w:val="left"/>
      <w:pPr>
        <w:ind w:left="6480" w:hanging="360"/>
      </w:pPr>
      <w:rPr>
        <w:rFonts w:ascii="Wingdings" w:hAnsi="Wingdings" w:hint="default"/>
      </w:rPr>
    </w:lvl>
  </w:abstractNum>
  <w:abstractNum w:abstractNumId="18" w15:restartNumberingAfterBreak="0">
    <w:nsid w:val="14886416"/>
    <w:multiLevelType w:val="hybridMultilevel"/>
    <w:tmpl w:val="B8D0BACE"/>
    <w:lvl w:ilvl="0" w:tplc="C3948780">
      <w:start w:val="1"/>
      <w:numFmt w:val="bullet"/>
      <w:lvlText w:val=""/>
      <w:lvlJc w:val="left"/>
      <w:pPr>
        <w:ind w:left="1440" w:hanging="360"/>
      </w:pPr>
      <w:rPr>
        <w:rFonts w:ascii="Symbol" w:hAnsi="Symbol" w:hint="default"/>
      </w:rPr>
    </w:lvl>
    <w:lvl w:ilvl="1" w:tplc="C486C4EC">
      <w:start w:val="1"/>
      <w:numFmt w:val="bullet"/>
      <w:lvlText w:val="o"/>
      <w:lvlJc w:val="left"/>
      <w:pPr>
        <w:ind w:left="2160" w:hanging="360"/>
      </w:pPr>
      <w:rPr>
        <w:rFonts w:ascii="Courier New" w:hAnsi="Courier New" w:cs="Courier New" w:hint="default"/>
      </w:rPr>
    </w:lvl>
    <w:lvl w:ilvl="2" w:tplc="41E0BB48">
      <w:start w:val="1"/>
      <w:numFmt w:val="bullet"/>
      <w:lvlText w:val=""/>
      <w:lvlJc w:val="left"/>
      <w:pPr>
        <w:ind w:left="2880" w:hanging="360"/>
      </w:pPr>
      <w:rPr>
        <w:rFonts w:ascii="Wingdings" w:hAnsi="Wingdings" w:hint="default"/>
      </w:rPr>
    </w:lvl>
    <w:lvl w:ilvl="3" w:tplc="29BC81F6" w:tentative="1">
      <w:start w:val="1"/>
      <w:numFmt w:val="bullet"/>
      <w:lvlText w:val=""/>
      <w:lvlJc w:val="left"/>
      <w:pPr>
        <w:ind w:left="3600" w:hanging="360"/>
      </w:pPr>
      <w:rPr>
        <w:rFonts w:ascii="Symbol" w:hAnsi="Symbol" w:hint="default"/>
      </w:rPr>
    </w:lvl>
    <w:lvl w:ilvl="4" w:tplc="3154DA46" w:tentative="1">
      <w:start w:val="1"/>
      <w:numFmt w:val="bullet"/>
      <w:lvlText w:val="o"/>
      <w:lvlJc w:val="left"/>
      <w:pPr>
        <w:ind w:left="4320" w:hanging="360"/>
      </w:pPr>
      <w:rPr>
        <w:rFonts w:ascii="Courier New" w:hAnsi="Courier New" w:cs="Courier New" w:hint="default"/>
      </w:rPr>
    </w:lvl>
    <w:lvl w:ilvl="5" w:tplc="4AD069CE" w:tentative="1">
      <w:start w:val="1"/>
      <w:numFmt w:val="bullet"/>
      <w:lvlText w:val=""/>
      <w:lvlJc w:val="left"/>
      <w:pPr>
        <w:ind w:left="5040" w:hanging="360"/>
      </w:pPr>
      <w:rPr>
        <w:rFonts w:ascii="Wingdings" w:hAnsi="Wingdings" w:hint="default"/>
      </w:rPr>
    </w:lvl>
    <w:lvl w:ilvl="6" w:tplc="8C901544" w:tentative="1">
      <w:start w:val="1"/>
      <w:numFmt w:val="bullet"/>
      <w:lvlText w:val=""/>
      <w:lvlJc w:val="left"/>
      <w:pPr>
        <w:ind w:left="5760" w:hanging="360"/>
      </w:pPr>
      <w:rPr>
        <w:rFonts w:ascii="Symbol" w:hAnsi="Symbol" w:hint="default"/>
      </w:rPr>
    </w:lvl>
    <w:lvl w:ilvl="7" w:tplc="3730BAB6" w:tentative="1">
      <w:start w:val="1"/>
      <w:numFmt w:val="bullet"/>
      <w:lvlText w:val="o"/>
      <w:lvlJc w:val="left"/>
      <w:pPr>
        <w:ind w:left="6480" w:hanging="360"/>
      </w:pPr>
      <w:rPr>
        <w:rFonts w:ascii="Courier New" w:hAnsi="Courier New" w:cs="Courier New" w:hint="default"/>
      </w:rPr>
    </w:lvl>
    <w:lvl w:ilvl="8" w:tplc="4EDE2340" w:tentative="1">
      <w:start w:val="1"/>
      <w:numFmt w:val="bullet"/>
      <w:lvlText w:val=""/>
      <w:lvlJc w:val="left"/>
      <w:pPr>
        <w:ind w:left="7200" w:hanging="360"/>
      </w:pPr>
      <w:rPr>
        <w:rFonts w:ascii="Wingdings" w:hAnsi="Wingdings" w:hint="default"/>
      </w:rPr>
    </w:lvl>
  </w:abstractNum>
  <w:abstractNum w:abstractNumId="19" w15:restartNumberingAfterBreak="0">
    <w:nsid w:val="16200C65"/>
    <w:multiLevelType w:val="hybridMultilevel"/>
    <w:tmpl w:val="FFFFFFFF"/>
    <w:lvl w:ilvl="0" w:tplc="E0B4E046">
      <w:start w:val="1"/>
      <w:numFmt w:val="bullet"/>
      <w:lvlText w:val="·"/>
      <w:lvlJc w:val="left"/>
      <w:pPr>
        <w:ind w:left="720" w:hanging="360"/>
      </w:pPr>
      <w:rPr>
        <w:rFonts w:ascii="Symbol" w:hAnsi="Symbol" w:hint="default"/>
      </w:rPr>
    </w:lvl>
    <w:lvl w:ilvl="1" w:tplc="9A5647E0">
      <w:start w:val="1"/>
      <w:numFmt w:val="bullet"/>
      <w:lvlText w:val="o"/>
      <w:lvlJc w:val="left"/>
      <w:pPr>
        <w:ind w:left="1440" w:hanging="360"/>
      </w:pPr>
      <w:rPr>
        <w:rFonts w:ascii="Courier New" w:hAnsi="Courier New" w:hint="default"/>
      </w:rPr>
    </w:lvl>
    <w:lvl w:ilvl="2" w:tplc="C85878A6">
      <w:start w:val="1"/>
      <w:numFmt w:val="bullet"/>
      <w:lvlText w:val=""/>
      <w:lvlJc w:val="left"/>
      <w:pPr>
        <w:ind w:left="2160" w:hanging="360"/>
      </w:pPr>
      <w:rPr>
        <w:rFonts w:ascii="Wingdings" w:hAnsi="Wingdings" w:hint="default"/>
      </w:rPr>
    </w:lvl>
    <w:lvl w:ilvl="3" w:tplc="02FE2182">
      <w:start w:val="1"/>
      <w:numFmt w:val="bullet"/>
      <w:lvlText w:val=""/>
      <w:lvlJc w:val="left"/>
      <w:pPr>
        <w:ind w:left="2880" w:hanging="360"/>
      </w:pPr>
      <w:rPr>
        <w:rFonts w:ascii="Symbol" w:hAnsi="Symbol" w:hint="default"/>
      </w:rPr>
    </w:lvl>
    <w:lvl w:ilvl="4" w:tplc="F2B0FCFE">
      <w:start w:val="1"/>
      <w:numFmt w:val="bullet"/>
      <w:lvlText w:val="o"/>
      <w:lvlJc w:val="left"/>
      <w:pPr>
        <w:ind w:left="3600" w:hanging="360"/>
      </w:pPr>
      <w:rPr>
        <w:rFonts w:ascii="Courier New" w:hAnsi="Courier New" w:hint="default"/>
      </w:rPr>
    </w:lvl>
    <w:lvl w:ilvl="5" w:tplc="466E6C78">
      <w:start w:val="1"/>
      <w:numFmt w:val="bullet"/>
      <w:lvlText w:val=""/>
      <w:lvlJc w:val="left"/>
      <w:pPr>
        <w:ind w:left="4320" w:hanging="360"/>
      </w:pPr>
      <w:rPr>
        <w:rFonts w:ascii="Wingdings" w:hAnsi="Wingdings" w:hint="default"/>
      </w:rPr>
    </w:lvl>
    <w:lvl w:ilvl="6" w:tplc="92D0CEE6">
      <w:start w:val="1"/>
      <w:numFmt w:val="bullet"/>
      <w:lvlText w:val=""/>
      <w:lvlJc w:val="left"/>
      <w:pPr>
        <w:ind w:left="5040" w:hanging="360"/>
      </w:pPr>
      <w:rPr>
        <w:rFonts w:ascii="Symbol" w:hAnsi="Symbol" w:hint="default"/>
      </w:rPr>
    </w:lvl>
    <w:lvl w:ilvl="7" w:tplc="FAB0F564">
      <w:start w:val="1"/>
      <w:numFmt w:val="bullet"/>
      <w:lvlText w:val="o"/>
      <w:lvlJc w:val="left"/>
      <w:pPr>
        <w:ind w:left="5760" w:hanging="360"/>
      </w:pPr>
      <w:rPr>
        <w:rFonts w:ascii="Courier New" w:hAnsi="Courier New" w:hint="default"/>
      </w:rPr>
    </w:lvl>
    <w:lvl w:ilvl="8" w:tplc="96A6F04C">
      <w:start w:val="1"/>
      <w:numFmt w:val="bullet"/>
      <w:lvlText w:val=""/>
      <w:lvlJc w:val="left"/>
      <w:pPr>
        <w:ind w:left="6480" w:hanging="360"/>
      </w:pPr>
      <w:rPr>
        <w:rFonts w:ascii="Wingdings" w:hAnsi="Wingdings" w:hint="default"/>
      </w:rPr>
    </w:lvl>
  </w:abstractNum>
  <w:abstractNum w:abstractNumId="20" w15:restartNumberingAfterBreak="0">
    <w:nsid w:val="16515FC4"/>
    <w:multiLevelType w:val="hybridMultilevel"/>
    <w:tmpl w:val="500A293C"/>
    <w:lvl w:ilvl="0" w:tplc="88523528">
      <w:start w:val="1"/>
      <w:numFmt w:val="bullet"/>
      <w:lvlText w:val=""/>
      <w:lvlJc w:val="left"/>
      <w:pPr>
        <w:ind w:left="1440" w:hanging="360"/>
      </w:pPr>
      <w:rPr>
        <w:rFonts w:ascii="Wingdings" w:hAnsi="Wingdings" w:hint="default"/>
      </w:rPr>
    </w:lvl>
    <w:lvl w:ilvl="1" w:tplc="AB1A792C" w:tentative="1">
      <w:start w:val="1"/>
      <w:numFmt w:val="bullet"/>
      <w:lvlText w:val="o"/>
      <w:lvlJc w:val="left"/>
      <w:pPr>
        <w:ind w:left="2160" w:hanging="360"/>
      </w:pPr>
      <w:rPr>
        <w:rFonts w:ascii="Courier New" w:hAnsi="Courier New" w:cs="Courier New" w:hint="default"/>
      </w:rPr>
    </w:lvl>
    <w:lvl w:ilvl="2" w:tplc="F26CACE2" w:tentative="1">
      <w:start w:val="1"/>
      <w:numFmt w:val="bullet"/>
      <w:lvlText w:val=""/>
      <w:lvlJc w:val="left"/>
      <w:pPr>
        <w:ind w:left="2880" w:hanging="360"/>
      </w:pPr>
      <w:rPr>
        <w:rFonts w:ascii="Wingdings" w:hAnsi="Wingdings" w:hint="default"/>
      </w:rPr>
    </w:lvl>
    <w:lvl w:ilvl="3" w:tplc="093E04B6" w:tentative="1">
      <w:start w:val="1"/>
      <w:numFmt w:val="bullet"/>
      <w:lvlText w:val=""/>
      <w:lvlJc w:val="left"/>
      <w:pPr>
        <w:ind w:left="3600" w:hanging="360"/>
      </w:pPr>
      <w:rPr>
        <w:rFonts w:ascii="Symbol" w:hAnsi="Symbol" w:hint="default"/>
      </w:rPr>
    </w:lvl>
    <w:lvl w:ilvl="4" w:tplc="314A5C1A" w:tentative="1">
      <w:start w:val="1"/>
      <w:numFmt w:val="bullet"/>
      <w:lvlText w:val="o"/>
      <w:lvlJc w:val="left"/>
      <w:pPr>
        <w:ind w:left="4320" w:hanging="360"/>
      </w:pPr>
      <w:rPr>
        <w:rFonts w:ascii="Courier New" w:hAnsi="Courier New" w:cs="Courier New" w:hint="default"/>
      </w:rPr>
    </w:lvl>
    <w:lvl w:ilvl="5" w:tplc="B28A023E" w:tentative="1">
      <w:start w:val="1"/>
      <w:numFmt w:val="bullet"/>
      <w:lvlText w:val=""/>
      <w:lvlJc w:val="left"/>
      <w:pPr>
        <w:ind w:left="5040" w:hanging="360"/>
      </w:pPr>
      <w:rPr>
        <w:rFonts w:ascii="Wingdings" w:hAnsi="Wingdings" w:hint="default"/>
      </w:rPr>
    </w:lvl>
    <w:lvl w:ilvl="6" w:tplc="5F22305C" w:tentative="1">
      <w:start w:val="1"/>
      <w:numFmt w:val="bullet"/>
      <w:lvlText w:val=""/>
      <w:lvlJc w:val="left"/>
      <w:pPr>
        <w:ind w:left="5760" w:hanging="360"/>
      </w:pPr>
      <w:rPr>
        <w:rFonts w:ascii="Symbol" w:hAnsi="Symbol" w:hint="default"/>
      </w:rPr>
    </w:lvl>
    <w:lvl w:ilvl="7" w:tplc="84C052BE" w:tentative="1">
      <w:start w:val="1"/>
      <w:numFmt w:val="bullet"/>
      <w:lvlText w:val="o"/>
      <w:lvlJc w:val="left"/>
      <w:pPr>
        <w:ind w:left="6480" w:hanging="360"/>
      </w:pPr>
      <w:rPr>
        <w:rFonts w:ascii="Courier New" w:hAnsi="Courier New" w:cs="Courier New" w:hint="default"/>
      </w:rPr>
    </w:lvl>
    <w:lvl w:ilvl="8" w:tplc="DC949F9C" w:tentative="1">
      <w:start w:val="1"/>
      <w:numFmt w:val="bullet"/>
      <w:lvlText w:val=""/>
      <w:lvlJc w:val="left"/>
      <w:pPr>
        <w:ind w:left="7200" w:hanging="360"/>
      </w:pPr>
      <w:rPr>
        <w:rFonts w:ascii="Wingdings" w:hAnsi="Wingdings" w:hint="default"/>
      </w:rPr>
    </w:lvl>
  </w:abstractNum>
  <w:abstractNum w:abstractNumId="21" w15:restartNumberingAfterBreak="0">
    <w:nsid w:val="16AB445C"/>
    <w:multiLevelType w:val="hybridMultilevel"/>
    <w:tmpl w:val="86E22FD4"/>
    <w:lvl w:ilvl="0" w:tplc="2CD203F4">
      <w:start w:val="1"/>
      <w:numFmt w:val="bullet"/>
      <w:lvlText w:val=""/>
      <w:lvlJc w:val="left"/>
      <w:pPr>
        <w:tabs>
          <w:tab w:val="num" w:pos="720"/>
        </w:tabs>
        <w:ind w:left="720" w:hanging="360"/>
      </w:pPr>
      <w:rPr>
        <w:rFonts w:ascii="Symbol" w:hAnsi="Symbol" w:hint="default"/>
      </w:rPr>
    </w:lvl>
    <w:lvl w:ilvl="1" w:tplc="2A5EBAA6" w:tentative="1">
      <w:start w:val="1"/>
      <w:numFmt w:val="bullet"/>
      <w:lvlText w:val="o"/>
      <w:lvlJc w:val="left"/>
      <w:pPr>
        <w:tabs>
          <w:tab w:val="num" w:pos="1440"/>
        </w:tabs>
        <w:ind w:left="1440" w:hanging="360"/>
      </w:pPr>
      <w:rPr>
        <w:rFonts w:ascii="Courier New" w:hAnsi="Courier New" w:cs="Courier New" w:hint="default"/>
      </w:rPr>
    </w:lvl>
    <w:lvl w:ilvl="2" w:tplc="02B4F064" w:tentative="1">
      <w:start w:val="1"/>
      <w:numFmt w:val="bullet"/>
      <w:lvlText w:val=""/>
      <w:lvlJc w:val="left"/>
      <w:pPr>
        <w:tabs>
          <w:tab w:val="num" w:pos="2160"/>
        </w:tabs>
        <w:ind w:left="2160" w:hanging="360"/>
      </w:pPr>
      <w:rPr>
        <w:rFonts w:ascii="Wingdings" w:hAnsi="Wingdings" w:hint="default"/>
      </w:rPr>
    </w:lvl>
    <w:lvl w:ilvl="3" w:tplc="F4784100" w:tentative="1">
      <w:start w:val="1"/>
      <w:numFmt w:val="bullet"/>
      <w:lvlText w:val=""/>
      <w:lvlJc w:val="left"/>
      <w:pPr>
        <w:tabs>
          <w:tab w:val="num" w:pos="2880"/>
        </w:tabs>
        <w:ind w:left="2880" w:hanging="360"/>
      </w:pPr>
      <w:rPr>
        <w:rFonts w:ascii="Symbol" w:hAnsi="Symbol" w:hint="default"/>
      </w:rPr>
    </w:lvl>
    <w:lvl w:ilvl="4" w:tplc="F6AE2EE0" w:tentative="1">
      <w:start w:val="1"/>
      <w:numFmt w:val="bullet"/>
      <w:lvlText w:val="o"/>
      <w:lvlJc w:val="left"/>
      <w:pPr>
        <w:tabs>
          <w:tab w:val="num" w:pos="3600"/>
        </w:tabs>
        <w:ind w:left="3600" w:hanging="360"/>
      </w:pPr>
      <w:rPr>
        <w:rFonts w:ascii="Courier New" w:hAnsi="Courier New" w:cs="Courier New" w:hint="default"/>
      </w:rPr>
    </w:lvl>
    <w:lvl w:ilvl="5" w:tplc="9AAC43CE" w:tentative="1">
      <w:start w:val="1"/>
      <w:numFmt w:val="bullet"/>
      <w:lvlText w:val=""/>
      <w:lvlJc w:val="left"/>
      <w:pPr>
        <w:tabs>
          <w:tab w:val="num" w:pos="4320"/>
        </w:tabs>
        <w:ind w:left="4320" w:hanging="360"/>
      </w:pPr>
      <w:rPr>
        <w:rFonts w:ascii="Wingdings" w:hAnsi="Wingdings" w:hint="default"/>
      </w:rPr>
    </w:lvl>
    <w:lvl w:ilvl="6" w:tplc="C4407BA6" w:tentative="1">
      <w:start w:val="1"/>
      <w:numFmt w:val="bullet"/>
      <w:lvlText w:val=""/>
      <w:lvlJc w:val="left"/>
      <w:pPr>
        <w:tabs>
          <w:tab w:val="num" w:pos="5040"/>
        </w:tabs>
        <w:ind w:left="5040" w:hanging="360"/>
      </w:pPr>
      <w:rPr>
        <w:rFonts w:ascii="Symbol" w:hAnsi="Symbol" w:hint="default"/>
      </w:rPr>
    </w:lvl>
    <w:lvl w:ilvl="7" w:tplc="3576381C" w:tentative="1">
      <w:start w:val="1"/>
      <w:numFmt w:val="bullet"/>
      <w:lvlText w:val="o"/>
      <w:lvlJc w:val="left"/>
      <w:pPr>
        <w:tabs>
          <w:tab w:val="num" w:pos="5760"/>
        </w:tabs>
        <w:ind w:left="5760" w:hanging="360"/>
      </w:pPr>
      <w:rPr>
        <w:rFonts w:ascii="Courier New" w:hAnsi="Courier New" w:cs="Courier New" w:hint="default"/>
      </w:rPr>
    </w:lvl>
    <w:lvl w:ilvl="8" w:tplc="D3C0F28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A573529"/>
    <w:multiLevelType w:val="hybridMultilevel"/>
    <w:tmpl w:val="37A05DE8"/>
    <w:lvl w:ilvl="0" w:tplc="BF7A4510">
      <w:start w:val="1"/>
      <w:numFmt w:val="bullet"/>
      <w:lvlText w:val="-"/>
      <w:lvlJc w:val="left"/>
      <w:pPr>
        <w:ind w:left="720" w:hanging="360"/>
      </w:pPr>
      <w:rPr>
        <w:rFonts w:ascii="Arial" w:eastAsia="Calibri" w:hAnsi="Arial" w:cs="Arial" w:hint="default"/>
      </w:rPr>
    </w:lvl>
    <w:lvl w:ilvl="1" w:tplc="C8586668" w:tentative="1">
      <w:start w:val="1"/>
      <w:numFmt w:val="bullet"/>
      <w:lvlText w:val="o"/>
      <w:lvlJc w:val="left"/>
      <w:pPr>
        <w:ind w:left="1440" w:hanging="360"/>
      </w:pPr>
      <w:rPr>
        <w:rFonts w:ascii="Courier New" w:hAnsi="Courier New" w:cs="Courier New" w:hint="default"/>
      </w:rPr>
    </w:lvl>
    <w:lvl w:ilvl="2" w:tplc="15CEEA8C" w:tentative="1">
      <w:start w:val="1"/>
      <w:numFmt w:val="bullet"/>
      <w:lvlText w:val=""/>
      <w:lvlJc w:val="left"/>
      <w:pPr>
        <w:ind w:left="2160" w:hanging="360"/>
      </w:pPr>
      <w:rPr>
        <w:rFonts w:ascii="Wingdings" w:hAnsi="Wingdings" w:hint="default"/>
      </w:rPr>
    </w:lvl>
    <w:lvl w:ilvl="3" w:tplc="798ECC9E" w:tentative="1">
      <w:start w:val="1"/>
      <w:numFmt w:val="bullet"/>
      <w:lvlText w:val=""/>
      <w:lvlJc w:val="left"/>
      <w:pPr>
        <w:ind w:left="2880" w:hanging="360"/>
      </w:pPr>
      <w:rPr>
        <w:rFonts w:ascii="Symbol" w:hAnsi="Symbol" w:hint="default"/>
      </w:rPr>
    </w:lvl>
    <w:lvl w:ilvl="4" w:tplc="558C717A" w:tentative="1">
      <w:start w:val="1"/>
      <w:numFmt w:val="bullet"/>
      <w:lvlText w:val="o"/>
      <w:lvlJc w:val="left"/>
      <w:pPr>
        <w:ind w:left="3600" w:hanging="360"/>
      </w:pPr>
      <w:rPr>
        <w:rFonts w:ascii="Courier New" w:hAnsi="Courier New" w:cs="Courier New" w:hint="default"/>
      </w:rPr>
    </w:lvl>
    <w:lvl w:ilvl="5" w:tplc="AFFE27BC" w:tentative="1">
      <w:start w:val="1"/>
      <w:numFmt w:val="bullet"/>
      <w:lvlText w:val=""/>
      <w:lvlJc w:val="left"/>
      <w:pPr>
        <w:ind w:left="4320" w:hanging="360"/>
      </w:pPr>
      <w:rPr>
        <w:rFonts w:ascii="Wingdings" w:hAnsi="Wingdings" w:hint="default"/>
      </w:rPr>
    </w:lvl>
    <w:lvl w:ilvl="6" w:tplc="A78E8BC0" w:tentative="1">
      <w:start w:val="1"/>
      <w:numFmt w:val="bullet"/>
      <w:lvlText w:val=""/>
      <w:lvlJc w:val="left"/>
      <w:pPr>
        <w:ind w:left="5040" w:hanging="360"/>
      </w:pPr>
      <w:rPr>
        <w:rFonts w:ascii="Symbol" w:hAnsi="Symbol" w:hint="default"/>
      </w:rPr>
    </w:lvl>
    <w:lvl w:ilvl="7" w:tplc="E47C07F0" w:tentative="1">
      <w:start w:val="1"/>
      <w:numFmt w:val="bullet"/>
      <w:lvlText w:val="o"/>
      <w:lvlJc w:val="left"/>
      <w:pPr>
        <w:ind w:left="5760" w:hanging="360"/>
      </w:pPr>
      <w:rPr>
        <w:rFonts w:ascii="Courier New" w:hAnsi="Courier New" w:cs="Courier New" w:hint="default"/>
      </w:rPr>
    </w:lvl>
    <w:lvl w:ilvl="8" w:tplc="DAA473C0" w:tentative="1">
      <w:start w:val="1"/>
      <w:numFmt w:val="bullet"/>
      <w:lvlText w:val=""/>
      <w:lvlJc w:val="left"/>
      <w:pPr>
        <w:ind w:left="6480" w:hanging="360"/>
      </w:pPr>
      <w:rPr>
        <w:rFonts w:ascii="Wingdings" w:hAnsi="Wingdings" w:hint="default"/>
      </w:rPr>
    </w:lvl>
  </w:abstractNum>
  <w:abstractNum w:abstractNumId="23" w15:restartNumberingAfterBreak="0">
    <w:nsid w:val="1B927921"/>
    <w:multiLevelType w:val="hybridMultilevel"/>
    <w:tmpl w:val="7B700220"/>
    <w:lvl w:ilvl="0" w:tplc="816A42F0">
      <w:start w:val="1"/>
      <w:numFmt w:val="decimal"/>
      <w:lvlText w:val="%1)"/>
      <w:lvlJc w:val="left"/>
      <w:pPr>
        <w:ind w:left="720" w:hanging="360"/>
      </w:pPr>
      <w:rPr>
        <w:rFonts w:hint="default"/>
        <w:color w:val="auto"/>
      </w:rPr>
    </w:lvl>
    <w:lvl w:ilvl="1" w:tplc="651E9B56" w:tentative="1">
      <w:start w:val="1"/>
      <w:numFmt w:val="lowerLetter"/>
      <w:lvlText w:val="%2."/>
      <w:lvlJc w:val="left"/>
      <w:pPr>
        <w:ind w:left="1440" w:hanging="360"/>
      </w:pPr>
    </w:lvl>
    <w:lvl w:ilvl="2" w:tplc="D2AC9172" w:tentative="1">
      <w:start w:val="1"/>
      <w:numFmt w:val="lowerRoman"/>
      <w:lvlText w:val="%3."/>
      <w:lvlJc w:val="right"/>
      <w:pPr>
        <w:ind w:left="2160" w:hanging="180"/>
      </w:pPr>
    </w:lvl>
    <w:lvl w:ilvl="3" w:tplc="62942D08" w:tentative="1">
      <w:start w:val="1"/>
      <w:numFmt w:val="decimal"/>
      <w:lvlText w:val="%4."/>
      <w:lvlJc w:val="left"/>
      <w:pPr>
        <w:ind w:left="2880" w:hanging="360"/>
      </w:pPr>
    </w:lvl>
    <w:lvl w:ilvl="4" w:tplc="E3B6717C" w:tentative="1">
      <w:start w:val="1"/>
      <w:numFmt w:val="lowerLetter"/>
      <w:lvlText w:val="%5."/>
      <w:lvlJc w:val="left"/>
      <w:pPr>
        <w:ind w:left="3600" w:hanging="360"/>
      </w:pPr>
    </w:lvl>
    <w:lvl w:ilvl="5" w:tplc="048A7AFA" w:tentative="1">
      <w:start w:val="1"/>
      <w:numFmt w:val="lowerRoman"/>
      <w:lvlText w:val="%6."/>
      <w:lvlJc w:val="right"/>
      <w:pPr>
        <w:ind w:left="4320" w:hanging="180"/>
      </w:pPr>
    </w:lvl>
    <w:lvl w:ilvl="6" w:tplc="5CF6D57A" w:tentative="1">
      <w:start w:val="1"/>
      <w:numFmt w:val="decimal"/>
      <w:lvlText w:val="%7."/>
      <w:lvlJc w:val="left"/>
      <w:pPr>
        <w:ind w:left="5040" w:hanging="360"/>
      </w:pPr>
    </w:lvl>
    <w:lvl w:ilvl="7" w:tplc="3C6C5AA2" w:tentative="1">
      <w:start w:val="1"/>
      <w:numFmt w:val="lowerLetter"/>
      <w:lvlText w:val="%8."/>
      <w:lvlJc w:val="left"/>
      <w:pPr>
        <w:ind w:left="5760" w:hanging="360"/>
      </w:pPr>
    </w:lvl>
    <w:lvl w:ilvl="8" w:tplc="59F47E42" w:tentative="1">
      <w:start w:val="1"/>
      <w:numFmt w:val="lowerRoman"/>
      <w:lvlText w:val="%9."/>
      <w:lvlJc w:val="right"/>
      <w:pPr>
        <w:ind w:left="6480" w:hanging="180"/>
      </w:pPr>
    </w:lvl>
  </w:abstractNum>
  <w:abstractNum w:abstractNumId="24" w15:restartNumberingAfterBreak="0">
    <w:nsid w:val="1C220B6A"/>
    <w:multiLevelType w:val="hybridMultilevel"/>
    <w:tmpl w:val="2BFEFCB4"/>
    <w:lvl w:ilvl="0" w:tplc="9318A762">
      <w:start w:val="1"/>
      <w:numFmt w:val="bullet"/>
      <w:lvlText w:val=""/>
      <w:lvlJc w:val="left"/>
      <w:pPr>
        <w:ind w:left="720" w:hanging="360"/>
      </w:pPr>
      <w:rPr>
        <w:rFonts w:ascii="Symbol" w:hAnsi="Symbol" w:hint="default"/>
      </w:rPr>
    </w:lvl>
    <w:lvl w:ilvl="1" w:tplc="EF6A6B48" w:tentative="1">
      <w:start w:val="1"/>
      <w:numFmt w:val="bullet"/>
      <w:lvlText w:val="o"/>
      <w:lvlJc w:val="left"/>
      <w:pPr>
        <w:ind w:left="1440" w:hanging="360"/>
      </w:pPr>
      <w:rPr>
        <w:rFonts w:ascii="Courier New" w:hAnsi="Courier New" w:cs="Courier New" w:hint="default"/>
      </w:rPr>
    </w:lvl>
    <w:lvl w:ilvl="2" w:tplc="48B4A62A" w:tentative="1">
      <w:start w:val="1"/>
      <w:numFmt w:val="bullet"/>
      <w:lvlText w:val=""/>
      <w:lvlJc w:val="left"/>
      <w:pPr>
        <w:ind w:left="2160" w:hanging="360"/>
      </w:pPr>
      <w:rPr>
        <w:rFonts w:ascii="Wingdings" w:hAnsi="Wingdings" w:hint="default"/>
      </w:rPr>
    </w:lvl>
    <w:lvl w:ilvl="3" w:tplc="48E4E75E" w:tentative="1">
      <w:start w:val="1"/>
      <w:numFmt w:val="bullet"/>
      <w:lvlText w:val=""/>
      <w:lvlJc w:val="left"/>
      <w:pPr>
        <w:ind w:left="2880" w:hanging="360"/>
      </w:pPr>
      <w:rPr>
        <w:rFonts w:ascii="Symbol" w:hAnsi="Symbol" w:hint="default"/>
      </w:rPr>
    </w:lvl>
    <w:lvl w:ilvl="4" w:tplc="8FE0ED50" w:tentative="1">
      <w:start w:val="1"/>
      <w:numFmt w:val="bullet"/>
      <w:lvlText w:val="o"/>
      <w:lvlJc w:val="left"/>
      <w:pPr>
        <w:ind w:left="3600" w:hanging="360"/>
      </w:pPr>
      <w:rPr>
        <w:rFonts w:ascii="Courier New" w:hAnsi="Courier New" w:cs="Courier New" w:hint="default"/>
      </w:rPr>
    </w:lvl>
    <w:lvl w:ilvl="5" w:tplc="D49CE6DC" w:tentative="1">
      <w:start w:val="1"/>
      <w:numFmt w:val="bullet"/>
      <w:lvlText w:val=""/>
      <w:lvlJc w:val="left"/>
      <w:pPr>
        <w:ind w:left="4320" w:hanging="360"/>
      </w:pPr>
      <w:rPr>
        <w:rFonts w:ascii="Wingdings" w:hAnsi="Wingdings" w:hint="default"/>
      </w:rPr>
    </w:lvl>
    <w:lvl w:ilvl="6" w:tplc="3086E2F4" w:tentative="1">
      <w:start w:val="1"/>
      <w:numFmt w:val="bullet"/>
      <w:lvlText w:val=""/>
      <w:lvlJc w:val="left"/>
      <w:pPr>
        <w:ind w:left="5040" w:hanging="360"/>
      </w:pPr>
      <w:rPr>
        <w:rFonts w:ascii="Symbol" w:hAnsi="Symbol" w:hint="default"/>
      </w:rPr>
    </w:lvl>
    <w:lvl w:ilvl="7" w:tplc="43E64320" w:tentative="1">
      <w:start w:val="1"/>
      <w:numFmt w:val="bullet"/>
      <w:lvlText w:val="o"/>
      <w:lvlJc w:val="left"/>
      <w:pPr>
        <w:ind w:left="5760" w:hanging="360"/>
      </w:pPr>
      <w:rPr>
        <w:rFonts w:ascii="Courier New" w:hAnsi="Courier New" w:cs="Courier New" w:hint="default"/>
      </w:rPr>
    </w:lvl>
    <w:lvl w:ilvl="8" w:tplc="A57CFBA0" w:tentative="1">
      <w:start w:val="1"/>
      <w:numFmt w:val="bullet"/>
      <w:lvlText w:val=""/>
      <w:lvlJc w:val="left"/>
      <w:pPr>
        <w:ind w:left="6480" w:hanging="360"/>
      </w:pPr>
      <w:rPr>
        <w:rFonts w:ascii="Wingdings" w:hAnsi="Wingdings" w:hint="default"/>
      </w:rPr>
    </w:lvl>
  </w:abstractNum>
  <w:abstractNum w:abstractNumId="25" w15:restartNumberingAfterBreak="0">
    <w:nsid w:val="1C4408E4"/>
    <w:multiLevelType w:val="hybridMultilevel"/>
    <w:tmpl w:val="45485FA0"/>
    <w:lvl w:ilvl="0" w:tplc="55646212">
      <w:start w:val="1"/>
      <w:numFmt w:val="decimal"/>
      <w:lvlText w:val="(%1)"/>
      <w:lvlJc w:val="left"/>
      <w:pPr>
        <w:ind w:left="720" w:hanging="360"/>
      </w:pPr>
      <w:rPr>
        <w:rFonts w:hint="default"/>
      </w:rPr>
    </w:lvl>
    <w:lvl w:ilvl="1" w:tplc="A9B2B082" w:tentative="1">
      <w:start w:val="1"/>
      <w:numFmt w:val="lowerLetter"/>
      <w:lvlText w:val="%2."/>
      <w:lvlJc w:val="left"/>
      <w:pPr>
        <w:ind w:left="1440" w:hanging="360"/>
      </w:pPr>
    </w:lvl>
    <w:lvl w:ilvl="2" w:tplc="F8160C8C" w:tentative="1">
      <w:start w:val="1"/>
      <w:numFmt w:val="lowerRoman"/>
      <w:lvlText w:val="%3."/>
      <w:lvlJc w:val="right"/>
      <w:pPr>
        <w:ind w:left="2160" w:hanging="180"/>
      </w:pPr>
    </w:lvl>
    <w:lvl w:ilvl="3" w:tplc="C55AB7E0" w:tentative="1">
      <w:start w:val="1"/>
      <w:numFmt w:val="decimal"/>
      <w:lvlText w:val="%4."/>
      <w:lvlJc w:val="left"/>
      <w:pPr>
        <w:ind w:left="2880" w:hanging="360"/>
      </w:pPr>
    </w:lvl>
    <w:lvl w:ilvl="4" w:tplc="A3B49D22" w:tentative="1">
      <w:start w:val="1"/>
      <w:numFmt w:val="lowerLetter"/>
      <w:lvlText w:val="%5."/>
      <w:lvlJc w:val="left"/>
      <w:pPr>
        <w:ind w:left="3600" w:hanging="360"/>
      </w:pPr>
    </w:lvl>
    <w:lvl w:ilvl="5" w:tplc="872AC9FA" w:tentative="1">
      <w:start w:val="1"/>
      <w:numFmt w:val="lowerRoman"/>
      <w:lvlText w:val="%6."/>
      <w:lvlJc w:val="right"/>
      <w:pPr>
        <w:ind w:left="4320" w:hanging="180"/>
      </w:pPr>
    </w:lvl>
    <w:lvl w:ilvl="6" w:tplc="2A9E535A" w:tentative="1">
      <w:start w:val="1"/>
      <w:numFmt w:val="decimal"/>
      <w:lvlText w:val="%7."/>
      <w:lvlJc w:val="left"/>
      <w:pPr>
        <w:ind w:left="5040" w:hanging="360"/>
      </w:pPr>
    </w:lvl>
    <w:lvl w:ilvl="7" w:tplc="FAC2846E" w:tentative="1">
      <w:start w:val="1"/>
      <w:numFmt w:val="lowerLetter"/>
      <w:lvlText w:val="%8."/>
      <w:lvlJc w:val="left"/>
      <w:pPr>
        <w:ind w:left="5760" w:hanging="360"/>
      </w:pPr>
    </w:lvl>
    <w:lvl w:ilvl="8" w:tplc="E02A2800" w:tentative="1">
      <w:start w:val="1"/>
      <w:numFmt w:val="lowerRoman"/>
      <w:lvlText w:val="%9."/>
      <w:lvlJc w:val="right"/>
      <w:pPr>
        <w:ind w:left="6480" w:hanging="180"/>
      </w:pPr>
    </w:lvl>
  </w:abstractNum>
  <w:abstractNum w:abstractNumId="26" w15:restartNumberingAfterBreak="0">
    <w:nsid w:val="1D0B7871"/>
    <w:multiLevelType w:val="hybridMultilevel"/>
    <w:tmpl w:val="4DBCB6CA"/>
    <w:lvl w:ilvl="0" w:tplc="354027E6">
      <w:start w:val="1"/>
      <w:numFmt w:val="decimal"/>
      <w:lvlText w:val="(%1)"/>
      <w:lvlJc w:val="left"/>
      <w:pPr>
        <w:ind w:left="720" w:hanging="360"/>
      </w:pPr>
      <w:rPr>
        <w:rFonts w:hint="default"/>
      </w:rPr>
    </w:lvl>
    <w:lvl w:ilvl="1" w:tplc="FFEA3E7E" w:tentative="1">
      <w:start w:val="1"/>
      <w:numFmt w:val="lowerLetter"/>
      <w:lvlText w:val="%2."/>
      <w:lvlJc w:val="left"/>
      <w:pPr>
        <w:ind w:left="1440" w:hanging="360"/>
      </w:pPr>
    </w:lvl>
    <w:lvl w:ilvl="2" w:tplc="F1585D58" w:tentative="1">
      <w:start w:val="1"/>
      <w:numFmt w:val="lowerRoman"/>
      <w:lvlText w:val="%3."/>
      <w:lvlJc w:val="right"/>
      <w:pPr>
        <w:ind w:left="2160" w:hanging="180"/>
      </w:pPr>
    </w:lvl>
    <w:lvl w:ilvl="3" w:tplc="63DC8B8E" w:tentative="1">
      <w:start w:val="1"/>
      <w:numFmt w:val="decimal"/>
      <w:lvlText w:val="%4."/>
      <w:lvlJc w:val="left"/>
      <w:pPr>
        <w:ind w:left="2880" w:hanging="360"/>
      </w:pPr>
    </w:lvl>
    <w:lvl w:ilvl="4" w:tplc="5D0AAD5C" w:tentative="1">
      <w:start w:val="1"/>
      <w:numFmt w:val="lowerLetter"/>
      <w:lvlText w:val="%5."/>
      <w:lvlJc w:val="left"/>
      <w:pPr>
        <w:ind w:left="3600" w:hanging="360"/>
      </w:pPr>
    </w:lvl>
    <w:lvl w:ilvl="5" w:tplc="2DF6ABD2" w:tentative="1">
      <w:start w:val="1"/>
      <w:numFmt w:val="lowerRoman"/>
      <w:lvlText w:val="%6."/>
      <w:lvlJc w:val="right"/>
      <w:pPr>
        <w:ind w:left="4320" w:hanging="180"/>
      </w:pPr>
    </w:lvl>
    <w:lvl w:ilvl="6" w:tplc="0350916A" w:tentative="1">
      <w:start w:val="1"/>
      <w:numFmt w:val="decimal"/>
      <w:lvlText w:val="%7."/>
      <w:lvlJc w:val="left"/>
      <w:pPr>
        <w:ind w:left="5040" w:hanging="360"/>
      </w:pPr>
    </w:lvl>
    <w:lvl w:ilvl="7" w:tplc="0DC0CAEC" w:tentative="1">
      <w:start w:val="1"/>
      <w:numFmt w:val="lowerLetter"/>
      <w:lvlText w:val="%8."/>
      <w:lvlJc w:val="left"/>
      <w:pPr>
        <w:ind w:left="5760" w:hanging="360"/>
      </w:pPr>
    </w:lvl>
    <w:lvl w:ilvl="8" w:tplc="34C6D9FE" w:tentative="1">
      <w:start w:val="1"/>
      <w:numFmt w:val="lowerRoman"/>
      <w:lvlText w:val="%9."/>
      <w:lvlJc w:val="right"/>
      <w:pPr>
        <w:ind w:left="6480" w:hanging="180"/>
      </w:pPr>
    </w:lvl>
  </w:abstractNum>
  <w:abstractNum w:abstractNumId="27" w15:restartNumberingAfterBreak="0">
    <w:nsid w:val="1FB93CD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1FCB6E59"/>
    <w:multiLevelType w:val="hybridMultilevel"/>
    <w:tmpl w:val="6E6A77C4"/>
    <w:lvl w:ilvl="0" w:tplc="051A1D1E">
      <w:start w:val="1"/>
      <w:numFmt w:val="decimal"/>
      <w:lvlText w:val="(%1)"/>
      <w:lvlJc w:val="left"/>
      <w:pPr>
        <w:ind w:left="720" w:hanging="360"/>
      </w:pPr>
      <w:rPr>
        <w:rFonts w:hint="default"/>
      </w:rPr>
    </w:lvl>
    <w:lvl w:ilvl="1" w:tplc="872AD58C" w:tentative="1">
      <w:start w:val="1"/>
      <w:numFmt w:val="lowerLetter"/>
      <w:lvlText w:val="%2."/>
      <w:lvlJc w:val="left"/>
      <w:pPr>
        <w:ind w:left="1440" w:hanging="360"/>
      </w:pPr>
    </w:lvl>
    <w:lvl w:ilvl="2" w:tplc="F0B60AC0" w:tentative="1">
      <w:start w:val="1"/>
      <w:numFmt w:val="lowerRoman"/>
      <w:lvlText w:val="%3."/>
      <w:lvlJc w:val="right"/>
      <w:pPr>
        <w:ind w:left="2160" w:hanging="180"/>
      </w:pPr>
    </w:lvl>
    <w:lvl w:ilvl="3" w:tplc="CD0E3BDE" w:tentative="1">
      <w:start w:val="1"/>
      <w:numFmt w:val="decimal"/>
      <w:lvlText w:val="%4."/>
      <w:lvlJc w:val="left"/>
      <w:pPr>
        <w:ind w:left="2880" w:hanging="360"/>
      </w:pPr>
    </w:lvl>
    <w:lvl w:ilvl="4" w:tplc="13B43B6C" w:tentative="1">
      <w:start w:val="1"/>
      <w:numFmt w:val="lowerLetter"/>
      <w:lvlText w:val="%5."/>
      <w:lvlJc w:val="left"/>
      <w:pPr>
        <w:ind w:left="3600" w:hanging="360"/>
      </w:pPr>
    </w:lvl>
    <w:lvl w:ilvl="5" w:tplc="1C3C8D34" w:tentative="1">
      <w:start w:val="1"/>
      <w:numFmt w:val="lowerRoman"/>
      <w:lvlText w:val="%6."/>
      <w:lvlJc w:val="right"/>
      <w:pPr>
        <w:ind w:left="4320" w:hanging="180"/>
      </w:pPr>
    </w:lvl>
    <w:lvl w:ilvl="6" w:tplc="74324242" w:tentative="1">
      <w:start w:val="1"/>
      <w:numFmt w:val="decimal"/>
      <w:lvlText w:val="%7."/>
      <w:lvlJc w:val="left"/>
      <w:pPr>
        <w:ind w:left="5040" w:hanging="360"/>
      </w:pPr>
    </w:lvl>
    <w:lvl w:ilvl="7" w:tplc="527A6F36" w:tentative="1">
      <w:start w:val="1"/>
      <w:numFmt w:val="lowerLetter"/>
      <w:lvlText w:val="%8."/>
      <w:lvlJc w:val="left"/>
      <w:pPr>
        <w:ind w:left="5760" w:hanging="360"/>
      </w:pPr>
    </w:lvl>
    <w:lvl w:ilvl="8" w:tplc="FDF8C1E4" w:tentative="1">
      <w:start w:val="1"/>
      <w:numFmt w:val="lowerRoman"/>
      <w:lvlText w:val="%9."/>
      <w:lvlJc w:val="right"/>
      <w:pPr>
        <w:ind w:left="6480" w:hanging="180"/>
      </w:pPr>
    </w:lvl>
  </w:abstractNum>
  <w:abstractNum w:abstractNumId="29" w15:restartNumberingAfterBreak="0">
    <w:nsid w:val="203C507B"/>
    <w:multiLevelType w:val="hybridMultilevel"/>
    <w:tmpl w:val="7696DCC0"/>
    <w:lvl w:ilvl="0" w:tplc="FD1A56EA">
      <w:start w:val="1"/>
      <w:numFmt w:val="bullet"/>
      <w:lvlText w:val=""/>
      <w:lvlJc w:val="left"/>
      <w:pPr>
        <w:ind w:left="720" w:hanging="360"/>
      </w:pPr>
      <w:rPr>
        <w:rFonts w:ascii="Symbol" w:hAnsi="Symbol" w:hint="default"/>
      </w:rPr>
    </w:lvl>
    <w:lvl w:ilvl="1" w:tplc="AD82C69A" w:tentative="1">
      <w:start w:val="1"/>
      <w:numFmt w:val="bullet"/>
      <w:lvlText w:val="o"/>
      <w:lvlJc w:val="left"/>
      <w:pPr>
        <w:ind w:left="1440" w:hanging="360"/>
      </w:pPr>
      <w:rPr>
        <w:rFonts w:ascii="Courier New" w:hAnsi="Courier New" w:cs="Courier New" w:hint="default"/>
      </w:rPr>
    </w:lvl>
    <w:lvl w:ilvl="2" w:tplc="7BF294EA" w:tentative="1">
      <w:start w:val="1"/>
      <w:numFmt w:val="bullet"/>
      <w:lvlText w:val=""/>
      <w:lvlJc w:val="left"/>
      <w:pPr>
        <w:ind w:left="2160" w:hanging="360"/>
      </w:pPr>
      <w:rPr>
        <w:rFonts w:ascii="Wingdings" w:hAnsi="Wingdings" w:hint="default"/>
      </w:rPr>
    </w:lvl>
    <w:lvl w:ilvl="3" w:tplc="5C721290" w:tentative="1">
      <w:start w:val="1"/>
      <w:numFmt w:val="bullet"/>
      <w:lvlText w:val=""/>
      <w:lvlJc w:val="left"/>
      <w:pPr>
        <w:ind w:left="2880" w:hanging="360"/>
      </w:pPr>
      <w:rPr>
        <w:rFonts w:ascii="Symbol" w:hAnsi="Symbol" w:hint="default"/>
      </w:rPr>
    </w:lvl>
    <w:lvl w:ilvl="4" w:tplc="790AF0E2" w:tentative="1">
      <w:start w:val="1"/>
      <w:numFmt w:val="bullet"/>
      <w:lvlText w:val="o"/>
      <w:lvlJc w:val="left"/>
      <w:pPr>
        <w:ind w:left="3600" w:hanging="360"/>
      </w:pPr>
      <w:rPr>
        <w:rFonts w:ascii="Courier New" w:hAnsi="Courier New" w:cs="Courier New" w:hint="default"/>
      </w:rPr>
    </w:lvl>
    <w:lvl w:ilvl="5" w:tplc="BC8CBBC2" w:tentative="1">
      <w:start w:val="1"/>
      <w:numFmt w:val="bullet"/>
      <w:lvlText w:val=""/>
      <w:lvlJc w:val="left"/>
      <w:pPr>
        <w:ind w:left="4320" w:hanging="360"/>
      </w:pPr>
      <w:rPr>
        <w:rFonts w:ascii="Wingdings" w:hAnsi="Wingdings" w:hint="default"/>
      </w:rPr>
    </w:lvl>
    <w:lvl w:ilvl="6" w:tplc="BB6A6EEC" w:tentative="1">
      <w:start w:val="1"/>
      <w:numFmt w:val="bullet"/>
      <w:lvlText w:val=""/>
      <w:lvlJc w:val="left"/>
      <w:pPr>
        <w:ind w:left="5040" w:hanging="360"/>
      </w:pPr>
      <w:rPr>
        <w:rFonts w:ascii="Symbol" w:hAnsi="Symbol" w:hint="default"/>
      </w:rPr>
    </w:lvl>
    <w:lvl w:ilvl="7" w:tplc="D5FE0DFC" w:tentative="1">
      <w:start w:val="1"/>
      <w:numFmt w:val="bullet"/>
      <w:lvlText w:val="o"/>
      <w:lvlJc w:val="left"/>
      <w:pPr>
        <w:ind w:left="5760" w:hanging="360"/>
      </w:pPr>
      <w:rPr>
        <w:rFonts w:ascii="Courier New" w:hAnsi="Courier New" w:cs="Courier New" w:hint="default"/>
      </w:rPr>
    </w:lvl>
    <w:lvl w:ilvl="8" w:tplc="F9C6CD36" w:tentative="1">
      <w:start w:val="1"/>
      <w:numFmt w:val="bullet"/>
      <w:lvlText w:val=""/>
      <w:lvlJc w:val="left"/>
      <w:pPr>
        <w:ind w:left="6480" w:hanging="360"/>
      </w:pPr>
      <w:rPr>
        <w:rFonts w:ascii="Wingdings" w:hAnsi="Wingdings" w:hint="default"/>
      </w:rPr>
    </w:lvl>
  </w:abstractNum>
  <w:abstractNum w:abstractNumId="30" w15:restartNumberingAfterBreak="0">
    <w:nsid w:val="221F3E32"/>
    <w:multiLevelType w:val="hybridMultilevel"/>
    <w:tmpl w:val="AB2E7710"/>
    <w:lvl w:ilvl="0" w:tplc="F64C8AB8">
      <w:numFmt w:val="bullet"/>
      <w:lvlText w:val="•"/>
      <w:lvlJc w:val="left"/>
      <w:pPr>
        <w:ind w:left="360" w:hanging="360"/>
      </w:pPr>
      <w:rPr>
        <w:rFonts w:ascii="Calibri" w:hAnsi="Calibri" w:hint="default"/>
        <w:b w:val="0"/>
        <w:sz w:val="24"/>
      </w:rPr>
    </w:lvl>
    <w:lvl w:ilvl="1" w:tplc="1D72FE96" w:tentative="1">
      <w:start w:val="1"/>
      <w:numFmt w:val="bullet"/>
      <w:lvlText w:val="o"/>
      <w:lvlJc w:val="left"/>
      <w:pPr>
        <w:ind w:left="1080" w:hanging="360"/>
      </w:pPr>
      <w:rPr>
        <w:rFonts w:ascii="Courier New" w:hAnsi="Courier New" w:cs="Courier New" w:hint="default"/>
      </w:rPr>
    </w:lvl>
    <w:lvl w:ilvl="2" w:tplc="83302BD4" w:tentative="1">
      <w:start w:val="1"/>
      <w:numFmt w:val="bullet"/>
      <w:lvlText w:val=""/>
      <w:lvlJc w:val="left"/>
      <w:pPr>
        <w:ind w:left="1800" w:hanging="360"/>
      </w:pPr>
      <w:rPr>
        <w:rFonts w:ascii="Wingdings" w:hAnsi="Wingdings" w:hint="default"/>
      </w:rPr>
    </w:lvl>
    <w:lvl w:ilvl="3" w:tplc="B3A0B930" w:tentative="1">
      <w:start w:val="1"/>
      <w:numFmt w:val="bullet"/>
      <w:lvlText w:val=""/>
      <w:lvlJc w:val="left"/>
      <w:pPr>
        <w:ind w:left="2520" w:hanging="360"/>
      </w:pPr>
      <w:rPr>
        <w:rFonts w:ascii="Symbol" w:hAnsi="Symbol" w:hint="default"/>
      </w:rPr>
    </w:lvl>
    <w:lvl w:ilvl="4" w:tplc="F7CAB360" w:tentative="1">
      <w:start w:val="1"/>
      <w:numFmt w:val="bullet"/>
      <w:lvlText w:val="o"/>
      <w:lvlJc w:val="left"/>
      <w:pPr>
        <w:ind w:left="3240" w:hanging="360"/>
      </w:pPr>
      <w:rPr>
        <w:rFonts w:ascii="Courier New" w:hAnsi="Courier New" w:cs="Courier New" w:hint="default"/>
      </w:rPr>
    </w:lvl>
    <w:lvl w:ilvl="5" w:tplc="DD940A2C" w:tentative="1">
      <w:start w:val="1"/>
      <w:numFmt w:val="bullet"/>
      <w:lvlText w:val=""/>
      <w:lvlJc w:val="left"/>
      <w:pPr>
        <w:ind w:left="3960" w:hanging="360"/>
      </w:pPr>
      <w:rPr>
        <w:rFonts w:ascii="Wingdings" w:hAnsi="Wingdings" w:hint="default"/>
      </w:rPr>
    </w:lvl>
    <w:lvl w:ilvl="6" w:tplc="86644DAC" w:tentative="1">
      <w:start w:val="1"/>
      <w:numFmt w:val="bullet"/>
      <w:lvlText w:val=""/>
      <w:lvlJc w:val="left"/>
      <w:pPr>
        <w:ind w:left="4680" w:hanging="360"/>
      </w:pPr>
      <w:rPr>
        <w:rFonts w:ascii="Symbol" w:hAnsi="Symbol" w:hint="default"/>
      </w:rPr>
    </w:lvl>
    <w:lvl w:ilvl="7" w:tplc="173E1FC4" w:tentative="1">
      <w:start w:val="1"/>
      <w:numFmt w:val="bullet"/>
      <w:lvlText w:val="o"/>
      <w:lvlJc w:val="left"/>
      <w:pPr>
        <w:ind w:left="5400" w:hanging="360"/>
      </w:pPr>
      <w:rPr>
        <w:rFonts w:ascii="Courier New" w:hAnsi="Courier New" w:cs="Courier New" w:hint="default"/>
      </w:rPr>
    </w:lvl>
    <w:lvl w:ilvl="8" w:tplc="EAE037DC" w:tentative="1">
      <w:start w:val="1"/>
      <w:numFmt w:val="bullet"/>
      <w:lvlText w:val=""/>
      <w:lvlJc w:val="left"/>
      <w:pPr>
        <w:ind w:left="6120" w:hanging="360"/>
      </w:pPr>
      <w:rPr>
        <w:rFonts w:ascii="Wingdings" w:hAnsi="Wingdings" w:hint="default"/>
      </w:rPr>
    </w:lvl>
  </w:abstractNum>
  <w:abstractNum w:abstractNumId="31" w15:restartNumberingAfterBreak="0">
    <w:nsid w:val="229279C5"/>
    <w:multiLevelType w:val="hybridMultilevel"/>
    <w:tmpl w:val="B4548036"/>
    <w:lvl w:ilvl="0" w:tplc="890295FA">
      <w:start w:val="1"/>
      <w:numFmt w:val="bullet"/>
      <w:pStyle w:val="ListBullet"/>
      <w:lvlText w:val="•"/>
      <w:lvlJc w:val="left"/>
      <w:pPr>
        <w:tabs>
          <w:tab w:val="num" w:pos="360"/>
        </w:tabs>
        <w:ind w:left="360" w:hanging="360"/>
      </w:pPr>
      <w:rPr>
        <w:rFonts w:ascii="Arial" w:hAnsi="Arial" w:hint="default"/>
        <w:color w:val="43579B"/>
      </w:rPr>
    </w:lvl>
    <w:lvl w:ilvl="1" w:tplc="30885540">
      <w:start w:val="1"/>
      <w:numFmt w:val="bullet"/>
      <w:lvlText w:val="o"/>
      <w:lvlJc w:val="left"/>
      <w:pPr>
        <w:ind w:left="1440" w:hanging="360"/>
      </w:pPr>
      <w:rPr>
        <w:rFonts w:ascii="Courier New" w:hAnsi="Courier New" w:cs="Courier New" w:hint="default"/>
      </w:rPr>
    </w:lvl>
    <w:lvl w:ilvl="2" w:tplc="E60C020A" w:tentative="1">
      <w:start w:val="1"/>
      <w:numFmt w:val="bullet"/>
      <w:lvlText w:val=""/>
      <w:lvlJc w:val="left"/>
      <w:pPr>
        <w:ind w:left="2160" w:hanging="360"/>
      </w:pPr>
      <w:rPr>
        <w:rFonts w:ascii="Wingdings" w:hAnsi="Wingdings" w:hint="default"/>
      </w:rPr>
    </w:lvl>
    <w:lvl w:ilvl="3" w:tplc="9ADC895A" w:tentative="1">
      <w:start w:val="1"/>
      <w:numFmt w:val="bullet"/>
      <w:lvlText w:val=""/>
      <w:lvlJc w:val="left"/>
      <w:pPr>
        <w:ind w:left="2880" w:hanging="360"/>
      </w:pPr>
      <w:rPr>
        <w:rFonts w:ascii="Symbol" w:hAnsi="Symbol" w:hint="default"/>
      </w:rPr>
    </w:lvl>
    <w:lvl w:ilvl="4" w:tplc="EACE8FE2" w:tentative="1">
      <w:start w:val="1"/>
      <w:numFmt w:val="bullet"/>
      <w:lvlText w:val="o"/>
      <w:lvlJc w:val="left"/>
      <w:pPr>
        <w:ind w:left="3600" w:hanging="360"/>
      </w:pPr>
      <w:rPr>
        <w:rFonts w:ascii="Courier New" w:hAnsi="Courier New" w:cs="Courier New" w:hint="default"/>
      </w:rPr>
    </w:lvl>
    <w:lvl w:ilvl="5" w:tplc="4B7C2C2E" w:tentative="1">
      <w:start w:val="1"/>
      <w:numFmt w:val="bullet"/>
      <w:lvlText w:val=""/>
      <w:lvlJc w:val="left"/>
      <w:pPr>
        <w:ind w:left="4320" w:hanging="360"/>
      </w:pPr>
      <w:rPr>
        <w:rFonts w:ascii="Wingdings" w:hAnsi="Wingdings" w:hint="default"/>
      </w:rPr>
    </w:lvl>
    <w:lvl w:ilvl="6" w:tplc="488A40AC" w:tentative="1">
      <w:start w:val="1"/>
      <w:numFmt w:val="bullet"/>
      <w:lvlText w:val=""/>
      <w:lvlJc w:val="left"/>
      <w:pPr>
        <w:ind w:left="5040" w:hanging="360"/>
      </w:pPr>
      <w:rPr>
        <w:rFonts w:ascii="Symbol" w:hAnsi="Symbol" w:hint="default"/>
      </w:rPr>
    </w:lvl>
    <w:lvl w:ilvl="7" w:tplc="9A680A58" w:tentative="1">
      <w:start w:val="1"/>
      <w:numFmt w:val="bullet"/>
      <w:lvlText w:val="o"/>
      <w:lvlJc w:val="left"/>
      <w:pPr>
        <w:ind w:left="5760" w:hanging="360"/>
      </w:pPr>
      <w:rPr>
        <w:rFonts w:ascii="Courier New" w:hAnsi="Courier New" w:cs="Courier New" w:hint="default"/>
      </w:rPr>
    </w:lvl>
    <w:lvl w:ilvl="8" w:tplc="4E44FD70" w:tentative="1">
      <w:start w:val="1"/>
      <w:numFmt w:val="bullet"/>
      <w:lvlText w:val=""/>
      <w:lvlJc w:val="left"/>
      <w:pPr>
        <w:ind w:left="6480" w:hanging="360"/>
      </w:pPr>
      <w:rPr>
        <w:rFonts w:ascii="Wingdings" w:hAnsi="Wingdings" w:hint="default"/>
      </w:rPr>
    </w:lvl>
  </w:abstractNum>
  <w:abstractNum w:abstractNumId="32" w15:restartNumberingAfterBreak="0">
    <w:nsid w:val="230ED049"/>
    <w:multiLevelType w:val="hybridMultilevel"/>
    <w:tmpl w:val="FFFFFFFF"/>
    <w:lvl w:ilvl="0" w:tplc="671ACB28">
      <w:start w:val="1"/>
      <w:numFmt w:val="bullet"/>
      <w:lvlText w:val=""/>
      <w:lvlJc w:val="left"/>
      <w:pPr>
        <w:ind w:left="720" w:hanging="360"/>
      </w:pPr>
      <w:rPr>
        <w:rFonts w:ascii="Symbol" w:hAnsi="Symbol" w:hint="default"/>
      </w:rPr>
    </w:lvl>
    <w:lvl w:ilvl="1" w:tplc="67E639C2">
      <w:start w:val="1"/>
      <w:numFmt w:val="bullet"/>
      <w:lvlText w:val="o"/>
      <w:lvlJc w:val="left"/>
      <w:pPr>
        <w:ind w:left="1440" w:hanging="360"/>
      </w:pPr>
      <w:rPr>
        <w:rFonts w:ascii="Courier New" w:hAnsi="Courier New" w:hint="default"/>
      </w:rPr>
    </w:lvl>
    <w:lvl w:ilvl="2" w:tplc="3F3C6136">
      <w:start w:val="1"/>
      <w:numFmt w:val="bullet"/>
      <w:lvlText w:val=""/>
      <w:lvlJc w:val="left"/>
      <w:pPr>
        <w:ind w:left="2160" w:hanging="360"/>
      </w:pPr>
      <w:rPr>
        <w:rFonts w:ascii="Wingdings" w:hAnsi="Wingdings" w:hint="default"/>
      </w:rPr>
    </w:lvl>
    <w:lvl w:ilvl="3" w:tplc="BE9C0868">
      <w:start w:val="1"/>
      <w:numFmt w:val="bullet"/>
      <w:lvlText w:val=""/>
      <w:lvlJc w:val="left"/>
      <w:pPr>
        <w:ind w:left="2880" w:hanging="360"/>
      </w:pPr>
      <w:rPr>
        <w:rFonts w:ascii="Symbol" w:hAnsi="Symbol" w:hint="default"/>
      </w:rPr>
    </w:lvl>
    <w:lvl w:ilvl="4" w:tplc="F770278A">
      <w:start w:val="1"/>
      <w:numFmt w:val="bullet"/>
      <w:lvlText w:val="o"/>
      <w:lvlJc w:val="left"/>
      <w:pPr>
        <w:ind w:left="3600" w:hanging="360"/>
      </w:pPr>
      <w:rPr>
        <w:rFonts w:ascii="Courier New" w:hAnsi="Courier New" w:hint="default"/>
      </w:rPr>
    </w:lvl>
    <w:lvl w:ilvl="5" w:tplc="5910544A">
      <w:start w:val="1"/>
      <w:numFmt w:val="bullet"/>
      <w:lvlText w:val=""/>
      <w:lvlJc w:val="left"/>
      <w:pPr>
        <w:ind w:left="4320" w:hanging="360"/>
      </w:pPr>
      <w:rPr>
        <w:rFonts w:ascii="Wingdings" w:hAnsi="Wingdings" w:hint="default"/>
      </w:rPr>
    </w:lvl>
    <w:lvl w:ilvl="6" w:tplc="0858678A">
      <w:start w:val="1"/>
      <w:numFmt w:val="bullet"/>
      <w:lvlText w:val=""/>
      <w:lvlJc w:val="left"/>
      <w:pPr>
        <w:ind w:left="5040" w:hanging="360"/>
      </w:pPr>
      <w:rPr>
        <w:rFonts w:ascii="Symbol" w:hAnsi="Symbol" w:hint="default"/>
      </w:rPr>
    </w:lvl>
    <w:lvl w:ilvl="7" w:tplc="B9A43FD8">
      <w:start w:val="1"/>
      <w:numFmt w:val="bullet"/>
      <w:lvlText w:val="o"/>
      <w:lvlJc w:val="left"/>
      <w:pPr>
        <w:ind w:left="5760" w:hanging="360"/>
      </w:pPr>
      <w:rPr>
        <w:rFonts w:ascii="Courier New" w:hAnsi="Courier New" w:hint="default"/>
      </w:rPr>
    </w:lvl>
    <w:lvl w:ilvl="8" w:tplc="A4E2039E">
      <w:start w:val="1"/>
      <w:numFmt w:val="bullet"/>
      <w:lvlText w:val=""/>
      <w:lvlJc w:val="left"/>
      <w:pPr>
        <w:ind w:left="6480" w:hanging="360"/>
      </w:pPr>
      <w:rPr>
        <w:rFonts w:ascii="Wingdings" w:hAnsi="Wingdings" w:hint="default"/>
      </w:rPr>
    </w:lvl>
  </w:abstractNum>
  <w:abstractNum w:abstractNumId="33" w15:restartNumberingAfterBreak="0">
    <w:nsid w:val="231DF128"/>
    <w:multiLevelType w:val="hybridMultilevel"/>
    <w:tmpl w:val="AD761BE0"/>
    <w:lvl w:ilvl="0" w:tplc="B346F196">
      <w:start w:val="1"/>
      <w:numFmt w:val="bullet"/>
      <w:lvlText w:val=""/>
      <w:lvlJc w:val="left"/>
      <w:pPr>
        <w:ind w:left="720" w:hanging="360"/>
      </w:pPr>
      <w:rPr>
        <w:rFonts w:ascii="Symbol" w:hAnsi="Symbol" w:hint="default"/>
      </w:rPr>
    </w:lvl>
    <w:lvl w:ilvl="1" w:tplc="910A9458">
      <w:start w:val="1"/>
      <w:numFmt w:val="bullet"/>
      <w:lvlText w:val="o"/>
      <w:lvlJc w:val="left"/>
      <w:pPr>
        <w:ind w:left="1440" w:hanging="360"/>
      </w:pPr>
      <w:rPr>
        <w:rFonts w:ascii="Courier New" w:hAnsi="Courier New" w:hint="default"/>
      </w:rPr>
    </w:lvl>
    <w:lvl w:ilvl="2" w:tplc="64DE05FA">
      <w:start w:val="1"/>
      <w:numFmt w:val="bullet"/>
      <w:lvlText w:val=""/>
      <w:lvlJc w:val="left"/>
      <w:pPr>
        <w:ind w:left="2160" w:hanging="360"/>
      </w:pPr>
      <w:rPr>
        <w:rFonts w:ascii="Wingdings" w:hAnsi="Wingdings" w:hint="default"/>
      </w:rPr>
    </w:lvl>
    <w:lvl w:ilvl="3" w:tplc="B0240B76">
      <w:start w:val="1"/>
      <w:numFmt w:val="bullet"/>
      <w:lvlText w:val=""/>
      <w:lvlJc w:val="left"/>
      <w:pPr>
        <w:ind w:left="2880" w:hanging="360"/>
      </w:pPr>
      <w:rPr>
        <w:rFonts w:ascii="Symbol" w:hAnsi="Symbol" w:hint="default"/>
      </w:rPr>
    </w:lvl>
    <w:lvl w:ilvl="4" w:tplc="2956154C">
      <w:start w:val="1"/>
      <w:numFmt w:val="bullet"/>
      <w:lvlText w:val="o"/>
      <w:lvlJc w:val="left"/>
      <w:pPr>
        <w:ind w:left="3600" w:hanging="360"/>
      </w:pPr>
      <w:rPr>
        <w:rFonts w:ascii="Courier New" w:hAnsi="Courier New" w:hint="default"/>
      </w:rPr>
    </w:lvl>
    <w:lvl w:ilvl="5" w:tplc="4CAAA0FC">
      <w:start w:val="1"/>
      <w:numFmt w:val="bullet"/>
      <w:lvlText w:val=""/>
      <w:lvlJc w:val="left"/>
      <w:pPr>
        <w:ind w:left="4320" w:hanging="360"/>
      </w:pPr>
      <w:rPr>
        <w:rFonts w:ascii="Wingdings" w:hAnsi="Wingdings" w:hint="default"/>
      </w:rPr>
    </w:lvl>
    <w:lvl w:ilvl="6" w:tplc="8206C51E">
      <w:start w:val="1"/>
      <w:numFmt w:val="bullet"/>
      <w:lvlText w:val=""/>
      <w:lvlJc w:val="left"/>
      <w:pPr>
        <w:ind w:left="5040" w:hanging="360"/>
      </w:pPr>
      <w:rPr>
        <w:rFonts w:ascii="Symbol" w:hAnsi="Symbol" w:hint="default"/>
      </w:rPr>
    </w:lvl>
    <w:lvl w:ilvl="7" w:tplc="BE987C7C">
      <w:start w:val="1"/>
      <w:numFmt w:val="bullet"/>
      <w:lvlText w:val="o"/>
      <w:lvlJc w:val="left"/>
      <w:pPr>
        <w:ind w:left="5760" w:hanging="360"/>
      </w:pPr>
      <w:rPr>
        <w:rFonts w:ascii="Courier New" w:hAnsi="Courier New" w:hint="default"/>
      </w:rPr>
    </w:lvl>
    <w:lvl w:ilvl="8" w:tplc="1DFE03C2">
      <w:start w:val="1"/>
      <w:numFmt w:val="bullet"/>
      <w:lvlText w:val=""/>
      <w:lvlJc w:val="left"/>
      <w:pPr>
        <w:ind w:left="6480" w:hanging="360"/>
      </w:pPr>
      <w:rPr>
        <w:rFonts w:ascii="Wingdings" w:hAnsi="Wingdings" w:hint="default"/>
      </w:rPr>
    </w:lvl>
  </w:abstractNum>
  <w:abstractNum w:abstractNumId="34" w15:restartNumberingAfterBreak="0">
    <w:nsid w:val="237A2758"/>
    <w:multiLevelType w:val="multilevel"/>
    <w:tmpl w:val="BA1C709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248777DB"/>
    <w:multiLevelType w:val="hybridMultilevel"/>
    <w:tmpl w:val="C3EE2EEA"/>
    <w:lvl w:ilvl="0" w:tplc="CA92C2D8">
      <w:start w:val="1"/>
      <w:numFmt w:val="bullet"/>
      <w:lvlText w:val=""/>
      <w:lvlJc w:val="left"/>
      <w:pPr>
        <w:ind w:left="720" w:hanging="360"/>
      </w:pPr>
      <w:rPr>
        <w:rFonts w:ascii="Symbol" w:hAnsi="Symbol" w:hint="default"/>
      </w:rPr>
    </w:lvl>
    <w:lvl w:ilvl="1" w:tplc="83A82568" w:tentative="1">
      <w:start w:val="1"/>
      <w:numFmt w:val="bullet"/>
      <w:lvlText w:val="o"/>
      <w:lvlJc w:val="left"/>
      <w:pPr>
        <w:ind w:left="1440" w:hanging="360"/>
      </w:pPr>
      <w:rPr>
        <w:rFonts w:ascii="Courier New" w:hAnsi="Courier New" w:cs="Courier New" w:hint="default"/>
      </w:rPr>
    </w:lvl>
    <w:lvl w:ilvl="2" w:tplc="81BC97B0" w:tentative="1">
      <w:start w:val="1"/>
      <w:numFmt w:val="bullet"/>
      <w:lvlText w:val=""/>
      <w:lvlJc w:val="left"/>
      <w:pPr>
        <w:ind w:left="2160" w:hanging="360"/>
      </w:pPr>
      <w:rPr>
        <w:rFonts w:ascii="Wingdings" w:hAnsi="Wingdings" w:hint="default"/>
      </w:rPr>
    </w:lvl>
    <w:lvl w:ilvl="3" w:tplc="B860F050" w:tentative="1">
      <w:start w:val="1"/>
      <w:numFmt w:val="bullet"/>
      <w:lvlText w:val=""/>
      <w:lvlJc w:val="left"/>
      <w:pPr>
        <w:ind w:left="2880" w:hanging="360"/>
      </w:pPr>
      <w:rPr>
        <w:rFonts w:ascii="Symbol" w:hAnsi="Symbol" w:hint="default"/>
      </w:rPr>
    </w:lvl>
    <w:lvl w:ilvl="4" w:tplc="F79CAA0E" w:tentative="1">
      <w:start w:val="1"/>
      <w:numFmt w:val="bullet"/>
      <w:lvlText w:val="o"/>
      <w:lvlJc w:val="left"/>
      <w:pPr>
        <w:ind w:left="3600" w:hanging="360"/>
      </w:pPr>
      <w:rPr>
        <w:rFonts w:ascii="Courier New" w:hAnsi="Courier New" w:cs="Courier New" w:hint="default"/>
      </w:rPr>
    </w:lvl>
    <w:lvl w:ilvl="5" w:tplc="5D26E352" w:tentative="1">
      <w:start w:val="1"/>
      <w:numFmt w:val="bullet"/>
      <w:lvlText w:val=""/>
      <w:lvlJc w:val="left"/>
      <w:pPr>
        <w:ind w:left="4320" w:hanging="360"/>
      </w:pPr>
      <w:rPr>
        <w:rFonts w:ascii="Wingdings" w:hAnsi="Wingdings" w:hint="default"/>
      </w:rPr>
    </w:lvl>
    <w:lvl w:ilvl="6" w:tplc="73A60A2C" w:tentative="1">
      <w:start w:val="1"/>
      <w:numFmt w:val="bullet"/>
      <w:lvlText w:val=""/>
      <w:lvlJc w:val="left"/>
      <w:pPr>
        <w:ind w:left="5040" w:hanging="360"/>
      </w:pPr>
      <w:rPr>
        <w:rFonts w:ascii="Symbol" w:hAnsi="Symbol" w:hint="default"/>
      </w:rPr>
    </w:lvl>
    <w:lvl w:ilvl="7" w:tplc="B7F4A4EE" w:tentative="1">
      <w:start w:val="1"/>
      <w:numFmt w:val="bullet"/>
      <w:lvlText w:val="o"/>
      <w:lvlJc w:val="left"/>
      <w:pPr>
        <w:ind w:left="5760" w:hanging="360"/>
      </w:pPr>
      <w:rPr>
        <w:rFonts w:ascii="Courier New" w:hAnsi="Courier New" w:cs="Courier New" w:hint="default"/>
      </w:rPr>
    </w:lvl>
    <w:lvl w:ilvl="8" w:tplc="B3E6FDA4" w:tentative="1">
      <w:start w:val="1"/>
      <w:numFmt w:val="bullet"/>
      <w:lvlText w:val=""/>
      <w:lvlJc w:val="left"/>
      <w:pPr>
        <w:ind w:left="6480" w:hanging="360"/>
      </w:pPr>
      <w:rPr>
        <w:rFonts w:ascii="Wingdings" w:hAnsi="Wingdings" w:hint="default"/>
      </w:rPr>
    </w:lvl>
  </w:abstractNum>
  <w:abstractNum w:abstractNumId="36" w15:restartNumberingAfterBreak="0">
    <w:nsid w:val="249F3406"/>
    <w:multiLevelType w:val="hybridMultilevel"/>
    <w:tmpl w:val="64A4737A"/>
    <w:lvl w:ilvl="0" w:tplc="0EAC4DB4">
      <w:start w:val="1"/>
      <w:numFmt w:val="bullet"/>
      <w:lvlText w:val=""/>
      <w:lvlJc w:val="left"/>
      <w:pPr>
        <w:ind w:left="720" w:hanging="360"/>
      </w:pPr>
      <w:rPr>
        <w:rFonts w:ascii="Symbol" w:hAnsi="Symbol" w:hint="default"/>
        <w:sz w:val="22"/>
        <w:szCs w:val="22"/>
      </w:rPr>
    </w:lvl>
    <w:lvl w:ilvl="1" w:tplc="789C64C8" w:tentative="1">
      <w:start w:val="1"/>
      <w:numFmt w:val="bullet"/>
      <w:lvlText w:val="o"/>
      <w:lvlJc w:val="left"/>
      <w:pPr>
        <w:ind w:left="1440" w:hanging="360"/>
      </w:pPr>
      <w:rPr>
        <w:rFonts w:ascii="Courier New" w:hAnsi="Courier New" w:cs="Courier New" w:hint="default"/>
      </w:rPr>
    </w:lvl>
    <w:lvl w:ilvl="2" w:tplc="A4945B52" w:tentative="1">
      <w:start w:val="1"/>
      <w:numFmt w:val="bullet"/>
      <w:lvlText w:val=""/>
      <w:lvlJc w:val="left"/>
      <w:pPr>
        <w:ind w:left="2160" w:hanging="360"/>
      </w:pPr>
      <w:rPr>
        <w:rFonts w:ascii="Wingdings" w:hAnsi="Wingdings" w:hint="default"/>
      </w:rPr>
    </w:lvl>
    <w:lvl w:ilvl="3" w:tplc="AEDEFB66" w:tentative="1">
      <w:start w:val="1"/>
      <w:numFmt w:val="bullet"/>
      <w:lvlText w:val=""/>
      <w:lvlJc w:val="left"/>
      <w:pPr>
        <w:ind w:left="2880" w:hanging="360"/>
      </w:pPr>
      <w:rPr>
        <w:rFonts w:ascii="Symbol" w:hAnsi="Symbol" w:hint="default"/>
      </w:rPr>
    </w:lvl>
    <w:lvl w:ilvl="4" w:tplc="FF726D02" w:tentative="1">
      <w:start w:val="1"/>
      <w:numFmt w:val="bullet"/>
      <w:lvlText w:val="o"/>
      <w:lvlJc w:val="left"/>
      <w:pPr>
        <w:ind w:left="3600" w:hanging="360"/>
      </w:pPr>
      <w:rPr>
        <w:rFonts w:ascii="Courier New" w:hAnsi="Courier New" w:cs="Courier New" w:hint="default"/>
      </w:rPr>
    </w:lvl>
    <w:lvl w:ilvl="5" w:tplc="74E6F97C" w:tentative="1">
      <w:start w:val="1"/>
      <w:numFmt w:val="bullet"/>
      <w:lvlText w:val=""/>
      <w:lvlJc w:val="left"/>
      <w:pPr>
        <w:ind w:left="4320" w:hanging="360"/>
      </w:pPr>
      <w:rPr>
        <w:rFonts w:ascii="Wingdings" w:hAnsi="Wingdings" w:hint="default"/>
      </w:rPr>
    </w:lvl>
    <w:lvl w:ilvl="6" w:tplc="BE48682A" w:tentative="1">
      <w:start w:val="1"/>
      <w:numFmt w:val="bullet"/>
      <w:lvlText w:val=""/>
      <w:lvlJc w:val="left"/>
      <w:pPr>
        <w:ind w:left="5040" w:hanging="360"/>
      </w:pPr>
      <w:rPr>
        <w:rFonts w:ascii="Symbol" w:hAnsi="Symbol" w:hint="default"/>
      </w:rPr>
    </w:lvl>
    <w:lvl w:ilvl="7" w:tplc="937C808C" w:tentative="1">
      <w:start w:val="1"/>
      <w:numFmt w:val="bullet"/>
      <w:lvlText w:val="o"/>
      <w:lvlJc w:val="left"/>
      <w:pPr>
        <w:ind w:left="5760" w:hanging="360"/>
      </w:pPr>
      <w:rPr>
        <w:rFonts w:ascii="Courier New" w:hAnsi="Courier New" w:cs="Courier New" w:hint="default"/>
      </w:rPr>
    </w:lvl>
    <w:lvl w:ilvl="8" w:tplc="228CC040" w:tentative="1">
      <w:start w:val="1"/>
      <w:numFmt w:val="bullet"/>
      <w:lvlText w:val=""/>
      <w:lvlJc w:val="left"/>
      <w:pPr>
        <w:ind w:left="6480" w:hanging="360"/>
      </w:pPr>
      <w:rPr>
        <w:rFonts w:ascii="Wingdings" w:hAnsi="Wingdings" w:hint="default"/>
      </w:rPr>
    </w:lvl>
  </w:abstractNum>
  <w:abstractNum w:abstractNumId="37" w15:restartNumberingAfterBreak="0">
    <w:nsid w:val="27A46A8F"/>
    <w:multiLevelType w:val="hybridMultilevel"/>
    <w:tmpl w:val="49BC17D6"/>
    <w:lvl w:ilvl="0" w:tplc="611028BA">
      <w:numFmt w:val="bullet"/>
      <w:lvlText w:val="-"/>
      <w:lvlJc w:val="left"/>
      <w:pPr>
        <w:ind w:left="720" w:hanging="360"/>
      </w:pPr>
      <w:rPr>
        <w:rFonts w:ascii="Arial" w:eastAsia="Times New Roman" w:hAnsi="Arial" w:cs="Arial" w:hint="default"/>
      </w:rPr>
    </w:lvl>
    <w:lvl w:ilvl="1" w:tplc="DFECF524" w:tentative="1">
      <w:start w:val="1"/>
      <w:numFmt w:val="bullet"/>
      <w:lvlText w:val="o"/>
      <w:lvlJc w:val="left"/>
      <w:pPr>
        <w:ind w:left="1440" w:hanging="360"/>
      </w:pPr>
      <w:rPr>
        <w:rFonts w:ascii="Courier New" w:hAnsi="Courier New" w:cs="Courier New" w:hint="default"/>
      </w:rPr>
    </w:lvl>
    <w:lvl w:ilvl="2" w:tplc="ECD06566" w:tentative="1">
      <w:start w:val="1"/>
      <w:numFmt w:val="bullet"/>
      <w:lvlText w:val=""/>
      <w:lvlJc w:val="left"/>
      <w:pPr>
        <w:ind w:left="2160" w:hanging="360"/>
      </w:pPr>
      <w:rPr>
        <w:rFonts w:ascii="Wingdings" w:hAnsi="Wingdings" w:hint="default"/>
      </w:rPr>
    </w:lvl>
    <w:lvl w:ilvl="3" w:tplc="56A686E6" w:tentative="1">
      <w:start w:val="1"/>
      <w:numFmt w:val="bullet"/>
      <w:lvlText w:val=""/>
      <w:lvlJc w:val="left"/>
      <w:pPr>
        <w:ind w:left="2880" w:hanging="360"/>
      </w:pPr>
      <w:rPr>
        <w:rFonts w:ascii="Symbol" w:hAnsi="Symbol" w:hint="default"/>
      </w:rPr>
    </w:lvl>
    <w:lvl w:ilvl="4" w:tplc="A838E814" w:tentative="1">
      <w:start w:val="1"/>
      <w:numFmt w:val="bullet"/>
      <w:lvlText w:val="o"/>
      <w:lvlJc w:val="left"/>
      <w:pPr>
        <w:ind w:left="3600" w:hanging="360"/>
      </w:pPr>
      <w:rPr>
        <w:rFonts w:ascii="Courier New" w:hAnsi="Courier New" w:cs="Courier New" w:hint="default"/>
      </w:rPr>
    </w:lvl>
    <w:lvl w:ilvl="5" w:tplc="F3AEDF54" w:tentative="1">
      <w:start w:val="1"/>
      <w:numFmt w:val="bullet"/>
      <w:lvlText w:val=""/>
      <w:lvlJc w:val="left"/>
      <w:pPr>
        <w:ind w:left="4320" w:hanging="360"/>
      </w:pPr>
      <w:rPr>
        <w:rFonts w:ascii="Wingdings" w:hAnsi="Wingdings" w:hint="default"/>
      </w:rPr>
    </w:lvl>
    <w:lvl w:ilvl="6" w:tplc="3824435C" w:tentative="1">
      <w:start w:val="1"/>
      <w:numFmt w:val="bullet"/>
      <w:lvlText w:val=""/>
      <w:lvlJc w:val="left"/>
      <w:pPr>
        <w:ind w:left="5040" w:hanging="360"/>
      </w:pPr>
      <w:rPr>
        <w:rFonts w:ascii="Symbol" w:hAnsi="Symbol" w:hint="default"/>
      </w:rPr>
    </w:lvl>
    <w:lvl w:ilvl="7" w:tplc="8D9C1B3C" w:tentative="1">
      <w:start w:val="1"/>
      <w:numFmt w:val="bullet"/>
      <w:lvlText w:val="o"/>
      <w:lvlJc w:val="left"/>
      <w:pPr>
        <w:ind w:left="5760" w:hanging="360"/>
      </w:pPr>
      <w:rPr>
        <w:rFonts w:ascii="Courier New" w:hAnsi="Courier New" w:cs="Courier New" w:hint="default"/>
      </w:rPr>
    </w:lvl>
    <w:lvl w:ilvl="8" w:tplc="533EDAC4" w:tentative="1">
      <w:start w:val="1"/>
      <w:numFmt w:val="bullet"/>
      <w:lvlText w:val=""/>
      <w:lvlJc w:val="left"/>
      <w:pPr>
        <w:ind w:left="6480" w:hanging="360"/>
      </w:pPr>
      <w:rPr>
        <w:rFonts w:ascii="Wingdings" w:hAnsi="Wingdings" w:hint="default"/>
      </w:rPr>
    </w:lvl>
  </w:abstractNum>
  <w:abstractNum w:abstractNumId="38" w15:restartNumberingAfterBreak="0">
    <w:nsid w:val="27B03604"/>
    <w:multiLevelType w:val="hybridMultilevel"/>
    <w:tmpl w:val="22AC8BBE"/>
    <w:lvl w:ilvl="0" w:tplc="8FDA48FC">
      <w:numFmt w:val="bullet"/>
      <w:lvlText w:val="-"/>
      <w:lvlJc w:val="left"/>
      <w:pPr>
        <w:ind w:left="785" w:hanging="360"/>
      </w:pPr>
      <w:rPr>
        <w:rFonts w:ascii="Optima LT Std" w:eastAsiaTheme="minorHAnsi" w:hAnsi="Optima LT Std" w:cstheme="minorBidi" w:hint="default"/>
      </w:rPr>
    </w:lvl>
    <w:lvl w:ilvl="1" w:tplc="507062BA" w:tentative="1">
      <w:start w:val="1"/>
      <w:numFmt w:val="bullet"/>
      <w:lvlText w:val="o"/>
      <w:lvlJc w:val="left"/>
      <w:pPr>
        <w:ind w:left="1505" w:hanging="360"/>
      </w:pPr>
      <w:rPr>
        <w:rFonts w:ascii="Courier New" w:hAnsi="Courier New" w:cs="Courier New" w:hint="default"/>
      </w:rPr>
    </w:lvl>
    <w:lvl w:ilvl="2" w:tplc="1848FE84" w:tentative="1">
      <w:start w:val="1"/>
      <w:numFmt w:val="bullet"/>
      <w:lvlText w:val=""/>
      <w:lvlJc w:val="left"/>
      <w:pPr>
        <w:ind w:left="2225" w:hanging="360"/>
      </w:pPr>
      <w:rPr>
        <w:rFonts w:ascii="Wingdings" w:hAnsi="Wingdings" w:hint="default"/>
      </w:rPr>
    </w:lvl>
    <w:lvl w:ilvl="3" w:tplc="AA168C56" w:tentative="1">
      <w:start w:val="1"/>
      <w:numFmt w:val="bullet"/>
      <w:lvlText w:val=""/>
      <w:lvlJc w:val="left"/>
      <w:pPr>
        <w:ind w:left="2945" w:hanging="360"/>
      </w:pPr>
      <w:rPr>
        <w:rFonts w:ascii="Symbol" w:hAnsi="Symbol" w:hint="default"/>
      </w:rPr>
    </w:lvl>
    <w:lvl w:ilvl="4" w:tplc="247CF424" w:tentative="1">
      <w:start w:val="1"/>
      <w:numFmt w:val="bullet"/>
      <w:lvlText w:val="o"/>
      <w:lvlJc w:val="left"/>
      <w:pPr>
        <w:ind w:left="3665" w:hanging="360"/>
      </w:pPr>
      <w:rPr>
        <w:rFonts w:ascii="Courier New" w:hAnsi="Courier New" w:cs="Courier New" w:hint="default"/>
      </w:rPr>
    </w:lvl>
    <w:lvl w:ilvl="5" w:tplc="94527972" w:tentative="1">
      <w:start w:val="1"/>
      <w:numFmt w:val="bullet"/>
      <w:lvlText w:val=""/>
      <w:lvlJc w:val="left"/>
      <w:pPr>
        <w:ind w:left="4385" w:hanging="360"/>
      </w:pPr>
      <w:rPr>
        <w:rFonts w:ascii="Wingdings" w:hAnsi="Wingdings" w:hint="default"/>
      </w:rPr>
    </w:lvl>
    <w:lvl w:ilvl="6" w:tplc="847E4FD4" w:tentative="1">
      <w:start w:val="1"/>
      <w:numFmt w:val="bullet"/>
      <w:lvlText w:val=""/>
      <w:lvlJc w:val="left"/>
      <w:pPr>
        <w:ind w:left="5105" w:hanging="360"/>
      </w:pPr>
      <w:rPr>
        <w:rFonts w:ascii="Symbol" w:hAnsi="Symbol" w:hint="default"/>
      </w:rPr>
    </w:lvl>
    <w:lvl w:ilvl="7" w:tplc="C6F67BF4" w:tentative="1">
      <w:start w:val="1"/>
      <w:numFmt w:val="bullet"/>
      <w:lvlText w:val="o"/>
      <w:lvlJc w:val="left"/>
      <w:pPr>
        <w:ind w:left="5825" w:hanging="360"/>
      </w:pPr>
      <w:rPr>
        <w:rFonts w:ascii="Courier New" w:hAnsi="Courier New" w:cs="Courier New" w:hint="default"/>
      </w:rPr>
    </w:lvl>
    <w:lvl w:ilvl="8" w:tplc="C79EAA80" w:tentative="1">
      <w:start w:val="1"/>
      <w:numFmt w:val="bullet"/>
      <w:lvlText w:val=""/>
      <w:lvlJc w:val="left"/>
      <w:pPr>
        <w:ind w:left="6545" w:hanging="360"/>
      </w:pPr>
      <w:rPr>
        <w:rFonts w:ascii="Wingdings" w:hAnsi="Wingdings" w:hint="default"/>
      </w:rPr>
    </w:lvl>
  </w:abstractNum>
  <w:abstractNum w:abstractNumId="39" w15:restartNumberingAfterBreak="0">
    <w:nsid w:val="284529DB"/>
    <w:multiLevelType w:val="hybridMultilevel"/>
    <w:tmpl w:val="BF4C6D48"/>
    <w:lvl w:ilvl="0" w:tplc="27DC8BE8">
      <w:start w:val="1"/>
      <w:numFmt w:val="bullet"/>
      <w:lvlText w:val=""/>
      <w:lvlJc w:val="left"/>
      <w:pPr>
        <w:ind w:left="360" w:hanging="360"/>
      </w:pPr>
      <w:rPr>
        <w:rFonts w:ascii="Symbol" w:hAnsi="Symbol" w:hint="default"/>
      </w:rPr>
    </w:lvl>
    <w:lvl w:ilvl="1" w:tplc="CEC4E106" w:tentative="1">
      <w:start w:val="1"/>
      <w:numFmt w:val="bullet"/>
      <w:lvlText w:val="o"/>
      <w:lvlJc w:val="left"/>
      <w:pPr>
        <w:ind w:left="1080" w:hanging="360"/>
      </w:pPr>
      <w:rPr>
        <w:rFonts w:ascii="Courier New" w:hAnsi="Courier New" w:cs="Courier New" w:hint="default"/>
      </w:rPr>
    </w:lvl>
    <w:lvl w:ilvl="2" w:tplc="4782BC70" w:tentative="1">
      <w:start w:val="1"/>
      <w:numFmt w:val="bullet"/>
      <w:lvlText w:val=""/>
      <w:lvlJc w:val="left"/>
      <w:pPr>
        <w:ind w:left="1800" w:hanging="360"/>
      </w:pPr>
      <w:rPr>
        <w:rFonts w:ascii="Wingdings" w:hAnsi="Wingdings" w:hint="default"/>
      </w:rPr>
    </w:lvl>
    <w:lvl w:ilvl="3" w:tplc="CF5EFAF8" w:tentative="1">
      <w:start w:val="1"/>
      <w:numFmt w:val="bullet"/>
      <w:lvlText w:val=""/>
      <w:lvlJc w:val="left"/>
      <w:pPr>
        <w:ind w:left="2520" w:hanging="360"/>
      </w:pPr>
      <w:rPr>
        <w:rFonts w:ascii="Symbol" w:hAnsi="Symbol" w:hint="default"/>
      </w:rPr>
    </w:lvl>
    <w:lvl w:ilvl="4" w:tplc="BD5E3802" w:tentative="1">
      <w:start w:val="1"/>
      <w:numFmt w:val="bullet"/>
      <w:lvlText w:val="o"/>
      <w:lvlJc w:val="left"/>
      <w:pPr>
        <w:ind w:left="3240" w:hanging="360"/>
      </w:pPr>
      <w:rPr>
        <w:rFonts w:ascii="Courier New" w:hAnsi="Courier New" w:cs="Courier New" w:hint="default"/>
      </w:rPr>
    </w:lvl>
    <w:lvl w:ilvl="5" w:tplc="2FA2E26C" w:tentative="1">
      <w:start w:val="1"/>
      <w:numFmt w:val="bullet"/>
      <w:lvlText w:val=""/>
      <w:lvlJc w:val="left"/>
      <w:pPr>
        <w:ind w:left="3960" w:hanging="360"/>
      </w:pPr>
      <w:rPr>
        <w:rFonts w:ascii="Wingdings" w:hAnsi="Wingdings" w:hint="default"/>
      </w:rPr>
    </w:lvl>
    <w:lvl w:ilvl="6" w:tplc="0204C832" w:tentative="1">
      <w:start w:val="1"/>
      <w:numFmt w:val="bullet"/>
      <w:lvlText w:val=""/>
      <w:lvlJc w:val="left"/>
      <w:pPr>
        <w:ind w:left="4680" w:hanging="360"/>
      </w:pPr>
      <w:rPr>
        <w:rFonts w:ascii="Symbol" w:hAnsi="Symbol" w:hint="default"/>
      </w:rPr>
    </w:lvl>
    <w:lvl w:ilvl="7" w:tplc="9DDA6592" w:tentative="1">
      <w:start w:val="1"/>
      <w:numFmt w:val="bullet"/>
      <w:lvlText w:val="o"/>
      <w:lvlJc w:val="left"/>
      <w:pPr>
        <w:ind w:left="5400" w:hanging="360"/>
      </w:pPr>
      <w:rPr>
        <w:rFonts w:ascii="Courier New" w:hAnsi="Courier New" w:cs="Courier New" w:hint="default"/>
      </w:rPr>
    </w:lvl>
    <w:lvl w:ilvl="8" w:tplc="2A3E133E" w:tentative="1">
      <w:start w:val="1"/>
      <w:numFmt w:val="bullet"/>
      <w:lvlText w:val=""/>
      <w:lvlJc w:val="left"/>
      <w:pPr>
        <w:ind w:left="6120" w:hanging="360"/>
      </w:pPr>
      <w:rPr>
        <w:rFonts w:ascii="Wingdings" w:hAnsi="Wingdings" w:hint="default"/>
      </w:rPr>
    </w:lvl>
  </w:abstractNum>
  <w:abstractNum w:abstractNumId="40" w15:restartNumberingAfterBreak="0">
    <w:nsid w:val="2895299F"/>
    <w:multiLevelType w:val="hybridMultilevel"/>
    <w:tmpl w:val="EB5A899A"/>
    <w:lvl w:ilvl="0" w:tplc="4A147916">
      <w:start w:val="1"/>
      <w:numFmt w:val="bullet"/>
      <w:lvlText w:val=""/>
      <w:lvlJc w:val="left"/>
      <w:pPr>
        <w:ind w:left="720" w:hanging="360"/>
      </w:pPr>
      <w:rPr>
        <w:rFonts w:ascii="Symbol" w:hAnsi="Symbol" w:hint="default"/>
      </w:rPr>
    </w:lvl>
    <w:lvl w:ilvl="1" w:tplc="E38AC876" w:tentative="1">
      <w:start w:val="1"/>
      <w:numFmt w:val="bullet"/>
      <w:lvlText w:val="o"/>
      <w:lvlJc w:val="left"/>
      <w:pPr>
        <w:ind w:left="1440" w:hanging="360"/>
      </w:pPr>
      <w:rPr>
        <w:rFonts w:ascii="Courier New" w:hAnsi="Courier New" w:cs="Courier New" w:hint="default"/>
      </w:rPr>
    </w:lvl>
    <w:lvl w:ilvl="2" w:tplc="EC12F7BC" w:tentative="1">
      <w:start w:val="1"/>
      <w:numFmt w:val="bullet"/>
      <w:lvlText w:val=""/>
      <w:lvlJc w:val="left"/>
      <w:pPr>
        <w:ind w:left="2160" w:hanging="360"/>
      </w:pPr>
      <w:rPr>
        <w:rFonts w:ascii="Wingdings" w:hAnsi="Wingdings" w:hint="default"/>
      </w:rPr>
    </w:lvl>
    <w:lvl w:ilvl="3" w:tplc="8CD43A76" w:tentative="1">
      <w:start w:val="1"/>
      <w:numFmt w:val="bullet"/>
      <w:lvlText w:val=""/>
      <w:lvlJc w:val="left"/>
      <w:pPr>
        <w:ind w:left="2880" w:hanging="360"/>
      </w:pPr>
      <w:rPr>
        <w:rFonts w:ascii="Symbol" w:hAnsi="Symbol" w:hint="default"/>
      </w:rPr>
    </w:lvl>
    <w:lvl w:ilvl="4" w:tplc="1DE07562" w:tentative="1">
      <w:start w:val="1"/>
      <w:numFmt w:val="bullet"/>
      <w:lvlText w:val="o"/>
      <w:lvlJc w:val="left"/>
      <w:pPr>
        <w:ind w:left="3600" w:hanging="360"/>
      </w:pPr>
      <w:rPr>
        <w:rFonts w:ascii="Courier New" w:hAnsi="Courier New" w:cs="Courier New" w:hint="default"/>
      </w:rPr>
    </w:lvl>
    <w:lvl w:ilvl="5" w:tplc="D6007AE8" w:tentative="1">
      <w:start w:val="1"/>
      <w:numFmt w:val="bullet"/>
      <w:lvlText w:val=""/>
      <w:lvlJc w:val="left"/>
      <w:pPr>
        <w:ind w:left="4320" w:hanging="360"/>
      </w:pPr>
      <w:rPr>
        <w:rFonts w:ascii="Wingdings" w:hAnsi="Wingdings" w:hint="default"/>
      </w:rPr>
    </w:lvl>
    <w:lvl w:ilvl="6" w:tplc="936C166E" w:tentative="1">
      <w:start w:val="1"/>
      <w:numFmt w:val="bullet"/>
      <w:lvlText w:val=""/>
      <w:lvlJc w:val="left"/>
      <w:pPr>
        <w:ind w:left="5040" w:hanging="360"/>
      </w:pPr>
      <w:rPr>
        <w:rFonts w:ascii="Symbol" w:hAnsi="Symbol" w:hint="default"/>
      </w:rPr>
    </w:lvl>
    <w:lvl w:ilvl="7" w:tplc="FA845442" w:tentative="1">
      <w:start w:val="1"/>
      <w:numFmt w:val="bullet"/>
      <w:lvlText w:val="o"/>
      <w:lvlJc w:val="left"/>
      <w:pPr>
        <w:ind w:left="5760" w:hanging="360"/>
      </w:pPr>
      <w:rPr>
        <w:rFonts w:ascii="Courier New" w:hAnsi="Courier New" w:cs="Courier New" w:hint="default"/>
      </w:rPr>
    </w:lvl>
    <w:lvl w:ilvl="8" w:tplc="F69084D2" w:tentative="1">
      <w:start w:val="1"/>
      <w:numFmt w:val="bullet"/>
      <w:lvlText w:val=""/>
      <w:lvlJc w:val="left"/>
      <w:pPr>
        <w:ind w:left="6480" w:hanging="360"/>
      </w:pPr>
      <w:rPr>
        <w:rFonts w:ascii="Wingdings" w:hAnsi="Wingdings" w:hint="default"/>
      </w:rPr>
    </w:lvl>
  </w:abstractNum>
  <w:abstractNum w:abstractNumId="41" w15:restartNumberingAfterBreak="0">
    <w:nsid w:val="28CD0030"/>
    <w:multiLevelType w:val="hybridMultilevel"/>
    <w:tmpl w:val="E29063C0"/>
    <w:lvl w:ilvl="0" w:tplc="6658BD48">
      <w:start w:val="1"/>
      <w:numFmt w:val="bullet"/>
      <w:lvlText w:val=""/>
      <w:lvlJc w:val="left"/>
      <w:pPr>
        <w:ind w:left="720" w:hanging="360"/>
      </w:pPr>
      <w:rPr>
        <w:rFonts w:ascii="Symbol" w:hAnsi="Symbol" w:hint="default"/>
      </w:rPr>
    </w:lvl>
    <w:lvl w:ilvl="1" w:tplc="06601116" w:tentative="1">
      <w:start w:val="1"/>
      <w:numFmt w:val="bullet"/>
      <w:lvlText w:val="o"/>
      <w:lvlJc w:val="left"/>
      <w:pPr>
        <w:ind w:left="1440" w:hanging="360"/>
      </w:pPr>
      <w:rPr>
        <w:rFonts w:ascii="Courier New" w:hAnsi="Courier New" w:cs="Courier New" w:hint="default"/>
      </w:rPr>
    </w:lvl>
    <w:lvl w:ilvl="2" w:tplc="BD18C504" w:tentative="1">
      <w:start w:val="1"/>
      <w:numFmt w:val="bullet"/>
      <w:lvlText w:val=""/>
      <w:lvlJc w:val="left"/>
      <w:pPr>
        <w:ind w:left="2160" w:hanging="360"/>
      </w:pPr>
      <w:rPr>
        <w:rFonts w:ascii="Wingdings" w:hAnsi="Wingdings" w:hint="default"/>
      </w:rPr>
    </w:lvl>
    <w:lvl w:ilvl="3" w:tplc="B582F17A" w:tentative="1">
      <w:start w:val="1"/>
      <w:numFmt w:val="bullet"/>
      <w:lvlText w:val=""/>
      <w:lvlJc w:val="left"/>
      <w:pPr>
        <w:ind w:left="2880" w:hanging="360"/>
      </w:pPr>
      <w:rPr>
        <w:rFonts w:ascii="Symbol" w:hAnsi="Symbol" w:hint="default"/>
      </w:rPr>
    </w:lvl>
    <w:lvl w:ilvl="4" w:tplc="93EE9B6E" w:tentative="1">
      <w:start w:val="1"/>
      <w:numFmt w:val="bullet"/>
      <w:lvlText w:val="o"/>
      <w:lvlJc w:val="left"/>
      <w:pPr>
        <w:ind w:left="3600" w:hanging="360"/>
      </w:pPr>
      <w:rPr>
        <w:rFonts w:ascii="Courier New" w:hAnsi="Courier New" w:cs="Courier New" w:hint="default"/>
      </w:rPr>
    </w:lvl>
    <w:lvl w:ilvl="5" w:tplc="33B882D8" w:tentative="1">
      <w:start w:val="1"/>
      <w:numFmt w:val="bullet"/>
      <w:lvlText w:val=""/>
      <w:lvlJc w:val="left"/>
      <w:pPr>
        <w:ind w:left="4320" w:hanging="360"/>
      </w:pPr>
      <w:rPr>
        <w:rFonts w:ascii="Wingdings" w:hAnsi="Wingdings" w:hint="default"/>
      </w:rPr>
    </w:lvl>
    <w:lvl w:ilvl="6" w:tplc="40D0D616" w:tentative="1">
      <w:start w:val="1"/>
      <w:numFmt w:val="bullet"/>
      <w:lvlText w:val=""/>
      <w:lvlJc w:val="left"/>
      <w:pPr>
        <w:ind w:left="5040" w:hanging="360"/>
      </w:pPr>
      <w:rPr>
        <w:rFonts w:ascii="Symbol" w:hAnsi="Symbol" w:hint="default"/>
      </w:rPr>
    </w:lvl>
    <w:lvl w:ilvl="7" w:tplc="A60CA7F8" w:tentative="1">
      <w:start w:val="1"/>
      <w:numFmt w:val="bullet"/>
      <w:lvlText w:val="o"/>
      <w:lvlJc w:val="left"/>
      <w:pPr>
        <w:ind w:left="5760" w:hanging="360"/>
      </w:pPr>
      <w:rPr>
        <w:rFonts w:ascii="Courier New" w:hAnsi="Courier New" w:cs="Courier New" w:hint="default"/>
      </w:rPr>
    </w:lvl>
    <w:lvl w:ilvl="8" w:tplc="6D6C26F8" w:tentative="1">
      <w:start w:val="1"/>
      <w:numFmt w:val="bullet"/>
      <w:lvlText w:val=""/>
      <w:lvlJc w:val="left"/>
      <w:pPr>
        <w:ind w:left="6480" w:hanging="360"/>
      </w:pPr>
      <w:rPr>
        <w:rFonts w:ascii="Wingdings" w:hAnsi="Wingdings" w:hint="default"/>
      </w:rPr>
    </w:lvl>
  </w:abstractNum>
  <w:abstractNum w:abstractNumId="42" w15:restartNumberingAfterBreak="0">
    <w:nsid w:val="297F1B9A"/>
    <w:multiLevelType w:val="hybridMultilevel"/>
    <w:tmpl w:val="244E1C44"/>
    <w:lvl w:ilvl="0" w:tplc="DAC8C7E0">
      <w:start w:val="1"/>
      <w:numFmt w:val="bullet"/>
      <w:lvlText w:val=""/>
      <w:lvlJc w:val="left"/>
      <w:pPr>
        <w:ind w:left="720" w:hanging="360"/>
      </w:pPr>
      <w:rPr>
        <w:rFonts w:ascii="Symbol" w:hAnsi="Symbol" w:hint="default"/>
      </w:rPr>
    </w:lvl>
    <w:lvl w:ilvl="1" w:tplc="7FAC5F92" w:tentative="1">
      <w:start w:val="1"/>
      <w:numFmt w:val="bullet"/>
      <w:lvlText w:val="o"/>
      <w:lvlJc w:val="left"/>
      <w:pPr>
        <w:ind w:left="1440" w:hanging="360"/>
      </w:pPr>
      <w:rPr>
        <w:rFonts w:ascii="Courier New" w:hAnsi="Courier New" w:cs="Courier New" w:hint="default"/>
      </w:rPr>
    </w:lvl>
    <w:lvl w:ilvl="2" w:tplc="F530DE86" w:tentative="1">
      <w:start w:val="1"/>
      <w:numFmt w:val="bullet"/>
      <w:lvlText w:val=""/>
      <w:lvlJc w:val="left"/>
      <w:pPr>
        <w:ind w:left="2160" w:hanging="360"/>
      </w:pPr>
      <w:rPr>
        <w:rFonts w:ascii="Wingdings" w:hAnsi="Wingdings" w:hint="default"/>
      </w:rPr>
    </w:lvl>
    <w:lvl w:ilvl="3" w:tplc="4D8C83BE" w:tentative="1">
      <w:start w:val="1"/>
      <w:numFmt w:val="bullet"/>
      <w:lvlText w:val=""/>
      <w:lvlJc w:val="left"/>
      <w:pPr>
        <w:ind w:left="2880" w:hanging="360"/>
      </w:pPr>
      <w:rPr>
        <w:rFonts w:ascii="Symbol" w:hAnsi="Symbol" w:hint="default"/>
      </w:rPr>
    </w:lvl>
    <w:lvl w:ilvl="4" w:tplc="761231BE" w:tentative="1">
      <w:start w:val="1"/>
      <w:numFmt w:val="bullet"/>
      <w:lvlText w:val="o"/>
      <w:lvlJc w:val="left"/>
      <w:pPr>
        <w:ind w:left="3600" w:hanging="360"/>
      </w:pPr>
      <w:rPr>
        <w:rFonts w:ascii="Courier New" w:hAnsi="Courier New" w:cs="Courier New" w:hint="default"/>
      </w:rPr>
    </w:lvl>
    <w:lvl w:ilvl="5" w:tplc="9A728B12" w:tentative="1">
      <w:start w:val="1"/>
      <w:numFmt w:val="bullet"/>
      <w:lvlText w:val=""/>
      <w:lvlJc w:val="left"/>
      <w:pPr>
        <w:ind w:left="4320" w:hanging="360"/>
      </w:pPr>
      <w:rPr>
        <w:rFonts w:ascii="Wingdings" w:hAnsi="Wingdings" w:hint="default"/>
      </w:rPr>
    </w:lvl>
    <w:lvl w:ilvl="6" w:tplc="99EA2ADA" w:tentative="1">
      <w:start w:val="1"/>
      <w:numFmt w:val="bullet"/>
      <w:lvlText w:val=""/>
      <w:lvlJc w:val="left"/>
      <w:pPr>
        <w:ind w:left="5040" w:hanging="360"/>
      </w:pPr>
      <w:rPr>
        <w:rFonts w:ascii="Symbol" w:hAnsi="Symbol" w:hint="default"/>
      </w:rPr>
    </w:lvl>
    <w:lvl w:ilvl="7" w:tplc="319EC270" w:tentative="1">
      <w:start w:val="1"/>
      <w:numFmt w:val="bullet"/>
      <w:lvlText w:val="o"/>
      <w:lvlJc w:val="left"/>
      <w:pPr>
        <w:ind w:left="5760" w:hanging="360"/>
      </w:pPr>
      <w:rPr>
        <w:rFonts w:ascii="Courier New" w:hAnsi="Courier New" w:cs="Courier New" w:hint="default"/>
      </w:rPr>
    </w:lvl>
    <w:lvl w:ilvl="8" w:tplc="DF30D7C8" w:tentative="1">
      <w:start w:val="1"/>
      <w:numFmt w:val="bullet"/>
      <w:lvlText w:val=""/>
      <w:lvlJc w:val="left"/>
      <w:pPr>
        <w:ind w:left="6480" w:hanging="360"/>
      </w:pPr>
      <w:rPr>
        <w:rFonts w:ascii="Wingdings" w:hAnsi="Wingdings" w:hint="default"/>
      </w:rPr>
    </w:lvl>
  </w:abstractNum>
  <w:abstractNum w:abstractNumId="43" w15:restartNumberingAfterBreak="0">
    <w:nsid w:val="29AB470F"/>
    <w:multiLevelType w:val="hybridMultilevel"/>
    <w:tmpl w:val="ACEEBC90"/>
    <w:lvl w:ilvl="0" w:tplc="985A22C6">
      <w:start w:val="1"/>
      <w:numFmt w:val="bullet"/>
      <w:lvlText w:val=""/>
      <w:lvlJc w:val="left"/>
      <w:pPr>
        <w:ind w:left="720" w:hanging="360"/>
      </w:pPr>
      <w:rPr>
        <w:rFonts w:ascii="Symbol" w:hAnsi="Symbol" w:hint="default"/>
      </w:rPr>
    </w:lvl>
    <w:lvl w:ilvl="1" w:tplc="6CF0C010" w:tentative="1">
      <w:start w:val="1"/>
      <w:numFmt w:val="bullet"/>
      <w:lvlText w:val="o"/>
      <w:lvlJc w:val="left"/>
      <w:pPr>
        <w:ind w:left="1440" w:hanging="360"/>
      </w:pPr>
      <w:rPr>
        <w:rFonts w:ascii="Courier New" w:hAnsi="Courier New" w:cs="Courier New" w:hint="default"/>
      </w:rPr>
    </w:lvl>
    <w:lvl w:ilvl="2" w:tplc="C99E6650" w:tentative="1">
      <w:start w:val="1"/>
      <w:numFmt w:val="bullet"/>
      <w:lvlText w:val=""/>
      <w:lvlJc w:val="left"/>
      <w:pPr>
        <w:ind w:left="2160" w:hanging="360"/>
      </w:pPr>
      <w:rPr>
        <w:rFonts w:ascii="Wingdings" w:hAnsi="Wingdings" w:hint="default"/>
      </w:rPr>
    </w:lvl>
    <w:lvl w:ilvl="3" w:tplc="6FAEEA02" w:tentative="1">
      <w:start w:val="1"/>
      <w:numFmt w:val="bullet"/>
      <w:lvlText w:val=""/>
      <w:lvlJc w:val="left"/>
      <w:pPr>
        <w:ind w:left="2880" w:hanging="360"/>
      </w:pPr>
      <w:rPr>
        <w:rFonts w:ascii="Symbol" w:hAnsi="Symbol" w:hint="default"/>
      </w:rPr>
    </w:lvl>
    <w:lvl w:ilvl="4" w:tplc="E7B46674" w:tentative="1">
      <w:start w:val="1"/>
      <w:numFmt w:val="bullet"/>
      <w:lvlText w:val="o"/>
      <w:lvlJc w:val="left"/>
      <w:pPr>
        <w:ind w:left="3600" w:hanging="360"/>
      </w:pPr>
      <w:rPr>
        <w:rFonts w:ascii="Courier New" w:hAnsi="Courier New" w:cs="Courier New" w:hint="default"/>
      </w:rPr>
    </w:lvl>
    <w:lvl w:ilvl="5" w:tplc="C958C8BC" w:tentative="1">
      <w:start w:val="1"/>
      <w:numFmt w:val="bullet"/>
      <w:lvlText w:val=""/>
      <w:lvlJc w:val="left"/>
      <w:pPr>
        <w:ind w:left="4320" w:hanging="360"/>
      </w:pPr>
      <w:rPr>
        <w:rFonts w:ascii="Wingdings" w:hAnsi="Wingdings" w:hint="default"/>
      </w:rPr>
    </w:lvl>
    <w:lvl w:ilvl="6" w:tplc="72A4683A" w:tentative="1">
      <w:start w:val="1"/>
      <w:numFmt w:val="bullet"/>
      <w:lvlText w:val=""/>
      <w:lvlJc w:val="left"/>
      <w:pPr>
        <w:ind w:left="5040" w:hanging="360"/>
      </w:pPr>
      <w:rPr>
        <w:rFonts w:ascii="Symbol" w:hAnsi="Symbol" w:hint="default"/>
      </w:rPr>
    </w:lvl>
    <w:lvl w:ilvl="7" w:tplc="F9FCBC28" w:tentative="1">
      <w:start w:val="1"/>
      <w:numFmt w:val="bullet"/>
      <w:lvlText w:val="o"/>
      <w:lvlJc w:val="left"/>
      <w:pPr>
        <w:ind w:left="5760" w:hanging="360"/>
      </w:pPr>
      <w:rPr>
        <w:rFonts w:ascii="Courier New" w:hAnsi="Courier New" w:cs="Courier New" w:hint="default"/>
      </w:rPr>
    </w:lvl>
    <w:lvl w:ilvl="8" w:tplc="CC6E28D4" w:tentative="1">
      <w:start w:val="1"/>
      <w:numFmt w:val="bullet"/>
      <w:lvlText w:val=""/>
      <w:lvlJc w:val="left"/>
      <w:pPr>
        <w:ind w:left="6480" w:hanging="360"/>
      </w:pPr>
      <w:rPr>
        <w:rFonts w:ascii="Wingdings" w:hAnsi="Wingdings" w:hint="default"/>
      </w:rPr>
    </w:lvl>
  </w:abstractNum>
  <w:abstractNum w:abstractNumId="44" w15:restartNumberingAfterBreak="0">
    <w:nsid w:val="2A3858C5"/>
    <w:multiLevelType w:val="hybridMultilevel"/>
    <w:tmpl w:val="89BC6BC0"/>
    <w:lvl w:ilvl="0" w:tplc="FE1C2A00">
      <w:start w:val="1"/>
      <w:numFmt w:val="bullet"/>
      <w:lvlText w:val=""/>
      <w:lvlJc w:val="left"/>
      <w:pPr>
        <w:ind w:left="780" w:hanging="360"/>
      </w:pPr>
      <w:rPr>
        <w:rFonts w:ascii="Symbol" w:hAnsi="Symbol" w:hint="default"/>
      </w:rPr>
    </w:lvl>
    <w:lvl w:ilvl="1" w:tplc="B5CE2392" w:tentative="1">
      <w:start w:val="1"/>
      <w:numFmt w:val="bullet"/>
      <w:lvlText w:val="o"/>
      <w:lvlJc w:val="left"/>
      <w:pPr>
        <w:ind w:left="1500" w:hanging="360"/>
      </w:pPr>
      <w:rPr>
        <w:rFonts w:ascii="Courier New" w:hAnsi="Courier New" w:cs="Courier New" w:hint="default"/>
      </w:rPr>
    </w:lvl>
    <w:lvl w:ilvl="2" w:tplc="F112FADA" w:tentative="1">
      <w:start w:val="1"/>
      <w:numFmt w:val="bullet"/>
      <w:lvlText w:val=""/>
      <w:lvlJc w:val="left"/>
      <w:pPr>
        <w:ind w:left="2220" w:hanging="360"/>
      </w:pPr>
      <w:rPr>
        <w:rFonts w:ascii="Wingdings" w:hAnsi="Wingdings" w:hint="default"/>
      </w:rPr>
    </w:lvl>
    <w:lvl w:ilvl="3" w:tplc="4834846E" w:tentative="1">
      <w:start w:val="1"/>
      <w:numFmt w:val="bullet"/>
      <w:lvlText w:val=""/>
      <w:lvlJc w:val="left"/>
      <w:pPr>
        <w:ind w:left="2940" w:hanging="360"/>
      </w:pPr>
      <w:rPr>
        <w:rFonts w:ascii="Symbol" w:hAnsi="Symbol" w:hint="default"/>
      </w:rPr>
    </w:lvl>
    <w:lvl w:ilvl="4" w:tplc="F9549CF2" w:tentative="1">
      <w:start w:val="1"/>
      <w:numFmt w:val="bullet"/>
      <w:lvlText w:val="o"/>
      <w:lvlJc w:val="left"/>
      <w:pPr>
        <w:ind w:left="3660" w:hanging="360"/>
      </w:pPr>
      <w:rPr>
        <w:rFonts w:ascii="Courier New" w:hAnsi="Courier New" w:cs="Courier New" w:hint="default"/>
      </w:rPr>
    </w:lvl>
    <w:lvl w:ilvl="5" w:tplc="74AA3094" w:tentative="1">
      <w:start w:val="1"/>
      <w:numFmt w:val="bullet"/>
      <w:lvlText w:val=""/>
      <w:lvlJc w:val="left"/>
      <w:pPr>
        <w:ind w:left="4380" w:hanging="360"/>
      </w:pPr>
      <w:rPr>
        <w:rFonts w:ascii="Wingdings" w:hAnsi="Wingdings" w:hint="default"/>
      </w:rPr>
    </w:lvl>
    <w:lvl w:ilvl="6" w:tplc="08341E8C" w:tentative="1">
      <w:start w:val="1"/>
      <w:numFmt w:val="bullet"/>
      <w:lvlText w:val=""/>
      <w:lvlJc w:val="left"/>
      <w:pPr>
        <w:ind w:left="5100" w:hanging="360"/>
      </w:pPr>
      <w:rPr>
        <w:rFonts w:ascii="Symbol" w:hAnsi="Symbol" w:hint="default"/>
      </w:rPr>
    </w:lvl>
    <w:lvl w:ilvl="7" w:tplc="3AAC20BC" w:tentative="1">
      <w:start w:val="1"/>
      <w:numFmt w:val="bullet"/>
      <w:lvlText w:val="o"/>
      <w:lvlJc w:val="left"/>
      <w:pPr>
        <w:ind w:left="5820" w:hanging="360"/>
      </w:pPr>
      <w:rPr>
        <w:rFonts w:ascii="Courier New" w:hAnsi="Courier New" w:cs="Courier New" w:hint="default"/>
      </w:rPr>
    </w:lvl>
    <w:lvl w:ilvl="8" w:tplc="49BE527C" w:tentative="1">
      <w:start w:val="1"/>
      <w:numFmt w:val="bullet"/>
      <w:lvlText w:val=""/>
      <w:lvlJc w:val="left"/>
      <w:pPr>
        <w:ind w:left="6540" w:hanging="360"/>
      </w:pPr>
      <w:rPr>
        <w:rFonts w:ascii="Wingdings" w:hAnsi="Wingdings" w:hint="default"/>
      </w:rPr>
    </w:lvl>
  </w:abstractNum>
  <w:abstractNum w:abstractNumId="45" w15:restartNumberingAfterBreak="0">
    <w:nsid w:val="2A5239D6"/>
    <w:multiLevelType w:val="multilevel"/>
    <w:tmpl w:val="89889ECE"/>
    <w:lvl w:ilvl="0">
      <w:start w:val="1"/>
      <w:numFmt w:val="decimal"/>
      <w:lvlText w:val="%1"/>
      <w:lvlJc w:val="left"/>
      <w:pPr>
        <w:ind w:left="432" w:hanging="432"/>
      </w:pPr>
      <w:rPr>
        <w:rFonts w:hint="default"/>
        <w:color w:val="auto"/>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color w:val="auto"/>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2A6FBEF9"/>
    <w:multiLevelType w:val="hybridMultilevel"/>
    <w:tmpl w:val="332C7B4E"/>
    <w:lvl w:ilvl="0" w:tplc="2C425468">
      <w:start w:val="1"/>
      <w:numFmt w:val="bullet"/>
      <w:lvlText w:val=""/>
      <w:lvlJc w:val="left"/>
      <w:pPr>
        <w:ind w:left="720" w:hanging="360"/>
      </w:pPr>
      <w:rPr>
        <w:rFonts w:ascii="Symbol" w:hAnsi="Symbol" w:hint="default"/>
      </w:rPr>
    </w:lvl>
    <w:lvl w:ilvl="1" w:tplc="76200700">
      <w:start w:val="1"/>
      <w:numFmt w:val="bullet"/>
      <w:lvlText w:val=""/>
      <w:lvlJc w:val="left"/>
      <w:pPr>
        <w:ind w:left="1440" w:hanging="360"/>
      </w:pPr>
      <w:rPr>
        <w:rFonts w:ascii="Symbol" w:hAnsi="Symbol" w:hint="default"/>
      </w:rPr>
    </w:lvl>
    <w:lvl w:ilvl="2" w:tplc="DC82E3BC">
      <w:start w:val="1"/>
      <w:numFmt w:val="bullet"/>
      <w:lvlText w:val=""/>
      <w:lvlJc w:val="left"/>
      <w:pPr>
        <w:ind w:left="2160" w:hanging="360"/>
      </w:pPr>
      <w:rPr>
        <w:rFonts w:ascii="Wingdings" w:hAnsi="Wingdings" w:hint="default"/>
      </w:rPr>
    </w:lvl>
    <w:lvl w:ilvl="3" w:tplc="41EA24B8">
      <w:start w:val="1"/>
      <w:numFmt w:val="bullet"/>
      <w:lvlText w:val=""/>
      <w:lvlJc w:val="left"/>
      <w:pPr>
        <w:ind w:left="2880" w:hanging="360"/>
      </w:pPr>
      <w:rPr>
        <w:rFonts w:ascii="Symbol" w:hAnsi="Symbol" w:hint="default"/>
      </w:rPr>
    </w:lvl>
    <w:lvl w:ilvl="4" w:tplc="06B4A5C4">
      <w:start w:val="1"/>
      <w:numFmt w:val="bullet"/>
      <w:lvlText w:val="o"/>
      <w:lvlJc w:val="left"/>
      <w:pPr>
        <w:ind w:left="3600" w:hanging="360"/>
      </w:pPr>
      <w:rPr>
        <w:rFonts w:ascii="Courier New" w:hAnsi="Courier New" w:hint="default"/>
      </w:rPr>
    </w:lvl>
    <w:lvl w:ilvl="5" w:tplc="F3021560">
      <w:start w:val="1"/>
      <w:numFmt w:val="bullet"/>
      <w:lvlText w:val=""/>
      <w:lvlJc w:val="left"/>
      <w:pPr>
        <w:ind w:left="4320" w:hanging="360"/>
      </w:pPr>
      <w:rPr>
        <w:rFonts w:ascii="Wingdings" w:hAnsi="Wingdings" w:hint="default"/>
      </w:rPr>
    </w:lvl>
    <w:lvl w:ilvl="6" w:tplc="89B8E994">
      <w:start w:val="1"/>
      <w:numFmt w:val="bullet"/>
      <w:lvlText w:val=""/>
      <w:lvlJc w:val="left"/>
      <w:pPr>
        <w:ind w:left="5040" w:hanging="360"/>
      </w:pPr>
      <w:rPr>
        <w:rFonts w:ascii="Symbol" w:hAnsi="Symbol" w:hint="default"/>
      </w:rPr>
    </w:lvl>
    <w:lvl w:ilvl="7" w:tplc="811A255A">
      <w:start w:val="1"/>
      <w:numFmt w:val="bullet"/>
      <w:lvlText w:val="o"/>
      <w:lvlJc w:val="left"/>
      <w:pPr>
        <w:ind w:left="5760" w:hanging="360"/>
      </w:pPr>
      <w:rPr>
        <w:rFonts w:ascii="Courier New" w:hAnsi="Courier New" w:hint="default"/>
      </w:rPr>
    </w:lvl>
    <w:lvl w:ilvl="8" w:tplc="4D04F6C4">
      <w:start w:val="1"/>
      <w:numFmt w:val="bullet"/>
      <w:lvlText w:val=""/>
      <w:lvlJc w:val="left"/>
      <w:pPr>
        <w:ind w:left="6480" w:hanging="360"/>
      </w:pPr>
      <w:rPr>
        <w:rFonts w:ascii="Wingdings" w:hAnsi="Wingdings" w:hint="default"/>
      </w:rPr>
    </w:lvl>
  </w:abstractNum>
  <w:abstractNum w:abstractNumId="47" w15:restartNumberingAfterBreak="0">
    <w:nsid w:val="2C7E1752"/>
    <w:multiLevelType w:val="hybridMultilevel"/>
    <w:tmpl w:val="AF525B70"/>
    <w:lvl w:ilvl="0" w:tplc="3B464946">
      <w:start w:val="1"/>
      <w:numFmt w:val="bullet"/>
      <w:lvlText w:val=""/>
      <w:lvlJc w:val="left"/>
      <w:pPr>
        <w:ind w:left="720" w:hanging="360"/>
      </w:pPr>
      <w:rPr>
        <w:rFonts w:ascii="Symbol" w:hAnsi="Symbol" w:hint="default"/>
      </w:rPr>
    </w:lvl>
    <w:lvl w:ilvl="1" w:tplc="57D27EF2" w:tentative="1">
      <w:start w:val="1"/>
      <w:numFmt w:val="bullet"/>
      <w:lvlText w:val="o"/>
      <w:lvlJc w:val="left"/>
      <w:pPr>
        <w:ind w:left="1440" w:hanging="360"/>
      </w:pPr>
      <w:rPr>
        <w:rFonts w:ascii="Courier New" w:hAnsi="Courier New" w:cs="Courier New" w:hint="default"/>
      </w:rPr>
    </w:lvl>
    <w:lvl w:ilvl="2" w:tplc="AD16B804" w:tentative="1">
      <w:start w:val="1"/>
      <w:numFmt w:val="bullet"/>
      <w:lvlText w:val=""/>
      <w:lvlJc w:val="left"/>
      <w:pPr>
        <w:ind w:left="2160" w:hanging="360"/>
      </w:pPr>
      <w:rPr>
        <w:rFonts w:ascii="Wingdings" w:hAnsi="Wingdings" w:hint="default"/>
      </w:rPr>
    </w:lvl>
    <w:lvl w:ilvl="3" w:tplc="09823CFC" w:tentative="1">
      <w:start w:val="1"/>
      <w:numFmt w:val="bullet"/>
      <w:lvlText w:val=""/>
      <w:lvlJc w:val="left"/>
      <w:pPr>
        <w:ind w:left="2880" w:hanging="360"/>
      </w:pPr>
      <w:rPr>
        <w:rFonts w:ascii="Symbol" w:hAnsi="Symbol" w:hint="default"/>
      </w:rPr>
    </w:lvl>
    <w:lvl w:ilvl="4" w:tplc="F522E0AA" w:tentative="1">
      <w:start w:val="1"/>
      <w:numFmt w:val="bullet"/>
      <w:lvlText w:val="o"/>
      <w:lvlJc w:val="left"/>
      <w:pPr>
        <w:ind w:left="3600" w:hanging="360"/>
      </w:pPr>
      <w:rPr>
        <w:rFonts w:ascii="Courier New" w:hAnsi="Courier New" w:cs="Courier New" w:hint="default"/>
      </w:rPr>
    </w:lvl>
    <w:lvl w:ilvl="5" w:tplc="8C447B8A" w:tentative="1">
      <w:start w:val="1"/>
      <w:numFmt w:val="bullet"/>
      <w:lvlText w:val=""/>
      <w:lvlJc w:val="left"/>
      <w:pPr>
        <w:ind w:left="4320" w:hanging="360"/>
      </w:pPr>
      <w:rPr>
        <w:rFonts w:ascii="Wingdings" w:hAnsi="Wingdings" w:hint="default"/>
      </w:rPr>
    </w:lvl>
    <w:lvl w:ilvl="6" w:tplc="E6A61BF4" w:tentative="1">
      <w:start w:val="1"/>
      <w:numFmt w:val="bullet"/>
      <w:lvlText w:val=""/>
      <w:lvlJc w:val="left"/>
      <w:pPr>
        <w:ind w:left="5040" w:hanging="360"/>
      </w:pPr>
      <w:rPr>
        <w:rFonts w:ascii="Symbol" w:hAnsi="Symbol" w:hint="default"/>
      </w:rPr>
    </w:lvl>
    <w:lvl w:ilvl="7" w:tplc="E9DC3606" w:tentative="1">
      <w:start w:val="1"/>
      <w:numFmt w:val="bullet"/>
      <w:lvlText w:val="o"/>
      <w:lvlJc w:val="left"/>
      <w:pPr>
        <w:ind w:left="5760" w:hanging="360"/>
      </w:pPr>
      <w:rPr>
        <w:rFonts w:ascii="Courier New" w:hAnsi="Courier New" w:cs="Courier New" w:hint="default"/>
      </w:rPr>
    </w:lvl>
    <w:lvl w:ilvl="8" w:tplc="FB0A4234" w:tentative="1">
      <w:start w:val="1"/>
      <w:numFmt w:val="bullet"/>
      <w:lvlText w:val=""/>
      <w:lvlJc w:val="left"/>
      <w:pPr>
        <w:ind w:left="6480" w:hanging="360"/>
      </w:pPr>
      <w:rPr>
        <w:rFonts w:ascii="Wingdings" w:hAnsi="Wingdings" w:hint="default"/>
      </w:rPr>
    </w:lvl>
  </w:abstractNum>
  <w:abstractNum w:abstractNumId="48" w15:restartNumberingAfterBreak="0">
    <w:nsid w:val="2DE02861"/>
    <w:multiLevelType w:val="multilevel"/>
    <w:tmpl w:val="BD6A42BE"/>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49" w15:restartNumberingAfterBreak="0">
    <w:nsid w:val="2F4C3F92"/>
    <w:multiLevelType w:val="hybridMultilevel"/>
    <w:tmpl w:val="215290CE"/>
    <w:lvl w:ilvl="0" w:tplc="8B5A9F96">
      <w:start w:val="1"/>
      <w:numFmt w:val="bullet"/>
      <w:lvlText w:val=""/>
      <w:lvlJc w:val="left"/>
      <w:pPr>
        <w:ind w:left="720" w:hanging="360"/>
      </w:pPr>
      <w:rPr>
        <w:rFonts w:ascii="Symbol" w:hAnsi="Symbol" w:hint="default"/>
      </w:rPr>
    </w:lvl>
    <w:lvl w:ilvl="1" w:tplc="CD14ECB4" w:tentative="1">
      <w:start w:val="1"/>
      <w:numFmt w:val="bullet"/>
      <w:lvlText w:val="o"/>
      <w:lvlJc w:val="left"/>
      <w:pPr>
        <w:ind w:left="1440" w:hanging="360"/>
      </w:pPr>
      <w:rPr>
        <w:rFonts w:ascii="Courier New" w:hAnsi="Courier New" w:cs="Courier New" w:hint="default"/>
      </w:rPr>
    </w:lvl>
    <w:lvl w:ilvl="2" w:tplc="57ACD7D6" w:tentative="1">
      <w:start w:val="1"/>
      <w:numFmt w:val="bullet"/>
      <w:lvlText w:val=""/>
      <w:lvlJc w:val="left"/>
      <w:pPr>
        <w:ind w:left="2160" w:hanging="360"/>
      </w:pPr>
      <w:rPr>
        <w:rFonts w:ascii="Wingdings" w:hAnsi="Wingdings" w:hint="default"/>
      </w:rPr>
    </w:lvl>
    <w:lvl w:ilvl="3" w:tplc="EDBC0D62" w:tentative="1">
      <w:start w:val="1"/>
      <w:numFmt w:val="bullet"/>
      <w:lvlText w:val=""/>
      <w:lvlJc w:val="left"/>
      <w:pPr>
        <w:ind w:left="2880" w:hanging="360"/>
      </w:pPr>
      <w:rPr>
        <w:rFonts w:ascii="Symbol" w:hAnsi="Symbol" w:hint="default"/>
      </w:rPr>
    </w:lvl>
    <w:lvl w:ilvl="4" w:tplc="AECAEF10" w:tentative="1">
      <w:start w:val="1"/>
      <w:numFmt w:val="bullet"/>
      <w:lvlText w:val="o"/>
      <w:lvlJc w:val="left"/>
      <w:pPr>
        <w:ind w:left="3600" w:hanging="360"/>
      </w:pPr>
      <w:rPr>
        <w:rFonts w:ascii="Courier New" w:hAnsi="Courier New" w:cs="Courier New" w:hint="default"/>
      </w:rPr>
    </w:lvl>
    <w:lvl w:ilvl="5" w:tplc="DA8E2464" w:tentative="1">
      <w:start w:val="1"/>
      <w:numFmt w:val="bullet"/>
      <w:lvlText w:val=""/>
      <w:lvlJc w:val="left"/>
      <w:pPr>
        <w:ind w:left="4320" w:hanging="360"/>
      </w:pPr>
      <w:rPr>
        <w:rFonts w:ascii="Wingdings" w:hAnsi="Wingdings" w:hint="default"/>
      </w:rPr>
    </w:lvl>
    <w:lvl w:ilvl="6" w:tplc="912CDC06" w:tentative="1">
      <w:start w:val="1"/>
      <w:numFmt w:val="bullet"/>
      <w:lvlText w:val=""/>
      <w:lvlJc w:val="left"/>
      <w:pPr>
        <w:ind w:left="5040" w:hanging="360"/>
      </w:pPr>
      <w:rPr>
        <w:rFonts w:ascii="Symbol" w:hAnsi="Symbol" w:hint="default"/>
      </w:rPr>
    </w:lvl>
    <w:lvl w:ilvl="7" w:tplc="81DEAC58" w:tentative="1">
      <w:start w:val="1"/>
      <w:numFmt w:val="bullet"/>
      <w:lvlText w:val="o"/>
      <w:lvlJc w:val="left"/>
      <w:pPr>
        <w:ind w:left="5760" w:hanging="360"/>
      </w:pPr>
      <w:rPr>
        <w:rFonts w:ascii="Courier New" w:hAnsi="Courier New" w:cs="Courier New" w:hint="default"/>
      </w:rPr>
    </w:lvl>
    <w:lvl w:ilvl="8" w:tplc="58983802" w:tentative="1">
      <w:start w:val="1"/>
      <w:numFmt w:val="bullet"/>
      <w:lvlText w:val=""/>
      <w:lvlJc w:val="left"/>
      <w:pPr>
        <w:ind w:left="6480" w:hanging="360"/>
      </w:pPr>
      <w:rPr>
        <w:rFonts w:ascii="Wingdings" w:hAnsi="Wingdings" w:hint="default"/>
      </w:rPr>
    </w:lvl>
  </w:abstractNum>
  <w:abstractNum w:abstractNumId="50" w15:restartNumberingAfterBreak="0">
    <w:nsid w:val="2FA17F47"/>
    <w:multiLevelType w:val="hybridMultilevel"/>
    <w:tmpl w:val="7BF4B1EA"/>
    <w:lvl w:ilvl="0" w:tplc="7090A30C">
      <w:start w:val="1"/>
      <w:numFmt w:val="bullet"/>
      <w:lvlText w:val=""/>
      <w:lvlJc w:val="left"/>
      <w:pPr>
        <w:ind w:left="720" w:hanging="360"/>
      </w:pPr>
      <w:rPr>
        <w:rFonts w:ascii="Symbol" w:hAnsi="Symbol" w:hint="default"/>
      </w:rPr>
    </w:lvl>
    <w:lvl w:ilvl="1" w:tplc="B652E31C" w:tentative="1">
      <w:start w:val="1"/>
      <w:numFmt w:val="bullet"/>
      <w:lvlText w:val="o"/>
      <w:lvlJc w:val="left"/>
      <w:pPr>
        <w:ind w:left="1440" w:hanging="360"/>
      </w:pPr>
      <w:rPr>
        <w:rFonts w:ascii="Courier New" w:hAnsi="Courier New" w:cs="Courier New" w:hint="default"/>
      </w:rPr>
    </w:lvl>
    <w:lvl w:ilvl="2" w:tplc="6B2AA534" w:tentative="1">
      <w:start w:val="1"/>
      <w:numFmt w:val="bullet"/>
      <w:lvlText w:val=""/>
      <w:lvlJc w:val="left"/>
      <w:pPr>
        <w:ind w:left="2160" w:hanging="360"/>
      </w:pPr>
      <w:rPr>
        <w:rFonts w:ascii="Wingdings" w:hAnsi="Wingdings" w:hint="default"/>
      </w:rPr>
    </w:lvl>
    <w:lvl w:ilvl="3" w:tplc="2CD65C44" w:tentative="1">
      <w:start w:val="1"/>
      <w:numFmt w:val="bullet"/>
      <w:lvlText w:val=""/>
      <w:lvlJc w:val="left"/>
      <w:pPr>
        <w:ind w:left="2880" w:hanging="360"/>
      </w:pPr>
      <w:rPr>
        <w:rFonts w:ascii="Symbol" w:hAnsi="Symbol" w:hint="default"/>
      </w:rPr>
    </w:lvl>
    <w:lvl w:ilvl="4" w:tplc="1EE22F24" w:tentative="1">
      <w:start w:val="1"/>
      <w:numFmt w:val="bullet"/>
      <w:lvlText w:val="o"/>
      <w:lvlJc w:val="left"/>
      <w:pPr>
        <w:ind w:left="3600" w:hanging="360"/>
      </w:pPr>
      <w:rPr>
        <w:rFonts w:ascii="Courier New" w:hAnsi="Courier New" w:cs="Courier New" w:hint="default"/>
      </w:rPr>
    </w:lvl>
    <w:lvl w:ilvl="5" w:tplc="D8B8A590" w:tentative="1">
      <w:start w:val="1"/>
      <w:numFmt w:val="bullet"/>
      <w:lvlText w:val=""/>
      <w:lvlJc w:val="left"/>
      <w:pPr>
        <w:ind w:left="4320" w:hanging="360"/>
      </w:pPr>
      <w:rPr>
        <w:rFonts w:ascii="Wingdings" w:hAnsi="Wingdings" w:hint="default"/>
      </w:rPr>
    </w:lvl>
    <w:lvl w:ilvl="6" w:tplc="02C0E8D6" w:tentative="1">
      <w:start w:val="1"/>
      <w:numFmt w:val="bullet"/>
      <w:lvlText w:val=""/>
      <w:lvlJc w:val="left"/>
      <w:pPr>
        <w:ind w:left="5040" w:hanging="360"/>
      </w:pPr>
      <w:rPr>
        <w:rFonts w:ascii="Symbol" w:hAnsi="Symbol" w:hint="default"/>
      </w:rPr>
    </w:lvl>
    <w:lvl w:ilvl="7" w:tplc="0EA082DC" w:tentative="1">
      <w:start w:val="1"/>
      <w:numFmt w:val="bullet"/>
      <w:lvlText w:val="o"/>
      <w:lvlJc w:val="left"/>
      <w:pPr>
        <w:ind w:left="5760" w:hanging="360"/>
      </w:pPr>
      <w:rPr>
        <w:rFonts w:ascii="Courier New" w:hAnsi="Courier New" w:cs="Courier New" w:hint="default"/>
      </w:rPr>
    </w:lvl>
    <w:lvl w:ilvl="8" w:tplc="A8A2CE94" w:tentative="1">
      <w:start w:val="1"/>
      <w:numFmt w:val="bullet"/>
      <w:lvlText w:val=""/>
      <w:lvlJc w:val="left"/>
      <w:pPr>
        <w:ind w:left="6480" w:hanging="360"/>
      </w:pPr>
      <w:rPr>
        <w:rFonts w:ascii="Wingdings" w:hAnsi="Wingdings" w:hint="default"/>
      </w:rPr>
    </w:lvl>
  </w:abstractNum>
  <w:abstractNum w:abstractNumId="51" w15:restartNumberingAfterBreak="0">
    <w:nsid w:val="31A24DCB"/>
    <w:multiLevelType w:val="hybridMultilevel"/>
    <w:tmpl w:val="D79E4604"/>
    <w:lvl w:ilvl="0" w:tplc="7C74140C">
      <w:start w:val="1"/>
      <w:numFmt w:val="bullet"/>
      <w:lvlText w:val=""/>
      <w:lvlJc w:val="left"/>
      <w:pPr>
        <w:ind w:left="1440" w:hanging="360"/>
      </w:pPr>
      <w:rPr>
        <w:rFonts w:ascii="Symbol" w:hAnsi="Symbol" w:hint="default"/>
      </w:rPr>
    </w:lvl>
    <w:lvl w:ilvl="1" w:tplc="860E3D7E" w:tentative="1">
      <w:start w:val="1"/>
      <w:numFmt w:val="bullet"/>
      <w:lvlText w:val="o"/>
      <w:lvlJc w:val="left"/>
      <w:pPr>
        <w:ind w:left="2160" w:hanging="360"/>
      </w:pPr>
      <w:rPr>
        <w:rFonts w:ascii="Courier New" w:hAnsi="Courier New" w:cs="Courier New" w:hint="default"/>
      </w:rPr>
    </w:lvl>
    <w:lvl w:ilvl="2" w:tplc="9286B36A" w:tentative="1">
      <w:start w:val="1"/>
      <w:numFmt w:val="bullet"/>
      <w:lvlText w:val=""/>
      <w:lvlJc w:val="left"/>
      <w:pPr>
        <w:ind w:left="2880" w:hanging="360"/>
      </w:pPr>
      <w:rPr>
        <w:rFonts w:ascii="Wingdings" w:hAnsi="Wingdings" w:hint="default"/>
      </w:rPr>
    </w:lvl>
    <w:lvl w:ilvl="3" w:tplc="87B493DA" w:tentative="1">
      <w:start w:val="1"/>
      <w:numFmt w:val="bullet"/>
      <w:lvlText w:val=""/>
      <w:lvlJc w:val="left"/>
      <w:pPr>
        <w:ind w:left="3600" w:hanging="360"/>
      </w:pPr>
      <w:rPr>
        <w:rFonts w:ascii="Symbol" w:hAnsi="Symbol" w:hint="default"/>
      </w:rPr>
    </w:lvl>
    <w:lvl w:ilvl="4" w:tplc="B6D8F136" w:tentative="1">
      <w:start w:val="1"/>
      <w:numFmt w:val="bullet"/>
      <w:lvlText w:val="o"/>
      <w:lvlJc w:val="left"/>
      <w:pPr>
        <w:ind w:left="4320" w:hanging="360"/>
      </w:pPr>
      <w:rPr>
        <w:rFonts w:ascii="Courier New" w:hAnsi="Courier New" w:cs="Courier New" w:hint="default"/>
      </w:rPr>
    </w:lvl>
    <w:lvl w:ilvl="5" w:tplc="30A23B90" w:tentative="1">
      <w:start w:val="1"/>
      <w:numFmt w:val="bullet"/>
      <w:lvlText w:val=""/>
      <w:lvlJc w:val="left"/>
      <w:pPr>
        <w:ind w:left="5040" w:hanging="360"/>
      </w:pPr>
      <w:rPr>
        <w:rFonts w:ascii="Wingdings" w:hAnsi="Wingdings" w:hint="default"/>
      </w:rPr>
    </w:lvl>
    <w:lvl w:ilvl="6" w:tplc="65781518" w:tentative="1">
      <w:start w:val="1"/>
      <w:numFmt w:val="bullet"/>
      <w:lvlText w:val=""/>
      <w:lvlJc w:val="left"/>
      <w:pPr>
        <w:ind w:left="5760" w:hanging="360"/>
      </w:pPr>
      <w:rPr>
        <w:rFonts w:ascii="Symbol" w:hAnsi="Symbol" w:hint="default"/>
      </w:rPr>
    </w:lvl>
    <w:lvl w:ilvl="7" w:tplc="806E5F96" w:tentative="1">
      <w:start w:val="1"/>
      <w:numFmt w:val="bullet"/>
      <w:lvlText w:val="o"/>
      <w:lvlJc w:val="left"/>
      <w:pPr>
        <w:ind w:left="6480" w:hanging="360"/>
      </w:pPr>
      <w:rPr>
        <w:rFonts w:ascii="Courier New" w:hAnsi="Courier New" w:cs="Courier New" w:hint="default"/>
      </w:rPr>
    </w:lvl>
    <w:lvl w:ilvl="8" w:tplc="59C67A7A" w:tentative="1">
      <w:start w:val="1"/>
      <w:numFmt w:val="bullet"/>
      <w:lvlText w:val=""/>
      <w:lvlJc w:val="left"/>
      <w:pPr>
        <w:ind w:left="7200" w:hanging="360"/>
      </w:pPr>
      <w:rPr>
        <w:rFonts w:ascii="Wingdings" w:hAnsi="Wingdings" w:hint="default"/>
      </w:rPr>
    </w:lvl>
  </w:abstractNum>
  <w:abstractNum w:abstractNumId="52" w15:restartNumberingAfterBreak="0">
    <w:nsid w:val="32A645C9"/>
    <w:multiLevelType w:val="multilevel"/>
    <w:tmpl w:val="D82A790C"/>
    <w:styleLink w:val="LFO35"/>
    <w:lvl w:ilvl="0">
      <w:start w:val="1"/>
      <w:numFmt w:val="decimal"/>
      <w:pStyle w:val="DfESOutNumbered1"/>
      <w:lvlText w:val="%1."/>
      <w:lvlJc w:val="left"/>
      <w:pPr>
        <w:ind w:left="1843" w:firstLine="0"/>
      </w:pPr>
      <w:rPr>
        <w:b w:val="0"/>
        <w:color w:val="auto"/>
        <w:sz w:val="24"/>
      </w:rPr>
    </w:lvl>
    <w:lvl w:ilvl="1">
      <w:numFmt w:val="bullet"/>
      <w:lvlText w:val=""/>
      <w:lvlJc w:val="left"/>
      <w:pPr>
        <w:ind w:left="743" w:hanging="720"/>
      </w:pPr>
      <w:rPr>
        <w:rFonts w:ascii="Symbol" w:hAnsi="Symbol"/>
      </w:rPr>
    </w:lvl>
    <w:lvl w:ilvl="2">
      <w:start w:val="1"/>
      <w:numFmt w:val="decimal"/>
      <w:lvlText w:val="%1.%2.%3"/>
      <w:lvlJc w:val="left"/>
      <w:pPr>
        <w:ind w:left="1463" w:hanging="720"/>
      </w:pPr>
    </w:lvl>
    <w:lvl w:ilvl="3">
      <w:start w:val="1"/>
      <w:numFmt w:val="decimal"/>
      <w:lvlText w:val="%1.%2.%3.%4"/>
      <w:lvlJc w:val="left"/>
      <w:pPr>
        <w:ind w:left="2543" w:hanging="1080"/>
      </w:pPr>
    </w:lvl>
    <w:lvl w:ilvl="4">
      <w:start w:val="1"/>
      <w:numFmt w:val="decimal"/>
      <w:lvlText w:val="%1.%2.%3.%4.%5"/>
      <w:lvlJc w:val="left"/>
      <w:pPr>
        <w:ind w:left="3263" w:hanging="1080"/>
      </w:pPr>
    </w:lvl>
    <w:lvl w:ilvl="5">
      <w:start w:val="1"/>
      <w:numFmt w:val="decimal"/>
      <w:lvlText w:val="%1.%2.%3.%4.%5.%6"/>
      <w:lvlJc w:val="left"/>
      <w:pPr>
        <w:ind w:left="4271" w:hanging="1368"/>
      </w:pPr>
    </w:lvl>
    <w:lvl w:ilvl="6">
      <w:start w:val="1"/>
      <w:numFmt w:val="decimal"/>
      <w:lvlText w:val="%1.%2.%3.%4.%5.%6.%7"/>
      <w:lvlJc w:val="left"/>
      <w:pPr>
        <w:ind w:left="5279" w:hanging="1656"/>
      </w:pPr>
    </w:lvl>
    <w:lvl w:ilvl="7">
      <w:start w:val="1"/>
      <w:numFmt w:val="decimal"/>
      <w:lvlText w:val="%1.%2.%3.%4.%5.%6.%7.%8"/>
      <w:lvlJc w:val="left"/>
      <w:pPr>
        <w:ind w:left="5999" w:hanging="1656"/>
      </w:pPr>
    </w:lvl>
    <w:lvl w:ilvl="8">
      <w:start w:val="1"/>
      <w:numFmt w:val="decimal"/>
      <w:lvlText w:val="%1.%2.%3.%4.%5.%6.%7.%8.%9"/>
      <w:lvlJc w:val="left"/>
      <w:pPr>
        <w:ind w:left="6863" w:hanging="1800"/>
      </w:pPr>
    </w:lvl>
  </w:abstractNum>
  <w:abstractNum w:abstractNumId="53" w15:restartNumberingAfterBreak="0">
    <w:nsid w:val="32B1749D"/>
    <w:multiLevelType w:val="hybridMultilevel"/>
    <w:tmpl w:val="D93691A6"/>
    <w:lvl w:ilvl="0" w:tplc="6CF434CC">
      <w:start w:val="1"/>
      <w:numFmt w:val="bullet"/>
      <w:lvlText w:val=""/>
      <w:lvlJc w:val="left"/>
      <w:pPr>
        <w:ind w:left="360" w:hanging="360"/>
      </w:pPr>
      <w:rPr>
        <w:rFonts w:ascii="Symbol" w:hAnsi="Symbol" w:hint="default"/>
      </w:rPr>
    </w:lvl>
    <w:lvl w:ilvl="1" w:tplc="C2EED91E">
      <w:start w:val="1"/>
      <w:numFmt w:val="bullet"/>
      <w:lvlText w:val="o"/>
      <w:lvlJc w:val="left"/>
      <w:pPr>
        <w:ind w:left="1080" w:hanging="360"/>
      </w:pPr>
      <w:rPr>
        <w:rFonts w:ascii="Courier New" w:hAnsi="Courier New" w:cs="Courier New" w:hint="default"/>
      </w:rPr>
    </w:lvl>
    <w:lvl w:ilvl="2" w:tplc="E5CAF182" w:tentative="1">
      <w:start w:val="1"/>
      <w:numFmt w:val="bullet"/>
      <w:lvlText w:val=""/>
      <w:lvlJc w:val="left"/>
      <w:pPr>
        <w:ind w:left="1800" w:hanging="360"/>
      </w:pPr>
      <w:rPr>
        <w:rFonts w:ascii="Wingdings" w:hAnsi="Wingdings" w:hint="default"/>
      </w:rPr>
    </w:lvl>
    <w:lvl w:ilvl="3" w:tplc="C1FA1556" w:tentative="1">
      <w:start w:val="1"/>
      <w:numFmt w:val="bullet"/>
      <w:lvlText w:val=""/>
      <w:lvlJc w:val="left"/>
      <w:pPr>
        <w:ind w:left="2520" w:hanging="360"/>
      </w:pPr>
      <w:rPr>
        <w:rFonts w:ascii="Symbol" w:hAnsi="Symbol" w:hint="default"/>
      </w:rPr>
    </w:lvl>
    <w:lvl w:ilvl="4" w:tplc="C75A3A34" w:tentative="1">
      <w:start w:val="1"/>
      <w:numFmt w:val="bullet"/>
      <w:lvlText w:val="o"/>
      <w:lvlJc w:val="left"/>
      <w:pPr>
        <w:ind w:left="3240" w:hanging="360"/>
      </w:pPr>
      <w:rPr>
        <w:rFonts w:ascii="Courier New" w:hAnsi="Courier New" w:cs="Courier New" w:hint="default"/>
      </w:rPr>
    </w:lvl>
    <w:lvl w:ilvl="5" w:tplc="40C64392" w:tentative="1">
      <w:start w:val="1"/>
      <w:numFmt w:val="bullet"/>
      <w:lvlText w:val=""/>
      <w:lvlJc w:val="left"/>
      <w:pPr>
        <w:ind w:left="3960" w:hanging="360"/>
      </w:pPr>
      <w:rPr>
        <w:rFonts w:ascii="Wingdings" w:hAnsi="Wingdings" w:hint="default"/>
      </w:rPr>
    </w:lvl>
    <w:lvl w:ilvl="6" w:tplc="8CE24E0E" w:tentative="1">
      <w:start w:val="1"/>
      <w:numFmt w:val="bullet"/>
      <w:lvlText w:val=""/>
      <w:lvlJc w:val="left"/>
      <w:pPr>
        <w:ind w:left="4680" w:hanging="360"/>
      </w:pPr>
      <w:rPr>
        <w:rFonts w:ascii="Symbol" w:hAnsi="Symbol" w:hint="default"/>
      </w:rPr>
    </w:lvl>
    <w:lvl w:ilvl="7" w:tplc="BEE285D6" w:tentative="1">
      <w:start w:val="1"/>
      <w:numFmt w:val="bullet"/>
      <w:lvlText w:val="o"/>
      <w:lvlJc w:val="left"/>
      <w:pPr>
        <w:ind w:left="5400" w:hanging="360"/>
      </w:pPr>
      <w:rPr>
        <w:rFonts w:ascii="Courier New" w:hAnsi="Courier New" w:cs="Courier New" w:hint="default"/>
      </w:rPr>
    </w:lvl>
    <w:lvl w:ilvl="8" w:tplc="D3C0291E" w:tentative="1">
      <w:start w:val="1"/>
      <w:numFmt w:val="bullet"/>
      <w:lvlText w:val=""/>
      <w:lvlJc w:val="left"/>
      <w:pPr>
        <w:ind w:left="6120" w:hanging="360"/>
      </w:pPr>
      <w:rPr>
        <w:rFonts w:ascii="Wingdings" w:hAnsi="Wingdings" w:hint="default"/>
      </w:rPr>
    </w:lvl>
  </w:abstractNum>
  <w:abstractNum w:abstractNumId="54" w15:restartNumberingAfterBreak="0">
    <w:nsid w:val="34183CCB"/>
    <w:multiLevelType w:val="hybridMultilevel"/>
    <w:tmpl w:val="D1EE1136"/>
    <w:lvl w:ilvl="0" w:tplc="B76AD246">
      <w:start w:val="1"/>
      <w:numFmt w:val="bullet"/>
      <w:lvlText w:val=""/>
      <w:lvlJc w:val="left"/>
      <w:pPr>
        <w:ind w:left="360" w:hanging="360"/>
      </w:pPr>
      <w:rPr>
        <w:rFonts w:ascii="Symbol" w:hAnsi="Symbol" w:hint="default"/>
      </w:rPr>
    </w:lvl>
    <w:lvl w:ilvl="1" w:tplc="64463508" w:tentative="1">
      <w:start w:val="1"/>
      <w:numFmt w:val="bullet"/>
      <w:lvlText w:val="o"/>
      <w:lvlJc w:val="left"/>
      <w:pPr>
        <w:ind w:left="1080" w:hanging="360"/>
      </w:pPr>
      <w:rPr>
        <w:rFonts w:ascii="Courier New" w:hAnsi="Courier New" w:cs="Courier New" w:hint="default"/>
      </w:rPr>
    </w:lvl>
    <w:lvl w:ilvl="2" w:tplc="023888BE" w:tentative="1">
      <w:start w:val="1"/>
      <w:numFmt w:val="bullet"/>
      <w:lvlText w:val=""/>
      <w:lvlJc w:val="left"/>
      <w:pPr>
        <w:ind w:left="1800" w:hanging="360"/>
      </w:pPr>
      <w:rPr>
        <w:rFonts w:ascii="Wingdings" w:hAnsi="Wingdings" w:hint="default"/>
      </w:rPr>
    </w:lvl>
    <w:lvl w:ilvl="3" w:tplc="6B60BD64" w:tentative="1">
      <w:start w:val="1"/>
      <w:numFmt w:val="bullet"/>
      <w:lvlText w:val=""/>
      <w:lvlJc w:val="left"/>
      <w:pPr>
        <w:ind w:left="2520" w:hanging="360"/>
      </w:pPr>
      <w:rPr>
        <w:rFonts w:ascii="Symbol" w:hAnsi="Symbol" w:hint="default"/>
      </w:rPr>
    </w:lvl>
    <w:lvl w:ilvl="4" w:tplc="5538CA70" w:tentative="1">
      <w:start w:val="1"/>
      <w:numFmt w:val="bullet"/>
      <w:lvlText w:val="o"/>
      <w:lvlJc w:val="left"/>
      <w:pPr>
        <w:ind w:left="3240" w:hanging="360"/>
      </w:pPr>
      <w:rPr>
        <w:rFonts w:ascii="Courier New" w:hAnsi="Courier New" w:cs="Courier New" w:hint="default"/>
      </w:rPr>
    </w:lvl>
    <w:lvl w:ilvl="5" w:tplc="B0F09B92" w:tentative="1">
      <w:start w:val="1"/>
      <w:numFmt w:val="bullet"/>
      <w:lvlText w:val=""/>
      <w:lvlJc w:val="left"/>
      <w:pPr>
        <w:ind w:left="3960" w:hanging="360"/>
      </w:pPr>
      <w:rPr>
        <w:rFonts w:ascii="Wingdings" w:hAnsi="Wingdings" w:hint="default"/>
      </w:rPr>
    </w:lvl>
    <w:lvl w:ilvl="6" w:tplc="C8CCE598" w:tentative="1">
      <w:start w:val="1"/>
      <w:numFmt w:val="bullet"/>
      <w:lvlText w:val=""/>
      <w:lvlJc w:val="left"/>
      <w:pPr>
        <w:ind w:left="4680" w:hanging="360"/>
      </w:pPr>
      <w:rPr>
        <w:rFonts w:ascii="Symbol" w:hAnsi="Symbol" w:hint="default"/>
      </w:rPr>
    </w:lvl>
    <w:lvl w:ilvl="7" w:tplc="96246B78" w:tentative="1">
      <w:start w:val="1"/>
      <w:numFmt w:val="bullet"/>
      <w:lvlText w:val="o"/>
      <w:lvlJc w:val="left"/>
      <w:pPr>
        <w:ind w:left="5400" w:hanging="360"/>
      </w:pPr>
      <w:rPr>
        <w:rFonts w:ascii="Courier New" w:hAnsi="Courier New" w:cs="Courier New" w:hint="default"/>
      </w:rPr>
    </w:lvl>
    <w:lvl w:ilvl="8" w:tplc="5E32FD9C" w:tentative="1">
      <w:start w:val="1"/>
      <w:numFmt w:val="bullet"/>
      <w:lvlText w:val=""/>
      <w:lvlJc w:val="left"/>
      <w:pPr>
        <w:ind w:left="6120" w:hanging="360"/>
      </w:pPr>
      <w:rPr>
        <w:rFonts w:ascii="Wingdings" w:hAnsi="Wingdings" w:hint="default"/>
      </w:rPr>
    </w:lvl>
  </w:abstractNum>
  <w:abstractNum w:abstractNumId="55" w15:restartNumberingAfterBreak="0">
    <w:nsid w:val="357D313F"/>
    <w:multiLevelType w:val="hybridMultilevel"/>
    <w:tmpl w:val="FDE6FECA"/>
    <w:lvl w:ilvl="0" w:tplc="16028900">
      <w:start w:val="1"/>
      <w:numFmt w:val="bullet"/>
      <w:lvlText w:val=""/>
      <w:lvlJc w:val="left"/>
      <w:pPr>
        <w:ind w:left="720" w:hanging="360"/>
      </w:pPr>
      <w:rPr>
        <w:rFonts w:ascii="Symbol" w:hAnsi="Symbol" w:hint="default"/>
      </w:rPr>
    </w:lvl>
    <w:lvl w:ilvl="1" w:tplc="6C28CB0A" w:tentative="1">
      <w:start w:val="1"/>
      <w:numFmt w:val="bullet"/>
      <w:lvlText w:val="o"/>
      <w:lvlJc w:val="left"/>
      <w:pPr>
        <w:ind w:left="1440" w:hanging="360"/>
      </w:pPr>
      <w:rPr>
        <w:rFonts w:ascii="Courier New" w:hAnsi="Courier New" w:cs="Courier New" w:hint="default"/>
      </w:rPr>
    </w:lvl>
    <w:lvl w:ilvl="2" w:tplc="B41643AE" w:tentative="1">
      <w:start w:val="1"/>
      <w:numFmt w:val="bullet"/>
      <w:lvlText w:val=""/>
      <w:lvlJc w:val="left"/>
      <w:pPr>
        <w:ind w:left="2160" w:hanging="360"/>
      </w:pPr>
      <w:rPr>
        <w:rFonts w:ascii="Wingdings" w:hAnsi="Wingdings" w:hint="default"/>
      </w:rPr>
    </w:lvl>
    <w:lvl w:ilvl="3" w:tplc="B64AD7F4" w:tentative="1">
      <w:start w:val="1"/>
      <w:numFmt w:val="bullet"/>
      <w:lvlText w:val=""/>
      <w:lvlJc w:val="left"/>
      <w:pPr>
        <w:ind w:left="2880" w:hanging="360"/>
      </w:pPr>
      <w:rPr>
        <w:rFonts w:ascii="Symbol" w:hAnsi="Symbol" w:hint="default"/>
      </w:rPr>
    </w:lvl>
    <w:lvl w:ilvl="4" w:tplc="598CAB2C" w:tentative="1">
      <w:start w:val="1"/>
      <w:numFmt w:val="bullet"/>
      <w:lvlText w:val="o"/>
      <w:lvlJc w:val="left"/>
      <w:pPr>
        <w:ind w:left="3600" w:hanging="360"/>
      </w:pPr>
      <w:rPr>
        <w:rFonts w:ascii="Courier New" w:hAnsi="Courier New" w:cs="Courier New" w:hint="default"/>
      </w:rPr>
    </w:lvl>
    <w:lvl w:ilvl="5" w:tplc="3AC4C9CC" w:tentative="1">
      <w:start w:val="1"/>
      <w:numFmt w:val="bullet"/>
      <w:lvlText w:val=""/>
      <w:lvlJc w:val="left"/>
      <w:pPr>
        <w:ind w:left="4320" w:hanging="360"/>
      </w:pPr>
      <w:rPr>
        <w:rFonts w:ascii="Wingdings" w:hAnsi="Wingdings" w:hint="default"/>
      </w:rPr>
    </w:lvl>
    <w:lvl w:ilvl="6" w:tplc="37E01E14" w:tentative="1">
      <w:start w:val="1"/>
      <w:numFmt w:val="bullet"/>
      <w:lvlText w:val=""/>
      <w:lvlJc w:val="left"/>
      <w:pPr>
        <w:ind w:left="5040" w:hanging="360"/>
      </w:pPr>
      <w:rPr>
        <w:rFonts w:ascii="Symbol" w:hAnsi="Symbol" w:hint="default"/>
      </w:rPr>
    </w:lvl>
    <w:lvl w:ilvl="7" w:tplc="3B10394E" w:tentative="1">
      <w:start w:val="1"/>
      <w:numFmt w:val="bullet"/>
      <w:lvlText w:val="o"/>
      <w:lvlJc w:val="left"/>
      <w:pPr>
        <w:ind w:left="5760" w:hanging="360"/>
      </w:pPr>
      <w:rPr>
        <w:rFonts w:ascii="Courier New" w:hAnsi="Courier New" w:cs="Courier New" w:hint="default"/>
      </w:rPr>
    </w:lvl>
    <w:lvl w:ilvl="8" w:tplc="DB34DA42" w:tentative="1">
      <w:start w:val="1"/>
      <w:numFmt w:val="bullet"/>
      <w:lvlText w:val=""/>
      <w:lvlJc w:val="left"/>
      <w:pPr>
        <w:ind w:left="6480" w:hanging="360"/>
      </w:pPr>
      <w:rPr>
        <w:rFonts w:ascii="Wingdings" w:hAnsi="Wingdings" w:hint="default"/>
      </w:rPr>
    </w:lvl>
  </w:abstractNum>
  <w:abstractNum w:abstractNumId="56" w15:restartNumberingAfterBreak="0">
    <w:nsid w:val="360E7F2A"/>
    <w:multiLevelType w:val="hybridMultilevel"/>
    <w:tmpl w:val="67C8C946"/>
    <w:lvl w:ilvl="0" w:tplc="7864304C">
      <w:start w:val="1"/>
      <w:numFmt w:val="bullet"/>
      <w:lvlText w:val=""/>
      <w:lvlJc w:val="left"/>
      <w:pPr>
        <w:ind w:left="360" w:hanging="360"/>
      </w:pPr>
      <w:rPr>
        <w:rFonts w:ascii="Symbol" w:hAnsi="Symbol" w:hint="default"/>
      </w:rPr>
    </w:lvl>
    <w:lvl w:ilvl="1" w:tplc="37CE3BE4" w:tentative="1">
      <w:start w:val="1"/>
      <w:numFmt w:val="bullet"/>
      <w:lvlText w:val="o"/>
      <w:lvlJc w:val="left"/>
      <w:pPr>
        <w:ind w:left="1080" w:hanging="360"/>
      </w:pPr>
      <w:rPr>
        <w:rFonts w:ascii="Courier New" w:hAnsi="Courier New" w:cs="Courier New" w:hint="default"/>
      </w:rPr>
    </w:lvl>
    <w:lvl w:ilvl="2" w:tplc="265E2B08" w:tentative="1">
      <w:start w:val="1"/>
      <w:numFmt w:val="bullet"/>
      <w:lvlText w:val=""/>
      <w:lvlJc w:val="left"/>
      <w:pPr>
        <w:ind w:left="1800" w:hanging="360"/>
      </w:pPr>
      <w:rPr>
        <w:rFonts w:ascii="Wingdings" w:hAnsi="Wingdings" w:hint="default"/>
      </w:rPr>
    </w:lvl>
    <w:lvl w:ilvl="3" w:tplc="2A62800C" w:tentative="1">
      <w:start w:val="1"/>
      <w:numFmt w:val="bullet"/>
      <w:lvlText w:val=""/>
      <w:lvlJc w:val="left"/>
      <w:pPr>
        <w:ind w:left="2520" w:hanging="360"/>
      </w:pPr>
      <w:rPr>
        <w:rFonts w:ascii="Symbol" w:hAnsi="Symbol" w:hint="default"/>
      </w:rPr>
    </w:lvl>
    <w:lvl w:ilvl="4" w:tplc="B21A378C" w:tentative="1">
      <w:start w:val="1"/>
      <w:numFmt w:val="bullet"/>
      <w:lvlText w:val="o"/>
      <w:lvlJc w:val="left"/>
      <w:pPr>
        <w:ind w:left="3240" w:hanging="360"/>
      </w:pPr>
      <w:rPr>
        <w:rFonts w:ascii="Courier New" w:hAnsi="Courier New" w:cs="Courier New" w:hint="default"/>
      </w:rPr>
    </w:lvl>
    <w:lvl w:ilvl="5" w:tplc="7CCE863E" w:tentative="1">
      <w:start w:val="1"/>
      <w:numFmt w:val="bullet"/>
      <w:lvlText w:val=""/>
      <w:lvlJc w:val="left"/>
      <w:pPr>
        <w:ind w:left="3960" w:hanging="360"/>
      </w:pPr>
      <w:rPr>
        <w:rFonts w:ascii="Wingdings" w:hAnsi="Wingdings" w:hint="default"/>
      </w:rPr>
    </w:lvl>
    <w:lvl w:ilvl="6" w:tplc="5D608E76" w:tentative="1">
      <w:start w:val="1"/>
      <w:numFmt w:val="bullet"/>
      <w:lvlText w:val=""/>
      <w:lvlJc w:val="left"/>
      <w:pPr>
        <w:ind w:left="4680" w:hanging="360"/>
      </w:pPr>
      <w:rPr>
        <w:rFonts w:ascii="Symbol" w:hAnsi="Symbol" w:hint="default"/>
      </w:rPr>
    </w:lvl>
    <w:lvl w:ilvl="7" w:tplc="BE901F0A" w:tentative="1">
      <w:start w:val="1"/>
      <w:numFmt w:val="bullet"/>
      <w:lvlText w:val="o"/>
      <w:lvlJc w:val="left"/>
      <w:pPr>
        <w:ind w:left="5400" w:hanging="360"/>
      </w:pPr>
      <w:rPr>
        <w:rFonts w:ascii="Courier New" w:hAnsi="Courier New" w:cs="Courier New" w:hint="default"/>
      </w:rPr>
    </w:lvl>
    <w:lvl w:ilvl="8" w:tplc="3E5CDC2E" w:tentative="1">
      <w:start w:val="1"/>
      <w:numFmt w:val="bullet"/>
      <w:lvlText w:val=""/>
      <w:lvlJc w:val="left"/>
      <w:pPr>
        <w:ind w:left="6120" w:hanging="360"/>
      </w:pPr>
      <w:rPr>
        <w:rFonts w:ascii="Wingdings" w:hAnsi="Wingdings" w:hint="default"/>
      </w:rPr>
    </w:lvl>
  </w:abstractNum>
  <w:abstractNum w:abstractNumId="57" w15:restartNumberingAfterBreak="0">
    <w:nsid w:val="36576B26"/>
    <w:multiLevelType w:val="hybridMultilevel"/>
    <w:tmpl w:val="BBE4C1F8"/>
    <w:lvl w:ilvl="0" w:tplc="6374CC84">
      <w:start w:val="1"/>
      <w:numFmt w:val="bullet"/>
      <w:lvlText w:val=""/>
      <w:lvlJc w:val="left"/>
      <w:pPr>
        <w:ind w:left="720" w:hanging="360"/>
      </w:pPr>
      <w:rPr>
        <w:rFonts w:ascii="Symbol" w:hAnsi="Symbol" w:hint="default"/>
      </w:rPr>
    </w:lvl>
    <w:lvl w:ilvl="1" w:tplc="9AC61FAC" w:tentative="1">
      <w:start w:val="1"/>
      <w:numFmt w:val="bullet"/>
      <w:lvlText w:val="o"/>
      <w:lvlJc w:val="left"/>
      <w:pPr>
        <w:ind w:left="1440" w:hanging="360"/>
      </w:pPr>
      <w:rPr>
        <w:rFonts w:ascii="Courier New" w:hAnsi="Courier New" w:cs="Courier New" w:hint="default"/>
      </w:rPr>
    </w:lvl>
    <w:lvl w:ilvl="2" w:tplc="55A2ACFC" w:tentative="1">
      <w:start w:val="1"/>
      <w:numFmt w:val="bullet"/>
      <w:lvlText w:val=""/>
      <w:lvlJc w:val="left"/>
      <w:pPr>
        <w:ind w:left="2160" w:hanging="360"/>
      </w:pPr>
      <w:rPr>
        <w:rFonts w:ascii="Wingdings" w:hAnsi="Wingdings" w:hint="default"/>
      </w:rPr>
    </w:lvl>
    <w:lvl w:ilvl="3" w:tplc="AB70694A" w:tentative="1">
      <w:start w:val="1"/>
      <w:numFmt w:val="bullet"/>
      <w:lvlText w:val=""/>
      <w:lvlJc w:val="left"/>
      <w:pPr>
        <w:ind w:left="2880" w:hanging="360"/>
      </w:pPr>
      <w:rPr>
        <w:rFonts w:ascii="Symbol" w:hAnsi="Symbol" w:hint="default"/>
      </w:rPr>
    </w:lvl>
    <w:lvl w:ilvl="4" w:tplc="B040F28A" w:tentative="1">
      <w:start w:val="1"/>
      <w:numFmt w:val="bullet"/>
      <w:lvlText w:val="o"/>
      <w:lvlJc w:val="left"/>
      <w:pPr>
        <w:ind w:left="3600" w:hanging="360"/>
      </w:pPr>
      <w:rPr>
        <w:rFonts w:ascii="Courier New" w:hAnsi="Courier New" w:cs="Courier New" w:hint="default"/>
      </w:rPr>
    </w:lvl>
    <w:lvl w:ilvl="5" w:tplc="3676CB3C" w:tentative="1">
      <w:start w:val="1"/>
      <w:numFmt w:val="bullet"/>
      <w:lvlText w:val=""/>
      <w:lvlJc w:val="left"/>
      <w:pPr>
        <w:ind w:left="4320" w:hanging="360"/>
      </w:pPr>
      <w:rPr>
        <w:rFonts w:ascii="Wingdings" w:hAnsi="Wingdings" w:hint="default"/>
      </w:rPr>
    </w:lvl>
    <w:lvl w:ilvl="6" w:tplc="5B204EFC" w:tentative="1">
      <w:start w:val="1"/>
      <w:numFmt w:val="bullet"/>
      <w:lvlText w:val=""/>
      <w:lvlJc w:val="left"/>
      <w:pPr>
        <w:ind w:left="5040" w:hanging="360"/>
      </w:pPr>
      <w:rPr>
        <w:rFonts w:ascii="Symbol" w:hAnsi="Symbol" w:hint="default"/>
      </w:rPr>
    </w:lvl>
    <w:lvl w:ilvl="7" w:tplc="69405866" w:tentative="1">
      <w:start w:val="1"/>
      <w:numFmt w:val="bullet"/>
      <w:lvlText w:val="o"/>
      <w:lvlJc w:val="left"/>
      <w:pPr>
        <w:ind w:left="5760" w:hanging="360"/>
      </w:pPr>
      <w:rPr>
        <w:rFonts w:ascii="Courier New" w:hAnsi="Courier New" w:cs="Courier New" w:hint="default"/>
      </w:rPr>
    </w:lvl>
    <w:lvl w:ilvl="8" w:tplc="A59CDD76" w:tentative="1">
      <w:start w:val="1"/>
      <w:numFmt w:val="bullet"/>
      <w:lvlText w:val=""/>
      <w:lvlJc w:val="left"/>
      <w:pPr>
        <w:ind w:left="6480" w:hanging="360"/>
      </w:pPr>
      <w:rPr>
        <w:rFonts w:ascii="Wingdings" w:hAnsi="Wingdings" w:hint="default"/>
      </w:rPr>
    </w:lvl>
  </w:abstractNum>
  <w:abstractNum w:abstractNumId="58" w15:restartNumberingAfterBreak="0">
    <w:nsid w:val="367F6B37"/>
    <w:multiLevelType w:val="hybridMultilevel"/>
    <w:tmpl w:val="CBAAE730"/>
    <w:lvl w:ilvl="0" w:tplc="9E70B84E">
      <w:start w:val="1"/>
      <w:numFmt w:val="bullet"/>
      <w:lvlText w:val=""/>
      <w:lvlJc w:val="left"/>
      <w:pPr>
        <w:ind w:left="1429" w:hanging="360"/>
      </w:pPr>
      <w:rPr>
        <w:rFonts w:ascii="Symbol" w:hAnsi="Symbol" w:hint="default"/>
      </w:rPr>
    </w:lvl>
    <w:lvl w:ilvl="1" w:tplc="30385082" w:tentative="1">
      <w:start w:val="1"/>
      <w:numFmt w:val="bullet"/>
      <w:lvlText w:val="o"/>
      <w:lvlJc w:val="left"/>
      <w:pPr>
        <w:ind w:left="2149" w:hanging="360"/>
      </w:pPr>
      <w:rPr>
        <w:rFonts w:ascii="Courier New" w:hAnsi="Courier New" w:cs="Courier New" w:hint="default"/>
      </w:rPr>
    </w:lvl>
    <w:lvl w:ilvl="2" w:tplc="0F440A6A" w:tentative="1">
      <w:start w:val="1"/>
      <w:numFmt w:val="bullet"/>
      <w:lvlText w:val=""/>
      <w:lvlJc w:val="left"/>
      <w:pPr>
        <w:ind w:left="2869" w:hanging="360"/>
      </w:pPr>
      <w:rPr>
        <w:rFonts w:ascii="Wingdings" w:hAnsi="Wingdings" w:hint="default"/>
      </w:rPr>
    </w:lvl>
    <w:lvl w:ilvl="3" w:tplc="C36EFDC8" w:tentative="1">
      <w:start w:val="1"/>
      <w:numFmt w:val="bullet"/>
      <w:lvlText w:val=""/>
      <w:lvlJc w:val="left"/>
      <w:pPr>
        <w:ind w:left="3589" w:hanging="360"/>
      </w:pPr>
      <w:rPr>
        <w:rFonts w:ascii="Symbol" w:hAnsi="Symbol" w:hint="default"/>
      </w:rPr>
    </w:lvl>
    <w:lvl w:ilvl="4" w:tplc="74D810B2" w:tentative="1">
      <w:start w:val="1"/>
      <w:numFmt w:val="bullet"/>
      <w:lvlText w:val="o"/>
      <w:lvlJc w:val="left"/>
      <w:pPr>
        <w:ind w:left="4309" w:hanging="360"/>
      </w:pPr>
      <w:rPr>
        <w:rFonts w:ascii="Courier New" w:hAnsi="Courier New" w:cs="Courier New" w:hint="default"/>
      </w:rPr>
    </w:lvl>
    <w:lvl w:ilvl="5" w:tplc="01289B02" w:tentative="1">
      <w:start w:val="1"/>
      <w:numFmt w:val="bullet"/>
      <w:lvlText w:val=""/>
      <w:lvlJc w:val="left"/>
      <w:pPr>
        <w:ind w:left="5029" w:hanging="360"/>
      </w:pPr>
      <w:rPr>
        <w:rFonts w:ascii="Wingdings" w:hAnsi="Wingdings" w:hint="default"/>
      </w:rPr>
    </w:lvl>
    <w:lvl w:ilvl="6" w:tplc="161A23B8" w:tentative="1">
      <w:start w:val="1"/>
      <w:numFmt w:val="bullet"/>
      <w:lvlText w:val=""/>
      <w:lvlJc w:val="left"/>
      <w:pPr>
        <w:ind w:left="5749" w:hanging="360"/>
      </w:pPr>
      <w:rPr>
        <w:rFonts w:ascii="Symbol" w:hAnsi="Symbol" w:hint="default"/>
      </w:rPr>
    </w:lvl>
    <w:lvl w:ilvl="7" w:tplc="BFAC9D98" w:tentative="1">
      <w:start w:val="1"/>
      <w:numFmt w:val="bullet"/>
      <w:lvlText w:val="o"/>
      <w:lvlJc w:val="left"/>
      <w:pPr>
        <w:ind w:left="6469" w:hanging="360"/>
      </w:pPr>
      <w:rPr>
        <w:rFonts w:ascii="Courier New" w:hAnsi="Courier New" w:cs="Courier New" w:hint="default"/>
      </w:rPr>
    </w:lvl>
    <w:lvl w:ilvl="8" w:tplc="6810A260" w:tentative="1">
      <w:start w:val="1"/>
      <w:numFmt w:val="bullet"/>
      <w:lvlText w:val=""/>
      <w:lvlJc w:val="left"/>
      <w:pPr>
        <w:ind w:left="7189" w:hanging="360"/>
      </w:pPr>
      <w:rPr>
        <w:rFonts w:ascii="Wingdings" w:hAnsi="Wingdings" w:hint="default"/>
      </w:rPr>
    </w:lvl>
  </w:abstractNum>
  <w:abstractNum w:abstractNumId="59" w15:restartNumberingAfterBreak="0">
    <w:nsid w:val="37F20EEC"/>
    <w:multiLevelType w:val="hybridMultilevel"/>
    <w:tmpl w:val="2B641CE0"/>
    <w:lvl w:ilvl="0" w:tplc="2DB28DA4">
      <w:start w:val="1"/>
      <w:numFmt w:val="bullet"/>
      <w:lvlText w:val=""/>
      <w:lvlJc w:val="left"/>
      <w:pPr>
        <w:ind w:left="360" w:hanging="360"/>
      </w:pPr>
      <w:rPr>
        <w:rFonts w:ascii="Symbol" w:hAnsi="Symbol" w:hint="default"/>
      </w:rPr>
    </w:lvl>
    <w:lvl w:ilvl="1" w:tplc="6C8E1D6E">
      <w:start w:val="1"/>
      <w:numFmt w:val="bullet"/>
      <w:lvlText w:val="o"/>
      <w:lvlJc w:val="left"/>
      <w:pPr>
        <w:ind w:left="1080" w:hanging="360"/>
      </w:pPr>
      <w:rPr>
        <w:rFonts w:ascii="Courier New" w:hAnsi="Courier New" w:cs="Courier New" w:hint="default"/>
      </w:rPr>
    </w:lvl>
    <w:lvl w:ilvl="2" w:tplc="78DCFAFC">
      <w:start w:val="1"/>
      <w:numFmt w:val="bullet"/>
      <w:lvlText w:val=""/>
      <w:lvlJc w:val="left"/>
      <w:pPr>
        <w:ind w:left="1800" w:hanging="360"/>
      </w:pPr>
      <w:rPr>
        <w:rFonts w:ascii="Wingdings" w:hAnsi="Wingdings" w:hint="default"/>
      </w:rPr>
    </w:lvl>
    <w:lvl w:ilvl="3" w:tplc="4C06148C">
      <w:start w:val="1"/>
      <w:numFmt w:val="bullet"/>
      <w:lvlText w:val=""/>
      <w:lvlJc w:val="left"/>
      <w:pPr>
        <w:ind w:left="2520" w:hanging="360"/>
      </w:pPr>
      <w:rPr>
        <w:rFonts w:ascii="Symbol" w:hAnsi="Symbol" w:hint="default"/>
      </w:rPr>
    </w:lvl>
    <w:lvl w:ilvl="4" w:tplc="A39638DA">
      <w:start w:val="1"/>
      <w:numFmt w:val="bullet"/>
      <w:lvlText w:val="o"/>
      <w:lvlJc w:val="left"/>
      <w:pPr>
        <w:ind w:left="3240" w:hanging="360"/>
      </w:pPr>
      <w:rPr>
        <w:rFonts w:ascii="Courier New" w:hAnsi="Courier New" w:cs="Courier New" w:hint="default"/>
      </w:rPr>
    </w:lvl>
    <w:lvl w:ilvl="5" w:tplc="930A578E">
      <w:start w:val="1"/>
      <w:numFmt w:val="bullet"/>
      <w:lvlText w:val=""/>
      <w:lvlJc w:val="left"/>
      <w:pPr>
        <w:ind w:left="3960" w:hanging="360"/>
      </w:pPr>
      <w:rPr>
        <w:rFonts w:ascii="Wingdings" w:hAnsi="Wingdings" w:hint="default"/>
      </w:rPr>
    </w:lvl>
    <w:lvl w:ilvl="6" w:tplc="4B0C64D8">
      <w:start w:val="1"/>
      <w:numFmt w:val="bullet"/>
      <w:lvlText w:val=""/>
      <w:lvlJc w:val="left"/>
      <w:pPr>
        <w:ind w:left="4680" w:hanging="360"/>
      </w:pPr>
      <w:rPr>
        <w:rFonts w:ascii="Symbol" w:hAnsi="Symbol" w:hint="default"/>
      </w:rPr>
    </w:lvl>
    <w:lvl w:ilvl="7" w:tplc="1C703750">
      <w:start w:val="1"/>
      <w:numFmt w:val="bullet"/>
      <w:lvlText w:val="o"/>
      <w:lvlJc w:val="left"/>
      <w:pPr>
        <w:ind w:left="5400" w:hanging="360"/>
      </w:pPr>
      <w:rPr>
        <w:rFonts w:ascii="Courier New" w:hAnsi="Courier New" w:cs="Courier New" w:hint="default"/>
      </w:rPr>
    </w:lvl>
    <w:lvl w:ilvl="8" w:tplc="6D5012E0">
      <w:start w:val="1"/>
      <w:numFmt w:val="bullet"/>
      <w:lvlText w:val=""/>
      <w:lvlJc w:val="left"/>
      <w:pPr>
        <w:ind w:left="6120" w:hanging="360"/>
      </w:pPr>
      <w:rPr>
        <w:rFonts w:ascii="Wingdings" w:hAnsi="Wingdings" w:hint="default"/>
      </w:rPr>
    </w:lvl>
  </w:abstractNum>
  <w:abstractNum w:abstractNumId="60" w15:restartNumberingAfterBreak="0">
    <w:nsid w:val="384D335F"/>
    <w:multiLevelType w:val="hybridMultilevel"/>
    <w:tmpl w:val="5ACCCC4E"/>
    <w:lvl w:ilvl="0" w:tplc="975ABF10">
      <w:start w:val="1"/>
      <w:numFmt w:val="decimal"/>
      <w:lvlText w:val="%1."/>
      <w:lvlJc w:val="left"/>
      <w:pPr>
        <w:ind w:left="1444" w:hanging="735"/>
      </w:pPr>
      <w:rPr>
        <w:rFonts w:hint="default"/>
      </w:rPr>
    </w:lvl>
    <w:lvl w:ilvl="1" w:tplc="503226AE" w:tentative="1">
      <w:start w:val="1"/>
      <w:numFmt w:val="lowerLetter"/>
      <w:lvlText w:val="%2."/>
      <w:lvlJc w:val="left"/>
      <w:pPr>
        <w:ind w:left="1789" w:hanging="360"/>
      </w:pPr>
    </w:lvl>
    <w:lvl w:ilvl="2" w:tplc="5BDEDCCC" w:tentative="1">
      <w:start w:val="1"/>
      <w:numFmt w:val="lowerRoman"/>
      <w:lvlText w:val="%3."/>
      <w:lvlJc w:val="right"/>
      <w:pPr>
        <w:ind w:left="2509" w:hanging="180"/>
      </w:pPr>
    </w:lvl>
    <w:lvl w:ilvl="3" w:tplc="31B2DCA0" w:tentative="1">
      <w:start w:val="1"/>
      <w:numFmt w:val="decimal"/>
      <w:lvlText w:val="%4."/>
      <w:lvlJc w:val="left"/>
      <w:pPr>
        <w:ind w:left="3229" w:hanging="360"/>
      </w:pPr>
    </w:lvl>
    <w:lvl w:ilvl="4" w:tplc="6296A020" w:tentative="1">
      <w:start w:val="1"/>
      <w:numFmt w:val="lowerLetter"/>
      <w:lvlText w:val="%5."/>
      <w:lvlJc w:val="left"/>
      <w:pPr>
        <w:ind w:left="3949" w:hanging="360"/>
      </w:pPr>
    </w:lvl>
    <w:lvl w:ilvl="5" w:tplc="5B4258CA" w:tentative="1">
      <w:start w:val="1"/>
      <w:numFmt w:val="lowerRoman"/>
      <w:lvlText w:val="%6."/>
      <w:lvlJc w:val="right"/>
      <w:pPr>
        <w:ind w:left="4669" w:hanging="180"/>
      </w:pPr>
    </w:lvl>
    <w:lvl w:ilvl="6" w:tplc="94DA1536" w:tentative="1">
      <w:start w:val="1"/>
      <w:numFmt w:val="decimal"/>
      <w:lvlText w:val="%7."/>
      <w:lvlJc w:val="left"/>
      <w:pPr>
        <w:ind w:left="5389" w:hanging="360"/>
      </w:pPr>
    </w:lvl>
    <w:lvl w:ilvl="7" w:tplc="0176599E" w:tentative="1">
      <w:start w:val="1"/>
      <w:numFmt w:val="lowerLetter"/>
      <w:lvlText w:val="%8."/>
      <w:lvlJc w:val="left"/>
      <w:pPr>
        <w:ind w:left="6109" w:hanging="360"/>
      </w:pPr>
    </w:lvl>
    <w:lvl w:ilvl="8" w:tplc="8884B0DA" w:tentative="1">
      <w:start w:val="1"/>
      <w:numFmt w:val="lowerRoman"/>
      <w:lvlText w:val="%9."/>
      <w:lvlJc w:val="right"/>
      <w:pPr>
        <w:ind w:left="6829" w:hanging="180"/>
      </w:pPr>
    </w:lvl>
  </w:abstractNum>
  <w:abstractNum w:abstractNumId="61" w15:restartNumberingAfterBreak="0">
    <w:nsid w:val="38FC6D53"/>
    <w:multiLevelType w:val="hybridMultilevel"/>
    <w:tmpl w:val="D07C9CEA"/>
    <w:lvl w:ilvl="0" w:tplc="E9F2667A">
      <w:start w:val="1"/>
      <w:numFmt w:val="bullet"/>
      <w:lvlText w:val=""/>
      <w:lvlJc w:val="left"/>
      <w:pPr>
        <w:ind w:left="780" w:hanging="360"/>
      </w:pPr>
      <w:rPr>
        <w:rFonts w:ascii="Symbol" w:hAnsi="Symbol" w:hint="default"/>
      </w:rPr>
    </w:lvl>
    <w:lvl w:ilvl="1" w:tplc="F5C4E7F0" w:tentative="1">
      <w:start w:val="1"/>
      <w:numFmt w:val="bullet"/>
      <w:lvlText w:val="o"/>
      <w:lvlJc w:val="left"/>
      <w:pPr>
        <w:ind w:left="1500" w:hanging="360"/>
      </w:pPr>
      <w:rPr>
        <w:rFonts w:ascii="Courier New" w:hAnsi="Courier New" w:cs="Courier New" w:hint="default"/>
      </w:rPr>
    </w:lvl>
    <w:lvl w:ilvl="2" w:tplc="87F40F3A" w:tentative="1">
      <w:start w:val="1"/>
      <w:numFmt w:val="bullet"/>
      <w:lvlText w:val=""/>
      <w:lvlJc w:val="left"/>
      <w:pPr>
        <w:ind w:left="2220" w:hanging="360"/>
      </w:pPr>
      <w:rPr>
        <w:rFonts w:ascii="Wingdings" w:hAnsi="Wingdings" w:hint="default"/>
      </w:rPr>
    </w:lvl>
    <w:lvl w:ilvl="3" w:tplc="603A0BB8" w:tentative="1">
      <w:start w:val="1"/>
      <w:numFmt w:val="bullet"/>
      <w:lvlText w:val=""/>
      <w:lvlJc w:val="left"/>
      <w:pPr>
        <w:ind w:left="2940" w:hanging="360"/>
      </w:pPr>
      <w:rPr>
        <w:rFonts w:ascii="Symbol" w:hAnsi="Symbol" w:hint="default"/>
      </w:rPr>
    </w:lvl>
    <w:lvl w:ilvl="4" w:tplc="CBBC8C62" w:tentative="1">
      <w:start w:val="1"/>
      <w:numFmt w:val="bullet"/>
      <w:lvlText w:val="o"/>
      <w:lvlJc w:val="left"/>
      <w:pPr>
        <w:ind w:left="3660" w:hanging="360"/>
      </w:pPr>
      <w:rPr>
        <w:rFonts w:ascii="Courier New" w:hAnsi="Courier New" w:cs="Courier New" w:hint="default"/>
      </w:rPr>
    </w:lvl>
    <w:lvl w:ilvl="5" w:tplc="32BCC904" w:tentative="1">
      <w:start w:val="1"/>
      <w:numFmt w:val="bullet"/>
      <w:lvlText w:val=""/>
      <w:lvlJc w:val="left"/>
      <w:pPr>
        <w:ind w:left="4380" w:hanging="360"/>
      </w:pPr>
      <w:rPr>
        <w:rFonts w:ascii="Wingdings" w:hAnsi="Wingdings" w:hint="default"/>
      </w:rPr>
    </w:lvl>
    <w:lvl w:ilvl="6" w:tplc="54F82F1A" w:tentative="1">
      <w:start w:val="1"/>
      <w:numFmt w:val="bullet"/>
      <w:lvlText w:val=""/>
      <w:lvlJc w:val="left"/>
      <w:pPr>
        <w:ind w:left="5100" w:hanging="360"/>
      </w:pPr>
      <w:rPr>
        <w:rFonts w:ascii="Symbol" w:hAnsi="Symbol" w:hint="default"/>
      </w:rPr>
    </w:lvl>
    <w:lvl w:ilvl="7" w:tplc="5DF02C44" w:tentative="1">
      <w:start w:val="1"/>
      <w:numFmt w:val="bullet"/>
      <w:lvlText w:val="o"/>
      <w:lvlJc w:val="left"/>
      <w:pPr>
        <w:ind w:left="5820" w:hanging="360"/>
      </w:pPr>
      <w:rPr>
        <w:rFonts w:ascii="Courier New" w:hAnsi="Courier New" w:cs="Courier New" w:hint="default"/>
      </w:rPr>
    </w:lvl>
    <w:lvl w:ilvl="8" w:tplc="B9F22228" w:tentative="1">
      <w:start w:val="1"/>
      <w:numFmt w:val="bullet"/>
      <w:lvlText w:val=""/>
      <w:lvlJc w:val="left"/>
      <w:pPr>
        <w:ind w:left="6540" w:hanging="360"/>
      </w:pPr>
      <w:rPr>
        <w:rFonts w:ascii="Wingdings" w:hAnsi="Wingdings" w:hint="default"/>
      </w:rPr>
    </w:lvl>
  </w:abstractNum>
  <w:abstractNum w:abstractNumId="62" w15:restartNumberingAfterBreak="0">
    <w:nsid w:val="3954003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395D7559"/>
    <w:multiLevelType w:val="hybridMultilevel"/>
    <w:tmpl w:val="7BB66160"/>
    <w:lvl w:ilvl="0" w:tplc="52920378">
      <w:start w:val="1"/>
      <w:numFmt w:val="decimal"/>
      <w:lvlText w:val="%1)"/>
      <w:lvlJc w:val="left"/>
      <w:pPr>
        <w:ind w:left="720" w:hanging="360"/>
      </w:pPr>
      <w:rPr>
        <w:rFonts w:hint="default"/>
      </w:rPr>
    </w:lvl>
    <w:lvl w:ilvl="1" w:tplc="89A631F6" w:tentative="1">
      <w:start w:val="1"/>
      <w:numFmt w:val="lowerLetter"/>
      <w:lvlText w:val="%2."/>
      <w:lvlJc w:val="left"/>
      <w:pPr>
        <w:ind w:left="1440" w:hanging="360"/>
      </w:pPr>
    </w:lvl>
    <w:lvl w:ilvl="2" w:tplc="FC84FEA0" w:tentative="1">
      <w:start w:val="1"/>
      <w:numFmt w:val="lowerRoman"/>
      <w:lvlText w:val="%3."/>
      <w:lvlJc w:val="right"/>
      <w:pPr>
        <w:ind w:left="2160" w:hanging="180"/>
      </w:pPr>
    </w:lvl>
    <w:lvl w:ilvl="3" w:tplc="F620E8AA" w:tentative="1">
      <w:start w:val="1"/>
      <w:numFmt w:val="decimal"/>
      <w:lvlText w:val="%4."/>
      <w:lvlJc w:val="left"/>
      <w:pPr>
        <w:ind w:left="2880" w:hanging="360"/>
      </w:pPr>
    </w:lvl>
    <w:lvl w:ilvl="4" w:tplc="7F208A52" w:tentative="1">
      <w:start w:val="1"/>
      <w:numFmt w:val="lowerLetter"/>
      <w:lvlText w:val="%5."/>
      <w:lvlJc w:val="left"/>
      <w:pPr>
        <w:ind w:left="3600" w:hanging="360"/>
      </w:pPr>
    </w:lvl>
    <w:lvl w:ilvl="5" w:tplc="EA5EA5A6" w:tentative="1">
      <w:start w:val="1"/>
      <w:numFmt w:val="lowerRoman"/>
      <w:lvlText w:val="%6."/>
      <w:lvlJc w:val="right"/>
      <w:pPr>
        <w:ind w:left="4320" w:hanging="180"/>
      </w:pPr>
    </w:lvl>
    <w:lvl w:ilvl="6" w:tplc="647AFD5E" w:tentative="1">
      <w:start w:val="1"/>
      <w:numFmt w:val="decimal"/>
      <w:lvlText w:val="%7."/>
      <w:lvlJc w:val="left"/>
      <w:pPr>
        <w:ind w:left="5040" w:hanging="360"/>
      </w:pPr>
    </w:lvl>
    <w:lvl w:ilvl="7" w:tplc="8AC058C8" w:tentative="1">
      <w:start w:val="1"/>
      <w:numFmt w:val="lowerLetter"/>
      <w:lvlText w:val="%8."/>
      <w:lvlJc w:val="left"/>
      <w:pPr>
        <w:ind w:left="5760" w:hanging="360"/>
      </w:pPr>
    </w:lvl>
    <w:lvl w:ilvl="8" w:tplc="7310C004" w:tentative="1">
      <w:start w:val="1"/>
      <w:numFmt w:val="lowerRoman"/>
      <w:lvlText w:val="%9."/>
      <w:lvlJc w:val="right"/>
      <w:pPr>
        <w:ind w:left="6480" w:hanging="180"/>
      </w:pPr>
    </w:lvl>
  </w:abstractNum>
  <w:abstractNum w:abstractNumId="64" w15:restartNumberingAfterBreak="0">
    <w:nsid w:val="3BC116BD"/>
    <w:multiLevelType w:val="multilevel"/>
    <w:tmpl w:val="2D30F8CE"/>
    <w:lvl w:ilvl="0">
      <w:start w:val="1"/>
      <w:numFmt w:val="decimal"/>
      <w:lvlText w:val="%1."/>
      <w:lvlJc w:val="left"/>
      <w:pPr>
        <w:tabs>
          <w:tab w:val="num" w:pos="0"/>
        </w:tabs>
        <w:ind w:left="794" w:hanging="794"/>
      </w:pPr>
      <w:rPr>
        <w:rFonts w:cs="Tunga"/>
        <w:color w:val="auto"/>
      </w:rPr>
    </w:lvl>
    <w:lvl w:ilvl="1">
      <w:start w:val="1"/>
      <w:numFmt w:val="decimal"/>
      <w:lvlText w:val="%1.%2"/>
      <w:lvlJc w:val="left"/>
      <w:pPr>
        <w:tabs>
          <w:tab w:val="num" w:pos="0"/>
        </w:tabs>
        <w:ind w:left="794" w:hanging="794"/>
      </w:pPr>
      <w:rPr>
        <w:rFonts w:ascii="Arial" w:hAnsi="Arial" w:cs="Arial" w:hint="default"/>
        <w:color w:val="auto"/>
        <w:sz w:val="24"/>
        <w:szCs w:val="24"/>
      </w:rPr>
    </w:lvl>
    <w:lvl w:ilvl="2">
      <w:start w:val="1"/>
      <w:numFmt w:val="decimal"/>
      <w:lvlText w:val="%1.%2.%3"/>
      <w:lvlJc w:val="left"/>
      <w:pPr>
        <w:tabs>
          <w:tab w:val="num" w:pos="0"/>
        </w:tabs>
        <w:ind w:left="720" w:hanging="720"/>
      </w:pPr>
      <w:rPr>
        <w:rFonts w:cs="Tunga"/>
      </w:rPr>
    </w:lvl>
    <w:lvl w:ilvl="3">
      <w:start w:val="1"/>
      <w:numFmt w:val="decimal"/>
      <w:lvlText w:val="%1.%2.%3.%4"/>
      <w:lvlJc w:val="left"/>
      <w:pPr>
        <w:tabs>
          <w:tab w:val="num" w:pos="0"/>
        </w:tabs>
        <w:ind w:left="864" w:hanging="864"/>
      </w:pPr>
      <w:rPr>
        <w:rFonts w:cs="Tunga"/>
      </w:rPr>
    </w:lvl>
    <w:lvl w:ilvl="4">
      <w:start w:val="1"/>
      <w:numFmt w:val="bullet"/>
      <w:lvlText w:val=""/>
      <w:lvlJc w:val="left"/>
      <w:pPr>
        <w:tabs>
          <w:tab w:val="num" w:pos="0"/>
        </w:tabs>
        <w:ind w:left="1191" w:hanging="397"/>
      </w:pPr>
      <w:rPr>
        <w:rFonts w:ascii="Symbol" w:hAnsi="Symbol" w:hint="default"/>
        <w:color w:val="auto"/>
        <w:sz w:val="20"/>
      </w:rPr>
    </w:lvl>
    <w:lvl w:ilvl="5">
      <w:start w:val="1"/>
      <w:numFmt w:val="lowerRoman"/>
      <w:lvlText w:val="(%6)"/>
      <w:lvlJc w:val="left"/>
      <w:pPr>
        <w:tabs>
          <w:tab w:val="num" w:pos="0"/>
        </w:tabs>
        <w:ind w:left="1191" w:hanging="397"/>
      </w:pPr>
      <w:rPr>
        <w:rFonts w:cs="Tunga"/>
      </w:rPr>
    </w:lvl>
    <w:lvl w:ilvl="6">
      <w:start w:val="1"/>
      <w:numFmt w:val="decimal"/>
      <w:lvlText w:val="%1.%2.%3.%4.%5.%6.%7"/>
      <w:lvlJc w:val="left"/>
      <w:pPr>
        <w:tabs>
          <w:tab w:val="num" w:pos="0"/>
        </w:tabs>
        <w:ind w:left="1296" w:hanging="1296"/>
      </w:pPr>
      <w:rPr>
        <w:rFonts w:cs="Tunga"/>
      </w:rPr>
    </w:lvl>
    <w:lvl w:ilvl="7">
      <w:start w:val="1"/>
      <w:numFmt w:val="decimal"/>
      <w:lvlText w:val="%1.%2.%3.%4.%5.%6.%7.%8"/>
      <w:lvlJc w:val="left"/>
      <w:pPr>
        <w:tabs>
          <w:tab w:val="num" w:pos="0"/>
        </w:tabs>
        <w:ind w:left="1440" w:hanging="1440"/>
      </w:pPr>
      <w:rPr>
        <w:rFonts w:cs="Tunga"/>
      </w:rPr>
    </w:lvl>
    <w:lvl w:ilvl="8">
      <w:start w:val="1"/>
      <w:numFmt w:val="decimal"/>
      <w:lvlText w:val="%1.%2.%3.%4.%5.%6.%7.%8.%9"/>
      <w:lvlJc w:val="left"/>
      <w:pPr>
        <w:tabs>
          <w:tab w:val="num" w:pos="0"/>
        </w:tabs>
        <w:ind w:left="1584" w:hanging="1584"/>
      </w:pPr>
      <w:rPr>
        <w:rFonts w:cs="Tunga"/>
      </w:rPr>
    </w:lvl>
  </w:abstractNum>
  <w:abstractNum w:abstractNumId="65" w15:restartNumberingAfterBreak="0">
    <w:nsid w:val="3E352C57"/>
    <w:multiLevelType w:val="hybridMultilevel"/>
    <w:tmpl w:val="952A095E"/>
    <w:lvl w:ilvl="0" w:tplc="49662964">
      <w:start w:val="1"/>
      <w:numFmt w:val="bullet"/>
      <w:lvlText w:val=""/>
      <w:lvlJc w:val="left"/>
      <w:pPr>
        <w:ind w:left="1440" w:hanging="360"/>
      </w:pPr>
      <w:rPr>
        <w:rFonts w:ascii="Wingdings" w:hAnsi="Wingdings" w:hint="default"/>
      </w:rPr>
    </w:lvl>
    <w:lvl w:ilvl="1" w:tplc="694AA5F8">
      <w:start w:val="1"/>
      <w:numFmt w:val="bullet"/>
      <w:lvlText w:val="o"/>
      <w:lvlJc w:val="left"/>
      <w:pPr>
        <w:ind w:left="2160" w:hanging="360"/>
      </w:pPr>
      <w:rPr>
        <w:rFonts w:ascii="Courier New" w:hAnsi="Courier New" w:cs="Courier New" w:hint="default"/>
      </w:rPr>
    </w:lvl>
    <w:lvl w:ilvl="2" w:tplc="A4C6AC7C">
      <w:start w:val="1"/>
      <w:numFmt w:val="bullet"/>
      <w:lvlText w:val=""/>
      <w:lvlJc w:val="left"/>
      <w:pPr>
        <w:ind w:left="2880" w:hanging="360"/>
      </w:pPr>
      <w:rPr>
        <w:rFonts w:ascii="Wingdings" w:hAnsi="Wingdings" w:hint="default"/>
      </w:rPr>
    </w:lvl>
    <w:lvl w:ilvl="3" w:tplc="98D82004" w:tentative="1">
      <w:start w:val="1"/>
      <w:numFmt w:val="bullet"/>
      <w:lvlText w:val=""/>
      <w:lvlJc w:val="left"/>
      <w:pPr>
        <w:ind w:left="3600" w:hanging="360"/>
      </w:pPr>
      <w:rPr>
        <w:rFonts w:ascii="Symbol" w:hAnsi="Symbol" w:hint="default"/>
      </w:rPr>
    </w:lvl>
    <w:lvl w:ilvl="4" w:tplc="7958BDC4" w:tentative="1">
      <w:start w:val="1"/>
      <w:numFmt w:val="bullet"/>
      <w:lvlText w:val="o"/>
      <w:lvlJc w:val="left"/>
      <w:pPr>
        <w:ind w:left="4320" w:hanging="360"/>
      </w:pPr>
      <w:rPr>
        <w:rFonts w:ascii="Courier New" w:hAnsi="Courier New" w:cs="Courier New" w:hint="default"/>
      </w:rPr>
    </w:lvl>
    <w:lvl w:ilvl="5" w:tplc="B8B22328" w:tentative="1">
      <w:start w:val="1"/>
      <w:numFmt w:val="bullet"/>
      <w:lvlText w:val=""/>
      <w:lvlJc w:val="left"/>
      <w:pPr>
        <w:ind w:left="5040" w:hanging="360"/>
      </w:pPr>
      <w:rPr>
        <w:rFonts w:ascii="Wingdings" w:hAnsi="Wingdings" w:hint="default"/>
      </w:rPr>
    </w:lvl>
    <w:lvl w:ilvl="6" w:tplc="0DEA40B8" w:tentative="1">
      <w:start w:val="1"/>
      <w:numFmt w:val="bullet"/>
      <w:lvlText w:val=""/>
      <w:lvlJc w:val="left"/>
      <w:pPr>
        <w:ind w:left="5760" w:hanging="360"/>
      </w:pPr>
      <w:rPr>
        <w:rFonts w:ascii="Symbol" w:hAnsi="Symbol" w:hint="default"/>
      </w:rPr>
    </w:lvl>
    <w:lvl w:ilvl="7" w:tplc="4B7407FE" w:tentative="1">
      <w:start w:val="1"/>
      <w:numFmt w:val="bullet"/>
      <w:lvlText w:val="o"/>
      <w:lvlJc w:val="left"/>
      <w:pPr>
        <w:ind w:left="6480" w:hanging="360"/>
      </w:pPr>
      <w:rPr>
        <w:rFonts w:ascii="Courier New" w:hAnsi="Courier New" w:cs="Courier New" w:hint="default"/>
      </w:rPr>
    </w:lvl>
    <w:lvl w:ilvl="8" w:tplc="E4040220" w:tentative="1">
      <w:start w:val="1"/>
      <w:numFmt w:val="bullet"/>
      <w:lvlText w:val=""/>
      <w:lvlJc w:val="left"/>
      <w:pPr>
        <w:ind w:left="7200" w:hanging="360"/>
      </w:pPr>
      <w:rPr>
        <w:rFonts w:ascii="Wingdings" w:hAnsi="Wingdings" w:hint="default"/>
      </w:rPr>
    </w:lvl>
  </w:abstractNum>
  <w:abstractNum w:abstractNumId="66" w15:restartNumberingAfterBreak="0">
    <w:nsid w:val="3F671A80"/>
    <w:multiLevelType w:val="hybridMultilevel"/>
    <w:tmpl w:val="54107904"/>
    <w:lvl w:ilvl="0" w:tplc="817C0582">
      <w:start w:val="1"/>
      <w:numFmt w:val="decimal"/>
      <w:lvlText w:val="(%1)"/>
      <w:lvlJc w:val="left"/>
      <w:pPr>
        <w:ind w:left="720" w:hanging="360"/>
      </w:pPr>
      <w:rPr>
        <w:rFonts w:hint="default"/>
      </w:rPr>
    </w:lvl>
    <w:lvl w:ilvl="1" w:tplc="CFDA7242" w:tentative="1">
      <w:start w:val="1"/>
      <w:numFmt w:val="lowerLetter"/>
      <w:lvlText w:val="%2."/>
      <w:lvlJc w:val="left"/>
      <w:pPr>
        <w:ind w:left="1440" w:hanging="360"/>
      </w:pPr>
    </w:lvl>
    <w:lvl w:ilvl="2" w:tplc="D65C0E8A" w:tentative="1">
      <w:start w:val="1"/>
      <w:numFmt w:val="lowerRoman"/>
      <w:lvlText w:val="%3."/>
      <w:lvlJc w:val="right"/>
      <w:pPr>
        <w:ind w:left="2160" w:hanging="180"/>
      </w:pPr>
    </w:lvl>
    <w:lvl w:ilvl="3" w:tplc="28DA98BA" w:tentative="1">
      <w:start w:val="1"/>
      <w:numFmt w:val="decimal"/>
      <w:lvlText w:val="%4."/>
      <w:lvlJc w:val="left"/>
      <w:pPr>
        <w:ind w:left="2880" w:hanging="360"/>
      </w:pPr>
    </w:lvl>
    <w:lvl w:ilvl="4" w:tplc="9CD2C8D6" w:tentative="1">
      <w:start w:val="1"/>
      <w:numFmt w:val="lowerLetter"/>
      <w:lvlText w:val="%5."/>
      <w:lvlJc w:val="left"/>
      <w:pPr>
        <w:ind w:left="3600" w:hanging="360"/>
      </w:pPr>
    </w:lvl>
    <w:lvl w:ilvl="5" w:tplc="5516A194" w:tentative="1">
      <w:start w:val="1"/>
      <w:numFmt w:val="lowerRoman"/>
      <w:lvlText w:val="%6."/>
      <w:lvlJc w:val="right"/>
      <w:pPr>
        <w:ind w:left="4320" w:hanging="180"/>
      </w:pPr>
    </w:lvl>
    <w:lvl w:ilvl="6" w:tplc="302ED328" w:tentative="1">
      <w:start w:val="1"/>
      <w:numFmt w:val="decimal"/>
      <w:lvlText w:val="%7."/>
      <w:lvlJc w:val="left"/>
      <w:pPr>
        <w:ind w:left="5040" w:hanging="360"/>
      </w:pPr>
    </w:lvl>
    <w:lvl w:ilvl="7" w:tplc="49688E64" w:tentative="1">
      <w:start w:val="1"/>
      <w:numFmt w:val="lowerLetter"/>
      <w:lvlText w:val="%8."/>
      <w:lvlJc w:val="left"/>
      <w:pPr>
        <w:ind w:left="5760" w:hanging="360"/>
      </w:pPr>
    </w:lvl>
    <w:lvl w:ilvl="8" w:tplc="036CAE2C" w:tentative="1">
      <w:start w:val="1"/>
      <w:numFmt w:val="lowerRoman"/>
      <w:lvlText w:val="%9."/>
      <w:lvlJc w:val="right"/>
      <w:pPr>
        <w:ind w:left="6480" w:hanging="180"/>
      </w:pPr>
    </w:lvl>
  </w:abstractNum>
  <w:abstractNum w:abstractNumId="67" w15:restartNumberingAfterBreak="0">
    <w:nsid w:val="3F9212B8"/>
    <w:multiLevelType w:val="hybridMultilevel"/>
    <w:tmpl w:val="3852F650"/>
    <w:lvl w:ilvl="0" w:tplc="CED0944A">
      <w:start w:val="1"/>
      <w:numFmt w:val="lowerRoman"/>
      <w:lvlText w:val="(%1)"/>
      <w:lvlJc w:val="left"/>
      <w:pPr>
        <w:ind w:left="1429" w:hanging="720"/>
      </w:pPr>
      <w:rPr>
        <w:rFonts w:hint="default"/>
      </w:rPr>
    </w:lvl>
    <w:lvl w:ilvl="1" w:tplc="717AB4FA" w:tentative="1">
      <w:start w:val="1"/>
      <w:numFmt w:val="lowerLetter"/>
      <w:lvlText w:val="%2."/>
      <w:lvlJc w:val="left"/>
      <w:pPr>
        <w:ind w:left="1789" w:hanging="360"/>
      </w:pPr>
    </w:lvl>
    <w:lvl w:ilvl="2" w:tplc="60503A1E" w:tentative="1">
      <w:start w:val="1"/>
      <w:numFmt w:val="lowerRoman"/>
      <w:lvlText w:val="%3."/>
      <w:lvlJc w:val="right"/>
      <w:pPr>
        <w:ind w:left="2509" w:hanging="180"/>
      </w:pPr>
    </w:lvl>
    <w:lvl w:ilvl="3" w:tplc="175473CE" w:tentative="1">
      <w:start w:val="1"/>
      <w:numFmt w:val="decimal"/>
      <w:lvlText w:val="%4."/>
      <w:lvlJc w:val="left"/>
      <w:pPr>
        <w:ind w:left="3229" w:hanging="360"/>
      </w:pPr>
    </w:lvl>
    <w:lvl w:ilvl="4" w:tplc="1C625EF0" w:tentative="1">
      <w:start w:val="1"/>
      <w:numFmt w:val="lowerLetter"/>
      <w:lvlText w:val="%5."/>
      <w:lvlJc w:val="left"/>
      <w:pPr>
        <w:ind w:left="3949" w:hanging="360"/>
      </w:pPr>
    </w:lvl>
    <w:lvl w:ilvl="5" w:tplc="7ACC6990" w:tentative="1">
      <w:start w:val="1"/>
      <w:numFmt w:val="lowerRoman"/>
      <w:lvlText w:val="%6."/>
      <w:lvlJc w:val="right"/>
      <w:pPr>
        <w:ind w:left="4669" w:hanging="180"/>
      </w:pPr>
    </w:lvl>
    <w:lvl w:ilvl="6" w:tplc="1D049DCA" w:tentative="1">
      <w:start w:val="1"/>
      <w:numFmt w:val="decimal"/>
      <w:lvlText w:val="%7."/>
      <w:lvlJc w:val="left"/>
      <w:pPr>
        <w:ind w:left="5389" w:hanging="360"/>
      </w:pPr>
    </w:lvl>
    <w:lvl w:ilvl="7" w:tplc="E7E02DB8" w:tentative="1">
      <w:start w:val="1"/>
      <w:numFmt w:val="lowerLetter"/>
      <w:lvlText w:val="%8."/>
      <w:lvlJc w:val="left"/>
      <w:pPr>
        <w:ind w:left="6109" w:hanging="360"/>
      </w:pPr>
    </w:lvl>
    <w:lvl w:ilvl="8" w:tplc="3D069FA2" w:tentative="1">
      <w:start w:val="1"/>
      <w:numFmt w:val="lowerRoman"/>
      <w:lvlText w:val="%9."/>
      <w:lvlJc w:val="right"/>
      <w:pPr>
        <w:ind w:left="6829" w:hanging="180"/>
      </w:pPr>
    </w:lvl>
  </w:abstractNum>
  <w:abstractNum w:abstractNumId="68" w15:restartNumberingAfterBreak="0">
    <w:nsid w:val="42FF70CF"/>
    <w:multiLevelType w:val="hybridMultilevel"/>
    <w:tmpl w:val="E834D828"/>
    <w:lvl w:ilvl="0" w:tplc="C5D03608">
      <w:start w:val="1"/>
      <w:numFmt w:val="bullet"/>
      <w:lvlText w:val=""/>
      <w:lvlJc w:val="left"/>
      <w:pPr>
        <w:ind w:left="720" w:hanging="360"/>
      </w:pPr>
      <w:rPr>
        <w:rFonts w:ascii="Symbol" w:hAnsi="Symbol" w:hint="default"/>
      </w:rPr>
    </w:lvl>
    <w:lvl w:ilvl="1" w:tplc="1A6C2762" w:tentative="1">
      <w:start w:val="1"/>
      <w:numFmt w:val="bullet"/>
      <w:lvlText w:val="o"/>
      <w:lvlJc w:val="left"/>
      <w:pPr>
        <w:ind w:left="1440" w:hanging="360"/>
      </w:pPr>
      <w:rPr>
        <w:rFonts w:ascii="Courier New" w:hAnsi="Courier New" w:cs="Courier New" w:hint="default"/>
      </w:rPr>
    </w:lvl>
    <w:lvl w:ilvl="2" w:tplc="5AA290E4" w:tentative="1">
      <w:start w:val="1"/>
      <w:numFmt w:val="bullet"/>
      <w:lvlText w:val=""/>
      <w:lvlJc w:val="left"/>
      <w:pPr>
        <w:ind w:left="2160" w:hanging="360"/>
      </w:pPr>
      <w:rPr>
        <w:rFonts w:ascii="Wingdings" w:hAnsi="Wingdings" w:hint="default"/>
      </w:rPr>
    </w:lvl>
    <w:lvl w:ilvl="3" w:tplc="15E2F970" w:tentative="1">
      <w:start w:val="1"/>
      <w:numFmt w:val="bullet"/>
      <w:lvlText w:val=""/>
      <w:lvlJc w:val="left"/>
      <w:pPr>
        <w:ind w:left="2880" w:hanging="360"/>
      </w:pPr>
      <w:rPr>
        <w:rFonts w:ascii="Symbol" w:hAnsi="Symbol" w:hint="default"/>
      </w:rPr>
    </w:lvl>
    <w:lvl w:ilvl="4" w:tplc="E81C257E" w:tentative="1">
      <w:start w:val="1"/>
      <w:numFmt w:val="bullet"/>
      <w:lvlText w:val="o"/>
      <w:lvlJc w:val="left"/>
      <w:pPr>
        <w:ind w:left="3600" w:hanging="360"/>
      </w:pPr>
      <w:rPr>
        <w:rFonts w:ascii="Courier New" w:hAnsi="Courier New" w:cs="Courier New" w:hint="default"/>
      </w:rPr>
    </w:lvl>
    <w:lvl w:ilvl="5" w:tplc="DFB4BE94" w:tentative="1">
      <w:start w:val="1"/>
      <w:numFmt w:val="bullet"/>
      <w:lvlText w:val=""/>
      <w:lvlJc w:val="left"/>
      <w:pPr>
        <w:ind w:left="4320" w:hanging="360"/>
      </w:pPr>
      <w:rPr>
        <w:rFonts w:ascii="Wingdings" w:hAnsi="Wingdings" w:hint="default"/>
      </w:rPr>
    </w:lvl>
    <w:lvl w:ilvl="6" w:tplc="C9B854FA" w:tentative="1">
      <w:start w:val="1"/>
      <w:numFmt w:val="bullet"/>
      <w:lvlText w:val=""/>
      <w:lvlJc w:val="left"/>
      <w:pPr>
        <w:ind w:left="5040" w:hanging="360"/>
      </w:pPr>
      <w:rPr>
        <w:rFonts w:ascii="Symbol" w:hAnsi="Symbol" w:hint="default"/>
      </w:rPr>
    </w:lvl>
    <w:lvl w:ilvl="7" w:tplc="4AE80698" w:tentative="1">
      <w:start w:val="1"/>
      <w:numFmt w:val="bullet"/>
      <w:lvlText w:val="o"/>
      <w:lvlJc w:val="left"/>
      <w:pPr>
        <w:ind w:left="5760" w:hanging="360"/>
      </w:pPr>
      <w:rPr>
        <w:rFonts w:ascii="Courier New" w:hAnsi="Courier New" w:cs="Courier New" w:hint="default"/>
      </w:rPr>
    </w:lvl>
    <w:lvl w:ilvl="8" w:tplc="6512F0C8" w:tentative="1">
      <w:start w:val="1"/>
      <w:numFmt w:val="bullet"/>
      <w:lvlText w:val=""/>
      <w:lvlJc w:val="left"/>
      <w:pPr>
        <w:ind w:left="6480" w:hanging="360"/>
      </w:pPr>
      <w:rPr>
        <w:rFonts w:ascii="Wingdings" w:hAnsi="Wingdings" w:hint="default"/>
      </w:rPr>
    </w:lvl>
  </w:abstractNum>
  <w:abstractNum w:abstractNumId="69" w15:restartNumberingAfterBreak="0">
    <w:nsid w:val="438A5332"/>
    <w:multiLevelType w:val="hybridMultilevel"/>
    <w:tmpl w:val="DAD47492"/>
    <w:lvl w:ilvl="0" w:tplc="E9FE46D0">
      <w:start w:val="1"/>
      <w:numFmt w:val="bullet"/>
      <w:lvlText w:val=""/>
      <w:lvlJc w:val="left"/>
      <w:pPr>
        <w:ind w:left="720" w:hanging="360"/>
      </w:pPr>
      <w:rPr>
        <w:rFonts w:ascii="Symbol" w:hAnsi="Symbol" w:hint="default"/>
      </w:rPr>
    </w:lvl>
    <w:lvl w:ilvl="1" w:tplc="2E303580" w:tentative="1">
      <w:start w:val="1"/>
      <w:numFmt w:val="bullet"/>
      <w:lvlText w:val="o"/>
      <w:lvlJc w:val="left"/>
      <w:pPr>
        <w:ind w:left="1440" w:hanging="360"/>
      </w:pPr>
      <w:rPr>
        <w:rFonts w:ascii="Courier New" w:hAnsi="Courier New" w:cs="Courier New" w:hint="default"/>
      </w:rPr>
    </w:lvl>
    <w:lvl w:ilvl="2" w:tplc="B946421C" w:tentative="1">
      <w:start w:val="1"/>
      <w:numFmt w:val="bullet"/>
      <w:lvlText w:val=""/>
      <w:lvlJc w:val="left"/>
      <w:pPr>
        <w:ind w:left="2160" w:hanging="360"/>
      </w:pPr>
      <w:rPr>
        <w:rFonts w:ascii="Wingdings" w:hAnsi="Wingdings" w:hint="default"/>
      </w:rPr>
    </w:lvl>
    <w:lvl w:ilvl="3" w:tplc="78A272BC" w:tentative="1">
      <w:start w:val="1"/>
      <w:numFmt w:val="bullet"/>
      <w:lvlText w:val=""/>
      <w:lvlJc w:val="left"/>
      <w:pPr>
        <w:ind w:left="2880" w:hanging="360"/>
      </w:pPr>
      <w:rPr>
        <w:rFonts w:ascii="Symbol" w:hAnsi="Symbol" w:hint="default"/>
      </w:rPr>
    </w:lvl>
    <w:lvl w:ilvl="4" w:tplc="28CEDB2C" w:tentative="1">
      <w:start w:val="1"/>
      <w:numFmt w:val="bullet"/>
      <w:lvlText w:val="o"/>
      <w:lvlJc w:val="left"/>
      <w:pPr>
        <w:ind w:left="3600" w:hanging="360"/>
      </w:pPr>
      <w:rPr>
        <w:rFonts w:ascii="Courier New" w:hAnsi="Courier New" w:cs="Courier New" w:hint="default"/>
      </w:rPr>
    </w:lvl>
    <w:lvl w:ilvl="5" w:tplc="C7BCEB88" w:tentative="1">
      <w:start w:val="1"/>
      <w:numFmt w:val="bullet"/>
      <w:lvlText w:val=""/>
      <w:lvlJc w:val="left"/>
      <w:pPr>
        <w:ind w:left="4320" w:hanging="360"/>
      </w:pPr>
      <w:rPr>
        <w:rFonts w:ascii="Wingdings" w:hAnsi="Wingdings" w:hint="default"/>
      </w:rPr>
    </w:lvl>
    <w:lvl w:ilvl="6" w:tplc="75560734" w:tentative="1">
      <w:start w:val="1"/>
      <w:numFmt w:val="bullet"/>
      <w:lvlText w:val=""/>
      <w:lvlJc w:val="left"/>
      <w:pPr>
        <w:ind w:left="5040" w:hanging="360"/>
      </w:pPr>
      <w:rPr>
        <w:rFonts w:ascii="Symbol" w:hAnsi="Symbol" w:hint="default"/>
      </w:rPr>
    </w:lvl>
    <w:lvl w:ilvl="7" w:tplc="B0F057D2" w:tentative="1">
      <w:start w:val="1"/>
      <w:numFmt w:val="bullet"/>
      <w:lvlText w:val="o"/>
      <w:lvlJc w:val="left"/>
      <w:pPr>
        <w:ind w:left="5760" w:hanging="360"/>
      </w:pPr>
      <w:rPr>
        <w:rFonts w:ascii="Courier New" w:hAnsi="Courier New" w:cs="Courier New" w:hint="default"/>
      </w:rPr>
    </w:lvl>
    <w:lvl w:ilvl="8" w:tplc="7E447AC8" w:tentative="1">
      <w:start w:val="1"/>
      <w:numFmt w:val="bullet"/>
      <w:lvlText w:val=""/>
      <w:lvlJc w:val="left"/>
      <w:pPr>
        <w:ind w:left="6480" w:hanging="360"/>
      </w:pPr>
      <w:rPr>
        <w:rFonts w:ascii="Wingdings" w:hAnsi="Wingdings" w:hint="default"/>
      </w:rPr>
    </w:lvl>
  </w:abstractNum>
  <w:abstractNum w:abstractNumId="70" w15:restartNumberingAfterBreak="0">
    <w:nsid w:val="45370133"/>
    <w:multiLevelType w:val="hybridMultilevel"/>
    <w:tmpl w:val="51CEDC76"/>
    <w:lvl w:ilvl="0" w:tplc="BFDA902A">
      <w:start w:val="1"/>
      <w:numFmt w:val="bullet"/>
      <w:lvlText w:val=""/>
      <w:lvlJc w:val="left"/>
      <w:pPr>
        <w:ind w:left="720" w:hanging="360"/>
      </w:pPr>
      <w:rPr>
        <w:rFonts w:ascii="Symbol" w:hAnsi="Symbol" w:hint="default"/>
      </w:rPr>
    </w:lvl>
    <w:lvl w:ilvl="1" w:tplc="46D248E2" w:tentative="1">
      <w:start w:val="1"/>
      <w:numFmt w:val="bullet"/>
      <w:lvlText w:val="o"/>
      <w:lvlJc w:val="left"/>
      <w:pPr>
        <w:ind w:left="1440" w:hanging="360"/>
      </w:pPr>
      <w:rPr>
        <w:rFonts w:ascii="Courier New" w:hAnsi="Courier New" w:cs="Courier New" w:hint="default"/>
      </w:rPr>
    </w:lvl>
    <w:lvl w:ilvl="2" w:tplc="6DDE3672" w:tentative="1">
      <w:start w:val="1"/>
      <w:numFmt w:val="bullet"/>
      <w:lvlText w:val=""/>
      <w:lvlJc w:val="left"/>
      <w:pPr>
        <w:ind w:left="2160" w:hanging="360"/>
      </w:pPr>
      <w:rPr>
        <w:rFonts w:ascii="Wingdings" w:hAnsi="Wingdings" w:hint="default"/>
      </w:rPr>
    </w:lvl>
    <w:lvl w:ilvl="3" w:tplc="2748446E" w:tentative="1">
      <w:start w:val="1"/>
      <w:numFmt w:val="bullet"/>
      <w:lvlText w:val=""/>
      <w:lvlJc w:val="left"/>
      <w:pPr>
        <w:ind w:left="2880" w:hanging="360"/>
      </w:pPr>
      <w:rPr>
        <w:rFonts w:ascii="Symbol" w:hAnsi="Symbol" w:hint="default"/>
      </w:rPr>
    </w:lvl>
    <w:lvl w:ilvl="4" w:tplc="C2501716" w:tentative="1">
      <w:start w:val="1"/>
      <w:numFmt w:val="bullet"/>
      <w:lvlText w:val="o"/>
      <w:lvlJc w:val="left"/>
      <w:pPr>
        <w:ind w:left="3600" w:hanging="360"/>
      </w:pPr>
      <w:rPr>
        <w:rFonts w:ascii="Courier New" w:hAnsi="Courier New" w:cs="Courier New" w:hint="default"/>
      </w:rPr>
    </w:lvl>
    <w:lvl w:ilvl="5" w:tplc="F4482E16" w:tentative="1">
      <w:start w:val="1"/>
      <w:numFmt w:val="bullet"/>
      <w:lvlText w:val=""/>
      <w:lvlJc w:val="left"/>
      <w:pPr>
        <w:ind w:left="4320" w:hanging="360"/>
      </w:pPr>
      <w:rPr>
        <w:rFonts w:ascii="Wingdings" w:hAnsi="Wingdings" w:hint="default"/>
      </w:rPr>
    </w:lvl>
    <w:lvl w:ilvl="6" w:tplc="8F06675E" w:tentative="1">
      <w:start w:val="1"/>
      <w:numFmt w:val="bullet"/>
      <w:lvlText w:val=""/>
      <w:lvlJc w:val="left"/>
      <w:pPr>
        <w:ind w:left="5040" w:hanging="360"/>
      </w:pPr>
      <w:rPr>
        <w:rFonts w:ascii="Symbol" w:hAnsi="Symbol" w:hint="default"/>
      </w:rPr>
    </w:lvl>
    <w:lvl w:ilvl="7" w:tplc="DC2C44F0" w:tentative="1">
      <w:start w:val="1"/>
      <w:numFmt w:val="bullet"/>
      <w:lvlText w:val="o"/>
      <w:lvlJc w:val="left"/>
      <w:pPr>
        <w:ind w:left="5760" w:hanging="360"/>
      </w:pPr>
      <w:rPr>
        <w:rFonts w:ascii="Courier New" w:hAnsi="Courier New" w:cs="Courier New" w:hint="default"/>
      </w:rPr>
    </w:lvl>
    <w:lvl w:ilvl="8" w:tplc="3C3AF2A4" w:tentative="1">
      <w:start w:val="1"/>
      <w:numFmt w:val="bullet"/>
      <w:lvlText w:val=""/>
      <w:lvlJc w:val="left"/>
      <w:pPr>
        <w:ind w:left="6480" w:hanging="360"/>
      </w:pPr>
      <w:rPr>
        <w:rFonts w:ascii="Wingdings" w:hAnsi="Wingdings" w:hint="default"/>
      </w:rPr>
    </w:lvl>
  </w:abstractNum>
  <w:abstractNum w:abstractNumId="71" w15:restartNumberingAfterBreak="0">
    <w:nsid w:val="45A04196"/>
    <w:multiLevelType w:val="multilevel"/>
    <w:tmpl w:val="A358FE96"/>
    <w:lvl w:ilvl="0">
      <w:start w:val="1"/>
      <w:numFmt w:val="decimal"/>
      <w:pStyle w:val="ChapterHeading"/>
      <w:lvlText w:val="%1"/>
      <w:lvlJc w:val="left"/>
      <w:pPr>
        <w:ind w:left="360" w:hanging="360"/>
      </w:pPr>
      <w:rPr>
        <w:rFonts w:cs="Times New Roman" w:hint="default"/>
        <w:b/>
        <w:color w:val="auto"/>
      </w:rPr>
    </w:lvl>
    <w:lvl w:ilvl="1">
      <w:start w:val="1"/>
      <w:numFmt w:val="decimal"/>
      <w:pStyle w:val="Subheading"/>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72" w15:restartNumberingAfterBreak="0">
    <w:nsid w:val="46461D51"/>
    <w:multiLevelType w:val="hybridMultilevel"/>
    <w:tmpl w:val="C74AF244"/>
    <w:lvl w:ilvl="0" w:tplc="F6B2C2C0">
      <w:start w:val="1"/>
      <w:numFmt w:val="bullet"/>
      <w:lvlText w:val=""/>
      <w:lvlJc w:val="left"/>
      <w:pPr>
        <w:ind w:left="720" w:hanging="360"/>
      </w:pPr>
      <w:rPr>
        <w:rFonts w:ascii="Symbol" w:hAnsi="Symbol" w:hint="default"/>
      </w:rPr>
    </w:lvl>
    <w:lvl w:ilvl="1" w:tplc="EDAC8D14" w:tentative="1">
      <w:start w:val="1"/>
      <w:numFmt w:val="bullet"/>
      <w:lvlText w:val="o"/>
      <w:lvlJc w:val="left"/>
      <w:pPr>
        <w:ind w:left="1440" w:hanging="360"/>
      </w:pPr>
      <w:rPr>
        <w:rFonts w:ascii="Courier New" w:hAnsi="Courier New" w:cs="Courier New" w:hint="default"/>
      </w:rPr>
    </w:lvl>
    <w:lvl w:ilvl="2" w:tplc="9B3606A2" w:tentative="1">
      <w:start w:val="1"/>
      <w:numFmt w:val="bullet"/>
      <w:lvlText w:val=""/>
      <w:lvlJc w:val="left"/>
      <w:pPr>
        <w:ind w:left="2160" w:hanging="360"/>
      </w:pPr>
      <w:rPr>
        <w:rFonts w:ascii="Wingdings" w:hAnsi="Wingdings" w:hint="default"/>
      </w:rPr>
    </w:lvl>
    <w:lvl w:ilvl="3" w:tplc="F8FA1E3A" w:tentative="1">
      <w:start w:val="1"/>
      <w:numFmt w:val="bullet"/>
      <w:lvlText w:val=""/>
      <w:lvlJc w:val="left"/>
      <w:pPr>
        <w:ind w:left="2880" w:hanging="360"/>
      </w:pPr>
      <w:rPr>
        <w:rFonts w:ascii="Symbol" w:hAnsi="Symbol" w:hint="default"/>
      </w:rPr>
    </w:lvl>
    <w:lvl w:ilvl="4" w:tplc="0D82A608" w:tentative="1">
      <w:start w:val="1"/>
      <w:numFmt w:val="bullet"/>
      <w:lvlText w:val="o"/>
      <w:lvlJc w:val="left"/>
      <w:pPr>
        <w:ind w:left="3600" w:hanging="360"/>
      </w:pPr>
      <w:rPr>
        <w:rFonts w:ascii="Courier New" w:hAnsi="Courier New" w:cs="Courier New" w:hint="default"/>
      </w:rPr>
    </w:lvl>
    <w:lvl w:ilvl="5" w:tplc="EC946AC8" w:tentative="1">
      <w:start w:val="1"/>
      <w:numFmt w:val="bullet"/>
      <w:lvlText w:val=""/>
      <w:lvlJc w:val="left"/>
      <w:pPr>
        <w:ind w:left="4320" w:hanging="360"/>
      </w:pPr>
      <w:rPr>
        <w:rFonts w:ascii="Wingdings" w:hAnsi="Wingdings" w:hint="default"/>
      </w:rPr>
    </w:lvl>
    <w:lvl w:ilvl="6" w:tplc="D93C7C98" w:tentative="1">
      <w:start w:val="1"/>
      <w:numFmt w:val="bullet"/>
      <w:lvlText w:val=""/>
      <w:lvlJc w:val="left"/>
      <w:pPr>
        <w:ind w:left="5040" w:hanging="360"/>
      </w:pPr>
      <w:rPr>
        <w:rFonts w:ascii="Symbol" w:hAnsi="Symbol" w:hint="default"/>
      </w:rPr>
    </w:lvl>
    <w:lvl w:ilvl="7" w:tplc="5FE40C4E" w:tentative="1">
      <w:start w:val="1"/>
      <w:numFmt w:val="bullet"/>
      <w:lvlText w:val="o"/>
      <w:lvlJc w:val="left"/>
      <w:pPr>
        <w:ind w:left="5760" w:hanging="360"/>
      </w:pPr>
      <w:rPr>
        <w:rFonts w:ascii="Courier New" w:hAnsi="Courier New" w:cs="Courier New" w:hint="default"/>
      </w:rPr>
    </w:lvl>
    <w:lvl w:ilvl="8" w:tplc="8B5A63F4" w:tentative="1">
      <w:start w:val="1"/>
      <w:numFmt w:val="bullet"/>
      <w:lvlText w:val=""/>
      <w:lvlJc w:val="left"/>
      <w:pPr>
        <w:ind w:left="6480" w:hanging="360"/>
      </w:pPr>
      <w:rPr>
        <w:rFonts w:ascii="Wingdings" w:hAnsi="Wingdings" w:hint="default"/>
      </w:rPr>
    </w:lvl>
  </w:abstractNum>
  <w:abstractNum w:abstractNumId="73" w15:restartNumberingAfterBreak="0">
    <w:nsid w:val="495D3F09"/>
    <w:multiLevelType w:val="hybridMultilevel"/>
    <w:tmpl w:val="20048B3E"/>
    <w:lvl w:ilvl="0" w:tplc="C6CAB682">
      <w:start w:val="1"/>
      <w:numFmt w:val="bullet"/>
      <w:lvlText w:val=""/>
      <w:lvlJc w:val="left"/>
      <w:pPr>
        <w:ind w:left="720" w:hanging="360"/>
      </w:pPr>
      <w:rPr>
        <w:rFonts w:ascii="Symbol" w:hAnsi="Symbol" w:hint="default"/>
      </w:rPr>
    </w:lvl>
    <w:lvl w:ilvl="1" w:tplc="3FA632D0" w:tentative="1">
      <w:start w:val="1"/>
      <w:numFmt w:val="bullet"/>
      <w:lvlText w:val="o"/>
      <w:lvlJc w:val="left"/>
      <w:pPr>
        <w:ind w:left="1440" w:hanging="360"/>
      </w:pPr>
      <w:rPr>
        <w:rFonts w:ascii="Courier New" w:hAnsi="Courier New" w:cs="Courier New" w:hint="default"/>
      </w:rPr>
    </w:lvl>
    <w:lvl w:ilvl="2" w:tplc="B6C2B594" w:tentative="1">
      <w:start w:val="1"/>
      <w:numFmt w:val="bullet"/>
      <w:lvlText w:val=""/>
      <w:lvlJc w:val="left"/>
      <w:pPr>
        <w:ind w:left="2160" w:hanging="360"/>
      </w:pPr>
      <w:rPr>
        <w:rFonts w:ascii="Wingdings" w:hAnsi="Wingdings" w:hint="default"/>
      </w:rPr>
    </w:lvl>
    <w:lvl w:ilvl="3" w:tplc="67A6AF1E" w:tentative="1">
      <w:start w:val="1"/>
      <w:numFmt w:val="bullet"/>
      <w:lvlText w:val=""/>
      <w:lvlJc w:val="left"/>
      <w:pPr>
        <w:ind w:left="2880" w:hanging="360"/>
      </w:pPr>
      <w:rPr>
        <w:rFonts w:ascii="Symbol" w:hAnsi="Symbol" w:hint="default"/>
      </w:rPr>
    </w:lvl>
    <w:lvl w:ilvl="4" w:tplc="A0569F24" w:tentative="1">
      <w:start w:val="1"/>
      <w:numFmt w:val="bullet"/>
      <w:lvlText w:val="o"/>
      <w:lvlJc w:val="left"/>
      <w:pPr>
        <w:ind w:left="3600" w:hanging="360"/>
      </w:pPr>
      <w:rPr>
        <w:rFonts w:ascii="Courier New" w:hAnsi="Courier New" w:cs="Courier New" w:hint="default"/>
      </w:rPr>
    </w:lvl>
    <w:lvl w:ilvl="5" w:tplc="DA5C991C" w:tentative="1">
      <w:start w:val="1"/>
      <w:numFmt w:val="bullet"/>
      <w:lvlText w:val=""/>
      <w:lvlJc w:val="left"/>
      <w:pPr>
        <w:ind w:left="4320" w:hanging="360"/>
      </w:pPr>
      <w:rPr>
        <w:rFonts w:ascii="Wingdings" w:hAnsi="Wingdings" w:hint="default"/>
      </w:rPr>
    </w:lvl>
    <w:lvl w:ilvl="6" w:tplc="6D6EA0D8" w:tentative="1">
      <w:start w:val="1"/>
      <w:numFmt w:val="bullet"/>
      <w:lvlText w:val=""/>
      <w:lvlJc w:val="left"/>
      <w:pPr>
        <w:ind w:left="5040" w:hanging="360"/>
      </w:pPr>
      <w:rPr>
        <w:rFonts w:ascii="Symbol" w:hAnsi="Symbol" w:hint="default"/>
      </w:rPr>
    </w:lvl>
    <w:lvl w:ilvl="7" w:tplc="F1808650" w:tentative="1">
      <w:start w:val="1"/>
      <w:numFmt w:val="bullet"/>
      <w:lvlText w:val="o"/>
      <w:lvlJc w:val="left"/>
      <w:pPr>
        <w:ind w:left="5760" w:hanging="360"/>
      </w:pPr>
      <w:rPr>
        <w:rFonts w:ascii="Courier New" w:hAnsi="Courier New" w:cs="Courier New" w:hint="default"/>
      </w:rPr>
    </w:lvl>
    <w:lvl w:ilvl="8" w:tplc="52B42882" w:tentative="1">
      <w:start w:val="1"/>
      <w:numFmt w:val="bullet"/>
      <w:lvlText w:val=""/>
      <w:lvlJc w:val="left"/>
      <w:pPr>
        <w:ind w:left="6480" w:hanging="360"/>
      </w:pPr>
      <w:rPr>
        <w:rFonts w:ascii="Wingdings" w:hAnsi="Wingdings" w:hint="default"/>
      </w:rPr>
    </w:lvl>
  </w:abstractNum>
  <w:abstractNum w:abstractNumId="74" w15:restartNumberingAfterBreak="0">
    <w:nsid w:val="4A0D1E35"/>
    <w:multiLevelType w:val="hybridMultilevel"/>
    <w:tmpl w:val="38CEC11C"/>
    <w:lvl w:ilvl="0" w:tplc="BC162F38">
      <w:start w:val="1"/>
      <w:numFmt w:val="lowerRoman"/>
      <w:lvlText w:val="(%1)"/>
      <w:lvlJc w:val="left"/>
      <w:pPr>
        <w:ind w:left="1080" w:hanging="720"/>
      </w:pPr>
      <w:rPr>
        <w:rFonts w:hint="default"/>
      </w:rPr>
    </w:lvl>
    <w:lvl w:ilvl="1" w:tplc="EB38519E" w:tentative="1">
      <w:start w:val="1"/>
      <w:numFmt w:val="lowerLetter"/>
      <w:lvlText w:val="%2."/>
      <w:lvlJc w:val="left"/>
      <w:pPr>
        <w:ind w:left="1440" w:hanging="360"/>
      </w:pPr>
    </w:lvl>
    <w:lvl w:ilvl="2" w:tplc="B4F22C4C" w:tentative="1">
      <w:start w:val="1"/>
      <w:numFmt w:val="lowerRoman"/>
      <w:lvlText w:val="%3."/>
      <w:lvlJc w:val="right"/>
      <w:pPr>
        <w:ind w:left="2160" w:hanging="180"/>
      </w:pPr>
    </w:lvl>
    <w:lvl w:ilvl="3" w:tplc="BA88AAE0" w:tentative="1">
      <w:start w:val="1"/>
      <w:numFmt w:val="decimal"/>
      <w:lvlText w:val="%4."/>
      <w:lvlJc w:val="left"/>
      <w:pPr>
        <w:ind w:left="2880" w:hanging="360"/>
      </w:pPr>
    </w:lvl>
    <w:lvl w:ilvl="4" w:tplc="03342AA4" w:tentative="1">
      <w:start w:val="1"/>
      <w:numFmt w:val="lowerLetter"/>
      <w:lvlText w:val="%5."/>
      <w:lvlJc w:val="left"/>
      <w:pPr>
        <w:ind w:left="3600" w:hanging="360"/>
      </w:pPr>
    </w:lvl>
    <w:lvl w:ilvl="5" w:tplc="422CDFF4" w:tentative="1">
      <w:start w:val="1"/>
      <w:numFmt w:val="lowerRoman"/>
      <w:lvlText w:val="%6."/>
      <w:lvlJc w:val="right"/>
      <w:pPr>
        <w:ind w:left="4320" w:hanging="180"/>
      </w:pPr>
    </w:lvl>
    <w:lvl w:ilvl="6" w:tplc="2DBE25AA" w:tentative="1">
      <w:start w:val="1"/>
      <w:numFmt w:val="decimal"/>
      <w:lvlText w:val="%7."/>
      <w:lvlJc w:val="left"/>
      <w:pPr>
        <w:ind w:left="5040" w:hanging="360"/>
      </w:pPr>
    </w:lvl>
    <w:lvl w:ilvl="7" w:tplc="6F326FC6" w:tentative="1">
      <w:start w:val="1"/>
      <w:numFmt w:val="lowerLetter"/>
      <w:lvlText w:val="%8."/>
      <w:lvlJc w:val="left"/>
      <w:pPr>
        <w:ind w:left="5760" w:hanging="360"/>
      </w:pPr>
    </w:lvl>
    <w:lvl w:ilvl="8" w:tplc="74D8F504" w:tentative="1">
      <w:start w:val="1"/>
      <w:numFmt w:val="lowerRoman"/>
      <w:lvlText w:val="%9."/>
      <w:lvlJc w:val="right"/>
      <w:pPr>
        <w:ind w:left="6480" w:hanging="180"/>
      </w:pPr>
    </w:lvl>
  </w:abstractNum>
  <w:abstractNum w:abstractNumId="75" w15:restartNumberingAfterBreak="0">
    <w:nsid w:val="4AE67B8D"/>
    <w:multiLevelType w:val="hybridMultilevel"/>
    <w:tmpl w:val="70061E36"/>
    <w:lvl w:ilvl="0" w:tplc="A2E6D562">
      <w:start w:val="1"/>
      <w:numFmt w:val="bullet"/>
      <w:lvlText w:val=""/>
      <w:lvlJc w:val="left"/>
      <w:pPr>
        <w:ind w:left="720" w:hanging="360"/>
      </w:pPr>
      <w:rPr>
        <w:rFonts w:ascii="Symbol" w:hAnsi="Symbol" w:hint="default"/>
      </w:rPr>
    </w:lvl>
    <w:lvl w:ilvl="1" w:tplc="C79E7458">
      <w:start w:val="1"/>
      <w:numFmt w:val="bullet"/>
      <w:lvlText w:val="o"/>
      <w:lvlJc w:val="left"/>
      <w:pPr>
        <w:ind w:left="1440" w:hanging="360"/>
      </w:pPr>
      <w:rPr>
        <w:rFonts w:ascii="Courier New" w:hAnsi="Courier New" w:hint="default"/>
      </w:rPr>
    </w:lvl>
    <w:lvl w:ilvl="2" w:tplc="BB646CA0">
      <w:start w:val="1"/>
      <w:numFmt w:val="bullet"/>
      <w:lvlText w:val=""/>
      <w:lvlJc w:val="left"/>
      <w:pPr>
        <w:ind w:left="2160" w:hanging="360"/>
      </w:pPr>
      <w:rPr>
        <w:rFonts w:ascii="Wingdings" w:hAnsi="Wingdings" w:hint="default"/>
      </w:rPr>
    </w:lvl>
    <w:lvl w:ilvl="3" w:tplc="A2E83854">
      <w:start w:val="1"/>
      <w:numFmt w:val="bullet"/>
      <w:lvlText w:val=""/>
      <w:lvlJc w:val="left"/>
      <w:pPr>
        <w:ind w:left="2880" w:hanging="360"/>
      </w:pPr>
      <w:rPr>
        <w:rFonts w:ascii="Symbol" w:hAnsi="Symbol" w:hint="default"/>
      </w:rPr>
    </w:lvl>
    <w:lvl w:ilvl="4" w:tplc="679C40E4">
      <w:start w:val="1"/>
      <w:numFmt w:val="bullet"/>
      <w:lvlText w:val="o"/>
      <w:lvlJc w:val="left"/>
      <w:pPr>
        <w:ind w:left="3600" w:hanging="360"/>
      </w:pPr>
      <w:rPr>
        <w:rFonts w:ascii="Courier New" w:hAnsi="Courier New" w:hint="default"/>
      </w:rPr>
    </w:lvl>
    <w:lvl w:ilvl="5" w:tplc="B6A67BFC">
      <w:start w:val="1"/>
      <w:numFmt w:val="bullet"/>
      <w:lvlText w:val=""/>
      <w:lvlJc w:val="left"/>
      <w:pPr>
        <w:ind w:left="4320" w:hanging="360"/>
      </w:pPr>
      <w:rPr>
        <w:rFonts w:ascii="Wingdings" w:hAnsi="Wingdings" w:hint="default"/>
      </w:rPr>
    </w:lvl>
    <w:lvl w:ilvl="6" w:tplc="F4421B82">
      <w:start w:val="1"/>
      <w:numFmt w:val="bullet"/>
      <w:lvlText w:val=""/>
      <w:lvlJc w:val="left"/>
      <w:pPr>
        <w:ind w:left="5040" w:hanging="360"/>
      </w:pPr>
      <w:rPr>
        <w:rFonts w:ascii="Symbol" w:hAnsi="Symbol" w:hint="default"/>
      </w:rPr>
    </w:lvl>
    <w:lvl w:ilvl="7" w:tplc="998405A6">
      <w:start w:val="1"/>
      <w:numFmt w:val="bullet"/>
      <w:lvlText w:val="o"/>
      <w:lvlJc w:val="left"/>
      <w:pPr>
        <w:ind w:left="5760" w:hanging="360"/>
      </w:pPr>
      <w:rPr>
        <w:rFonts w:ascii="Courier New" w:hAnsi="Courier New" w:hint="default"/>
      </w:rPr>
    </w:lvl>
    <w:lvl w:ilvl="8" w:tplc="2E7460AC">
      <w:start w:val="1"/>
      <w:numFmt w:val="bullet"/>
      <w:lvlText w:val=""/>
      <w:lvlJc w:val="left"/>
      <w:pPr>
        <w:ind w:left="6480" w:hanging="360"/>
      </w:pPr>
      <w:rPr>
        <w:rFonts w:ascii="Wingdings" w:hAnsi="Wingdings" w:hint="default"/>
      </w:rPr>
    </w:lvl>
  </w:abstractNum>
  <w:abstractNum w:abstractNumId="76" w15:restartNumberingAfterBreak="0">
    <w:nsid w:val="4AFD001D"/>
    <w:multiLevelType w:val="hybridMultilevel"/>
    <w:tmpl w:val="0EF2A0BC"/>
    <w:lvl w:ilvl="0" w:tplc="AB684984">
      <w:start w:val="1"/>
      <w:numFmt w:val="bullet"/>
      <w:lvlText w:val="-"/>
      <w:lvlJc w:val="left"/>
      <w:pPr>
        <w:ind w:left="720" w:hanging="360"/>
      </w:pPr>
      <w:rPr>
        <w:rFonts w:ascii="Arial" w:hAnsi="Arial" w:hint="default"/>
      </w:rPr>
    </w:lvl>
    <w:lvl w:ilvl="1" w:tplc="AABEC690" w:tentative="1">
      <w:start w:val="1"/>
      <w:numFmt w:val="bullet"/>
      <w:lvlText w:val="o"/>
      <w:lvlJc w:val="left"/>
      <w:pPr>
        <w:ind w:left="1440" w:hanging="360"/>
      </w:pPr>
      <w:rPr>
        <w:rFonts w:ascii="Courier New" w:hAnsi="Courier New" w:cs="Courier New" w:hint="default"/>
      </w:rPr>
    </w:lvl>
    <w:lvl w:ilvl="2" w:tplc="0F766E96" w:tentative="1">
      <w:start w:val="1"/>
      <w:numFmt w:val="bullet"/>
      <w:lvlText w:val=""/>
      <w:lvlJc w:val="left"/>
      <w:pPr>
        <w:ind w:left="2160" w:hanging="360"/>
      </w:pPr>
      <w:rPr>
        <w:rFonts w:ascii="Wingdings" w:hAnsi="Wingdings" w:hint="default"/>
      </w:rPr>
    </w:lvl>
    <w:lvl w:ilvl="3" w:tplc="0B6A3B28" w:tentative="1">
      <w:start w:val="1"/>
      <w:numFmt w:val="bullet"/>
      <w:lvlText w:val=""/>
      <w:lvlJc w:val="left"/>
      <w:pPr>
        <w:ind w:left="2880" w:hanging="360"/>
      </w:pPr>
      <w:rPr>
        <w:rFonts w:ascii="Symbol" w:hAnsi="Symbol" w:hint="default"/>
      </w:rPr>
    </w:lvl>
    <w:lvl w:ilvl="4" w:tplc="E458AD66" w:tentative="1">
      <w:start w:val="1"/>
      <w:numFmt w:val="bullet"/>
      <w:lvlText w:val="o"/>
      <w:lvlJc w:val="left"/>
      <w:pPr>
        <w:ind w:left="3600" w:hanging="360"/>
      </w:pPr>
      <w:rPr>
        <w:rFonts w:ascii="Courier New" w:hAnsi="Courier New" w:cs="Courier New" w:hint="default"/>
      </w:rPr>
    </w:lvl>
    <w:lvl w:ilvl="5" w:tplc="BFA83A7C" w:tentative="1">
      <w:start w:val="1"/>
      <w:numFmt w:val="bullet"/>
      <w:lvlText w:val=""/>
      <w:lvlJc w:val="left"/>
      <w:pPr>
        <w:ind w:left="4320" w:hanging="360"/>
      </w:pPr>
      <w:rPr>
        <w:rFonts w:ascii="Wingdings" w:hAnsi="Wingdings" w:hint="default"/>
      </w:rPr>
    </w:lvl>
    <w:lvl w:ilvl="6" w:tplc="043CD6B6" w:tentative="1">
      <w:start w:val="1"/>
      <w:numFmt w:val="bullet"/>
      <w:lvlText w:val=""/>
      <w:lvlJc w:val="left"/>
      <w:pPr>
        <w:ind w:left="5040" w:hanging="360"/>
      </w:pPr>
      <w:rPr>
        <w:rFonts w:ascii="Symbol" w:hAnsi="Symbol" w:hint="default"/>
      </w:rPr>
    </w:lvl>
    <w:lvl w:ilvl="7" w:tplc="B9300D22" w:tentative="1">
      <w:start w:val="1"/>
      <w:numFmt w:val="bullet"/>
      <w:lvlText w:val="o"/>
      <w:lvlJc w:val="left"/>
      <w:pPr>
        <w:ind w:left="5760" w:hanging="360"/>
      </w:pPr>
      <w:rPr>
        <w:rFonts w:ascii="Courier New" w:hAnsi="Courier New" w:cs="Courier New" w:hint="default"/>
      </w:rPr>
    </w:lvl>
    <w:lvl w:ilvl="8" w:tplc="1E0280AE" w:tentative="1">
      <w:start w:val="1"/>
      <w:numFmt w:val="bullet"/>
      <w:lvlText w:val=""/>
      <w:lvlJc w:val="left"/>
      <w:pPr>
        <w:ind w:left="6480" w:hanging="360"/>
      </w:pPr>
      <w:rPr>
        <w:rFonts w:ascii="Wingdings" w:hAnsi="Wingdings" w:hint="default"/>
      </w:rPr>
    </w:lvl>
  </w:abstractNum>
  <w:abstractNum w:abstractNumId="77" w15:restartNumberingAfterBreak="0">
    <w:nsid w:val="4B2F1AA5"/>
    <w:multiLevelType w:val="hybridMultilevel"/>
    <w:tmpl w:val="E242C264"/>
    <w:lvl w:ilvl="0" w:tplc="C5B40818">
      <w:start w:val="1"/>
      <w:numFmt w:val="bullet"/>
      <w:lvlText w:val=""/>
      <w:lvlJc w:val="left"/>
      <w:pPr>
        <w:ind w:left="360" w:hanging="360"/>
      </w:pPr>
      <w:rPr>
        <w:rFonts w:ascii="Symbol" w:hAnsi="Symbol" w:hint="default"/>
      </w:rPr>
    </w:lvl>
    <w:lvl w:ilvl="1" w:tplc="F06627A2" w:tentative="1">
      <w:start w:val="1"/>
      <w:numFmt w:val="bullet"/>
      <w:lvlText w:val="o"/>
      <w:lvlJc w:val="left"/>
      <w:pPr>
        <w:ind w:left="1080" w:hanging="360"/>
      </w:pPr>
      <w:rPr>
        <w:rFonts w:ascii="Courier New" w:hAnsi="Courier New" w:cs="Courier New" w:hint="default"/>
      </w:rPr>
    </w:lvl>
    <w:lvl w:ilvl="2" w:tplc="F03A706E" w:tentative="1">
      <w:start w:val="1"/>
      <w:numFmt w:val="bullet"/>
      <w:lvlText w:val=""/>
      <w:lvlJc w:val="left"/>
      <w:pPr>
        <w:ind w:left="1800" w:hanging="360"/>
      </w:pPr>
      <w:rPr>
        <w:rFonts w:ascii="Wingdings" w:hAnsi="Wingdings" w:hint="default"/>
      </w:rPr>
    </w:lvl>
    <w:lvl w:ilvl="3" w:tplc="95A2DDB8" w:tentative="1">
      <w:start w:val="1"/>
      <w:numFmt w:val="bullet"/>
      <w:lvlText w:val=""/>
      <w:lvlJc w:val="left"/>
      <w:pPr>
        <w:ind w:left="2520" w:hanging="360"/>
      </w:pPr>
      <w:rPr>
        <w:rFonts w:ascii="Symbol" w:hAnsi="Symbol" w:hint="default"/>
      </w:rPr>
    </w:lvl>
    <w:lvl w:ilvl="4" w:tplc="55B467EE" w:tentative="1">
      <w:start w:val="1"/>
      <w:numFmt w:val="bullet"/>
      <w:lvlText w:val="o"/>
      <w:lvlJc w:val="left"/>
      <w:pPr>
        <w:ind w:left="3240" w:hanging="360"/>
      </w:pPr>
      <w:rPr>
        <w:rFonts w:ascii="Courier New" w:hAnsi="Courier New" w:cs="Courier New" w:hint="default"/>
      </w:rPr>
    </w:lvl>
    <w:lvl w:ilvl="5" w:tplc="8BE8CBE8" w:tentative="1">
      <w:start w:val="1"/>
      <w:numFmt w:val="bullet"/>
      <w:lvlText w:val=""/>
      <w:lvlJc w:val="left"/>
      <w:pPr>
        <w:ind w:left="3960" w:hanging="360"/>
      </w:pPr>
      <w:rPr>
        <w:rFonts w:ascii="Wingdings" w:hAnsi="Wingdings" w:hint="default"/>
      </w:rPr>
    </w:lvl>
    <w:lvl w:ilvl="6" w:tplc="1FB83BAE" w:tentative="1">
      <w:start w:val="1"/>
      <w:numFmt w:val="bullet"/>
      <w:lvlText w:val=""/>
      <w:lvlJc w:val="left"/>
      <w:pPr>
        <w:ind w:left="4680" w:hanging="360"/>
      </w:pPr>
      <w:rPr>
        <w:rFonts w:ascii="Symbol" w:hAnsi="Symbol" w:hint="default"/>
      </w:rPr>
    </w:lvl>
    <w:lvl w:ilvl="7" w:tplc="D34454C6" w:tentative="1">
      <w:start w:val="1"/>
      <w:numFmt w:val="bullet"/>
      <w:lvlText w:val="o"/>
      <w:lvlJc w:val="left"/>
      <w:pPr>
        <w:ind w:left="5400" w:hanging="360"/>
      </w:pPr>
      <w:rPr>
        <w:rFonts w:ascii="Courier New" w:hAnsi="Courier New" w:cs="Courier New" w:hint="default"/>
      </w:rPr>
    </w:lvl>
    <w:lvl w:ilvl="8" w:tplc="9C4EDB58" w:tentative="1">
      <w:start w:val="1"/>
      <w:numFmt w:val="bullet"/>
      <w:lvlText w:val=""/>
      <w:lvlJc w:val="left"/>
      <w:pPr>
        <w:ind w:left="6120" w:hanging="360"/>
      </w:pPr>
      <w:rPr>
        <w:rFonts w:ascii="Wingdings" w:hAnsi="Wingdings" w:hint="default"/>
      </w:rPr>
    </w:lvl>
  </w:abstractNum>
  <w:abstractNum w:abstractNumId="78" w15:restartNumberingAfterBreak="0">
    <w:nsid w:val="4CC7271E"/>
    <w:multiLevelType w:val="hybridMultilevel"/>
    <w:tmpl w:val="BD6C7B12"/>
    <w:lvl w:ilvl="0" w:tplc="32F6866A">
      <w:start w:val="1"/>
      <w:numFmt w:val="bullet"/>
      <w:lvlText w:val=""/>
      <w:lvlJc w:val="left"/>
      <w:pPr>
        <w:ind w:left="720" w:hanging="360"/>
      </w:pPr>
      <w:rPr>
        <w:rFonts w:ascii="Symbol" w:hAnsi="Symbol" w:hint="default"/>
      </w:rPr>
    </w:lvl>
    <w:lvl w:ilvl="1" w:tplc="FBC8CAF2" w:tentative="1">
      <w:start w:val="1"/>
      <w:numFmt w:val="bullet"/>
      <w:lvlText w:val="o"/>
      <w:lvlJc w:val="left"/>
      <w:pPr>
        <w:ind w:left="1440" w:hanging="360"/>
      </w:pPr>
      <w:rPr>
        <w:rFonts w:ascii="Courier New" w:hAnsi="Courier New" w:cs="Courier New" w:hint="default"/>
      </w:rPr>
    </w:lvl>
    <w:lvl w:ilvl="2" w:tplc="64C2BB5A" w:tentative="1">
      <w:start w:val="1"/>
      <w:numFmt w:val="bullet"/>
      <w:lvlText w:val=""/>
      <w:lvlJc w:val="left"/>
      <w:pPr>
        <w:ind w:left="2160" w:hanging="360"/>
      </w:pPr>
      <w:rPr>
        <w:rFonts w:ascii="Wingdings" w:hAnsi="Wingdings" w:hint="default"/>
      </w:rPr>
    </w:lvl>
    <w:lvl w:ilvl="3" w:tplc="076890EA" w:tentative="1">
      <w:start w:val="1"/>
      <w:numFmt w:val="bullet"/>
      <w:lvlText w:val=""/>
      <w:lvlJc w:val="left"/>
      <w:pPr>
        <w:ind w:left="2880" w:hanging="360"/>
      </w:pPr>
      <w:rPr>
        <w:rFonts w:ascii="Symbol" w:hAnsi="Symbol" w:hint="default"/>
      </w:rPr>
    </w:lvl>
    <w:lvl w:ilvl="4" w:tplc="F7F0644A" w:tentative="1">
      <w:start w:val="1"/>
      <w:numFmt w:val="bullet"/>
      <w:lvlText w:val="o"/>
      <w:lvlJc w:val="left"/>
      <w:pPr>
        <w:ind w:left="3600" w:hanging="360"/>
      </w:pPr>
      <w:rPr>
        <w:rFonts w:ascii="Courier New" w:hAnsi="Courier New" w:cs="Courier New" w:hint="default"/>
      </w:rPr>
    </w:lvl>
    <w:lvl w:ilvl="5" w:tplc="E138E134" w:tentative="1">
      <w:start w:val="1"/>
      <w:numFmt w:val="bullet"/>
      <w:lvlText w:val=""/>
      <w:lvlJc w:val="left"/>
      <w:pPr>
        <w:ind w:left="4320" w:hanging="360"/>
      </w:pPr>
      <w:rPr>
        <w:rFonts w:ascii="Wingdings" w:hAnsi="Wingdings" w:hint="default"/>
      </w:rPr>
    </w:lvl>
    <w:lvl w:ilvl="6" w:tplc="01882D8E" w:tentative="1">
      <w:start w:val="1"/>
      <w:numFmt w:val="bullet"/>
      <w:lvlText w:val=""/>
      <w:lvlJc w:val="left"/>
      <w:pPr>
        <w:ind w:left="5040" w:hanging="360"/>
      </w:pPr>
      <w:rPr>
        <w:rFonts w:ascii="Symbol" w:hAnsi="Symbol" w:hint="default"/>
      </w:rPr>
    </w:lvl>
    <w:lvl w:ilvl="7" w:tplc="2B18BA3E" w:tentative="1">
      <w:start w:val="1"/>
      <w:numFmt w:val="bullet"/>
      <w:lvlText w:val="o"/>
      <w:lvlJc w:val="left"/>
      <w:pPr>
        <w:ind w:left="5760" w:hanging="360"/>
      </w:pPr>
      <w:rPr>
        <w:rFonts w:ascii="Courier New" w:hAnsi="Courier New" w:cs="Courier New" w:hint="default"/>
      </w:rPr>
    </w:lvl>
    <w:lvl w:ilvl="8" w:tplc="7ECE2BEA" w:tentative="1">
      <w:start w:val="1"/>
      <w:numFmt w:val="bullet"/>
      <w:lvlText w:val=""/>
      <w:lvlJc w:val="left"/>
      <w:pPr>
        <w:ind w:left="6480" w:hanging="360"/>
      </w:pPr>
      <w:rPr>
        <w:rFonts w:ascii="Wingdings" w:hAnsi="Wingdings" w:hint="default"/>
      </w:rPr>
    </w:lvl>
  </w:abstractNum>
  <w:abstractNum w:abstractNumId="79" w15:restartNumberingAfterBreak="0">
    <w:nsid w:val="4D673FE0"/>
    <w:multiLevelType w:val="hybridMultilevel"/>
    <w:tmpl w:val="538CAF18"/>
    <w:lvl w:ilvl="0" w:tplc="9FCE3A24">
      <w:start w:val="1"/>
      <w:numFmt w:val="bullet"/>
      <w:lvlText w:val=""/>
      <w:lvlJc w:val="left"/>
      <w:pPr>
        <w:ind w:left="720" w:hanging="360"/>
      </w:pPr>
      <w:rPr>
        <w:rFonts w:ascii="Symbol" w:hAnsi="Symbol" w:hint="default"/>
      </w:rPr>
    </w:lvl>
    <w:lvl w:ilvl="1" w:tplc="D338A106" w:tentative="1">
      <w:start w:val="1"/>
      <w:numFmt w:val="bullet"/>
      <w:lvlText w:val="o"/>
      <w:lvlJc w:val="left"/>
      <w:pPr>
        <w:ind w:left="1440" w:hanging="360"/>
      </w:pPr>
      <w:rPr>
        <w:rFonts w:ascii="Courier New" w:hAnsi="Courier New" w:cs="Courier New" w:hint="default"/>
      </w:rPr>
    </w:lvl>
    <w:lvl w:ilvl="2" w:tplc="09CAD40E" w:tentative="1">
      <w:start w:val="1"/>
      <w:numFmt w:val="bullet"/>
      <w:lvlText w:val=""/>
      <w:lvlJc w:val="left"/>
      <w:pPr>
        <w:ind w:left="2160" w:hanging="360"/>
      </w:pPr>
      <w:rPr>
        <w:rFonts w:ascii="Wingdings" w:hAnsi="Wingdings" w:hint="default"/>
      </w:rPr>
    </w:lvl>
    <w:lvl w:ilvl="3" w:tplc="D896AE5A" w:tentative="1">
      <w:start w:val="1"/>
      <w:numFmt w:val="bullet"/>
      <w:lvlText w:val=""/>
      <w:lvlJc w:val="left"/>
      <w:pPr>
        <w:ind w:left="2880" w:hanging="360"/>
      </w:pPr>
      <w:rPr>
        <w:rFonts w:ascii="Symbol" w:hAnsi="Symbol" w:hint="default"/>
      </w:rPr>
    </w:lvl>
    <w:lvl w:ilvl="4" w:tplc="64381A3E" w:tentative="1">
      <w:start w:val="1"/>
      <w:numFmt w:val="bullet"/>
      <w:lvlText w:val="o"/>
      <w:lvlJc w:val="left"/>
      <w:pPr>
        <w:ind w:left="3600" w:hanging="360"/>
      </w:pPr>
      <w:rPr>
        <w:rFonts w:ascii="Courier New" w:hAnsi="Courier New" w:cs="Courier New" w:hint="default"/>
      </w:rPr>
    </w:lvl>
    <w:lvl w:ilvl="5" w:tplc="0DC0EA62" w:tentative="1">
      <w:start w:val="1"/>
      <w:numFmt w:val="bullet"/>
      <w:lvlText w:val=""/>
      <w:lvlJc w:val="left"/>
      <w:pPr>
        <w:ind w:left="4320" w:hanging="360"/>
      </w:pPr>
      <w:rPr>
        <w:rFonts w:ascii="Wingdings" w:hAnsi="Wingdings" w:hint="default"/>
      </w:rPr>
    </w:lvl>
    <w:lvl w:ilvl="6" w:tplc="5AFE3B74" w:tentative="1">
      <w:start w:val="1"/>
      <w:numFmt w:val="bullet"/>
      <w:lvlText w:val=""/>
      <w:lvlJc w:val="left"/>
      <w:pPr>
        <w:ind w:left="5040" w:hanging="360"/>
      </w:pPr>
      <w:rPr>
        <w:rFonts w:ascii="Symbol" w:hAnsi="Symbol" w:hint="default"/>
      </w:rPr>
    </w:lvl>
    <w:lvl w:ilvl="7" w:tplc="5AF4DF12" w:tentative="1">
      <w:start w:val="1"/>
      <w:numFmt w:val="bullet"/>
      <w:lvlText w:val="o"/>
      <w:lvlJc w:val="left"/>
      <w:pPr>
        <w:ind w:left="5760" w:hanging="360"/>
      </w:pPr>
      <w:rPr>
        <w:rFonts w:ascii="Courier New" w:hAnsi="Courier New" w:cs="Courier New" w:hint="default"/>
      </w:rPr>
    </w:lvl>
    <w:lvl w:ilvl="8" w:tplc="30628DB0" w:tentative="1">
      <w:start w:val="1"/>
      <w:numFmt w:val="bullet"/>
      <w:lvlText w:val=""/>
      <w:lvlJc w:val="left"/>
      <w:pPr>
        <w:ind w:left="6480" w:hanging="360"/>
      </w:pPr>
      <w:rPr>
        <w:rFonts w:ascii="Wingdings" w:hAnsi="Wingdings" w:hint="default"/>
      </w:rPr>
    </w:lvl>
  </w:abstractNum>
  <w:abstractNum w:abstractNumId="80" w15:restartNumberingAfterBreak="0">
    <w:nsid w:val="4D8E11EF"/>
    <w:multiLevelType w:val="hybridMultilevel"/>
    <w:tmpl w:val="7DCC9FD8"/>
    <w:lvl w:ilvl="0" w:tplc="992A8ADC">
      <w:start w:val="1"/>
      <w:numFmt w:val="bullet"/>
      <w:lvlText w:val=""/>
      <w:lvlJc w:val="left"/>
      <w:pPr>
        <w:ind w:left="720" w:hanging="360"/>
      </w:pPr>
      <w:rPr>
        <w:rFonts w:ascii="Symbol" w:hAnsi="Symbol" w:hint="default"/>
      </w:rPr>
    </w:lvl>
    <w:lvl w:ilvl="1" w:tplc="97FE9A54" w:tentative="1">
      <w:start w:val="1"/>
      <w:numFmt w:val="bullet"/>
      <w:lvlText w:val="o"/>
      <w:lvlJc w:val="left"/>
      <w:pPr>
        <w:ind w:left="1440" w:hanging="360"/>
      </w:pPr>
      <w:rPr>
        <w:rFonts w:ascii="Courier New" w:hAnsi="Courier New" w:cs="Courier New" w:hint="default"/>
      </w:rPr>
    </w:lvl>
    <w:lvl w:ilvl="2" w:tplc="F9EA45C4" w:tentative="1">
      <w:start w:val="1"/>
      <w:numFmt w:val="bullet"/>
      <w:lvlText w:val=""/>
      <w:lvlJc w:val="left"/>
      <w:pPr>
        <w:ind w:left="2160" w:hanging="360"/>
      </w:pPr>
      <w:rPr>
        <w:rFonts w:ascii="Wingdings" w:hAnsi="Wingdings" w:hint="default"/>
      </w:rPr>
    </w:lvl>
    <w:lvl w:ilvl="3" w:tplc="DCE60AA4" w:tentative="1">
      <w:start w:val="1"/>
      <w:numFmt w:val="bullet"/>
      <w:lvlText w:val=""/>
      <w:lvlJc w:val="left"/>
      <w:pPr>
        <w:ind w:left="2880" w:hanging="360"/>
      </w:pPr>
      <w:rPr>
        <w:rFonts w:ascii="Symbol" w:hAnsi="Symbol" w:hint="default"/>
      </w:rPr>
    </w:lvl>
    <w:lvl w:ilvl="4" w:tplc="AA449AD0" w:tentative="1">
      <w:start w:val="1"/>
      <w:numFmt w:val="bullet"/>
      <w:lvlText w:val="o"/>
      <w:lvlJc w:val="left"/>
      <w:pPr>
        <w:ind w:left="3600" w:hanging="360"/>
      </w:pPr>
      <w:rPr>
        <w:rFonts w:ascii="Courier New" w:hAnsi="Courier New" w:cs="Courier New" w:hint="default"/>
      </w:rPr>
    </w:lvl>
    <w:lvl w:ilvl="5" w:tplc="CE60E42C" w:tentative="1">
      <w:start w:val="1"/>
      <w:numFmt w:val="bullet"/>
      <w:lvlText w:val=""/>
      <w:lvlJc w:val="left"/>
      <w:pPr>
        <w:ind w:left="4320" w:hanging="360"/>
      </w:pPr>
      <w:rPr>
        <w:rFonts w:ascii="Wingdings" w:hAnsi="Wingdings" w:hint="default"/>
      </w:rPr>
    </w:lvl>
    <w:lvl w:ilvl="6" w:tplc="F02E9D4E" w:tentative="1">
      <w:start w:val="1"/>
      <w:numFmt w:val="bullet"/>
      <w:lvlText w:val=""/>
      <w:lvlJc w:val="left"/>
      <w:pPr>
        <w:ind w:left="5040" w:hanging="360"/>
      </w:pPr>
      <w:rPr>
        <w:rFonts w:ascii="Symbol" w:hAnsi="Symbol" w:hint="default"/>
      </w:rPr>
    </w:lvl>
    <w:lvl w:ilvl="7" w:tplc="25C45B2E" w:tentative="1">
      <w:start w:val="1"/>
      <w:numFmt w:val="bullet"/>
      <w:lvlText w:val="o"/>
      <w:lvlJc w:val="left"/>
      <w:pPr>
        <w:ind w:left="5760" w:hanging="360"/>
      </w:pPr>
      <w:rPr>
        <w:rFonts w:ascii="Courier New" w:hAnsi="Courier New" w:cs="Courier New" w:hint="default"/>
      </w:rPr>
    </w:lvl>
    <w:lvl w:ilvl="8" w:tplc="80A8354E" w:tentative="1">
      <w:start w:val="1"/>
      <w:numFmt w:val="bullet"/>
      <w:lvlText w:val=""/>
      <w:lvlJc w:val="left"/>
      <w:pPr>
        <w:ind w:left="6480" w:hanging="360"/>
      </w:pPr>
      <w:rPr>
        <w:rFonts w:ascii="Wingdings" w:hAnsi="Wingdings" w:hint="default"/>
      </w:rPr>
    </w:lvl>
  </w:abstractNum>
  <w:abstractNum w:abstractNumId="81" w15:restartNumberingAfterBreak="0">
    <w:nsid w:val="4EA712A2"/>
    <w:multiLevelType w:val="hybridMultilevel"/>
    <w:tmpl w:val="159C53C2"/>
    <w:lvl w:ilvl="0" w:tplc="6DA25C00">
      <w:start w:val="1"/>
      <w:numFmt w:val="bullet"/>
      <w:lvlText w:val=""/>
      <w:lvlJc w:val="left"/>
      <w:pPr>
        <w:ind w:left="720" w:hanging="360"/>
      </w:pPr>
      <w:rPr>
        <w:rFonts w:ascii="Symbol" w:hAnsi="Symbol" w:hint="default"/>
      </w:rPr>
    </w:lvl>
    <w:lvl w:ilvl="1" w:tplc="01D49648" w:tentative="1">
      <w:start w:val="1"/>
      <w:numFmt w:val="bullet"/>
      <w:lvlText w:val="o"/>
      <w:lvlJc w:val="left"/>
      <w:pPr>
        <w:ind w:left="1440" w:hanging="360"/>
      </w:pPr>
      <w:rPr>
        <w:rFonts w:ascii="Courier New" w:hAnsi="Courier New" w:cs="Courier New" w:hint="default"/>
      </w:rPr>
    </w:lvl>
    <w:lvl w:ilvl="2" w:tplc="E558DDF6" w:tentative="1">
      <w:start w:val="1"/>
      <w:numFmt w:val="bullet"/>
      <w:lvlText w:val=""/>
      <w:lvlJc w:val="left"/>
      <w:pPr>
        <w:ind w:left="2160" w:hanging="360"/>
      </w:pPr>
      <w:rPr>
        <w:rFonts w:ascii="Wingdings" w:hAnsi="Wingdings" w:hint="default"/>
      </w:rPr>
    </w:lvl>
    <w:lvl w:ilvl="3" w:tplc="AD60C740" w:tentative="1">
      <w:start w:val="1"/>
      <w:numFmt w:val="bullet"/>
      <w:lvlText w:val=""/>
      <w:lvlJc w:val="left"/>
      <w:pPr>
        <w:ind w:left="2880" w:hanging="360"/>
      </w:pPr>
      <w:rPr>
        <w:rFonts w:ascii="Symbol" w:hAnsi="Symbol" w:hint="default"/>
      </w:rPr>
    </w:lvl>
    <w:lvl w:ilvl="4" w:tplc="54C0CDBC" w:tentative="1">
      <w:start w:val="1"/>
      <w:numFmt w:val="bullet"/>
      <w:lvlText w:val="o"/>
      <w:lvlJc w:val="left"/>
      <w:pPr>
        <w:ind w:left="3600" w:hanging="360"/>
      </w:pPr>
      <w:rPr>
        <w:rFonts w:ascii="Courier New" w:hAnsi="Courier New" w:cs="Courier New" w:hint="default"/>
      </w:rPr>
    </w:lvl>
    <w:lvl w:ilvl="5" w:tplc="1A00CF02" w:tentative="1">
      <w:start w:val="1"/>
      <w:numFmt w:val="bullet"/>
      <w:lvlText w:val=""/>
      <w:lvlJc w:val="left"/>
      <w:pPr>
        <w:ind w:left="4320" w:hanging="360"/>
      </w:pPr>
      <w:rPr>
        <w:rFonts w:ascii="Wingdings" w:hAnsi="Wingdings" w:hint="default"/>
      </w:rPr>
    </w:lvl>
    <w:lvl w:ilvl="6" w:tplc="392CB8E6" w:tentative="1">
      <w:start w:val="1"/>
      <w:numFmt w:val="bullet"/>
      <w:lvlText w:val=""/>
      <w:lvlJc w:val="left"/>
      <w:pPr>
        <w:ind w:left="5040" w:hanging="360"/>
      </w:pPr>
      <w:rPr>
        <w:rFonts w:ascii="Symbol" w:hAnsi="Symbol" w:hint="default"/>
      </w:rPr>
    </w:lvl>
    <w:lvl w:ilvl="7" w:tplc="D9949E10" w:tentative="1">
      <w:start w:val="1"/>
      <w:numFmt w:val="bullet"/>
      <w:lvlText w:val="o"/>
      <w:lvlJc w:val="left"/>
      <w:pPr>
        <w:ind w:left="5760" w:hanging="360"/>
      </w:pPr>
      <w:rPr>
        <w:rFonts w:ascii="Courier New" w:hAnsi="Courier New" w:cs="Courier New" w:hint="default"/>
      </w:rPr>
    </w:lvl>
    <w:lvl w:ilvl="8" w:tplc="7A547202" w:tentative="1">
      <w:start w:val="1"/>
      <w:numFmt w:val="bullet"/>
      <w:lvlText w:val=""/>
      <w:lvlJc w:val="left"/>
      <w:pPr>
        <w:ind w:left="6480" w:hanging="360"/>
      </w:pPr>
      <w:rPr>
        <w:rFonts w:ascii="Wingdings" w:hAnsi="Wingdings" w:hint="default"/>
      </w:rPr>
    </w:lvl>
  </w:abstractNum>
  <w:abstractNum w:abstractNumId="82" w15:restartNumberingAfterBreak="0">
    <w:nsid w:val="501A29DB"/>
    <w:multiLevelType w:val="hybridMultilevel"/>
    <w:tmpl w:val="C2D027A6"/>
    <w:lvl w:ilvl="0" w:tplc="2F52E278">
      <w:start w:val="1"/>
      <w:numFmt w:val="bullet"/>
      <w:lvlText w:val=""/>
      <w:lvlJc w:val="left"/>
      <w:pPr>
        <w:ind w:left="1429" w:hanging="360"/>
      </w:pPr>
      <w:rPr>
        <w:rFonts w:ascii="Symbol" w:hAnsi="Symbol" w:hint="default"/>
      </w:rPr>
    </w:lvl>
    <w:lvl w:ilvl="1" w:tplc="AE48ABC4">
      <w:start w:val="1"/>
      <w:numFmt w:val="bullet"/>
      <w:lvlText w:val="o"/>
      <w:lvlJc w:val="left"/>
      <w:pPr>
        <w:ind w:left="2149" w:hanging="360"/>
      </w:pPr>
      <w:rPr>
        <w:rFonts w:ascii="Courier New" w:hAnsi="Courier New" w:cs="Courier New" w:hint="default"/>
      </w:rPr>
    </w:lvl>
    <w:lvl w:ilvl="2" w:tplc="F82E8A4C" w:tentative="1">
      <w:start w:val="1"/>
      <w:numFmt w:val="bullet"/>
      <w:lvlText w:val=""/>
      <w:lvlJc w:val="left"/>
      <w:pPr>
        <w:ind w:left="2869" w:hanging="360"/>
      </w:pPr>
      <w:rPr>
        <w:rFonts w:ascii="Wingdings" w:hAnsi="Wingdings" w:hint="default"/>
      </w:rPr>
    </w:lvl>
    <w:lvl w:ilvl="3" w:tplc="E7A088E6" w:tentative="1">
      <w:start w:val="1"/>
      <w:numFmt w:val="bullet"/>
      <w:lvlText w:val=""/>
      <w:lvlJc w:val="left"/>
      <w:pPr>
        <w:ind w:left="3589" w:hanging="360"/>
      </w:pPr>
      <w:rPr>
        <w:rFonts w:ascii="Symbol" w:hAnsi="Symbol" w:hint="default"/>
      </w:rPr>
    </w:lvl>
    <w:lvl w:ilvl="4" w:tplc="7B60B584" w:tentative="1">
      <w:start w:val="1"/>
      <w:numFmt w:val="bullet"/>
      <w:lvlText w:val="o"/>
      <w:lvlJc w:val="left"/>
      <w:pPr>
        <w:ind w:left="4309" w:hanging="360"/>
      </w:pPr>
      <w:rPr>
        <w:rFonts w:ascii="Courier New" w:hAnsi="Courier New" w:cs="Courier New" w:hint="default"/>
      </w:rPr>
    </w:lvl>
    <w:lvl w:ilvl="5" w:tplc="1A521896" w:tentative="1">
      <w:start w:val="1"/>
      <w:numFmt w:val="bullet"/>
      <w:lvlText w:val=""/>
      <w:lvlJc w:val="left"/>
      <w:pPr>
        <w:ind w:left="5029" w:hanging="360"/>
      </w:pPr>
      <w:rPr>
        <w:rFonts w:ascii="Wingdings" w:hAnsi="Wingdings" w:hint="default"/>
      </w:rPr>
    </w:lvl>
    <w:lvl w:ilvl="6" w:tplc="AECA0256" w:tentative="1">
      <w:start w:val="1"/>
      <w:numFmt w:val="bullet"/>
      <w:lvlText w:val=""/>
      <w:lvlJc w:val="left"/>
      <w:pPr>
        <w:ind w:left="5749" w:hanging="360"/>
      </w:pPr>
      <w:rPr>
        <w:rFonts w:ascii="Symbol" w:hAnsi="Symbol" w:hint="default"/>
      </w:rPr>
    </w:lvl>
    <w:lvl w:ilvl="7" w:tplc="0B0C3408" w:tentative="1">
      <w:start w:val="1"/>
      <w:numFmt w:val="bullet"/>
      <w:lvlText w:val="o"/>
      <w:lvlJc w:val="left"/>
      <w:pPr>
        <w:ind w:left="6469" w:hanging="360"/>
      </w:pPr>
      <w:rPr>
        <w:rFonts w:ascii="Courier New" w:hAnsi="Courier New" w:cs="Courier New" w:hint="default"/>
      </w:rPr>
    </w:lvl>
    <w:lvl w:ilvl="8" w:tplc="90687404" w:tentative="1">
      <w:start w:val="1"/>
      <w:numFmt w:val="bullet"/>
      <w:lvlText w:val=""/>
      <w:lvlJc w:val="left"/>
      <w:pPr>
        <w:ind w:left="7189" w:hanging="360"/>
      </w:pPr>
      <w:rPr>
        <w:rFonts w:ascii="Wingdings" w:hAnsi="Wingdings" w:hint="default"/>
      </w:rPr>
    </w:lvl>
  </w:abstractNum>
  <w:abstractNum w:abstractNumId="83" w15:restartNumberingAfterBreak="0">
    <w:nsid w:val="52C76733"/>
    <w:multiLevelType w:val="hybridMultilevel"/>
    <w:tmpl w:val="9A4A8CC6"/>
    <w:lvl w:ilvl="0" w:tplc="E94002EE">
      <w:start w:val="1"/>
      <w:numFmt w:val="bullet"/>
      <w:lvlText w:val=""/>
      <w:lvlJc w:val="left"/>
      <w:pPr>
        <w:ind w:left="720" w:hanging="360"/>
      </w:pPr>
      <w:rPr>
        <w:rFonts w:ascii="Symbol" w:hAnsi="Symbol" w:hint="default"/>
      </w:rPr>
    </w:lvl>
    <w:lvl w:ilvl="1" w:tplc="DF38F782" w:tentative="1">
      <w:start w:val="1"/>
      <w:numFmt w:val="bullet"/>
      <w:lvlText w:val="o"/>
      <w:lvlJc w:val="left"/>
      <w:pPr>
        <w:ind w:left="1440" w:hanging="360"/>
      </w:pPr>
      <w:rPr>
        <w:rFonts w:ascii="Courier New" w:hAnsi="Courier New" w:cs="Courier New" w:hint="default"/>
      </w:rPr>
    </w:lvl>
    <w:lvl w:ilvl="2" w:tplc="BC1AEB0E" w:tentative="1">
      <w:start w:val="1"/>
      <w:numFmt w:val="bullet"/>
      <w:lvlText w:val=""/>
      <w:lvlJc w:val="left"/>
      <w:pPr>
        <w:ind w:left="2160" w:hanging="360"/>
      </w:pPr>
      <w:rPr>
        <w:rFonts w:ascii="Wingdings" w:hAnsi="Wingdings" w:hint="default"/>
      </w:rPr>
    </w:lvl>
    <w:lvl w:ilvl="3" w:tplc="22883024" w:tentative="1">
      <w:start w:val="1"/>
      <w:numFmt w:val="bullet"/>
      <w:lvlText w:val=""/>
      <w:lvlJc w:val="left"/>
      <w:pPr>
        <w:ind w:left="2880" w:hanging="360"/>
      </w:pPr>
      <w:rPr>
        <w:rFonts w:ascii="Symbol" w:hAnsi="Symbol" w:hint="default"/>
      </w:rPr>
    </w:lvl>
    <w:lvl w:ilvl="4" w:tplc="491AE6C4" w:tentative="1">
      <w:start w:val="1"/>
      <w:numFmt w:val="bullet"/>
      <w:lvlText w:val="o"/>
      <w:lvlJc w:val="left"/>
      <w:pPr>
        <w:ind w:left="3600" w:hanging="360"/>
      </w:pPr>
      <w:rPr>
        <w:rFonts w:ascii="Courier New" w:hAnsi="Courier New" w:cs="Courier New" w:hint="default"/>
      </w:rPr>
    </w:lvl>
    <w:lvl w:ilvl="5" w:tplc="9030EABE" w:tentative="1">
      <w:start w:val="1"/>
      <w:numFmt w:val="bullet"/>
      <w:lvlText w:val=""/>
      <w:lvlJc w:val="left"/>
      <w:pPr>
        <w:ind w:left="4320" w:hanging="360"/>
      </w:pPr>
      <w:rPr>
        <w:rFonts w:ascii="Wingdings" w:hAnsi="Wingdings" w:hint="default"/>
      </w:rPr>
    </w:lvl>
    <w:lvl w:ilvl="6" w:tplc="2EE0D2AE" w:tentative="1">
      <w:start w:val="1"/>
      <w:numFmt w:val="bullet"/>
      <w:lvlText w:val=""/>
      <w:lvlJc w:val="left"/>
      <w:pPr>
        <w:ind w:left="5040" w:hanging="360"/>
      </w:pPr>
      <w:rPr>
        <w:rFonts w:ascii="Symbol" w:hAnsi="Symbol" w:hint="default"/>
      </w:rPr>
    </w:lvl>
    <w:lvl w:ilvl="7" w:tplc="EF72AB4E" w:tentative="1">
      <w:start w:val="1"/>
      <w:numFmt w:val="bullet"/>
      <w:lvlText w:val="o"/>
      <w:lvlJc w:val="left"/>
      <w:pPr>
        <w:ind w:left="5760" w:hanging="360"/>
      </w:pPr>
      <w:rPr>
        <w:rFonts w:ascii="Courier New" w:hAnsi="Courier New" w:cs="Courier New" w:hint="default"/>
      </w:rPr>
    </w:lvl>
    <w:lvl w:ilvl="8" w:tplc="717293BA" w:tentative="1">
      <w:start w:val="1"/>
      <w:numFmt w:val="bullet"/>
      <w:lvlText w:val=""/>
      <w:lvlJc w:val="left"/>
      <w:pPr>
        <w:ind w:left="6480" w:hanging="360"/>
      </w:pPr>
      <w:rPr>
        <w:rFonts w:ascii="Wingdings" w:hAnsi="Wingdings" w:hint="default"/>
      </w:rPr>
    </w:lvl>
  </w:abstractNum>
  <w:abstractNum w:abstractNumId="84" w15:restartNumberingAfterBreak="0">
    <w:nsid w:val="52FE162A"/>
    <w:multiLevelType w:val="multilevel"/>
    <w:tmpl w:val="75268EDE"/>
    <w:lvl w:ilvl="0">
      <w:start w:val="1"/>
      <w:numFmt w:val="decimal"/>
      <w:pStyle w:val="Heading1"/>
      <w:lvlText w:val="%1"/>
      <w:lvlJc w:val="left"/>
      <w:pPr>
        <w:ind w:left="432" w:hanging="432"/>
      </w:pPr>
      <w:rPr>
        <w:rFonts w:hint="default"/>
        <w:color w:val="auto"/>
      </w:rPr>
    </w:lvl>
    <w:lvl w:ilvl="1">
      <w:start w:val="1"/>
      <w:numFmt w:val="decimal"/>
      <w:pStyle w:val="Heading2"/>
      <w:lvlText w:val="%1.%2"/>
      <w:lvlJc w:val="left"/>
      <w:pPr>
        <w:ind w:left="576" w:hanging="576"/>
      </w:pPr>
      <w:rPr>
        <w:rFonts w:hint="default"/>
        <w:b w:val="0"/>
        <w:bCs w:val="0"/>
        <w:color w:val="auto"/>
        <w:sz w:val="24"/>
        <w:szCs w:val="24"/>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color w:val="auto"/>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5" w15:restartNumberingAfterBreak="0">
    <w:nsid w:val="53E6691E"/>
    <w:multiLevelType w:val="hybridMultilevel"/>
    <w:tmpl w:val="C8366B7A"/>
    <w:lvl w:ilvl="0" w:tplc="7284B882">
      <w:numFmt w:val="bullet"/>
      <w:lvlText w:val="•"/>
      <w:lvlJc w:val="left"/>
      <w:pPr>
        <w:ind w:left="360" w:hanging="360"/>
      </w:pPr>
      <w:rPr>
        <w:rFonts w:ascii="Calibri" w:hAnsi="Calibri" w:hint="default"/>
        <w:b w:val="0"/>
        <w:sz w:val="24"/>
      </w:rPr>
    </w:lvl>
    <w:lvl w:ilvl="1" w:tplc="DD0C92C8" w:tentative="1">
      <w:start w:val="1"/>
      <w:numFmt w:val="bullet"/>
      <w:lvlText w:val="o"/>
      <w:lvlJc w:val="left"/>
      <w:pPr>
        <w:ind w:left="1080" w:hanging="360"/>
      </w:pPr>
      <w:rPr>
        <w:rFonts w:ascii="Courier New" w:hAnsi="Courier New" w:cs="Courier New" w:hint="default"/>
      </w:rPr>
    </w:lvl>
    <w:lvl w:ilvl="2" w:tplc="A1ACBDFE" w:tentative="1">
      <w:start w:val="1"/>
      <w:numFmt w:val="bullet"/>
      <w:lvlText w:val=""/>
      <w:lvlJc w:val="left"/>
      <w:pPr>
        <w:ind w:left="1800" w:hanging="360"/>
      </w:pPr>
      <w:rPr>
        <w:rFonts w:ascii="Wingdings" w:hAnsi="Wingdings" w:hint="default"/>
      </w:rPr>
    </w:lvl>
    <w:lvl w:ilvl="3" w:tplc="5D4C986A" w:tentative="1">
      <w:start w:val="1"/>
      <w:numFmt w:val="bullet"/>
      <w:lvlText w:val=""/>
      <w:lvlJc w:val="left"/>
      <w:pPr>
        <w:ind w:left="2520" w:hanging="360"/>
      </w:pPr>
      <w:rPr>
        <w:rFonts w:ascii="Symbol" w:hAnsi="Symbol" w:hint="default"/>
      </w:rPr>
    </w:lvl>
    <w:lvl w:ilvl="4" w:tplc="A8E0302C" w:tentative="1">
      <w:start w:val="1"/>
      <w:numFmt w:val="bullet"/>
      <w:lvlText w:val="o"/>
      <w:lvlJc w:val="left"/>
      <w:pPr>
        <w:ind w:left="3240" w:hanging="360"/>
      </w:pPr>
      <w:rPr>
        <w:rFonts w:ascii="Courier New" w:hAnsi="Courier New" w:cs="Courier New" w:hint="default"/>
      </w:rPr>
    </w:lvl>
    <w:lvl w:ilvl="5" w:tplc="5C3279C0" w:tentative="1">
      <w:start w:val="1"/>
      <w:numFmt w:val="bullet"/>
      <w:lvlText w:val=""/>
      <w:lvlJc w:val="left"/>
      <w:pPr>
        <w:ind w:left="3960" w:hanging="360"/>
      </w:pPr>
      <w:rPr>
        <w:rFonts w:ascii="Wingdings" w:hAnsi="Wingdings" w:hint="default"/>
      </w:rPr>
    </w:lvl>
    <w:lvl w:ilvl="6" w:tplc="1FF2ED32" w:tentative="1">
      <w:start w:val="1"/>
      <w:numFmt w:val="bullet"/>
      <w:lvlText w:val=""/>
      <w:lvlJc w:val="left"/>
      <w:pPr>
        <w:ind w:left="4680" w:hanging="360"/>
      </w:pPr>
      <w:rPr>
        <w:rFonts w:ascii="Symbol" w:hAnsi="Symbol" w:hint="default"/>
      </w:rPr>
    </w:lvl>
    <w:lvl w:ilvl="7" w:tplc="1862F0EC" w:tentative="1">
      <w:start w:val="1"/>
      <w:numFmt w:val="bullet"/>
      <w:lvlText w:val="o"/>
      <w:lvlJc w:val="left"/>
      <w:pPr>
        <w:ind w:left="5400" w:hanging="360"/>
      </w:pPr>
      <w:rPr>
        <w:rFonts w:ascii="Courier New" w:hAnsi="Courier New" w:cs="Courier New" w:hint="default"/>
      </w:rPr>
    </w:lvl>
    <w:lvl w:ilvl="8" w:tplc="4D9E396C" w:tentative="1">
      <w:start w:val="1"/>
      <w:numFmt w:val="bullet"/>
      <w:lvlText w:val=""/>
      <w:lvlJc w:val="left"/>
      <w:pPr>
        <w:ind w:left="6120" w:hanging="360"/>
      </w:pPr>
      <w:rPr>
        <w:rFonts w:ascii="Wingdings" w:hAnsi="Wingdings" w:hint="default"/>
      </w:rPr>
    </w:lvl>
  </w:abstractNum>
  <w:abstractNum w:abstractNumId="86" w15:restartNumberingAfterBreak="0">
    <w:nsid w:val="540C123E"/>
    <w:multiLevelType w:val="hybridMultilevel"/>
    <w:tmpl w:val="E33AA4F8"/>
    <w:lvl w:ilvl="0" w:tplc="7E0E7D9A">
      <w:start w:val="1"/>
      <w:numFmt w:val="bullet"/>
      <w:lvlText w:val="*"/>
      <w:lvlJc w:val="left"/>
      <w:pPr>
        <w:ind w:left="720" w:hanging="360"/>
      </w:pPr>
      <w:rPr>
        <w:rFonts w:ascii="Arial" w:eastAsia="Calibri" w:hAnsi="Arial" w:cs="Arial" w:hint="default"/>
      </w:rPr>
    </w:lvl>
    <w:lvl w:ilvl="1" w:tplc="219479B8" w:tentative="1">
      <w:start w:val="1"/>
      <w:numFmt w:val="bullet"/>
      <w:lvlText w:val="o"/>
      <w:lvlJc w:val="left"/>
      <w:pPr>
        <w:ind w:left="1440" w:hanging="360"/>
      </w:pPr>
      <w:rPr>
        <w:rFonts w:ascii="Courier New" w:hAnsi="Courier New" w:cs="Courier New" w:hint="default"/>
      </w:rPr>
    </w:lvl>
    <w:lvl w:ilvl="2" w:tplc="04AEE416" w:tentative="1">
      <w:start w:val="1"/>
      <w:numFmt w:val="bullet"/>
      <w:lvlText w:val=""/>
      <w:lvlJc w:val="left"/>
      <w:pPr>
        <w:ind w:left="2160" w:hanging="360"/>
      </w:pPr>
      <w:rPr>
        <w:rFonts w:ascii="Wingdings" w:hAnsi="Wingdings" w:hint="default"/>
      </w:rPr>
    </w:lvl>
    <w:lvl w:ilvl="3" w:tplc="CF3838B6" w:tentative="1">
      <w:start w:val="1"/>
      <w:numFmt w:val="bullet"/>
      <w:lvlText w:val=""/>
      <w:lvlJc w:val="left"/>
      <w:pPr>
        <w:ind w:left="2880" w:hanging="360"/>
      </w:pPr>
      <w:rPr>
        <w:rFonts w:ascii="Symbol" w:hAnsi="Symbol" w:hint="default"/>
      </w:rPr>
    </w:lvl>
    <w:lvl w:ilvl="4" w:tplc="30EAE60C" w:tentative="1">
      <w:start w:val="1"/>
      <w:numFmt w:val="bullet"/>
      <w:lvlText w:val="o"/>
      <w:lvlJc w:val="left"/>
      <w:pPr>
        <w:ind w:left="3600" w:hanging="360"/>
      </w:pPr>
      <w:rPr>
        <w:rFonts w:ascii="Courier New" w:hAnsi="Courier New" w:cs="Courier New" w:hint="default"/>
      </w:rPr>
    </w:lvl>
    <w:lvl w:ilvl="5" w:tplc="F028D258" w:tentative="1">
      <w:start w:val="1"/>
      <w:numFmt w:val="bullet"/>
      <w:lvlText w:val=""/>
      <w:lvlJc w:val="left"/>
      <w:pPr>
        <w:ind w:left="4320" w:hanging="360"/>
      </w:pPr>
      <w:rPr>
        <w:rFonts w:ascii="Wingdings" w:hAnsi="Wingdings" w:hint="default"/>
      </w:rPr>
    </w:lvl>
    <w:lvl w:ilvl="6" w:tplc="3A66D24A" w:tentative="1">
      <w:start w:val="1"/>
      <w:numFmt w:val="bullet"/>
      <w:lvlText w:val=""/>
      <w:lvlJc w:val="left"/>
      <w:pPr>
        <w:ind w:left="5040" w:hanging="360"/>
      </w:pPr>
      <w:rPr>
        <w:rFonts w:ascii="Symbol" w:hAnsi="Symbol" w:hint="default"/>
      </w:rPr>
    </w:lvl>
    <w:lvl w:ilvl="7" w:tplc="1772DE22" w:tentative="1">
      <w:start w:val="1"/>
      <w:numFmt w:val="bullet"/>
      <w:lvlText w:val="o"/>
      <w:lvlJc w:val="left"/>
      <w:pPr>
        <w:ind w:left="5760" w:hanging="360"/>
      </w:pPr>
      <w:rPr>
        <w:rFonts w:ascii="Courier New" w:hAnsi="Courier New" w:cs="Courier New" w:hint="default"/>
      </w:rPr>
    </w:lvl>
    <w:lvl w:ilvl="8" w:tplc="6CF2FC54" w:tentative="1">
      <w:start w:val="1"/>
      <w:numFmt w:val="bullet"/>
      <w:lvlText w:val=""/>
      <w:lvlJc w:val="left"/>
      <w:pPr>
        <w:ind w:left="6480" w:hanging="360"/>
      </w:pPr>
      <w:rPr>
        <w:rFonts w:ascii="Wingdings" w:hAnsi="Wingdings" w:hint="default"/>
      </w:rPr>
    </w:lvl>
  </w:abstractNum>
  <w:abstractNum w:abstractNumId="87" w15:restartNumberingAfterBreak="0">
    <w:nsid w:val="5520691B"/>
    <w:multiLevelType w:val="hybridMultilevel"/>
    <w:tmpl w:val="E026D144"/>
    <w:lvl w:ilvl="0" w:tplc="62D84D88">
      <w:start w:val="1"/>
      <w:numFmt w:val="bullet"/>
      <w:lvlText w:val=""/>
      <w:lvlJc w:val="left"/>
      <w:pPr>
        <w:ind w:left="360" w:hanging="360"/>
      </w:pPr>
      <w:rPr>
        <w:rFonts w:ascii="Symbol" w:hAnsi="Symbol" w:hint="default"/>
      </w:rPr>
    </w:lvl>
    <w:lvl w:ilvl="1" w:tplc="B4F0D204" w:tentative="1">
      <w:start w:val="1"/>
      <w:numFmt w:val="bullet"/>
      <w:lvlText w:val="o"/>
      <w:lvlJc w:val="left"/>
      <w:pPr>
        <w:ind w:left="1080" w:hanging="360"/>
      </w:pPr>
      <w:rPr>
        <w:rFonts w:ascii="Courier New" w:hAnsi="Courier New" w:cs="Courier New" w:hint="default"/>
      </w:rPr>
    </w:lvl>
    <w:lvl w:ilvl="2" w:tplc="85301906" w:tentative="1">
      <w:start w:val="1"/>
      <w:numFmt w:val="bullet"/>
      <w:lvlText w:val=""/>
      <w:lvlJc w:val="left"/>
      <w:pPr>
        <w:ind w:left="1800" w:hanging="360"/>
      </w:pPr>
      <w:rPr>
        <w:rFonts w:ascii="Wingdings" w:hAnsi="Wingdings" w:hint="default"/>
      </w:rPr>
    </w:lvl>
    <w:lvl w:ilvl="3" w:tplc="6D1C38E0" w:tentative="1">
      <w:start w:val="1"/>
      <w:numFmt w:val="bullet"/>
      <w:lvlText w:val=""/>
      <w:lvlJc w:val="left"/>
      <w:pPr>
        <w:ind w:left="2520" w:hanging="360"/>
      </w:pPr>
      <w:rPr>
        <w:rFonts w:ascii="Symbol" w:hAnsi="Symbol" w:hint="default"/>
      </w:rPr>
    </w:lvl>
    <w:lvl w:ilvl="4" w:tplc="5DFE3966" w:tentative="1">
      <w:start w:val="1"/>
      <w:numFmt w:val="bullet"/>
      <w:lvlText w:val="o"/>
      <w:lvlJc w:val="left"/>
      <w:pPr>
        <w:ind w:left="3240" w:hanging="360"/>
      </w:pPr>
      <w:rPr>
        <w:rFonts w:ascii="Courier New" w:hAnsi="Courier New" w:cs="Courier New" w:hint="default"/>
      </w:rPr>
    </w:lvl>
    <w:lvl w:ilvl="5" w:tplc="8AAEE144" w:tentative="1">
      <w:start w:val="1"/>
      <w:numFmt w:val="bullet"/>
      <w:lvlText w:val=""/>
      <w:lvlJc w:val="left"/>
      <w:pPr>
        <w:ind w:left="3960" w:hanging="360"/>
      </w:pPr>
      <w:rPr>
        <w:rFonts w:ascii="Wingdings" w:hAnsi="Wingdings" w:hint="default"/>
      </w:rPr>
    </w:lvl>
    <w:lvl w:ilvl="6" w:tplc="7ECE39F2" w:tentative="1">
      <w:start w:val="1"/>
      <w:numFmt w:val="bullet"/>
      <w:lvlText w:val=""/>
      <w:lvlJc w:val="left"/>
      <w:pPr>
        <w:ind w:left="4680" w:hanging="360"/>
      </w:pPr>
      <w:rPr>
        <w:rFonts w:ascii="Symbol" w:hAnsi="Symbol" w:hint="default"/>
      </w:rPr>
    </w:lvl>
    <w:lvl w:ilvl="7" w:tplc="5216720E" w:tentative="1">
      <w:start w:val="1"/>
      <w:numFmt w:val="bullet"/>
      <w:lvlText w:val="o"/>
      <w:lvlJc w:val="left"/>
      <w:pPr>
        <w:ind w:left="5400" w:hanging="360"/>
      </w:pPr>
      <w:rPr>
        <w:rFonts w:ascii="Courier New" w:hAnsi="Courier New" w:cs="Courier New" w:hint="default"/>
      </w:rPr>
    </w:lvl>
    <w:lvl w:ilvl="8" w:tplc="FD86B74A" w:tentative="1">
      <w:start w:val="1"/>
      <w:numFmt w:val="bullet"/>
      <w:lvlText w:val=""/>
      <w:lvlJc w:val="left"/>
      <w:pPr>
        <w:ind w:left="6120" w:hanging="360"/>
      </w:pPr>
      <w:rPr>
        <w:rFonts w:ascii="Wingdings" w:hAnsi="Wingdings" w:hint="default"/>
      </w:rPr>
    </w:lvl>
  </w:abstractNum>
  <w:abstractNum w:abstractNumId="88" w15:restartNumberingAfterBreak="0">
    <w:nsid w:val="56CE7829"/>
    <w:multiLevelType w:val="hybridMultilevel"/>
    <w:tmpl w:val="3BA6B0E6"/>
    <w:lvl w:ilvl="0" w:tplc="97FC4666">
      <w:start w:val="1"/>
      <w:numFmt w:val="bullet"/>
      <w:lvlText w:val=""/>
      <w:lvlJc w:val="left"/>
      <w:pPr>
        <w:ind w:left="720" w:hanging="360"/>
      </w:pPr>
      <w:rPr>
        <w:rFonts w:ascii="Symbol" w:hAnsi="Symbol" w:hint="default"/>
      </w:rPr>
    </w:lvl>
    <w:lvl w:ilvl="1" w:tplc="2030356A" w:tentative="1">
      <w:start w:val="1"/>
      <w:numFmt w:val="bullet"/>
      <w:lvlText w:val="o"/>
      <w:lvlJc w:val="left"/>
      <w:pPr>
        <w:ind w:left="1440" w:hanging="360"/>
      </w:pPr>
      <w:rPr>
        <w:rFonts w:ascii="Courier New" w:hAnsi="Courier New" w:cs="Courier New" w:hint="default"/>
      </w:rPr>
    </w:lvl>
    <w:lvl w:ilvl="2" w:tplc="B04009A2" w:tentative="1">
      <w:start w:val="1"/>
      <w:numFmt w:val="bullet"/>
      <w:lvlText w:val=""/>
      <w:lvlJc w:val="left"/>
      <w:pPr>
        <w:ind w:left="2160" w:hanging="360"/>
      </w:pPr>
      <w:rPr>
        <w:rFonts w:ascii="Wingdings" w:hAnsi="Wingdings" w:hint="default"/>
      </w:rPr>
    </w:lvl>
    <w:lvl w:ilvl="3" w:tplc="CA4C4332" w:tentative="1">
      <w:start w:val="1"/>
      <w:numFmt w:val="bullet"/>
      <w:lvlText w:val=""/>
      <w:lvlJc w:val="left"/>
      <w:pPr>
        <w:ind w:left="2880" w:hanging="360"/>
      </w:pPr>
      <w:rPr>
        <w:rFonts w:ascii="Symbol" w:hAnsi="Symbol" w:hint="default"/>
      </w:rPr>
    </w:lvl>
    <w:lvl w:ilvl="4" w:tplc="4FAC0358" w:tentative="1">
      <w:start w:val="1"/>
      <w:numFmt w:val="bullet"/>
      <w:lvlText w:val="o"/>
      <w:lvlJc w:val="left"/>
      <w:pPr>
        <w:ind w:left="3600" w:hanging="360"/>
      </w:pPr>
      <w:rPr>
        <w:rFonts w:ascii="Courier New" w:hAnsi="Courier New" w:cs="Courier New" w:hint="default"/>
      </w:rPr>
    </w:lvl>
    <w:lvl w:ilvl="5" w:tplc="C3286CB4" w:tentative="1">
      <w:start w:val="1"/>
      <w:numFmt w:val="bullet"/>
      <w:lvlText w:val=""/>
      <w:lvlJc w:val="left"/>
      <w:pPr>
        <w:ind w:left="4320" w:hanging="360"/>
      </w:pPr>
      <w:rPr>
        <w:rFonts w:ascii="Wingdings" w:hAnsi="Wingdings" w:hint="default"/>
      </w:rPr>
    </w:lvl>
    <w:lvl w:ilvl="6" w:tplc="CD501672" w:tentative="1">
      <w:start w:val="1"/>
      <w:numFmt w:val="bullet"/>
      <w:lvlText w:val=""/>
      <w:lvlJc w:val="left"/>
      <w:pPr>
        <w:ind w:left="5040" w:hanging="360"/>
      </w:pPr>
      <w:rPr>
        <w:rFonts w:ascii="Symbol" w:hAnsi="Symbol" w:hint="default"/>
      </w:rPr>
    </w:lvl>
    <w:lvl w:ilvl="7" w:tplc="55C28194" w:tentative="1">
      <w:start w:val="1"/>
      <w:numFmt w:val="bullet"/>
      <w:lvlText w:val="o"/>
      <w:lvlJc w:val="left"/>
      <w:pPr>
        <w:ind w:left="5760" w:hanging="360"/>
      </w:pPr>
      <w:rPr>
        <w:rFonts w:ascii="Courier New" w:hAnsi="Courier New" w:cs="Courier New" w:hint="default"/>
      </w:rPr>
    </w:lvl>
    <w:lvl w:ilvl="8" w:tplc="83E0D118" w:tentative="1">
      <w:start w:val="1"/>
      <w:numFmt w:val="bullet"/>
      <w:lvlText w:val=""/>
      <w:lvlJc w:val="left"/>
      <w:pPr>
        <w:ind w:left="6480" w:hanging="360"/>
      </w:pPr>
      <w:rPr>
        <w:rFonts w:ascii="Wingdings" w:hAnsi="Wingdings" w:hint="default"/>
      </w:rPr>
    </w:lvl>
  </w:abstractNum>
  <w:abstractNum w:abstractNumId="89" w15:restartNumberingAfterBreak="0">
    <w:nsid w:val="57E06B50"/>
    <w:multiLevelType w:val="hybridMultilevel"/>
    <w:tmpl w:val="676283FA"/>
    <w:lvl w:ilvl="0" w:tplc="BB2ABFC6">
      <w:start w:val="1"/>
      <w:numFmt w:val="bullet"/>
      <w:lvlText w:val=""/>
      <w:lvlJc w:val="left"/>
      <w:pPr>
        <w:ind w:left="720" w:hanging="360"/>
      </w:pPr>
      <w:rPr>
        <w:rFonts w:ascii="Symbol" w:hAnsi="Symbol" w:hint="default"/>
      </w:rPr>
    </w:lvl>
    <w:lvl w:ilvl="1" w:tplc="C5C0D7A2">
      <w:start w:val="1"/>
      <w:numFmt w:val="bullet"/>
      <w:lvlText w:val="o"/>
      <w:lvlJc w:val="left"/>
      <w:pPr>
        <w:ind w:left="1440" w:hanging="360"/>
      </w:pPr>
      <w:rPr>
        <w:rFonts w:ascii="Courier New" w:hAnsi="Courier New" w:cs="Courier New" w:hint="default"/>
      </w:rPr>
    </w:lvl>
    <w:lvl w:ilvl="2" w:tplc="E904D934">
      <w:start w:val="1"/>
      <w:numFmt w:val="bullet"/>
      <w:lvlText w:val=""/>
      <w:lvlJc w:val="left"/>
      <w:pPr>
        <w:ind w:left="2160" w:hanging="360"/>
      </w:pPr>
      <w:rPr>
        <w:rFonts w:ascii="Wingdings" w:hAnsi="Wingdings" w:hint="default"/>
      </w:rPr>
    </w:lvl>
    <w:lvl w:ilvl="3" w:tplc="5FCA4C66">
      <w:start w:val="1"/>
      <w:numFmt w:val="bullet"/>
      <w:lvlText w:val=""/>
      <w:lvlJc w:val="left"/>
      <w:pPr>
        <w:ind w:left="2880" w:hanging="360"/>
      </w:pPr>
      <w:rPr>
        <w:rFonts w:ascii="Symbol" w:hAnsi="Symbol" w:hint="default"/>
      </w:rPr>
    </w:lvl>
    <w:lvl w:ilvl="4" w:tplc="5514398C">
      <w:start w:val="1"/>
      <w:numFmt w:val="bullet"/>
      <w:lvlText w:val="o"/>
      <w:lvlJc w:val="left"/>
      <w:pPr>
        <w:ind w:left="3600" w:hanging="360"/>
      </w:pPr>
      <w:rPr>
        <w:rFonts w:ascii="Courier New" w:hAnsi="Courier New" w:cs="Courier New" w:hint="default"/>
      </w:rPr>
    </w:lvl>
    <w:lvl w:ilvl="5" w:tplc="05F6301C">
      <w:start w:val="1"/>
      <w:numFmt w:val="bullet"/>
      <w:lvlText w:val=""/>
      <w:lvlJc w:val="left"/>
      <w:pPr>
        <w:ind w:left="4320" w:hanging="360"/>
      </w:pPr>
      <w:rPr>
        <w:rFonts w:ascii="Wingdings" w:hAnsi="Wingdings" w:hint="default"/>
      </w:rPr>
    </w:lvl>
    <w:lvl w:ilvl="6" w:tplc="2D626D9E">
      <w:start w:val="1"/>
      <w:numFmt w:val="bullet"/>
      <w:lvlText w:val=""/>
      <w:lvlJc w:val="left"/>
      <w:pPr>
        <w:ind w:left="5040" w:hanging="360"/>
      </w:pPr>
      <w:rPr>
        <w:rFonts w:ascii="Symbol" w:hAnsi="Symbol" w:hint="default"/>
      </w:rPr>
    </w:lvl>
    <w:lvl w:ilvl="7" w:tplc="DEA4CA10">
      <w:start w:val="1"/>
      <w:numFmt w:val="bullet"/>
      <w:lvlText w:val="o"/>
      <w:lvlJc w:val="left"/>
      <w:pPr>
        <w:ind w:left="5760" w:hanging="360"/>
      </w:pPr>
      <w:rPr>
        <w:rFonts w:ascii="Courier New" w:hAnsi="Courier New" w:cs="Courier New" w:hint="default"/>
      </w:rPr>
    </w:lvl>
    <w:lvl w:ilvl="8" w:tplc="54548A82">
      <w:start w:val="1"/>
      <w:numFmt w:val="bullet"/>
      <w:lvlText w:val=""/>
      <w:lvlJc w:val="left"/>
      <w:pPr>
        <w:ind w:left="6480" w:hanging="360"/>
      </w:pPr>
      <w:rPr>
        <w:rFonts w:ascii="Wingdings" w:hAnsi="Wingdings" w:hint="default"/>
      </w:rPr>
    </w:lvl>
  </w:abstractNum>
  <w:abstractNum w:abstractNumId="90" w15:restartNumberingAfterBreak="0">
    <w:nsid w:val="588F1BC5"/>
    <w:multiLevelType w:val="hybridMultilevel"/>
    <w:tmpl w:val="FDC06F5A"/>
    <w:lvl w:ilvl="0" w:tplc="9D624E96">
      <w:numFmt w:val="bullet"/>
      <w:lvlText w:val="•"/>
      <w:lvlJc w:val="left"/>
      <w:pPr>
        <w:ind w:left="589" w:hanging="152"/>
      </w:pPr>
      <w:rPr>
        <w:rFonts w:ascii="Arial" w:eastAsia="Arial" w:hAnsi="Arial" w:cs="Arial" w:hint="default"/>
        <w:spacing w:val="-3"/>
        <w:w w:val="100"/>
        <w:sz w:val="24"/>
        <w:szCs w:val="24"/>
        <w:lang w:val="en-GB" w:eastAsia="en-GB" w:bidi="en-GB"/>
      </w:rPr>
    </w:lvl>
    <w:lvl w:ilvl="1" w:tplc="69A2016A">
      <w:numFmt w:val="bullet"/>
      <w:lvlText w:val="•"/>
      <w:lvlJc w:val="left"/>
      <w:pPr>
        <w:ind w:left="2099" w:hanging="152"/>
      </w:pPr>
      <w:rPr>
        <w:rFonts w:hint="default"/>
        <w:lang w:val="en-GB" w:eastAsia="en-GB" w:bidi="en-GB"/>
      </w:rPr>
    </w:lvl>
    <w:lvl w:ilvl="2" w:tplc="A74CA912">
      <w:numFmt w:val="bullet"/>
      <w:lvlText w:val="•"/>
      <w:lvlJc w:val="left"/>
      <w:pPr>
        <w:ind w:left="3619" w:hanging="152"/>
      </w:pPr>
      <w:rPr>
        <w:rFonts w:hint="default"/>
        <w:lang w:val="en-GB" w:eastAsia="en-GB" w:bidi="en-GB"/>
      </w:rPr>
    </w:lvl>
    <w:lvl w:ilvl="3" w:tplc="B9081936">
      <w:numFmt w:val="bullet"/>
      <w:lvlText w:val="•"/>
      <w:lvlJc w:val="left"/>
      <w:pPr>
        <w:ind w:left="5139" w:hanging="152"/>
      </w:pPr>
      <w:rPr>
        <w:rFonts w:hint="default"/>
        <w:lang w:val="en-GB" w:eastAsia="en-GB" w:bidi="en-GB"/>
      </w:rPr>
    </w:lvl>
    <w:lvl w:ilvl="4" w:tplc="7A7A0A84">
      <w:numFmt w:val="bullet"/>
      <w:lvlText w:val="•"/>
      <w:lvlJc w:val="left"/>
      <w:pPr>
        <w:ind w:left="6659" w:hanging="152"/>
      </w:pPr>
      <w:rPr>
        <w:rFonts w:hint="default"/>
        <w:lang w:val="en-GB" w:eastAsia="en-GB" w:bidi="en-GB"/>
      </w:rPr>
    </w:lvl>
    <w:lvl w:ilvl="5" w:tplc="B764F732">
      <w:numFmt w:val="bullet"/>
      <w:lvlText w:val="•"/>
      <w:lvlJc w:val="left"/>
      <w:pPr>
        <w:ind w:left="8179" w:hanging="152"/>
      </w:pPr>
      <w:rPr>
        <w:rFonts w:hint="default"/>
        <w:lang w:val="en-GB" w:eastAsia="en-GB" w:bidi="en-GB"/>
      </w:rPr>
    </w:lvl>
    <w:lvl w:ilvl="6" w:tplc="017089F4">
      <w:numFmt w:val="bullet"/>
      <w:lvlText w:val="•"/>
      <w:lvlJc w:val="left"/>
      <w:pPr>
        <w:ind w:left="9699" w:hanging="152"/>
      </w:pPr>
      <w:rPr>
        <w:rFonts w:hint="default"/>
        <w:lang w:val="en-GB" w:eastAsia="en-GB" w:bidi="en-GB"/>
      </w:rPr>
    </w:lvl>
    <w:lvl w:ilvl="7" w:tplc="FB245FD0">
      <w:numFmt w:val="bullet"/>
      <w:lvlText w:val="•"/>
      <w:lvlJc w:val="left"/>
      <w:pPr>
        <w:ind w:left="11218" w:hanging="152"/>
      </w:pPr>
      <w:rPr>
        <w:rFonts w:hint="default"/>
        <w:lang w:val="en-GB" w:eastAsia="en-GB" w:bidi="en-GB"/>
      </w:rPr>
    </w:lvl>
    <w:lvl w:ilvl="8" w:tplc="1A50E1F8">
      <w:numFmt w:val="bullet"/>
      <w:lvlText w:val="•"/>
      <w:lvlJc w:val="left"/>
      <w:pPr>
        <w:ind w:left="12738" w:hanging="152"/>
      </w:pPr>
      <w:rPr>
        <w:rFonts w:hint="default"/>
        <w:lang w:val="en-GB" w:eastAsia="en-GB" w:bidi="en-GB"/>
      </w:rPr>
    </w:lvl>
  </w:abstractNum>
  <w:abstractNum w:abstractNumId="91" w15:restartNumberingAfterBreak="0">
    <w:nsid w:val="58A87E53"/>
    <w:multiLevelType w:val="hybridMultilevel"/>
    <w:tmpl w:val="A95CCEC4"/>
    <w:lvl w:ilvl="0" w:tplc="B6DEF75A">
      <w:start w:val="1"/>
      <w:numFmt w:val="bullet"/>
      <w:lvlText w:val=""/>
      <w:lvlJc w:val="left"/>
      <w:pPr>
        <w:ind w:left="720" w:hanging="360"/>
      </w:pPr>
      <w:rPr>
        <w:rFonts w:ascii="Symbol" w:hAnsi="Symbol" w:hint="default"/>
      </w:rPr>
    </w:lvl>
    <w:lvl w:ilvl="1" w:tplc="F21A86C0">
      <w:start w:val="1"/>
      <w:numFmt w:val="bullet"/>
      <w:lvlText w:val="o"/>
      <w:lvlJc w:val="left"/>
      <w:pPr>
        <w:ind w:left="1440" w:hanging="360"/>
      </w:pPr>
      <w:rPr>
        <w:rFonts w:ascii="Courier New" w:hAnsi="Courier New" w:cs="Courier New" w:hint="default"/>
      </w:rPr>
    </w:lvl>
    <w:lvl w:ilvl="2" w:tplc="07E67130">
      <w:start w:val="1"/>
      <w:numFmt w:val="bullet"/>
      <w:lvlText w:val=""/>
      <w:lvlJc w:val="left"/>
      <w:pPr>
        <w:ind w:left="2160" w:hanging="360"/>
      </w:pPr>
      <w:rPr>
        <w:rFonts w:ascii="Wingdings" w:hAnsi="Wingdings" w:hint="default"/>
      </w:rPr>
    </w:lvl>
    <w:lvl w:ilvl="3" w:tplc="C5D05ACC">
      <w:start w:val="1"/>
      <w:numFmt w:val="bullet"/>
      <w:lvlText w:val=""/>
      <w:lvlJc w:val="left"/>
      <w:pPr>
        <w:ind w:left="2880" w:hanging="360"/>
      </w:pPr>
      <w:rPr>
        <w:rFonts w:ascii="Symbol" w:hAnsi="Symbol" w:hint="default"/>
      </w:rPr>
    </w:lvl>
    <w:lvl w:ilvl="4" w:tplc="B30EAFC0">
      <w:start w:val="1"/>
      <w:numFmt w:val="bullet"/>
      <w:lvlText w:val="o"/>
      <w:lvlJc w:val="left"/>
      <w:pPr>
        <w:ind w:left="3600" w:hanging="360"/>
      </w:pPr>
      <w:rPr>
        <w:rFonts w:ascii="Courier New" w:hAnsi="Courier New" w:cs="Courier New" w:hint="default"/>
      </w:rPr>
    </w:lvl>
    <w:lvl w:ilvl="5" w:tplc="DC08C392">
      <w:start w:val="1"/>
      <w:numFmt w:val="bullet"/>
      <w:lvlText w:val=""/>
      <w:lvlJc w:val="left"/>
      <w:pPr>
        <w:ind w:left="4320" w:hanging="360"/>
      </w:pPr>
      <w:rPr>
        <w:rFonts w:ascii="Wingdings" w:hAnsi="Wingdings" w:hint="default"/>
      </w:rPr>
    </w:lvl>
    <w:lvl w:ilvl="6" w:tplc="62968A82">
      <w:start w:val="1"/>
      <w:numFmt w:val="bullet"/>
      <w:lvlText w:val=""/>
      <w:lvlJc w:val="left"/>
      <w:pPr>
        <w:ind w:left="5040" w:hanging="360"/>
      </w:pPr>
      <w:rPr>
        <w:rFonts w:ascii="Symbol" w:hAnsi="Symbol" w:hint="default"/>
      </w:rPr>
    </w:lvl>
    <w:lvl w:ilvl="7" w:tplc="3086F620">
      <w:start w:val="1"/>
      <w:numFmt w:val="bullet"/>
      <w:lvlText w:val="o"/>
      <w:lvlJc w:val="left"/>
      <w:pPr>
        <w:ind w:left="5760" w:hanging="360"/>
      </w:pPr>
      <w:rPr>
        <w:rFonts w:ascii="Courier New" w:hAnsi="Courier New" w:cs="Courier New" w:hint="default"/>
      </w:rPr>
    </w:lvl>
    <w:lvl w:ilvl="8" w:tplc="DCBE0F5C">
      <w:start w:val="1"/>
      <w:numFmt w:val="bullet"/>
      <w:lvlText w:val=""/>
      <w:lvlJc w:val="left"/>
      <w:pPr>
        <w:ind w:left="6480" w:hanging="360"/>
      </w:pPr>
      <w:rPr>
        <w:rFonts w:ascii="Wingdings" w:hAnsi="Wingdings" w:hint="default"/>
      </w:rPr>
    </w:lvl>
  </w:abstractNum>
  <w:abstractNum w:abstractNumId="92" w15:restartNumberingAfterBreak="0">
    <w:nsid w:val="59B11888"/>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5B895DC2"/>
    <w:multiLevelType w:val="multilevel"/>
    <w:tmpl w:val="FA423EC6"/>
    <w:lvl w:ilvl="0">
      <w:start w:val="1"/>
      <w:numFmt w:val="decimal"/>
      <w:lvlText w:val="%1."/>
      <w:lvlJc w:val="left"/>
      <w:pPr>
        <w:ind w:left="360" w:hanging="360"/>
      </w:pPr>
      <w:rPr>
        <w:rFonts w:hint="default"/>
      </w:rPr>
    </w:lvl>
    <w:lvl w:ilvl="1">
      <w:start w:val="1"/>
      <w:numFmt w:val="decimal"/>
      <w:lvlText w:val="%1.%2."/>
      <w:lvlJc w:val="left"/>
      <w:pPr>
        <w:ind w:left="792" w:hanging="432"/>
      </w:pPr>
      <w:rPr>
        <w:b w:val="0"/>
        <w:i w: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5DA2507E"/>
    <w:multiLevelType w:val="hybridMultilevel"/>
    <w:tmpl w:val="D8CE0DEE"/>
    <w:lvl w:ilvl="0" w:tplc="415024B0">
      <w:start w:val="1"/>
      <w:numFmt w:val="decimal"/>
      <w:lvlText w:val="(%1)"/>
      <w:lvlJc w:val="left"/>
      <w:pPr>
        <w:ind w:left="720" w:hanging="360"/>
      </w:pPr>
      <w:rPr>
        <w:rFonts w:hint="default"/>
      </w:rPr>
    </w:lvl>
    <w:lvl w:ilvl="1" w:tplc="DA522D46" w:tentative="1">
      <w:start w:val="1"/>
      <w:numFmt w:val="lowerLetter"/>
      <w:lvlText w:val="%2."/>
      <w:lvlJc w:val="left"/>
      <w:pPr>
        <w:ind w:left="1440" w:hanging="360"/>
      </w:pPr>
    </w:lvl>
    <w:lvl w:ilvl="2" w:tplc="545A6EA8" w:tentative="1">
      <w:start w:val="1"/>
      <w:numFmt w:val="lowerRoman"/>
      <w:lvlText w:val="%3."/>
      <w:lvlJc w:val="right"/>
      <w:pPr>
        <w:ind w:left="2160" w:hanging="180"/>
      </w:pPr>
    </w:lvl>
    <w:lvl w:ilvl="3" w:tplc="951031C2" w:tentative="1">
      <w:start w:val="1"/>
      <w:numFmt w:val="decimal"/>
      <w:lvlText w:val="%4."/>
      <w:lvlJc w:val="left"/>
      <w:pPr>
        <w:ind w:left="2880" w:hanging="360"/>
      </w:pPr>
    </w:lvl>
    <w:lvl w:ilvl="4" w:tplc="6BD40534" w:tentative="1">
      <w:start w:val="1"/>
      <w:numFmt w:val="lowerLetter"/>
      <w:lvlText w:val="%5."/>
      <w:lvlJc w:val="left"/>
      <w:pPr>
        <w:ind w:left="3600" w:hanging="360"/>
      </w:pPr>
    </w:lvl>
    <w:lvl w:ilvl="5" w:tplc="0444ED6C" w:tentative="1">
      <w:start w:val="1"/>
      <w:numFmt w:val="lowerRoman"/>
      <w:lvlText w:val="%6."/>
      <w:lvlJc w:val="right"/>
      <w:pPr>
        <w:ind w:left="4320" w:hanging="180"/>
      </w:pPr>
    </w:lvl>
    <w:lvl w:ilvl="6" w:tplc="D7A43312" w:tentative="1">
      <w:start w:val="1"/>
      <w:numFmt w:val="decimal"/>
      <w:lvlText w:val="%7."/>
      <w:lvlJc w:val="left"/>
      <w:pPr>
        <w:ind w:left="5040" w:hanging="360"/>
      </w:pPr>
    </w:lvl>
    <w:lvl w:ilvl="7" w:tplc="B7F6E2CA" w:tentative="1">
      <w:start w:val="1"/>
      <w:numFmt w:val="lowerLetter"/>
      <w:lvlText w:val="%8."/>
      <w:lvlJc w:val="left"/>
      <w:pPr>
        <w:ind w:left="5760" w:hanging="360"/>
      </w:pPr>
    </w:lvl>
    <w:lvl w:ilvl="8" w:tplc="02FCCF0A" w:tentative="1">
      <w:start w:val="1"/>
      <w:numFmt w:val="lowerRoman"/>
      <w:lvlText w:val="%9."/>
      <w:lvlJc w:val="right"/>
      <w:pPr>
        <w:ind w:left="6480" w:hanging="180"/>
      </w:pPr>
    </w:lvl>
  </w:abstractNum>
  <w:abstractNum w:abstractNumId="95" w15:restartNumberingAfterBreak="0">
    <w:nsid w:val="5DA53F30"/>
    <w:multiLevelType w:val="hybridMultilevel"/>
    <w:tmpl w:val="E58E1726"/>
    <w:lvl w:ilvl="0" w:tplc="62003972">
      <w:start w:val="1"/>
      <w:numFmt w:val="bullet"/>
      <w:lvlText w:val=""/>
      <w:lvlJc w:val="left"/>
      <w:pPr>
        <w:ind w:left="720" w:hanging="360"/>
      </w:pPr>
      <w:rPr>
        <w:rFonts w:ascii="Symbol" w:hAnsi="Symbol" w:hint="default"/>
      </w:rPr>
    </w:lvl>
    <w:lvl w:ilvl="1" w:tplc="35F8EB2E" w:tentative="1">
      <w:start w:val="1"/>
      <w:numFmt w:val="bullet"/>
      <w:lvlText w:val="o"/>
      <w:lvlJc w:val="left"/>
      <w:pPr>
        <w:ind w:left="1440" w:hanging="360"/>
      </w:pPr>
      <w:rPr>
        <w:rFonts w:ascii="Courier New" w:hAnsi="Courier New" w:cs="Courier New" w:hint="default"/>
      </w:rPr>
    </w:lvl>
    <w:lvl w:ilvl="2" w:tplc="FB58ED28" w:tentative="1">
      <w:start w:val="1"/>
      <w:numFmt w:val="bullet"/>
      <w:lvlText w:val=""/>
      <w:lvlJc w:val="left"/>
      <w:pPr>
        <w:ind w:left="2160" w:hanging="360"/>
      </w:pPr>
      <w:rPr>
        <w:rFonts w:ascii="Wingdings" w:hAnsi="Wingdings" w:hint="default"/>
      </w:rPr>
    </w:lvl>
    <w:lvl w:ilvl="3" w:tplc="B770BDBC" w:tentative="1">
      <w:start w:val="1"/>
      <w:numFmt w:val="bullet"/>
      <w:lvlText w:val=""/>
      <w:lvlJc w:val="left"/>
      <w:pPr>
        <w:ind w:left="2880" w:hanging="360"/>
      </w:pPr>
      <w:rPr>
        <w:rFonts w:ascii="Symbol" w:hAnsi="Symbol" w:hint="default"/>
      </w:rPr>
    </w:lvl>
    <w:lvl w:ilvl="4" w:tplc="8C48279C" w:tentative="1">
      <w:start w:val="1"/>
      <w:numFmt w:val="bullet"/>
      <w:lvlText w:val="o"/>
      <w:lvlJc w:val="left"/>
      <w:pPr>
        <w:ind w:left="3600" w:hanging="360"/>
      </w:pPr>
      <w:rPr>
        <w:rFonts w:ascii="Courier New" w:hAnsi="Courier New" w:cs="Courier New" w:hint="default"/>
      </w:rPr>
    </w:lvl>
    <w:lvl w:ilvl="5" w:tplc="122C8488" w:tentative="1">
      <w:start w:val="1"/>
      <w:numFmt w:val="bullet"/>
      <w:lvlText w:val=""/>
      <w:lvlJc w:val="left"/>
      <w:pPr>
        <w:ind w:left="4320" w:hanging="360"/>
      </w:pPr>
      <w:rPr>
        <w:rFonts w:ascii="Wingdings" w:hAnsi="Wingdings" w:hint="default"/>
      </w:rPr>
    </w:lvl>
    <w:lvl w:ilvl="6" w:tplc="D9C4D6DA" w:tentative="1">
      <w:start w:val="1"/>
      <w:numFmt w:val="bullet"/>
      <w:lvlText w:val=""/>
      <w:lvlJc w:val="left"/>
      <w:pPr>
        <w:ind w:left="5040" w:hanging="360"/>
      </w:pPr>
      <w:rPr>
        <w:rFonts w:ascii="Symbol" w:hAnsi="Symbol" w:hint="default"/>
      </w:rPr>
    </w:lvl>
    <w:lvl w:ilvl="7" w:tplc="FF4007EA" w:tentative="1">
      <w:start w:val="1"/>
      <w:numFmt w:val="bullet"/>
      <w:lvlText w:val="o"/>
      <w:lvlJc w:val="left"/>
      <w:pPr>
        <w:ind w:left="5760" w:hanging="360"/>
      </w:pPr>
      <w:rPr>
        <w:rFonts w:ascii="Courier New" w:hAnsi="Courier New" w:cs="Courier New" w:hint="default"/>
      </w:rPr>
    </w:lvl>
    <w:lvl w:ilvl="8" w:tplc="FAB245D4" w:tentative="1">
      <w:start w:val="1"/>
      <w:numFmt w:val="bullet"/>
      <w:lvlText w:val=""/>
      <w:lvlJc w:val="left"/>
      <w:pPr>
        <w:ind w:left="6480" w:hanging="360"/>
      </w:pPr>
      <w:rPr>
        <w:rFonts w:ascii="Wingdings" w:hAnsi="Wingdings" w:hint="default"/>
      </w:rPr>
    </w:lvl>
  </w:abstractNum>
  <w:abstractNum w:abstractNumId="96" w15:restartNumberingAfterBreak="0">
    <w:nsid w:val="5F714EE5"/>
    <w:multiLevelType w:val="hybridMultilevel"/>
    <w:tmpl w:val="C4D6E37C"/>
    <w:lvl w:ilvl="0" w:tplc="F73A320A">
      <w:start w:val="1"/>
      <w:numFmt w:val="bullet"/>
      <w:lvlText w:val=""/>
      <w:lvlJc w:val="left"/>
      <w:pPr>
        <w:ind w:left="720" w:hanging="360"/>
      </w:pPr>
      <w:rPr>
        <w:rFonts w:ascii="Symbol" w:hAnsi="Symbol" w:hint="default"/>
      </w:rPr>
    </w:lvl>
    <w:lvl w:ilvl="1" w:tplc="23C80C6A" w:tentative="1">
      <w:start w:val="1"/>
      <w:numFmt w:val="bullet"/>
      <w:lvlText w:val="o"/>
      <w:lvlJc w:val="left"/>
      <w:pPr>
        <w:ind w:left="1440" w:hanging="360"/>
      </w:pPr>
      <w:rPr>
        <w:rFonts w:ascii="Courier New" w:hAnsi="Courier New" w:cs="Courier New" w:hint="default"/>
      </w:rPr>
    </w:lvl>
    <w:lvl w:ilvl="2" w:tplc="B3D20916" w:tentative="1">
      <w:start w:val="1"/>
      <w:numFmt w:val="bullet"/>
      <w:lvlText w:val=""/>
      <w:lvlJc w:val="left"/>
      <w:pPr>
        <w:ind w:left="2160" w:hanging="360"/>
      </w:pPr>
      <w:rPr>
        <w:rFonts w:ascii="Wingdings" w:hAnsi="Wingdings" w:hint="default"/>
      </w:rPr>
    </w:lvl>
    <w:lvl w:ilvl="3" w:tplc="1020E572" w:tentative="1">
      <w:start w:val="1"/>
      <w:numFmt w:val="bullet"/>
      <w:lvlText w:val=""/>
      <w:lvlJc w:val="left"/>
      <w:pPr>
        <w:ind w:left="2880" w:hanging="360"/>
      </w:pPr>
      <w:rPr>
        <w:rFonts w:ascii="Symbol" w:hAnsi="Symbol" w:hint="default"/>
      </w:rPr>
    </w:lvl>
    <w:lvl w:ilvl="4" w:tplc="F4921170" w:tentative="1">
      <w:start w:val="1"/>
      <w:numFmt w:val="bullet"/>
      <w:lvlText w:val="o"/>
      <w:lvlJc w:val="left"/>
      <w:pPr>
        <w:ind w:left="3600" w:hanging="360"/>
      </w:pPr>
      <w:rPr>
        <w:rFonts w:ascii="Courier New" w:hAnsi="Courier New" w:cs="Courier New" w:hint="default"/>
      </w:rPr>
    </w:lvl>
    <w:lvl w:ilvl="5" w:tplc="7C7AC068" w:tentative="1">
      <w:start w:val="1"/>
      <w:numFmt w:val="bullet"/>
      <w:lvlText w:val=""/>
      <w:lvlJc w:val="left"/>
      <w:pPr>
        <w:ind w:left="4320" w:hanging="360"/>
      </w:pPr>
      <w:rPr>
        <w:rFonts w:ascii="Wingdings" w:hAnsi="Wingdings" w:hint="default"/>
      </w:rPr>
    </w:lvl>
    <w:lvl w:ilvl="6" w:tplc="DDDE380A" w:tentative="1">
      <w:start w:val="1"/>
      <w:numFmt w:val="bullet"/>
      <w:lvlText w:val=""/>
      <w:lvlJc w:val="left"/>
      <w:pPr>
        <w:ind w:left="5040" w:hanging="360"/>
      </w:pPr>
      <w:rPr>
        <w:rFonts w:ascii="Symbol" w:hAnsi="Symbol" w:hint="default"/>
      </w:rPr>
    </w:lvl>
    <w:lvl w:ilvl="7" w:tplc="52EEE372" w:tentative="1">
      <w:start w:val="1"/>
      <w:numFmt w:val="bullet"/>
      <w:lvlText w:val="o"/>
      <w:lvlJc w:val="left"/>
      <w:pPr>
        <w:ind w:left="5760" w:hanging="360"/>
      </w:pPr>
      <w:rPr>
        <w:rFonts w:ascii="Courier New" w:hAnsi="Courier New" w:cs="Courier New" w:hint="default"/>
      </w:rPr>
    </w:lvl>
    <w:lvl w:ilvl="8" w:tplc="1E04C57A" w:tentative="1">
      <w:start w:val="1"/>
      <w:numFmt w:val="bullet"/>
      <w:lvlText w:val=""/>
      <w:lvlJc w:val="left"/>
      <w:pPr>
        <w:ind w:left="6480" w:hanging="360"/>
      </w:pPr>
      <w:rPr>
        <w:rFonts w:ascii="Wingdings" w:hAnsi="Wingdings" w:hint="default"/>
      </w:rPr>
    </w:lvl>
  </w:abstractNum>
  <w:abstractNum w:abstractNumId="97" w15:restartNumberingAfterBreak="0">
    <w:nsid w:val="5FA04B47"/>
    <w:multiLevelType w:val="hybridMultilevel"/>
    <w:tmpl w:val="AABED940"/>
    <w:lvl w:ilvl="0" w:tplc="587C08CE">
      <w:start w:val="1"/>
      <w:numFmt w:val="decimal"/>
      <w:lvlText w:val="%1."/>
      <w:lvlJc w:val="left"/>
      <w:pPr>
        <w:ind w:left="720" w:hanging="360"/>
      </w:pPr>
      <w:rPr>
        <w:rFonts w:hint="default"/>
      </w:rPr>
    </w:lvl>
    <w:lvl w:ilvl="1" w:tplc="3438C31A" w:tentative="1">
      <w:start w:val="1"/>
      <w:numFmt w:val="lowerLetter"/>
      <w:lvlText w:val="%2."/>
      <w:lvlJc w:val="left"/>
      <w:pPr>
        <w:ind w:left="1440" w:hanging="360"/>
      </w:pPr>
    </w:lvl>
    <w:lvl w:ilvl="2" w:tplc="4322F268" w:tentative="1">
      <w:start w:val="1"/>
      <w:numFmt w:val="lowerRoman"/>
      <w:lvlText w:val="%3."/>
      <w:lvlJc w:val="right"/>
      <w:pPr>
        <w:ind w:left="2160" w:hanging="180"/>
      </w:pPr>
    </w:lvl>
    <w:lvl w:ilvl="3" w:tplc="0B6C9506" w:tentative="1">
      <w:start w:val="1"/>
      <w:numFmt w:val="decimal"/>
      <w:lvlText w:val="%4."/>
      <w:lvlJc w:val="left"/>
      <w:pPr>
        <w:ind w:left="2880" w:hanging="360"/>
      </w:pPr>
    </w:lvl>
    <w:lvl w:ilvl="4" w:tplc="9AE61AB6" w:tentative="1">
      <w:start w:val="1"/>
      <w:numFmt w:val="lowerLetter"/>
      <w:lvlText w:val="%5."/>
      <w:lvlJc w:val="left"/>
      <w:pPr>
        <w:ind w:left="3600" w:hanging="360"/>
      </w:pPr>
    </w:lvl>
    <w:lvl w:ilvl="5" w:tplc="0A70A69A" w:tentative="1">
      <w:start w:val="1"/>
      <w:numFmt w:val="lowerRoman"/>
      <w:lvlText w:val="%6."/>
      <w:lvlJc w:val="right"/>
      <w:pPr>
        <w:ind w:left="4320" w:hanging="180"/>
      </w:pPr>
    </w:lvl>
    <w:lvl w:ilvl="6" w:tplc="E982D41E" w:tentative="1">
      <w:start w:val="1"/>
      <w:numFmt w:val="decimal"/>
      <w:lvlText w:val="%7."/>
      <w:lvlJc w:val="left"/>
      <w:pPr>
        <w:ind w:left="5040" w:hanging="360"/>
      </w:pPr>
    </w:lvl>
    <w:lvl w:ilvl="7" w:tplc="289E99A6" w:tentative="1">
      <w:start w:val="1"/>
      <w:numFmt w:val="lowerLetter"/>
      <w:lvlText w:val="%8."/>
      <w:lvlJc w:val="left"/>
      <w:pPr>
        <w:ind w:left="5760" w:hanging="360"/>
      </w:pPr>
    </w:lvl>
    <w:lvl w:ilvl="8" w:tplc="20C0BA0E" w:tentative="1">
      <w:start w:val="1"/>
      <w:numFmt w:val="lowerRoman"/>
      <w:lvlText w:val="%9."/>
      <w:lvlJc w:val="right"/>
      <w:pPr>
        <w:ind w:left="6480" w:hanging="180"/>
      </w:pPr>
    </w:lvl>
  </w:abstractNum>
  <w:abstractNum w:abstractNumId="98" w15:restartNumberingAfterBreak="0">
    <w:nsid w:val="5FC30BDD"/>
    <w:multiLevelType w:val="hybridMultilevel"/>
    <w:tmpl w:val="B6045D34"/>
    <w:lvl w:ilvl="0" w:tplc="63B8F1EE">
      <w:start w:val="1"/>
      <w:numFmt w:val="bullet"/>
      <w:lvlText w:val=""/>
      <w:lvlJc w:val="left"/>
      <w:pPr>
        <w:ind w:left="720" w:hanging="360"/>
      </w:pPr>
      <w:rPr>
        <w:rFonts w:ascii="Symbol" w:hAnsi="Symbol" w:hint="default"/>
      </w:rPr>
    </w:lvl>
    <w:lvl w:ilvl="1" w:tplc="C9AA0B00">
      <w:start w:val="1"/>
      <w:numFmt w:val="bullet"/>
      <w:lvlText w:val="o"/>
      <w:lvlJc w:val="left"/>
      <w:pPr>
        <w:ind w:left="1440" w:hanging="360"/>
      </w:pPr>
      <w:rPr>
        <w:rFonts w:ascii="Courier New" w:hAnsi="Courier New" w:cs="Courier New" w:hint="default"/>
      </w:rPr>
    </w:lvl>
    <w:lvl w:ilvl="2" w:tplc="8506B944">
      <w:start w:val="1"/>
      <w:numFmt w:val="bullet"/>
      <w:lvlText w:val=""/>
      <w:lvlJc w:val="left"/>
      <w:pPr>
        <w:ind w:left="2160" w:hanging="360"/>
      </w:pPr>
      <w:rPr>
        <w:rFonts w:ascii="Wingdings" w:hAnsi="Wingdings" w:hint="default"/>
      </w:rPr>
    </w:lvl>
    <w:lvl w:ilvl="3" w:tplc="1646DDD2">
      <w:start w:val="1"/>
      <w:numFmt w:val="bullet"/>
      <w:lvlText w:val=""/>
      <w:lvlJc w:val="left"/>
      <w:pPr>
        <w:ind w:left="2880" w:hanging="360"/>
      </w:pPr>
      <w:rPr>
        <w:rFonts w:ascii="Symbol" w:hAnsi="Symbol" w:hint="default"/>
      </w:rPr>
    </w:lvl>
    <w:lvl w:ilvl="4" w:tplc="5A44767A">
      <w:start w:val="1"/>
      <w:numFmt w:val="bullet"/>
      <w:lvlText w:val="o"/>
      <w:lvlJc w:val="left"/>
      <w:pPr>
        <w:ind w:left="3600" w:hanging="360"/>
      </w:pPr>
      <w:rPr>
        <w:rFonts w:ascii="Courier New" w:hAnsi="Courier New" w:cs="Courier New" w:hint="default"/>
      </w:rPr>
    </w:lvl>
    <w:lvl w:ilvl="5" w:tplc="CA76B67A">
      <w:start w:val="1"/>
      <w:numFmt w:val="bullet"/>
      <w:lvlText w:val=""/>
      <w:lvlJc w:val="left"/>
      <w:pPr>
        <w:ind w:left="4320" w:hanging="360"/>
      </w:pPr>
      <w:rPr>
        <w:rFonts w:ascii="Wingdings" w:hAnsi="Wingdings" w:hint="default"/>
      </w:rPr>
    </w:lvl>
    <w:lvl w:ilvl="6" w:tplc="EFAE848C">
      <w:start w:val="1"/>
      <w:numFmt w:val="bullet"/>
      <w:lvlText w:val=""/>
      <w:lvlJc w:val="left"/>
      <w:pPr>
        <w:ind w:left="5040" w:hanging="360"/>
      </w:pPr>
      <w:rPr>
        <w:rFonts w:ascii="Symbol" w:hAnsi="Symbol" w:hint="default"/>
      </w:rPr>
    </w:lvl>
    <w:lvl w:ilvl="7" w:tplc="5B80A5FA">
      <w:start w:val="1"/>
      <w:numFmt w:val="bullet"/>
      <w:lvlText w:val="o"/>
      <w:lvlJc w:val="left"/>
      <w:pPr>
        <w:ind w:left="5760" w:hanging="360"/>
      </w:pPr>
      <w:rPr>
        <w:rFonts w:ascii="Courier New" w:hAnsi="Courier New" w:cs="Courier New" w:hint="default"/>
      </w:rPr>
    </w:lvl>
    <w:lvl w:ilvl="8" w:tplc="02224332">
      <w:start w:val="1"/>
      <w:numFmt w:val="bullet"/>
      <w:lvlText w:val=""/>
      <w:lvlJc w:val="left"/>
      <w:pPr>
        <w:ind w:left="6480" w:hanging="360"/>
      </w:pPr>
      <w:rPr>
        <w:rFonts w:ascii="Wingdings" w:hAnsi="Wingdings" w:hint="default"/>
      </w:rPr>
    </w:lvl>
  </w:abstractNum>
  <w:abstractNum w:abstractNumId="99" w15:restartNumberingAfterBreak="0">
    <w:nsid w:val="6023785E"/>
    <w:multiLevelType w:val="hybridMultilevel"/>
    <w:tmpl w:val="F99C87AC"/>
    <w:lvl w:ilvl="0" w:tplc="A8F44C1C">
      <w:start w:val="1"/>
      <w:numFmt w:val="lowerRoman"/>
      <w:lvlText w:val="%1)"/>
      <w:lvlJc w:val="left"/>
      <w:pPr>
        <w:ind w:left="1080" w:hanging="360"/>
      </w:pPr>
      <w:rPr>
        <w:rFonts w:hint="default"/>
      </w:rPr>
    </w:lvl>
    <w:lvl w:ilvl="1" w:tplc="284AF230" w:tentative="1">
      <w:start w:val="1"/>
      <w:numFmt w:val="lowerLetter"/>
      <w:lvlText w:val="%2."/>
      <w:lvlJc w:val="left"/>
      <w:pPr>
        <w:ind w:left="1800" w:hanging="360"/>
      </w:pPr>
    </w:lvl>
    <w:lvl w:ilvl="2" w:tplc="E0CC7484" w:tentative="1">
      <w:start w:val="1"/>
      <w:numFmt w:val="lowerRoman"/>
      <w:lvlText w:val="%3."/>
      <w:lvlJc w:val="right"/>
      <w:pPr>
        <w:ind w:left="2520" w:hanging="180"/>
      </w:pPr>
    </w:lvl>
    <w:lvl w:ilvl="3" w:tplc="610091DA" w:tentative="1">
      <w:start w:val="1"/>
      <w:numFmt w:val="decimal"/>
      <w:lvlText w:val="%4."/>
      <w:lvlJc w:val="left"/>
      <w:pPr>
        <w:ind w:left="3240" w:hanging="360"/>
      </w:pPr>
    </w:lvl>
    <w:lvl w:ilvl="4" w:tplc="E0E67626" w:tentative="1">
      <w:start w:val="1"/>
      <w:numFmt w:val="lowerLetter"/>
      <w:lvlText w:val="%5."/>
      <w:lvlJc w:val="left"/>
      <w:pPr>
        <w:ind w:left="3960" w:hanging="360"/>
      </w:pPr>
    </w:lvl>
    <w:lvl w:ilvl="5" w:tplc="F126DAC2" w:tentative="1">
      <w:start w:val="1"/>
      <w:numFmt w:val="lowerRoman"/>
      <w:lvlText w:val="%6."/>
      <w:lvlJc w:val="right"/>
      <w:pPr>
        <w:ind w:left="4680" w:hanging="180"/>
      </w:pPr>
    </w:lvl>
    <w:lvl w:ilvl="6" w:tplc="C2801D7A" w:tentative="1">
      <w:start w:val="1"/>
      <w:numFmt w:val="decimal"/>
      <w:lvlText w:val="%7."/>
      <w:lvlJc w:val="left"/>
      <w:pPr>
        <w:ind w:left="5400" w:hanging="360"/>
      </w:pPr>
    </w:lvl>
    <w:lvl w:ilvl="7" w:tplc="15AE0F46" w:tentative="1">
      <w:start w:val="1"/>
      <w:numFmt w:val="lowerLetter"/>
      <w:lvlText w:val="%8."/>
      <w:lvlJc w:val="left"/>
      <w:pPr>
        <w:ind w:left="6120" w:hanging="360"/>
      </w:pPr>
    </w:lvl>
    <w:lvl w:ilvl="8" w:tplc="4A32D984" w:tentative="1">
      <w:start w:val="1"/>
      <w:numFmt w:val="lowerRoman"/>
      <w:lvlText w:val="%9."/>
      <w:lvlJc w:val="right"/>
      <w:pPr>
        <w:ind w:left="6840" w:hanging="180"/>
      </w:pPr>
    </w:lvl>
  </w:abstractNum>
  <w:abstractNum w:abstractNumId="100" w15:restartNumberingAfterBreak="0">
    <w:nsid w:val="60723875"/>
    <w:multiLevelType w:val="hybridMultilevel"/>
    <w:tmpl w:val="37E008BC"/>
    <w:lvl w:ilvl="0" w:tplc="14963B40">
      <w:start w:val="1"/>
      <w:numFmt w:val="bullet"/>
      <w:lvlText w:val=""/>
      <w:lvlJc w:val="left"/>
      <w:pPr>
        <w:ind w:left="720" w:hanging="360"/>
      </w:pPr>
      <w:rPr>
        <w:rFonts w:ascii="Symbol" w:hAnsi="Symbol" w:hint="default"/>
      </w:rPr>
    </w:lvl>
    <w:lvl w:ilvl="1" w:tplc="5790C350">
      <w:start w:val="1"/>
      <w:numFmt w:val="bullet"/>
      <w:lvlText w:val="o"/>
      <w:lvlJc w:val="left"/>
      <w:pPr>
        <w:ind w:left="1440" w:hanging="360"/>
      </w:pPr>
      <w:rPr>
        <w:rFonts w:ascii="Courier New" w:hAnsi="Courier New" w:cs="Courier New" w:hint="default"/>
      </w:rPr>
    </w:lvl>
    <w:lvl w:ilvl="2" w:tplc="5F3AAA58">
      <w:start w:val="1"/>
      <w:numFmt w:val="bullet"/>
      <w:lvlText w:val=""/>
      <w:lvlJc w:val="left"/>
      <w:pPr>
        <w:ind w:left="2160" w:hanging="360"/>
      </w:pPr>
      <w:rPr>
        <w:rFonts w:ascii="Wingdings" w:hAnsi="Wingdings" w:hint="default"/>
      </w:rPr>
    </w:lvl>
    <w:lvl w:ilvl="3" w:tplc="9D9C0110">
      <w:start w:val="1"/>
      <w:numFmt w:val="bullet"/>
      <w:lvlText w:val=""/>
      <w:lvlJc w:val="left"/>
      <w:pPr>
        <w:ind w:left="2880" w:hanging="360"/>
      </w:pPr>
      <w:rPr>
        <w:rFonts w:ascii="Symbol" w:hAnsi="Symbol" w:hint="default"/>
      </w:rPr>
    </w:lvl>
    <w:lvl w:ilvl="4" w:tplc="2502015A">
      <w:start w:val="1"/>
      <w:numFmt w:val="bullet"/>
      <w:lvlText w:val="o"/>
      <w:lvlJc w:val="left"/>
      <w:pPr>
        <w:ind w:left="3600" w:hanging="360"/>
      </w:pPr>
      <w:rPr>
        <w:rFonts w:ascii="Courier New" w:hAnsi="Courier New" w:cs="Courier New" w:hint="default"/>
      </w:rPr>
    </w:lvl>
    <w:lvl w:ilvl="5" w:tplc="2620FC6A">
      <w:start w:val="1"/>
      <w:numFmt w:val="bullet"/>
      <w:lvlText w:val=""/>
      <w:lvlJc w:val="left"/>
      <w:pPr>
        <w:ind w:left="4320" w:hanging="360"/>
      </w:pPr>
      <w:rPr>
        <w:rFonts w:ascii="Wingdings" w:hAnsi="Wingdings" w:hint="default"/>
      </w:rPr>
    </w:lvl>
    <w:lvl w:ilvl="6" w:tplc="0674FC04">
      <w:start w:val="1"/>
      <w:numFmt w:val="bullet"/>
      <w:lvlText w:val=""/>
      <w:lvlJc w:val="left"/>
      <w:pPr>
        <w:ind w:left="5040" w:hanging="360"/>
      </w:pPr>
      <w:rPr>
        <w:rFonts w:ascii="Symbol" w:hAnsi="Symbol" w:hint="default"/>
      </w:rPr>
    </w:lvl>
    <w:lvl w:ilvl="7" w:tplc="B4CCA560">
      <w:start w:val="1"/>
      <w:numFmt w:val="bullet"/>
      <w:lvlText w:val="o"/>
      <w:lvlJc w:val="left"/>
      <w:pPr>
        <w:ind w:left="5760" w:hanging="360"/>
      </w:pPr>
      <w:rPr>
        <w:rFonts w:ascii="Courier New" w:hAnsi="Courier New" w:cs="Courier New" w:hint="default"/>
      </w:rPr>
    </w:lvl>
    <w:lvl w:ilvl="8" w:tplc="017C5EDA">
      <w:start w:val="1"/>
      <w:numFmt w:val="bullet"/>
      <w:lvlText w:val=""/>
      <w:lvlJc w:val="left"/>
      <w:pPr>
        <w:ind w:left="6480" w:hanging="360"/>
      </w:pPr>
      <w:rPr>
        <w:rFonts w:ascii="Wingdings" w:hAnsi="Wingdings" w:hint="default"/>
      </w:rPr>
    </w:lvl>
  </w:abstractNum>
  <w:abstractNum w:abstractNumId="101" w15:restartNumberingAfterBreak="0">
    <w:nsid w:val="608103F9"/>
    <w:multiLevelType w:val="hybridMultilevel"/>
    <w:tmpl w:val="36DC1138"/>
    <w:lvl w:ilvl="0" w:tplc="60D2DDC6">
      <w:start w:val="1"/>
      <w:numFmt w:val="bullet"/>
      <w:lvlText w:val=""/>
      <w:lvlJc w:val="left"/>
      <w:pPr>
        <w:ind w:left="720" w:hanging="360"/>
      </w:pPr>
      <w:rPr>
        <w:rFonts w:ascii="Symbol" w:hAnsi="Symbol" w:hint="default"/>
      </w:rPr>
    </w:lvl>
    <w:lvl w:ilvl="1" w:tplc="AF76E4EC" w:tentative="1">
      <w:start w:val="1"/>
      <w:numFmt w:val="bullet"/>
      <w:lvlText w:val="o"/>
      <w:lvlJc w:val="left"/>
      <w:pPr>
        <w:ind w:left="1440" w:hanging="360"/>
      </w:pPr>
      <w:rPr>
        <w:rFonts w:ascii="Courier New" w:hAnsi="Courier New" w:cs="Courier New" w:hint="default"/>
      </w:rPr>
    </w:lvl>
    <w:lvl w:ilvl="2" w:tplc="DFEE514E" w:tentative="1">
      <w:start w:val="1"/>
      <w:numFmt w:val="bullet"/>
      <w:lvlText w:val=""/>
      <w:lvlJc w:val="left"/>
      <w:pPr>
        <w:ind w:left="2160" w:hanging="360"/>
      </w:pPr>
      <w:rPr>
        <w:rFonts w:ascii="Wingdings" w:hAnsi="Wingdings" w:hint="default"/>
      </w:rPr>
    </w:lvl>
    <w:lvl w:ilvl="3" w:tplc="A19E9DBC" w:tentative="1">
      <w:start w:val="1"/>
      <w:numFmt w:val="bullet"/>
      <w:lvlText w:val=""/>
      <w:lvlJc w:val="left"/>
      <w:pPr>
        <w:ind w:left="2880" w:hanging="360"/>
      </w:pPr>
      <w:rPr>
        <w:rFonts w:ascii="Symbol" w:hAnsi="Symbol" w:hint="default"/>
      </w:rPr>
    </w:lvl>
    <w:lvl w:ilvl="4" w:tplc="A11C3FAA" w:tentative="1">
      <w:start w:val="1"/>
      <w:numFmt w:val="bullet"/>
      <w:lvlText w:val="o"/>
      <w:lvlJc w:val="left"/>
      <w:pPr>
        <w:ind w:left="3600" w:hanging="360"/>
      </w:pPr>
      <w:rPr>
        <w:rFonts w:ascii="Courier New" w:hAnsi="Courier New" w:cs="Courier New" w:hint="default"/>
      </w:rPr>
    </w:lvl>
    <w:lvl w:ilvl="5" w:tplc="C1C67EE2" w:tentative="1">
      <w:start w:val="1"/>
      <w:numFmt w:val="bullet"/>
      <w:lvlText w:val=""/>
      <w:lvlJc w:val="left"/>
      <w:pPr>
        <w:ind w:left="4320" w:hanging="360"/>
      </w:pPr>
      <w:rPr>
        <w:rFonts w:ascii="Wingdings" w:hAnsi="Wingdings" w:hint="default"/>
      </w:rPr>
    </w:lvl>
    <w:lvl w:ilvl="6" w:tplc="31444FE0" w:tentative="1">
      <w:start w:val="1"/>
      <w:numFmt w:val="bullet"/>
      <w:lvlText w:val=""/>
      <w:lvlJc w:val="left"/>
      <w:pPr>
        <w:ind w:left="5040" w:hanging="360"/>
      </w:pPr>
      <w:rPr>
        <w:rFonts w:ascii="Symbol" w:hAnsi="Symbol" w:hint="default"/>
      </w:rPr>
    </w:lvl>
    <w:lvl w:ilvl="7" w:tplc="D99006CC" w:tentative="1">
      <w:start w:val="1"/>
      <w:numFmt w:val="bullet"/>
      <w:lvlText w:val="o"/>
      <w:lvlJc w:val="left"/>
      <w:pPr>
        <w:ind w:left="5760" w:hanging="360"/>
      </w:pPr>
      <w:rPr>
        <w:rFonts w:ascii="Courier New" w:hAnsi="Courier New" w:cs="Courier New" w:hint="default"/>
      </w:rPr>
    </w:lvl>
    <w:lvl w:ilvl="8" w:tplc="2BC6A296" w:tentative="1">
      <w:start w:val="1"/>
      <w:numFmt w:val="bullet"/>
      <w:lvlText w:val=""/>
      <w:lvlJc w:val="left"/>
      <w:pPr>
        <w:ind w:left="6480" w:hanging="360"/>
      </w:pPr>
      <w:rPr>
        <w:rFonts w:ascii="Wingdings" w:hAnsi="Wingdings" w:hint="default"/>
      </w:rPr>
    </w:lvl>
  </w:abstractNum>
  <w:abstractNum w:abstractNumId="102" w15:restartNumberingAfterBreak="0">
    <w:nsid w:val="623313BB"/>
    <w:multiLevelType w:val="hybridMultilevel"/>
    <w:tmpl w:val="5518D948"/>
    <w:lvl w:ilvl="0" w:tplc="4DF40EA8">
      <w:start w:val="3"/>
      <w:numFmt w:val="bullet"/>
      <w:lvlText w:val="-"/>
      <w:lvlJc w:val="left"/>
      <w:pPr>
        <w:ind w:left="405" w:hanging="360"/>
      </w:pPr>
      <w:rPr>
        <w:rFonts w:ascii="Calibri" w:eastAsiaTheme="minorHAnsi" w:hAnsi="Calibri" w:cs="Calibri" w:hint="default"/>
      </w:rPr>
    </w:lvl>
    <w:lvl w:ilvl="1" w:tplc="A9604A9A" w:tentative="1">
      <w:start w:val="1"/>
      <w:numFmt w:val="bullet"/>
      <w:lvlText w:val="o"/>
      <w:lvlJc w:val="left"/>
      <w:pPr>
        <w:ind w:left="1440" w:hanging="360"/>
      </w:pPr>
      <w:rPr>
        <w:rFonts w:ascii="Courier New" w:hAnsi="Courier New" w:cs="Courier New" w:hint="default"/>
      </w:rPr>
    </w:lvl>
    <w:lvl w:ilvl="2" w:tplc="8B666A00" w:tentative="1">
      <w:start w:val="1"/>
      <w:numFmt w:val="bullet"/>
      <w:lvlText w:val=""/>
      <w:lvlJc w:val="left"/>
      <w:pPr>
        <w:ind w:left="2160" w:hanging="360"/>
      </w:pPr>
      <w:rPr>
        <w:rFonts w:ascii="Wingdings" w:hAnsi="Wingdings" w:hint="default"/>
      </w:rPr>
    </w:lvl>
    <w:lvl w:ilvl="3" w:tplc="E1726BBC" w:tentative="1">
      <w:start w:val="1"/>
      <w:numFmt w:val="bullet"/>
      <w:lvlText w:val=""/>
      <w:lvlJc w:val="left"/>
      <w:pPr>
        <w:ind w:left="2880" w:hanging="360"/>
      </w:pPr>
      <w:rPr>
        <w:rFonts w:ascii="Symbol" w:hAnsi="Symbol" w:hint="default"/>
      </w:rPr>
    </w:lvl>
    <w:lvl w:ilvl="4" w:tplc="A440C128" w:tentative="1">
      <w:start w:val="1"/>
      <w:numFmt w:val="bullet"/>
      <w:lvlText w:val="o"/>
      <w:lvlJc w:val="left"/>
      <w:pPr>
        <w:ind w:left="3600" w:hanging="360"/>
      </w:pPr>
      <w:rPr>
        <w:rFonts w:ascii="Courier New" w:hAnsi="Courier New" w:cs="Courier New" w:hint="default"/>
      </w:rPr>
    </w:lvl>
    <w:lvl w:ilvl="5" w:tplc="99A85708" w:tentative="1">
      <w:start w:val="1"/>
      <w:numFmt w:val="bullet"/>
      <w:lvlText w:val=""/>
      <w:lvlJc w:val="left"/>
      <w:pPr>
        <w:ind w:left="4320" w:hanging="360"/>
      </w:pPr>
      <w:rPr>
        <w:rFonts w:ascii="Wingdings" w:hAnsi="Wingdings" w:hint="default"/>
      </w:rPr>
    </w:lvl>
    <w:lvl w:ilvl="6" w:tplc="3FA284E2" w:tentative="1">
      <w:start w:val="1"/>
      <w:numFmt w:val="bullet"/>
      <w:lvlText w:val=""/>
      <w:lvlJc w:val="left"/>
      <w:pPr>
        <w:ind w:left="5040" w:hanging="360"/>
      </w:pPr>
      <w:rPr>
        <w:rFonts w:ascii="Symbol" w:hAnsi="Symbol" w:hint="default"/>
      </w:rPr>
    </w:lvl>
    <w:lvl w:ilvl="7" w:tplc="53D45C2C" w:tentative="1">
      <w:start w:val="1"/>
      <w:numFmt w:val="bullet"/>
      <w:lvlText w:val="o"/>
      <w:lvlJc w:val="left"/>
      <w:pPr>
        <w:ind w:left="5760" w:hanging="360"/>
      </w:pPr>
      <w:rPr>
        <w:rFonts w:ascii="Courier New" w:hAnsi="Courier New" w:cs="Courier New" w:hint="default"/>
      </w:rPr>
    </w:lvl>
    <w:lvl w:ilvl="8" w:tplc="5A7A4E30" w:tentative="1">
      <w:start w:val="1"/>
      <w:numFmt w:val="bullet"/>
      <w:lvlText w:val=""/>
      <w:lvlJc w:val="left"/>
      <w:pPr>
        <w:ind w:left="6480" w:hanging="360"/>
      </w:pPr>
      <w:rPr>
        <w:rFonts w:ascii="Wingdings" w:hAnsi="Wingdings" w:hint="default"/>
      </w:rPr>
    </w:lvl>
  </w:abstractNum>
  <w:abstractNum w:abstractNumId="103" w15:restartNumberingAfterBreak="0">
    <w:nsid w:val="6418484C"/>
    <w:multiLevelType w:val="hybridMultilevel"/>
    <w:tmpl w:val="216A3AA6"/>
    <w:lvl w:ilvl="0" w:tplc="63B45B12">
      <w:start w:val="1"/>
      <w:numFmt w:val="decimal"/>
      <w:lvlText w:val="%1."/>
      <w:lvlJc w:val="left"/>
      <w:pPr>
        <w:ind w:left="1080" w:hanging="720"/>
      </w:pPr>
      <w:rPr>
        <w:rFonts w:hint="default"/>
      </w:rPr>
    </w:lvl>
    <w:lvl w:ilvl="1" w:tplc="5D0E6F1A">
      <w:start w:val="1"/>
      <w:numFmt w:val="bullet"/>
      <w:lvlText w:val=""/>
      <w:lvlJc w:val="left"/>
      <w:pPr>
        <w:ind w:left="1440" w:hanging="360"/>
      </w:pPr>
      <w:rPr>
        <w:rFonts w:ascii="Wingdings" w:hAnsi="Wingdings" w:hint="default"/>
      </w:rPr>
    </w:lvl>
    <w:lvl w:ilvl="2" w:tplc="B2A01E00" w:tentative="1">
      <w:start w:val="1"/>
      <w:numFmt w:val="lowerRoman"/>
      <w:lvlText w:val="%3."/>
      <w:lvlJc w:val="right"/>
      <w:pPr>
        <w:ind w:left="2160" w:hanging="180"/>
      </w:pPr>
    </w:lvl>
    <w:lvl w:ilvl="3" w:tplc="6060DE0C" w:tentative="1">
      <w:start w:val="1"/>
      <w:numFmt w:val="decimal"/>
      <w:lvlText w:val="%4."/>
      <w:lvlJc w:val="left"/>
      <w:pPr>
        <w:ind w:left="2880" w:hanging="360"/>
      </w:pPr>
    </w:lvl>
    <w:lvl w:ilvl="4" w:tplc="2E083E34" w:tentative="1">
      <w:start w:val="1"/>
      <w:numFmt w:val="lowerLetter"/>
      <w:lvlText w:val="%5."/>
      <w:lvlJc w:val="left"/>
      <w:pPr>
        <w:ind w:left="3600" w:hanging="360"/>
      </w:pPr>
    </w:lvl>
    <w:lvl w:ilvl="5" w:tplc="E2A43C0A" w:tentative="1">
      <w:start w:val="1"/>
      <w:numFmt w:val="lowerRoman"/>
      <w:lvlText w:val="%6."/>
      <w:lvlJc w:val="right"/>
      <w:pPr>
        <w:ind w:left="4320" w:hanging="180"/>
      </w:pPr>
    </w:lvl>
    <w:lvl w:ilvl="6" w:tplc="D60C0A10" w:tentative="1">
      <w:start w:val="1"/>
      <w:numFmt w:val="decimal"/>
      <w:lvlText w:val="%7."/>
      <w:lvlJc w:val="left"/>
      <w:pPr>
        <w:ind w:left="5040" w:hanging="360"/>
      </w:pPr>
    </w:lvl>
    <w:lvl w:ilvl="7" w:tplc="78A60016" w:tentative="1">
      <w:start w:val="1"/>
      <w:numFmt w:val="lowerLetter"/>
      <w:lvlText w:val="%8."/>
      <w:lvlJc w:val="left"/>
      <w:pPr>
        <w:ind w:left="5760" w:hanging="360"/>
      </w:pPr>
    </w:lvl>
    <w:lvl w:ilvl="8" w:tplc="94B44322" w:tentative="1">
      <w:start w:val="1"/>
      <w:numFmt w:val="lowerRoman"/>
      <w:lvlText w:val="%9."/>
      <w:lvlJc w:val="right"/>
      <w:pPr>
        <w:ind w:left="6480" w:hanging="180"/>
      </w:pPr>
    </w:lvl>
  </w:abstractNum>
  <w:abstractNum w:abstractNumId="104" w15:restartNumberingAfterBreak="0">
    <w:nsid w:val="65EB22C0"/>
    <w:multiLevelType w:val="hybridMultilevel"/>
    <w:tmpl w:val="D3866FCA"/>
    <w:lvl w:ilvl="0" w:tplc="8D78CEF2">
      <w:start w:val="1"/>
      <w:numFmt w:val="bullet"/>
      <w:lvlText w:val=""/>
      <w:lvlJc w:val="left"/>
      <w:pPr>
        <w:ind w:left="720" w:hanging="360"/>
      </w:pPr>
      <w:rPr>
        <w:rFonts w:ascii="Symbol" w:hAnsi="Symbol" w:hint="default"/>
      </w:rPr>
    </w:lvl>
    <w:lvl w:ilvl="1" w:tplc="A1C6AFB6" w:tentative="1">
      <w:start w:val="1"/>
      <w:numFmt w:val="bullet"/>
      <w:lvlText w:val="o"/>
      <w:lvlJc w:val="left"/>
      <w:pPr>
        <w:ind w:left="1440" w:hanging="360"/>
      </w:pPr>
      <w:rPr>
        <w:rFonts w:ascii="Courier New" w:hAnsi="Courier New" w:cs="Courier New" w:hint="default"/>
      </w:rPr>
    </w:lvl>
    <w:lvl w:ilvl="2" w:tplc="660C74A4" w:tentative="1">
      <w:start w:val="1"/>
      <w:numFmt w:val="bullet"/>
      <w:lvlText w:val=""/>
      <w:lvlJc w:val="left"/>
      <w:pPr>
        <w:ind w:left="2160" w:hanging="360"/>
      </w:pPr>
      <w:rPr>
        <w:rFonts w:ascii="Wingdings" w:hAnsi="Wingdings" w:hint="default"/>
      </w:rPr>
    </w:lvl>
    <w:lvl w:ilvl="3" w:tplc="4F48EB32" w:tentative="1">
      <w:start w:val="1"/>
      <w:numFmt w:val="bullet"/>
      <w:lvlText w:val=""/>
      <w:lvlJc w:val="left"/>
      <w:pPr>
        <w:ind w:left="2880" w:hanging="360"/>
      </w:pPr>
      <w:rPr>
        <w:rFonts w:ascii="Symbol" w:hAnsi="Symbol" w:hint="default"/>
      </w:rPr>
    </w:lvl>
    <w:lvl w:ilvl="4" w:tplc="A2B8DD30" w:tentative="1">
      <w:start w:val="1"/>
      <w:numFmt w:val="bullet"/>
      <w:lvlText w:val="o"/>
      <w:lvlJc w:val="left"/>
      <w:pPr>
        <w:ind w:left="3600" w:hanging="360"/>
      </w:pPr>
      <w:rPr>
        <w:rFonts w:ascii="Courier New" w:hAnsi="Courier New" w:cs="Courier New" w:hint="default"/>
      </w:rPr>
    </w:lvl>
    <w:lvl w:ilvl="5" w:tplc="3320A5E2" w:tentative="1">
      <w:start w:val="1"/>
      <w:numFmt w:val="bullet"/>
      <w:lvlText w:val=""/>
      <w:lvlJc w:val="left"/>
      <w:pPr>
        <w:ind w:left="4320" w:hanging="360"/>
      </w:pPr>
      <w:rPr>
        <w:rFonts w:ascii="Wingdings" w:hAnsi="Wingdings" w:hint="default"/>
      </w:rPr>
    </w:lvl>
    <w:lvl w:ilvl="6" w:tplc="7DB4E440" w:tentative="1">
      <w:start w:val="1"/>
      <w:numFmt w:val="bullet"/>
      <w:lvlText w:val=""/>
      <w:lvlJc w:val="left"/>
      <w:pPr>
        <w:ind w:left="5040" w:hanging="360"/>
      </w:pPr>
      <w:rPr>
        <w:rFonts w:ascii="Symbol" w:hAnsi="Symbol" w:hint="default"/>
      </w:rPr>
    </w:lvl>
    <w:lvl w:ilvl="7" w:tplc="03B0E0C0" w:tentative="1">
      <w:start w:val="1"/>
      <w:numFmt w:val="bullet"/>
      <w:lvlText w:val="o"/>
      <w:lvlJc w:val="left"/>
      <w:pPr>
        <w:ind w:left="5760" w:hanging="360"/>
      </w:pPr>
      <w:rPr>
        <w:rFonts w:ascii="Courier New" w:hAnsi="Courier New" w:cs="Courier New" w:hint="default"/>
      </w:rPr>
    </w:lvl>
    <w:lvl w:ilvl="8" w:tplc="B98E0A4A" w:tentative="1">
      <w:start w:val="1"/>
      <w:numFmt w:val="bullet"/>
      <w:lvlText w:val=""/>
      <w:lvlJc w:val="left"/>
      <w:pPr>
        <w:ind w:left="6480" w:hanging="360"/>
      </w:pPr>
      <w:rPr>
        <w:rFonts w:ascii="Wingdings" w:hAnsi="Wingdings" w:hint="default"/>
      </w:rPr>
    </w:lvl>
  </w:abstractNum>
  <w:abstractNum w:abstractNumId="105" w15:restartNumberingAfterBreak="0">
    <w:nsid w:val="6B7F2A72"/>
    <w:multiLevelType w:val="hybridMultilevel"/>
    <w:tmpl w:val="DA826B14"/>
    <w:lvl w:ilvl="0" w:tplc="A3B0200A">
      <w:start w:val="1"/>
      <w:numFmt w:val="bullet"/>
      <w:lvlText w:val=""/>
      <w:lvlJc w:val="left"/>
      <w:pPr>
        <w:ind w:left="1429" w:hanging="360"/>
      </w:pPr>
      <w:rPr>
        <w:rFonts w:ascii="Symbol" w:hAnsi="Symbol" w:hint="default"/>
      </w:rPr>
    </w:lvl>
    <w:lvl w:ilvl="1" w:tplc="833C339E" w:tentative="1">
      <w:start w:val="1"/>
      <w:numFmt w:val="bullet"/>
      <w:lvlText w:val="o"/>
      <w:lvlJc w:val="left"/>
      <w:pPr>
        <w:ind w:left="2149" w:hanging="360"/>
      </w:pPr>
      <w:rPr>
        <w:rFonts w:ascii="Courier New" w:hAnsi="Courier New" w:cs="Courier New" w:hint="default"/>
      </w:rPr>
    </w:lvl>
    <w:lvl w:ilvl="2" w:tplc="8BE68298" w:tentative="1">
      <w:start w:val="1"/>
      <w:numFmt w:val="bullet"/>
      <w:lvlText w:val=""/>
      <w:lvlJc w:val="left"/>
      <w:pPr>
        <w:ind w:left="2869" w:hanging="360"/>
      </w:pPr>
      <w:rPr>
        <w:rFonts w:ascii="Wingdings" w:hAnsi="Wingdings" w:hint="default"/>
      </w:rPr>
    </w:lvl>
    <w:lvl w:ilvl="3" w:tplc="916EA320" w:tentative="1">
      <w:start w:val="1"/>
      <w:numFmt w:val="bullet"/>
      <w:lvlText w:val=""/>
      <w:lvlJc w:val="left"/>
      <w:pPr>
        <w:ind w:left="3589" w:hanging="360"/>
      </w:pPr>
      <w:rPr>
        <w:rFonts w:ascii="Symbol" w:hAnsi="Symbol" w:hint="default"/>
      </w:rPr>
    </w:lvl>
    <w:lvl w:ilvl="4" w:tplc="9E803A00" w:tentative="1">
      <w:start w:val="1"/>
      <w:numFmt w:val="bullet"/>
      <w:lvlText w:val="o"/>
      <w:lvlJc w:val="left"/>
      <w:pPr>
        <w:ind w:left="4309" w:hanging="360"/>
      </w:pPr>
      <w:rPr>
        <w:rFonts w:ascii="Courier New" w:hAnsi="Courier New" w:cs="Courier New" w:hint="default"/>
      </w:rPr>
    </w:lvl>
    <w:lvl w:ilvl="5" w:tplc="A3743616" w:tentative="1">
      <w:start w:val="1"/>
      <w:numFmt w:val="bullet"/>
      <w:lvlText w:val=""/>
      <w:lvlJc w:val="left"/>
      <w:pPr>
        <w:ind w:left="5029" w:hanging="360"/>
      </w:pPr>
      <w:rPr>
        <w:rFonts w:ascii="Wingdings" w:hAnsi="Wingdings" w:hint="default"/>
      </w:rPr>
    </w:lvl>
    <w:lvl w:ilvl="6" w:tplc="4EF80734" w:tentative="1">
      <w:start w:val="1"/>
      <w:numFmt w:val="bullet"/>
      <w:lvlText w:val=""/>
      <w:lvlJc w:val="left"/>
      <w:pPr>
        <w:ind w:left="5749" w:hanging="360"/>
      </w:pPr>
      <w:rPr>
        <w:rFonts w:ascii="Symbol" w:hAnsi="Symbol" w:hint="default"/>
      </w:rPr>
    </w:lvl>
    <w:lvl w:ilvl="7" w:tplc="D460078A" w:tentative="1">
      <w:start w:val="1"/>
      <w:numFmt w:val="bullet"/>
      <w:lvlText w:val="o"/>
      <w:lvlJc w:val="left"/>
      <w:pPr>
        <w:ind w:left="6469" w:hanging="360"/>
      </w:pPr>
      <w:rPr>
        <w:rFonts w:ascii="Courier New" w:hAnsi="Courier New" w:cs="Courier New" w:hint="default"/>
      </w:rPr>
    </w:lvl>
    <w:lvl w:ilvl="8" w:tplc="A85074E8" w:tentative="1">
      <w:start w:val="1"/>
      <w:numFmt w:val="bullet"/>
      <w:lvlText w:val=""/>
      <w:lvlJc w:val="left"/>
      <w:pPr>
        <w:ind w:left="7189" w:hanging="360"/>
      </w:pPr>
      <w:rPr>
        <w:rFonts w:ascii="Wingdings" w:hAnsi="Wingdings" w:hint="default"/>
      </w:rPr>
    </w:lvl>
  </w:abstractNum>
  <w:abstractNum w:abstractNumId="106" w15:restartNumberingAfterBreak="0">
    <w:nsid w:val="6BD21A53"/>
    <w:multiLevelType w:val="hybridMultilevel"/>
    <w:tmpl w:val="9AAC654A"/>
    <w:lvl w:ilvl="0" w:tplc="B456CA38">
      <w:start w:val="1"/>
      <w:numFmt w:val="lowerLetter"/>
      <w:lvlText w:val="%1."/>
      <w:lvlJc w:val="left"/>
      <w:pPr>
        <w:ind w:left="720" w:hanging="360"/>
      </w:pPr>
      <w:rPr>
        <w:rFonts w:hint="default"/>
        <w:b/>
      </w:rPr>
    </w:lvl>
    <w:lvl w:ilvl="1" w:tplc="3A343D8A" w:tentative="1">
      <w:start w:val="1"/>
      <w:numFmt w:val="lowerLetter"/>
      <w:lvlText w:val="%2."/>
      <w:lvlJc w:val="left"/>
      <w:pPr>
        <w:ind w:left="1440" w:hanging="360"/>
      </w:pPr>
    </w:lvl>
    <w:lvl w:ilvl="2" w:tplc="53404BFA" w:tentative="1">
      <w:start w:val="1"/>
      <w:numFmt w:val="lowerRoman"/>
      <w:lvlText w:val="%3."/>
      <w:lvlJc w:val="right"/>
      <w:pPr>
        <w:ind w:left="2160" w:hanging="180"/>
      </w:pPr>
    </w:lvl>
    <w:lvl w:ilvl="3" w:tplc="4D788CE2" w:tentative="1">
      <w:start w:val="1"/>
      <w:numFmt w:val="decimal"/>
      <w:lvlText w:val="%4."/>
      <w:lvlJc w:val="left"/>
      <w:pPr>
        <w:ind w:left="2880" w:hanging="360"/>
      </w:pPr>
    </w:lvl>
    <w:lvl w:ilvl="4" w:tplc="59CC8130" w:tentative="1">
      <w:start w:val="1"/>
      <w:numFmt w:val="lowerLetter"/>
      <w:lvlText w:val="%5."/>
      <w:lvlJc w:val="left"/>
      <w:pPr>
        <w:ind w:left="3600" w:hanging="360"/>
      </w:pPr>
    </w:lvl>
    <w:lvl w:ilvl="5" w:tplc="A91E600E" w:tentative="1">
      <w:start w:val="1"/>
      <w:numFmt w:val="lowerRoman"/>
      <w:lvlText w:val="%6."/>
      <w:lvlJc w:val="right"/>
      <w:pPr>
        <w:ind w:left="4320" w:hanging="180"/>
      </w:pPr>
    </w:lvl>
    <w:lvl w:ilvl="6" w:tplc="6E566138" w:tentative="1">
      <w:start w:val="1"/>
      <w:numFmt w:val="decimal"/>
      <w:lvlText w:val="%7."/>
      <w:lvlJc w:val="left"/>
      <w:pPr>
        <w:ind w:left="5040" w:hanging="360"/>
      </w:pPr>
    </w:lvl>
    <w:lvl w:ilvl="7" w:tplc="01B4CE2E" w:tentative="1">
      <w:start w:val="1"/>
      <w:numFmt w:val="lowerLetter"/>
      <w:lvlText w:val="%8."/>
      <w:lvlJc w:val="left"/>
      <w:pPr>
        <w:ind w:left="5760" w:hanging="360"/>
      </w:pPr>
    </w:lvl>
    <w:lvl w:ilvl="8" w:tplc="3BB88EF2" w:tentative="1">
      <w:start w:val="1"/>
      <w:numFmt w:val="lowerRoman"/>
      <w:lvlText w:val="%9."/>
      <w:lvlJc w:val="right"/>
      <w:pPr>
        <w:ind w:left="6480" w:hanging="180"/>
      </w:pPr>
    </w:lvl>
  </w:abstractNum>
  <w:abstractNum w:abstractNumId="107" w15:restartNumberingAfterBreak="0">
    <w:nsid w:val="6C149FEF"/>
    <w:multiLevelType w:val="hybridMultilevel"/>
    <w:tmpl w:val="70D2C1F4"/>
    <w:lvl w:ilvl="0" w:tplc="B4385A8A">
      <w:start w:val="1"/>
      <w:numFmt w:val="bullet"/>
      <w:lvlText w:val=""/>
      <w:lvlJc w:val="left"/>
      <w:pPr>
        <w:ind w:left="720" w:hanging="360"/>
      </w:pPr>
      <w:rPr>
        <w:rFonts w:ascii="Symbol" w:hAnsi="Symbol" w:hint="default"/>
      </w:rPr>
    </w:lvl>
    <w:lvl w:ilvl="1" w:tplc="B4387D72">
      <w:start w:val="1"/>
      <w:numFmt w:val="bullet"/>
      <w:lvlText w:val="o"/>
      <w:lvlJc w:val="left"/>
      <w:pPr>
        <w:ind w:left="1440" w:hanging="360"/>
      </w:pPr>
      <w:rPr>
        <w:rFonts w:ascii="Courier New" w:hAnsi="Courier New" w:hint="default"/>
      </w:rPr>
    </w:lvl>
    <w:lvl w:ilvl="2" w:tplc="EEE2D872">
      <w:start w:val="1"/>
      <w:numFmt w:val="bullet"/>
      <w:lvlText w:val=""/>
      <w:lvlJc w:val="left"/>
      <w:pPr>
        <w:ind w:left="2160" w:hanging="360"/>
      </w:pPr>
      <w:rPr>
        <w:rFonts w:ascii="Wingdings" w:hAnsi="Wingdings" w:hint="default"/>
      </w:rPr>
    </w:lvl>
    <w:lvl w:ilvl="3" w:tplc="155A6188">
      <w:start w:val="1"/>
      <w:numFmt w:val="bullet"/>
      <w:lvlText w:val=""/>
      <w:lvlJc w:val="left"/>
      <w:pPr>
        <w:ind w:left="2880" w:hanging="360"/>
      </w:pPr>
      <w:rPr>
        <w:rFonts w:ascii="Symbol" w:hAnsi="Symbol" w:hint="default"/>
      </w:rPr>
    </w:lvl>
    <w:lvl w:ilvl="4" w:tplc="34A6191E">
      <w:start w:val="1"/>
      <w:numFmt w:val="bullet"/>
      <w:lvlText w:val="o"/>
      <w:lvlJc w:val="left"/>
      <w:pPr>
        <w:ind w:left="3600" w:hanging="360"/>
      </w:pPr>
      <w:rPr>
        <w:rFonts w:ascii="Courier New" w:hAnsi="Courier New" w:hint="default"/>
      </w:rPr>
    </w:lvl>
    <w:lvl w:ilvl="5" w:tplc="FF96C82E">
      <w:start w:val="1"/>
      <w:numFmt w:val="bullet"/>
      <w:lvlText w:val=""/>
      <w:lvlJc w:val="left"/>
      <w:pPr>
        <w:ind w:left="4320" w:hanging="360"/>
      </w:pPr>
      <w:rPr>
        <w:rFonts w:ascii="Wingdings" w:hAnsi="Wingdings" w:hint="default"/>
      </w:rPr>
    </w:lvl>
    <w:lvl w:ilvl="6" w:tplc="108C2DF2">
      <w:start w:val="1"/>
      <w:numFmt w:val="bullet"/>
      <w:lvlText w:val=""/>
      <w:lvlJc w:val="left"/>
      <w:pPr>
        <w:ind w:left="5040" w:hanging="360"/>
      </w:pPr>
      <w:rPr>
        <w:rFonts w:ascii="Symbol" w:hAnsi="Symbol" w:hint="default"/>
      </w:rPr>
    </w:lvl>
    <w:lvl w:ilvl="7" w:tplc="E228DDCA">
      <w:start w:val="1"/>
      <w:numFmt w:val="bullet"/>
      <w:lvlText w:val="o"/>
      <w:lvlJc w:val="left"/>
      <w:pPr>
        <w:ind w:left="5760" w:hanging="360"/>
      </w:pPr>
      <w:rPr>
        <w:rFonts w:ascii="Courier New" w:hAnsi="Courier New" w:hint="default"/>
      </w:rPr>
    </w:lvl>
    <w:lvl w:ilvl="8" w:tplc="30EC3688">
      <w:start w:val="1"/>
      <w:numFmt w:val="bullet"/>
      <w:lvlText w:val=""/>
      <w:lvlJc w:val="left"/>
      <w:pPr>
        <w:ind w:left="6480" w:hanging="360"/>
      </w:pPr>
      <w:rPr>
        <w:rFonts w:ascii="Wingdings" w:hAnsi="Wingdings" w:hint="default"/>
      </w:rPr>
    </w:lvl>
  </w:abstractNum>
  <w:abstractNum w:abstractNumId="108" w15:restartNumberingAfterBreak="0">
    <w:nsid w:val="6CBE005E"/>
    <w:multiLevelType w:val="hybridMultilevel"/>
    <w:tmpl w:val="A6163874"/>
    <w:lvl w:ilvl="0" w:tplc="272C0D54">
      <w:start w:val="1"/>
      <w:numFmt w:val="bullet"/>
      <w:lvlText w:val=""/>
      <w:lvlJc w:val="left"/>
      <w:pPr>
        <w:ind w:left="1004" w:hanging="360"/>
      </w:pPr>
      <w:rPr>
        <w:rFonts w:ascii="Symbol" w:hAnsi="Symbol" w:hint="default"/>
      </w:rPr>
    </w:lvl>
    <w:lvl w:ilvl="1" w:tplc="9D764600">
      <w:start w:val="1"/>
      <w:numFmt w:val="bullet"/>
      <w:lvlText w:val="o"/>
      <w:lvlJc w:val="left"/>
      <w:pPr>
        <w:ind w:left="1724" w:hanging="360"/>
      </w:pPr>
      <w:rPr>
        <w:rFonts w:ascii="Courier New" w:hAnsi="Courier New" w:cs="Courier New" w:hint="default"/>
      </w:rPr>
    </w:lvl>
    <w:lvl w:ilvl="2" w:tplc="FBEC0F52">
      <w:start w:val="1"/>
      <w:numFmt w:val="bullet"/>
      <w:lvlText w:val=""/>
      <w:lvlJc w:val="left"/>
      <w:pPr>
        <w:ind w:left="2444" w:hanging="360"/>
      </w:pPr>
      <w:rPr>
        <w:rFonts w:ascii="Wingdings" w:hAnsi="Wingdings" w:hint="default"/>
      </w:rPr>
    </w:lvl>
    <w:lvl w:ilvl="3" w:tplc="3DFC7394">
      <w:start w:val="1"/>
      <w:numFmt w:val="bullet"/>
      <w:lvlText w:val=""/>
      <w:lvlJc w:val="left"/>
      <w:pPr>
        <w:ind w:left="3164" w:hanging="360"/>
      </w:pPr>
      <w:rPr>
        <w:rFonts w:ascii="Symbol" w:hAnsi="Symbol" w:hint="default"/>
      </w:rPr>
    </w:lvl>
    <w:lvl w:ilvl="4" w:tplc="79845D28">
      <w:start w:val="1"/>
      <w:numFmt w:val="bullet"/>
      <w:lvlText w:val="o"/>
      <w:lvlJc w:val="left"/>
      <w:pPr>
        <w:ind w:left="3884" w:hanging="360"/>
      </w:pPr>
      <w:rPr>
        <w:rFonts w:ascii="Courier New" w:hAnsi="Courier New" w:cs="Courier New" w:hint="default"/>
      </w:rPr>
    </w:lvl>
    <w:lvl w:ilvl="5" w:tplc="413AE222">
      <w:start w:val="1"/>
      <w:numFmt w:val="bullet"/>
      <w:lvlText w:val=""/>
      <w:lvlJc w:val="left"/>
      <w:pPr>
        <w:ind w:left="4604" w:hanging="360"/>
      </w:pPr>
      <w:rPr>
        <w:rFonts w:ascii="Wingdings" w:hAnsi="Wingdings" w:hint="default"/>
      </w:rPr>
    </w:lvl>
    <w:lvl w:ilvl="6" w:tplc="C38ED2B4">
      <w:start w:val="1"/>
      <w:numFmt w:val="bullet"/>
      <w:lvlText w:val=""/>
      <w:lvlJc w:val="left"/>
      <w:pPr>
        <w:ind w:left="5324" w:hanging="360"/>
      </w:pPr>
      <w:rPr>
        <w:rFonts w:ascii="Symbol" w:hAnsi="Symbol" w:hint="default"/>
      </w:rPr>
    </w:lvl>
    <w:lvl w:ilvl="7" w:tplc="FBAA5BE8">
      <w:start w:val="1"/>
      <w:numFmt w:val="bullet"/>
      <w:lvlText w:val="o"/>
      <w:lvlJc w:val="left"/>
      <w:pPr>
        <w:ind w:left="6044" w:hanging="360"/>
      </w:pPr>
      <w:rPr>
        <w:rFonts w:ascii="Courier New" w:hAnsi="Courier New" w:cs="Courier New" w:hint="default"/>
      </w:rPr>
    </w:lvl>
    <w:lvl w:ilvl="8" w:tplc="60E6F63E">
      <w:start w:val="1"/>
      <w:numFmt w:val="bullet"/>
      <w:lvlText w:val=""/>
      <w:lvlJc w:val="left"/>
      <w:pPr>
        <w:ind w:left="6764" w:hanging="360"/>
      </w:pPr>
      <w:rPr>
        <w:rFonts w:ascii="Wingdings" w:hAnsi="Wingdings" w:hint="default"/>
      </w:rPr>
    </w:lvl>
  </w:abstractNum>
  <w:abstractNum w:abstractNumId="109" w15:restartNumberingAfterBreak="0">
    <w:nsid w:val="710763C4"/>
    <w:multiLevelType w:val="hybridMultilevel"/>
    <w:tmpl w:val="2000F68C"/>
    <w:lvl w:ilvl="0" w:tplc="14681F86">
      <w:start w:val="1"/>
      <w:numFmt w:val="bullet"/>
      <w:lvlText w:val=""/>
      <w:lvlJc w:val="left"/>
      <w:pPr>
        <w:ind w:left="770" w:hanging="360"/>
      </w:pPr>
      <w:rPr>
        <w:rFonts w:ascii="Symbol" w:hAnsi="Symbol" w:hint="default"/>
      </w:rPr>
    </w:lvl>
    <w:lvl w:ilvl="1" w:tplc="984C3FB0">
      <w:start w:val="1"/>
      <w:numFmt w:val="bullet"/>
      <w:lvlText w:val="o"/>
      <w:lvlJc w:val="left"/>
      <w:pPr>
        <w:ind w:left="1490" w:hanging="360"/>
      </w:pPr>
      <w:rPr>
        <w:rFonts w:ascii="Courier New" w:hAnsi="Courier New" w:cs="Courier New" w:hint="default"/>
      </w:rPr>
    </w:lvl>
    <w:lvl w:ilvl="2" w:tplc="CB7017CA">
      <w:start w:val="1"/>
      <w:numFmt w:val="bullet"/>
      <w:lvlText w:val=""/>
      <w:lvlJc w:val="left"/>
      <w:pPr>
        <w:ind w:left="2210" w:hanging="360"/>
      </w:pPr>
      <w:rPr>
        <w:rFonts w:ascii="Wingdings" w:hAnsi="Wingdings" w:hint="default"/>
      </w:rPr>
    </w:lvl>
    <w:lvl w:ilvl="3" w:tplc="F4726080">
      <w:start w:val="1"/>
      <w:numFmt w:val="bullet"/>
      <w:lvlText w:val=""/>
      <w:lvlJc w:val="left"/>
      <w:pPr>
        <w:ind w:left="2930" w:hanging="360"/>
      </w:pPr>
      <w:rPr>
        <w:rFonts w:ascii="Symbol" w:hAnsi="Symbol" w:hint="default"/>
      </w:rPr>
    </w:lvl>
    <w:lvl w:ilvl="4" w:tplc="6B46EAAA">
      <w:start w:val="1"/>
      <w:numFmt w:val="bullet"/>
      <w:lvlText w:val="o"/>
      <w:lvlJc w:val="left"/>
      <w:pPr>
        <w:ind w:left="3650" w:hanging="360"/>
      </w:pPr>
      <w:rPr>
        <w:rFonts w:ascii="Courier New" w:hAnsi="Courier New" w:cs="Courier New" w:hint="default"/>
      </w:rPr>
    </w:lvl>
    <w:lvl w:ilvl="5" w:tplc="0E2E53F0">
      <w:start w:val="1"/>
      <w:numFmt w:val="bullet"/>
      <w:lvlText w:val=""/>
      <w:lvlJc w:val="left"/>
      <w:pPr>
        <w:ind w:left="4370" w:hanging="360"/>
      </w:pPr>
      <w:rPr>
        <w:rFonts w:ascii="Wingdings" w:hAnsi="Wingdings" w:hint="default"/>
      </w:rPr>
    </w:lvl>
    <w:lvl w:ilvl="6" w:tplc="8CC6F8E2">
      <w:start w:val="1"/>
      <w:numFmt w:val="bullet"/>
      <w:lvlText w:val=""/>
      <w:lvlJc w:val="left"/>
      <w:pPr>
        <w:ind w:left="5090" w:hanging="360"/>
      </w:pPr>
      <w:rPr>
        <w:rFonts w:ascii="Symbol" w:hAnsi="Symbol" w:hint="default"/>
      </w:rPr>
    </w:lvl>
    <w:lvl w:ilvl="7" w:tplc="9CCCE02A">
      <w:start w:val="1"/>
      <w:numFmt w:val="bullet"/>
      <w:lvlText w:val="o"/>
      <w:lvlJc w:val="left"/>
      <w:pPr>
        <w:ind w:left="5810" w:hanging="360"/>
      </w:pPr>
      <w:rPr>
        <w:rFonts w:ascii="Courier New" w:hAnsi="Courier New" w:cs="Courier New" w:hint="default"/>
      </w:rPr>
    </w:lvl>
    <w:lvl w:ilvl="8" w:tplc="2F36B1E6">
      <w:start w:val="1"/>
      <w:numFmt w:val="bullet"/>
      <w:lvlText w:val=""/>
      <w:lvlJc w:val="left"/>
      <w:pPr>
        <w:ind w:left="6530" w:hanging="360"/>
      </w:pPr>
      <w:rPr>
        <w:rFonts w:ascii="Wingdings" w:hAnsi="Wingdings" w:hint="default"/>
      </w:rPr>
    </w:lvl>
  </w:abstractNum>
  <w:abstractNum w:abstractNumId="110" w15:restartNumberingAfterBreak="0">
    <w:nsid w:val="71435C08"/>
    <w:multiLevelType w:val="hybridMultilevel"/>
    <w:tmpl w:val="B75A9F22"/>
    <w:lvl w:ilvl="0" w:tplc="E5BE37CC">
      <w:start w:val="1"/>
      <w:numFmt w:val="decimal"/>
      <w:lvlText w:val="%1."/>
      <w:lvlJc w:val="left"/>
      <w:pPr>
        <w:ind w:left="720" w:hanging="360"/>
      </w:pPr>
      <w:rPr>
        <w:rFonts w:ascii="Arial" w:eastAsiaTheme="minorHAnsi" w:hAnsi="Arial" w:cs="Arial"/>
      </w:rPr>
    </w:lvl>
    <w:lvl w:ilvl="1" w:tplc="17FEE18A" w:tentative="1">
      <w:start w:val="1"/>
      <w:numFmt w:val="bullet"/>
      <w:lvlText w:val="o"/>
      <w:lvlJc w:val="left"/>
      <w:pPr>
        <w:ind w:left="1440" w:hanging="360"/>
      </w:pPr>
      <w:rPr>
        <w:rFonts w:ascii="Courier New" w:hAnsi="Courier New" w:cs="Courier New" w:hint="default"/>
      </w:rPr>
    </w:lvl>
    <w:lvl w:ilvl="2" w:tplc="0E08C72E" w:tentative="1">
      <w:start w:val="1"/>
      <w:numFmt w:val="bullet"/>
      <w:lvlText w:val=""/>
      <w:lvlJc w:val="left"/>
      <w:pPr>
        <w:ind w:left="2160" w:hanging="360"/>
      </w:pPr>
      <w:rPr>
        <w:rFonts w:ascii="Wingdings" w:hAnsi="Wingdings" w:hint="default"/>
      </w:rPr>
    </w:lvl>
    <w:lvl w:ilvl="3" w:tplc="C7E8C4D6" w:tentative="1">
      <w:start w:val="1"/>
      <w:numFmt w:val="bullet"/>
      <w:lvlText w:val=""/>
      <w:lvlJc w:val="left"/>
      <w:pPr>
        <w:ind w:left="2880" w:hanging="360"/>
      </w:pPr>
      <w:rPr>
        <w:rFonts w:ascii="Symbol" w:hAnsi="Symbol" w:hint="default"/>
      </w:rPr>
    </w:lvl>
    <w:lvl w:ilvl="4" w:tplc="B72EED4C" w:tentative="1">
      <w:start w:val="1"/>
      <w:numFmt w:val="bullet"/>
      <w:lvlText w:val="o"/>
      <w:lvlJc w:val="left"/>
      <w:pPr>
        <w:ind w:left="3600" w:hanging="360"/>
      </w:pPr>
      <w:rPr>
        <w:rFonts w:ascii="Courier New" w:hAnsi="Courier New" w:cs="Courier New" w:hint="default"/>
      </w:rPr>
    </w:lvl>
    <w:lvl w:ilvl="5" w:tplc="05FAA7AA" w:tentative="1">
      <w:start w:val="1"/>
      <w:numFmt w:val="bullet"/>
      <w:lvlText w:val=""/>
      <w:lvlJc w:val="left"/>
      <w:pPr>
        <w:ind w:left="4320" w:hanging="360"/>
      </w:pPr>
      <w:rPr>
        <w:rFonts w:ascii="Wingdings" w:hAnsi="Wingdings" w:hint="default"/>
      </w:rPr>
    </w:lvl>
    <w:lvl w:ilvl="6" w:tplc="B268F47E" w:tentative="1">
      <w:start w:val="1"/>
      <w:numFmt w:val="bullet"/>
      <w:lvlText w:val=""/>
      <w:lvlJc w:val="left"/>
      <w:pPr>
        <w:ind w:left="5040" w:hanging="360"/>
      </w:pPr>
      <w:rPr>
        <w:rFonts w:ascii="Symbol" w:hAnsi="Symbol" w:hint="default"/>
      </w:rPr>
    </w:lvl>
    <w:lvl w:ilvl="7" w:tplc="06C06904" w:tentative="1">
      <w:start w:val="1"/>
      <w:numFmt w:val="bullet"/>
      <w:lvlText w:val="o"/>
      <w:lvlJc w:val="left"/>
      <w:pPr>
        <w:ind w:left="5760" w:hanging="360"/>
      </w:pPr>
      <w:rPr>
        <w:rFonts w:ascii="Courier New" w:hAnsi="Courier New" w:cs="Courier New" w:hint="default"/>
      </w:rPr>
    </w:lvl>
    <w:lvl w:ilvl="8" w:tplc="2E54B3CA" w:tentative="1">
      <w:start w:val="1"/>
      <w:numFmt w:val="bullet"/>
      <w:lvlText w:val=""/>
      <w:lvlJc w:val="left"/>
      <w:pPr>
        <w:ind w:left="6480" w:hanging="360"/>
      </w:pPr>
      <w:rPr>
        <w:rFonts w:ascii="Wingdings" w:hAnsi="Wingdings" w:hint="default"/>
      </w:rPr>
    </w:lvl>
  </w:abstractNum>
  <w:abstractNum w:abstractNumId="111" w15:restartNumberingAfterBreak="0">
    <w:nsid w:val="72CB1DAD"/>
    <w:multiLevelType w:val="hybridMultilevel"/>
    <w:tmpl w:val="8952A460"/>
    <w:lvl w:ilvl="0" w:tplc="809EC9A4">
      <w:start w:val="1"/>
      <w:numFmt w:val="bullet"/>
      <w:lvlText w:val=""/>
      <w:lvlJc w:val="left"/>
      <w:pPr>
        <w:ind w:left="780" w:hanging="360"/>
      </w:pPr>
      <w:rPr>
        <w:rFonts w:ascii="Symbol" w:hAnsi="Symbol" w:hint="default"/>
      </w:rPr>
    </w:lvl>
    <w:lvl w:ilvl="1" w:tplc="3CF4D384" w:tentative="1">
      <w:start w:val="1"/>
      <w:numFmt w:val="bullet"/>
      <w:lvlText w:val="o"/>
      <w:lvlJc w:val="left"/>
      <w:pPr>
        <w:ind w:left="1500" w:hanging="360"/>
      </w:pPr>
      <w:rPr>
        <w:rFonts w:ascii="Courier New" w:hAnsi="Courier New" w:cs="Courier New" w:hint="default"/>
      </w:rPr>
    </w:lvl>
    <w:lvl w:ilvl="2" w:tplc="038EB234" w:tentative="1">
      <w:start w:val="1"/>
      <w:numFmt w:val="bullet"/>
      <w:lvlText w:val=""/>
      <w:lvlJc w:val="left"/>
      <w:pPr>
        <w:ind w:left="2220" w:hanging="360"/>
      </w:pPr>
      <w:rPr>
        <w:rFonts w:ascii="Wingdings" w:hAnsi="Wingdings" w:hint="default"/>
      </w:rPr>
    </w:lvl>
    <w:lvl w:ilvl="3" w:tplc="22A0D5E2" w:tentative="1">
      <w:start w:val="1"/>
      <w:numFmt w:val="bullet"/>
      <w:lvlText w:val=""/>
      <w:lvlJc w:val="left"/>
      <w:pPr>
        <w:ind w:left="2940" w:hanging="360"/>
      </w:pPr>
      <w:rPr>
        <w:rFonts w:ascii="Symbol" w:hAnsi="Symbol" w:hint="default"/>
      </w:rPr>
    </w:lvl>
    <w:lvl w:ilvl="4" w:tplc="01F0966E" w:tentative="1">
      <w:start w:val="1"/>
      <w:numFmt w:val="bullet"/>
      <w:lvlText w:val="o"/>
      <w:lvlJc w:val="left"/>
      <w:pPr>
        <w:ind w:left="3660" w:hanging="360"/>
      </w:pPr>
      <w:rPr>
        <w:rFonts w:ascii="Courier New" w:hAnsi="Courier New" w:cs="Courier New" w:hint="default"/>
      </w:rPr>
    </w:lvl>
    <w:lvl w:ilvl="5" w:tplc="8722C940" w:tentative="1">
      <w:start w:val="1"/>
      <w:numFmt w:val="bullet"/>
      <w:lvlText w:val=""/>
      <w:lvlJc w:val="left"/>
      <w:pPr>
        <w:ind w:left="4380" w:hanging="360"/>
      </w:pPr>
      <w:rPr>
        <w:rFonts w:ascii="Wingdings" w:hAnsi="Wingdings" w:hint="default"/>
      </w:rPr>
    </w:lvl>
    <w:lvl w:ilvl="6" w:tplc="49407E16" w:tentative="1">
      <w:start w:val="1"/>
      <w:numFmt w:val="bullet"/>
      <w:lvlText w:val=""/>
      <w:lvlJc w:val="left"/>
      <w:pPr>
        <w:ind w:left="5100" w:hanging="360"/>
      </w:pPr>
      <w:rPr>
        <w:rFonts w:ascii="Symbol" w:hAnsi="Symbol" w:hint="default"/>
      </w:rPr>
    </w:lvl>
    <w:lvl w:ilvl="7" w:tplc="B7CEF7BA" w:tentative="1">
      <w:start w:val="1"/>
      <w:numFmt w:val="bullet"/>
      <w:lvlText w:val="o"/>
      <w:lvlJc w:val="left"/>
      <w:pPr>
        <w:ind w:left="5820" w:hanging="360"/>
      </w:pPr>
      <w:rPr>
        <w:rFonts w:ascii="Courier New" w:hAnsi="Courier New" w:cs="Courier New" w:hint="default"/>
      </w:rPr>
    </w:lvl>
    <w:lvl w:ilvl="8" w:tplc="5888CF78" w:tentative="1">
      <w:start w:val="1"/>
      <w:numFmt w:val="bullet"/>
      <w:lvlText w:val=""/>
      <w:lvlJc w:val="left"/>
      <w:pPr>
        <w:ind w:left="6540" w:hanging="360"/>
      </w:pPr>
      <w:rPr>
        <w:rFonts w:ascii="Wingdings" w:hAnsi="Wingdings" w:hint="default"/>
      </w:rPr>
    </w:lvl>
  </w:abstractNum>
  <w:abstractNum w:abstractNumId="112" w15:restartNumberingAfterBreak="0">
    <w:nsid w:val="751A4AD9"/>
    <w:multiLevelType w:val="hybridMultilevel"/>
    <w:tmpl w:val="4620C66E"/>
    <w:lvl w:ilvl="0" w:tplc="A5AC616C">
      <w:start w:val="1"/>
      <w:numFmt w:val="bullet"/>
      <w:lvlText w:val=""/>
      <w:lvlJc w:val="left"/>
      <w:pPr>
        <w:ind w:left="720" w:hanging="360"/>
      </w:pPr>
      <w:rPr>
        <w:rFonts w:ascii="Symbol" w:hAnsi="Symbol" w:hint="default"/>
      </w:rPr>
    </w:lvl>
    <w:lvl w:ilvl="1" w:tplc="05443C02" w:tentative="1">
      <w:start w:val="1"/>
      <w:numFmt w:val="bullet"/>
      <w:lvlText w:val="o"/>
      <w:lvlJc w:val="left"/>
      <w:pPr>
        <w:ind w:left="1440" w:hanging="360"/>
      </w:pPr>
      <w:rPr>
        <w:rFonts w:ascii="Courier New" w:hAnsi="Courier New" w:cs="Courier New" w:hint="default"/>
      </w:rPr>
    </w:lvl>
    <w:lvl w:ilvl="2" w:tplc="9126F782" w:tentative="1">
      <w:start w:val="1"/>
      <w:numFmt w:val="bullet"/>
      <w:lvlText w:val=""/>
      <w:lvlJc w:val="left"/>
      <w:pPr>
        <w:ind w:left="2160" w:hanging="360"/>
      </w:pPr>
      <w:rPr>
        <w:rFonts w:ascii="Wingdings" w:hAnsi="Wingdings" w:hint="default"/>
      </w:rPr>
    </w:lvl>
    <w:lvl w:ilvl="3" w:tplc="FCF4D4F6" w:tentative="1">
      <w:start w:val="1"/>
      <w:numFmt w:val="bullet"/>
      <w:lvlText w:val=""/>
      <w:lvlJc w:val="left"/>
      <w:pPr>
        <w:ind w:left="2880" w:hanging="360"/>
      </w:pPr>
      <w:rPr>
        <w:rFonts w:ascii="Symbol" w:hAnsi="Symbol" w:hint="default"/>
      </w:rPr>
    </w:lvl>
    <w:lvl w:ilvl="4" w:tplc="7BD8A0CA" w:tentative="1">
      <w:start w:val="1"/>
      <w:numFmt w:val="bullet"/>
      <w:lvlText w:val="o"/>
      <w:lvlJc w:val="left"/>
      <w:pPr>
        <w:ind w:left="3600" w:hanging="360"/>
      </w:pPr>
      <w:rPr>
        <w:rFonts w:ascii="Courier New" w:hAnsi="Courier New" w:cs="Courier New" w:hint="default"/>
      </w:rPr>
    </w:lvl>
    <w:lvl w:ilvl="5" w:tplc="F5D825B8" w:tentative="1">
      <w:start w:val="1"/>
      <w:numFmt w:val="bullet"/>
      <w:lvlText w:val=""/>
      <w:lvlJc w:val="left"/>
      <w:pPr>
        <w:ind w:left="4320" w:hanging="360"/>
      </w:pPr>
      <w:rPr>
        <w:rFonts w:ascii="Wingdings" w:hAnsi="Wingdings" w:hint="default"/>
      </w:rPr>
    </w:lvl>
    <w:lvl w:ilvl="6" w:tplc="60F05BAA" w:tentative="1">
      <w:start w:val="1"/>
      <w:numFmt w:val="bullet"/>
      <w:lvlText w:val=""/>
      <w:lvlJc w:val="left"/>
      <w:pPr>
        <w:ind w:left="5040" w:hanging="360"/>
      </w:pPr>
      <w:rPr>
        <w:rFonts w:ascii="Symbol" w:hAnsi="Symbol" w:hint="default"/>
      </w:rPr>
    </w:lvl>
    <w:lvl w:ilvl="7" w:tplc="04720B44" w:tentative="1">
      <w:start w:val="1"/>
      <w:numFmt w:val="bullet"/>
      <w:lvlText w:val="o"/>
      <w:lvlJc w:val="left"/>
      <w:pPr>
        <w:ind w:left="5760" w:hanging="360"/>
      </w:pPr>
      <w:rPr>
        <w:rFonts w:ascii="Courier New" w:hAnsi="Courier New" w:cs="Courier New" w:hint="default"/>
      </w:rPr>
    </w:lvl>
    <w:lvl w:ilvl="8" w:tplc="9CEC8C58" w:tentative="1">
      <w:start w:val="1"/>
      <w:numFmt w:val="bullet"/>
      <w:lvlText w:val=""/>
      <w:lvlJc w:val="left"/>
      <w:pPr>
        <w:ind w:left="6480" w:hanging="360"/>
      </w:pPr>
      <w:rPr>
        <w:rFonts w:ascii="Wingdings" w:hAnsi="Wingdings" w:hint="default"/>
      </w:rPr>
    </w:lvl>
  </w:abstractNum>
  <w:abstractNum w:abstractNumId="113" w15:restartNumberingAfterBreak="0">
    <w:nsid w:val="75714D69"/>
    <w:multiLevelType w:val="hybridMultilevel"/>
    <w:tmpl w:val="E854728A"/>
    <w:lvl w:ilvl="0" w:tplc="49FA8604">
      <w:start w:val="1"/>
      <w:numFmt w:val="bullet"/>
      <w:lvlText w:val=""/>
      <w:lvlJc w:val="left"/>
      <w:pPr>
        <w:ind w:left="720" w:hanging="360"/>
      </w:pPr>
      <w:rPr>
        <w:rFonts w:ascii="Symbol" w:hAnsi="Symbol" w:hint="default"/>
      </w:rPr>
    </w:lvl>
    <w:lvl w:ilvl="1" w:tplc="C776A018" w:tentative="1">
      <w:start w:val="1"/>
      <w:numFmt w:val="bullet"/>
      <w:lvlText w:val="o"/>
      <w:lvlJc w:val="left"/>
      <w:pPr>
        <w:ind w:left="1440" w:hanging="360"/>
      </w:pPr>
      <w:rPr>
        <w:rFonts w:ascii="Courier New" w:hAnsi="Courier New" w:cs="Courier New" w:hint="default"/>
      </w:rPr>
    </w:lvl>
    <w:lvl w:ilvl="2" w:tplc="5C209778" w:tentative="1">
      <w:start w:val="1"/>
      <w:numFmt w:val="bullet"/>
      <w:lvlText w:val=""/>
      <w:lvlJc w:val="left"/>
      <w:pPr>
        <w:ind w:left="2160" w:hanging="360"/>
      </w:pPr>
      <w:rPr>
        <w:rFonts w:ascii="Wingdings" w:hAnsi="Wingdings" w:hint="default"/>
      </w:rPr>
    </w:lvl>
    <w:lvl w:ilvl="3" w:tplc="6E60DF54" w:tentative="1">
      <w:start w:val="1"/>
      <w:numFmt w:val="bullet"/>
      <w:lvlText w:val=""/>
      <w:lvlJc w:val="left"/>
      <w:pPr>
        <w:ind w:left="2880" w:hanging="360"/>
      </w:pPr>
      <w:rPr>
        <w:rFonts w:ascii="Symbol" w:hAnsi="Symbol" w:hint="default"/>
      </w:rPr>
    </w:lvl>
    <w:lvl w:ilvl="4" w:tplc="3DC4F006" w:tentative="1">
      <w:start w:val="1"/>
      <w:numFmt w:val="bullet"/>
      <w:lvlText w:val="o"/>
      <w:lvlJc w:val="left"/>
      <w:pPr>
        <w:ind w:left="3600" w:hanging="360"/>
      </w:pPr>
      <w:rPr>
        <w:rFonts w:ascii="Courier New" w:hAnsi="Courier New" w:cs="Courier New" w:hint="default"/>
      </w:rPr>
    </w:lvl>
    <w:lvl w:ilvl="5" w:tplc="A7504442" w:tentative="1">
      <w:start w:val="1"/>
      <w:numFmt w:val="bullet"/>
      <w:lvlText w:val=""/>
      <w:lvlJc w:val="left"/>
      <w:pPr>
        <w:ind w:left="4320" w:hanging="360"/>
      </w:pPr>
      <w:rPr>
        <w:rFonts w:ascii="Wingdings" w:hAnsi="Wingdings" w:hint="default"/>
      </w:rPr>
    </w:lvl>
    <w:lvl w:ilvl="6" w:tplc="FF808992" w:tentative="1">
      <w:start w:val="1"/>
      <w:numFmt w:val="bullet"/>
      <w:lvlText w:val=""/>
      <w:lvlJc w:val="left"/>
      <w:pPr>
        <w:ind w:left="5040" w:hanging="360"/>
      </w:pPr>
      <w:rPr>
        <w:rFonts w:ascii="Symbol" w:hAnsi="Symbol" w:hint="default"/>
      </w:rPr>
    </w:lvl>
    <w:lvl w:ilvl="7" w:tplc="35B8653A" w:tentative="1">
      <w:start w:val="1"/>
      <w:numFmt w:val="bullet"/>
      <w:lvlText w:val="o"/>
      <w:lvlJc w:val="left"/>
      <w:pPr>
        <w:ind w:left="5760" w:hanging="360"/>
      </w:pPr>
      <w:rPr>
        <w:rFonts w:ascii="Courier New" w:hAnsi="Courier New" w:cs="Courier New" w:hint="default"/>
      </w:rPr>
    </w:lvl>
    <w:lvl w:ilvl="8" w:tplc="E87EDE94" w:tentative="1">
      <w:start w:val="1"/>
      <w:numFmt w:val="bullet"/>
      <w:lvlText w:val=""/>
      <w:lvlJc w:val="left"/>
      <w:pPr>
        <w:ind w:left="6480" w:hanging="360"/>
      </w:pPr>
      <w:rPr>
        <w:rFonts w:ascii="Wingdings" w:hAnsi="Wingdings" w:hint="default"/>
      </w:rPr>
    </w:lvl>
  </w:abstractNum>
  <w:abstractNum w:abstractNumId="114" w15:restartNumberingAfterBreak="0">
    <w:nsid w:val="757F622F"/>
    <w:multiLevelType w:val="hybridMultilevel"/>
    <w:tmpl w:val="DC5AE370"/>
    <w:lvl w:ilvl="0" w:tplc="9D16D134">
      <w:start w:val="1"/>
      <w:numFmt w:val="bullet"/>
      <w:lvlText w:val=""/>
      <w:lvlJc w:val="left"/>
      <w:pPr>
        <w:ind w:left="720" w:hanging="360"/>
      </w:pPr>
      <w:rPr>
        <w:rFonts w:ascii="Symbol" w:hAnsi="Symbol" w:hint="default"/>
      </w:rPr>
    </w:lvl>
    <w:lvl w:ilvl="1" w:tplc="41D2900E" w:tentative="1">
      <w:start w:val="1"/>
      <w:numFmt w:val="bullet"/>
      <w:lvlText w:val="o"/>
      <w:lvlJc w:val="left"/>
      <w:pPr>
        <w:ind w:left="1440" w:hanging="360"/>
      </w:pPr>
      <w:rPr>
        <w:rFonts w:ascii="Courier New" w:hAnsi="Courier New" w:cs="Courier New" w:hint="default"/>
      </w:rPr>
    </w:lvl>
    <w:lvl w:ilvl="2" w:tplc="ECEEF044" w:tentative="1">
      <w:start w:val="1"/>
      <w:numFmt w:val="bullet"/>
      <w:lvlText w:val=""/>
      <w:lvlJc w:val="left"/>
      <w:pPr>
        <w:ind w:left="2160" w:hanging="360"/>
      </w:pPr>
      <w:rPr>
        <w:rFonts w:ascii="Wingdings" w:hAnsi="Wingdings" w:hint="default"/>
      </w:rPr>
    </w:lvl>
    <w:lvl w:ilvl="3" w:tplc="E1A2A2BE" w:tentative="1">
      <w:start w:val="1"/>
      <w:numFmt w:val="bullet"/>
      <w:lvlText w:val=""/>
      <w:lvlJc w:val="left"/>
      <w:pPr>
        <w:ind w:left="2880" w:hanging="360"/>
      </w:pPr>
      <w:rPr>
        <w:rFonts w:ascii="Symbol" w:hAnsi="Symbol" w:hint="default"/>
      </w:rPr>
    </w:lvl>
    <w:lvl w:ilvl="4" w:tplc="CFE879C4" w:tentative="1">
      <w:start w:val="1"/>
      <w:numFmt w:val="bullet"/>
      <w:lvlText w:val="o"/>
      <w:lvlJc w:val="left"/>
      <w:pPr>
        <w:ind w:left="3600" w:hanging="360"/>
      </w:pPr>
      <w:rPr>
        <w:rFonts w:ascii="Courier New" w:hAnsi="Courier New" w:cs="Courier New" w:hint="default"/>
      </w:rPr>
    </w:lvl>
    <w:lvl w:ilvl="5" w:tplc="BA6678B2" w:tentative="1">
      <w:start w:val="1"/>
      <w:numFmt w:val="bullet"/>
      <w:lvlText w:val=""/>
      <w:lvlJc w:val="left"/>
      <w:pPr>
        <w:ind w:left="4320" w:hanging="360"/>
      </w:pPr>
      <w:rPr>
        <w:rFonts w:ascii="Wingdings" w:hAnsi="Wingdings" w:hint="default"/>
      </w:rPr>
    </w:lvl>
    <w:lvl w:ilvl="6" w:tplc="CBD05DF0" w:tentative="1">
      <w:start w:val="1"/>
      <w:numFmt w:val="bullet"/>
      <w:lvlText w:val=""/>
      <w:lvlJc w:val="left"/>
      <w:pPr>
        <w:ind w:left="5040" w:hanging="360"/>
      </w:pPr>
      <w:rPr>
        <w:rFonts w:ascii="Symbol" w:hAnsi="Symbol" w:hint="default"/>
      </w:rPr>
    </w:lvl>
    <w:lvl w:ilvl="7" w:tplc="1D58F8E2" w:tentative="1">
      <w:start w:val="1"/>
      <w:numFmt w:val="bullet"/>
      <w:lvlText w:val="o"/>
      <w:lvlJc w:val="left"/>
      <w:pPr>
        <w:ind w:left="5760" w:hanging="360"/>
      </w:pPr>
      <w:rPr>
        <w:rFonts w:ascii="Courier New" w:hAnsi="Courier New" w:cs="Courier New" w:hint="default"/>
      </w:rPr>
    </w:lvl>
    <w:lvl w:ilvl="8" w:tplc="AA2014AA" w:tentative="1">
      <w:start w:val="1"/>
      <w:numFmt w:val="bullet"/>
      <w:lvlText w:val=""/>
      <w:lvlJc w:val="left"/>
      <w:pPr>
        <w:ind w:left="6480" w:hanging="360"/>
      </w:pPr>
      <w:rPr>
        <w:rFonts w:ascii="Wingdings" w:hAnsi="Wingdings" w:hint="default"/>
      </w:rPr>
    </w:lvl>
  </w:abstractNum>
  <w:abstractNum w:abstractNumId="115" w15:restartNumberingAfterBreak="0">
    <w:nsid w:val="76A31E0F"/>
    <w:multiLevelType w:val="hybridMultilevel"/>
    <w:tmpl w:val="6748A4A6"/>
    <w:lvl w:ilvl="0" w:tplc="4A4E0AE4">
      <w:start w:val="1"/>
      <w:numFmt w:val="lowerRoman"/>
      <w:lvlText w:val="%1)"/>
      <w:lvlJc w:val="left"/>
      <w:pPr>
        <w:ind w:left="2160" w:hanging="720"/>
      </w:pPr>
      <w:rPr>
        <w:rFonts w:hint="default"/>
      </w:rPr>
    </w:lvl>
    <w:lvl w:ilvl="1" w:tplc="41FCDA04">
      <w:start w:val="1"/>
      <w:numFmt w:val="lowerLetter"/>
      <w:lvlText w:val="%2."/>
      <w:lvlJc w:val="left"/>
      <w:pPr>
        <w:ind w:left="2520" w:hanging="360"/>
      </w:pPr>
    </w:lvl>
    <w:lvl w:ilvl="2" w:tplc="5EB2563E" w:tentative="1">
      <w:start w:val="1"/>
      <w:numFmt w:val="lowerRoman"/>
      <w:lvlText w:val="%3."/>
      <w:lvlJc w:val="right"/>
      <w:pPr>
        <w:ind w:left="3240" w:hanging="180"/>
      </w:pPr>
    </w:lvl>
    <w:lvl w:ilvl="3" w:tplc="05E0D6F4" w:tentative="1">
      <w:start w:val="1"/>
      <w:numFmt w:val="decimal"/>
      <w:lvlText w:val="%4."/>
      <w:lvlJc w:val="left"/>
      <w:pPr>
        <w:ind w:left="3960" w:hanging="360"/>
      </w:pPr>
    </w:lvl>
    <w:lvl w:ilvl="4" w:tplc="E5069346" w:tentative="1">
      <w:start w:val="1"/>
      <w:numFmt w:val="lowerLetter"/>
      <w:lvlText w:val="%5."/>
      <w:lvlJc w:val="left"/>
      <w:pPr>
        <w:ind w:left="4680" w:hanging="360"/>
      </w:pPr>
    </w:lvl>
    <w:lvl w:ilvl="5" w:tplc="5AC21F1E" w:tentative="1">
      <w:start w:val="1"/>
      <w:numFmt w:val="lowerRoman"/>
      <w:lvlText w:val="%6."/>
      <w:lvlJc w:val="right"/>
      <w:pPr>
        <w:ind w:left="5400" w:hanging="180"/>
      </w:pPr>
    </w:lvl>
    <w:lvl w:ilvl="6" w:tplc="156AC0FA" w:tentative="1">
      <w:start w:val="1"/>
      <w:numFmt w:val="decimal"/>
      <w:lvlText w:val="%7."/>
      <w:lvlJc w:val="left"/>
      <w:pPr>
        <w:ind w:left="6120" w:hanging="360"/>
      </w:pPr>
    </w:lvl>
    <w:lvl w:ilvl="7" w:tplc="AC302C80" w:tentative="1">
      <w:start w:val="1"/>
      <w:numFmt w:val="lowerLetter"/>
      <w:lvlText w:val="%8."/>
      <w:lvlJc w:val="left"/>
      <w:pPr>
        <w:ind w:left="6840" w:hanging="360"/>
      </w:pPr>
    </w:lvl>
    <w:lvl w:ilvl="8" w:tplc="7C5428B2" w:tentative="1">
      <w:start w:val="1"/>
      <w:numFmt w:val="lowerRoman"/>
      <w:lvlText w:val="%9."/>
      <w:lvlJc w:val="right"/>
      <w:pPr>
        <w:ind w:left="7560" w:hanging="180"/>
      </w:pPr>
    </w:lvl>
  </w:abstractNum>
  <w:abstractNum w:abstractNumId="116" w15:restartNumberingAfterBreak="0">
    <w:nsid w:val="76B84460"/>
    <w:multiLevelType w:val="hybridMultilevel"/>
    <w:tmpl w:val="826CF024"/>
    <w:lvl w:ilvl="0" w:tplc="15F49AA8">
      <w:start w:val="1"/>
      <w:numFmt w:val="decimal"/>
      <w:lvlText w:val="%1."/>
      <w:lvlJc w:val="left"/>
      <w:pPr>
        <w:ind w:left="720" w:hanging="360"/>
      </w:pPr>
      <w:rPr>
        <w:rFonts w:hint="default"/>
      </w:rPr>
    </w:lvl>
    <w:lvl w:ilvl="1" w:tplc="BEA2CA26" w:tentative="1">
      <w:start w:val="1"/>
      <w:numFmt w:val="lowerLetter"/>
      <w:lvlText w:val="%2."/>
      <w:lvlJc w:val="left"/>
      <w:pPr>
        <w:ind w:left="1440" w:hanging="360"/>
      </w:pPr>
    </w:lvl>
    <w:lvl w:ilvl="2" w:tplc="86EEDADE" w:tentative="1">
      <w:start w:val="1"/>
      <w:numFmt w:val="lowerRoman"/>
      <w:lvlText w:val="%3."/>
      <w:lvlJc w:val="right"/>
      <w:pPr>
        <w:ind w:left="2160" w:hanging="180"/>
      </w:pPr>
    </w:lvl>
    <w:lvl w:ilvl="3" w:tplc="2180968C" w:tentative="1">
      <w:start w:val="1"/>
      <w:numFmt w:val="decimal"/>
      <w:lvlText w:val="%4."/>
      <w:lvlJc w:val="left"/>
      <w:pPr>
        <w:ind w:left="2880" w:hanging="360"/>
      </w:pPr>
    </w:lvl>
    <w:lvl w:ilvl="4" w:tplc="10A600E0" w:tentative="1">
      <w:start w:val="1"/>
      <w:numFmt w:val="lowerLetter"/>
      <w:lvlText w:val="%5."/>
      <w:lvlJc w:val="left"/>
      <w:pPr>
        <w:ind w:left="3600" w:hanging="360"/>
      </w:pPr>
    </w:lvl>
    <w:lvl w:ilvl="5" w:tplc="049E6FB0" w:tentative="1">
      <w:start w:val="1"/>
      <w:numFmt w:val="lowerRoman"/>
      <w:lvlText w:val="%6."/>
      <w:lvlJc w:val="right"/>
      <w:pPr>
        <w:ind w:left="4320" w:hanging="180"/>
      </w:pPr>
    </w:lvl>
    <w:lvl w:ilvl="6" w:tplc="26BED09A" w:tentative="1">
      <w:start w:val="1"/>
      <w:numFmt w:val="decimal"/>
      <w:lvlText w:val="%7."/>
      <w:lvlJc w:val="left"/>
      <w:pPr>
        <w:ind w:left="5040" w:hanging="360"/>
      </w:pPr>
    </w:lvl>
    <w:lvl w:ilvl="7" w:tplc="33F0D73E" w:tentative="1">
      <w:start w:val="1"/>
      <w:numFmt w:val="lowerLetter"/>
      <w:lvlText w:val="%8."/>
      <w:lvlJc w:val="left"/>
      <w:pPr>
        <w:ind w:left="5760" w:hanging="360"/>
      </w:pPr>
    </w:lvl>
    <w:lvl w:ilvl="8" w:tplc="23C0CB98" w:tentative="1">
      <w:start w:val="1"/>
      <w:numFmt w:val="lowerRoman"/>
      <w:lvlText w:val="%9."/>
      <w:lvlJc w:val="right"/>
      <w:pPr>
        <w:ind w:left="6480" w:hanging="180"/>
      </w:pPr>
    </w:lvl>
  </w:abstractNum>
  <w:abstractNum w:abstractNumId="117" w15:restartNumberingAfterBreak="0">
    <w:nsid w:val="76FA39CF"/>
    <w:multiLevelType w:val="multilevel"/>
    <w:tmpl w:val="11BCD48C"/>
    <w:lvl w:ilvl="0">
      <w:start w:val="1"/>
      <w:numFmt w:val="decimal"/>
      <w:lvlText w:val="%1"/>
      <w:lvlJc w:val="left"/>
      <w:pPr>
        <w:tabs>
          <w:tab w:val="num" w:pos="720"/>
        </w:tabs>
        <w:ind w:left="720" w:hanging="720"/>
      </w:pPr>
      <w:rPr>
        <w:rFonts w:hint="default"/>
      </w:rPr>
    </w:lvl>
    <w:lvl w:ilvl="1">
      <w:start w:val="1"/>
      <w:numFmt w:val="bullet"/>
      <w:lvlText w:val=""/>
      <w:lvlJc w:val="left"/>
      <w:pPr>
        <w:tabs>
          <w:tab w:val="num" w:pos="720"/>
        </w:tabs>
        <w:ind w:left="720" w:hanging="720"/>
      </w:pPr>
      <w:rPr>
        <w:rFonts w:ascii="Symbol" w:hAnsi="Symbol" w:hint="default"/>
      </w:rPr>
    </w:lvl>
    <w:lvl w:ilvl="2">
      <w:start w:val="1"/>
      <w:numFmt w:val="decimal"/>
      <w:lvlText w:val="%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8" w15:restartNumberingAfterBreak="0">
    <w:nsid w:val="7947722A"/>
    <w:multiLevelType w:val="hybridMultilevel"/>
    <w:tmpl w:val="25EEA4CA"/>
    <w:lvl w:ilvl="0" w:tplc="B428F758">
      <w:start w:val="1"/>
      <w:numFmt w:val="bullet"/>
      <w:lvlText w:val=""/>
      <w:lvlJc w:val="left"/>
      <w:pPr>
        <w:ind w:left="1557" w:hanging="360"/>
      </w:pPr>
      <w:rPr>
        <w:rFonts w:ascii="Symbol" w:hAnsi="Symbol" w:hint="default"/>
      </w:rPr>
    </w:lvl>
    <w:lvl w:ilvl="1" w:tplc="7408ED4E" w:tentative="1">
      <w:start w:val="1"/>
      <w:numFmt w:val="bullet"/>
      <w:lvlText w:val="o"/>
      <w:lvlJc w:val="left"/>
      <w:pPr>
        <w:ind w:left="2277" w:hanging="360"/>
      </w:pPr>
      <w:rPr>
        <w:rFonts w:ascii="Courier New" w:hAnsi="Courier New" w:cs="Courier New" w:hint="default"/>
      </w:rPr>
    </w:lvl>
    <w:lvl w:ilvl="2" w:tplc="70C48DD0" w:tentative="1">
      <w:start w:val="1"/>
      <w:numFmt w:val="bullet"/>
      <w:lvlText w:val=""/>
      <w:lvlJc w:val="left"/>
      <w:pPr>
        <w:ind w:left="2997" w:hanging="360"/>
      </w:pPr>
      <w:rPr>
        <w:rFonts w:ascii="Wingdings" w:hAnsi="Wingdings" w:hint="default"/>
      </w:rPr>
    </w:lvl>
    <w:lvl w:ilvl="3" w:tplc="D982E530" w:tentative="1">
      <w:start w:val="1"/>
      <w:numFmt w:val="bullet"/>
      <w:lvlText w:val=""/>
      <w:lvlJc w:val="left"/>
      <w:pPr>
        <w:ind w:left="3717" w:hanging="360"/>
      </w:pPr>
      <w:rPr>
        <w:rFonts w:ascii="Symbol" w:hAnsi="Symbol" w:hint="default"/>
      </w:rPr>
    </w:lvl>
    <w:lvl w:ilvl="4" w:tplc="F468D0A4" w:tentative="1">
      <w:start w:val="1"/>
      <w:numFmt w:val="bullet"/>
      <w:lvlText w:val="o"/>
      <w:lvlJc w:val="left"/>
      <w:pPr>
        <w:ind w:left="4437" w:hanging="360"/>
      </w:pPr>
      <w:rPr>
        <w:rFonts w:ascii="Courier New" w:hAnsi="Courier New" w:cs="Courier New" w:hint="default"/>
      </w:rPr>
    </w:lvl>
    <w:lvl w:ilvl="5" w:tplc="DCAC3292" w:tentative="1">
      <w:start w:val="1"/>
      <w:numFmt w:val="bullet"/>
      <w:lvlText w:val=""/>
      <w:lvlJc w:val="left"/>
      <w:pPr>
        <w:ind w:left="5157" w:hanging="360"/>
      </w:pPr>
      <w:rPr>
        <w:rFonts w:ascii="Wingdings" w:hAnsi="Wingdings" w:hint="default"/>
      </w:rPr>
    </w:lvl>
    <w:lvl w:ilvl="6" w:tplc="6284C31E" w:tentative="1">
      <w:start w:val="1"/>
      <w:numFmt w:val="bullet"/>
      <w:lvlText w:val=""/>
      <w:lvlJc w:val="left"/>
      <w:pPr>
        <w:ind w:left="5877" w:hanging="360"/>
      </w:pPr>
      <w:rPr>
        <w:rFonts w:ascii="Symbol" w:hAnsi="Symbol" w:hint="default"/>
      </w:rPr>
    </w:lvl>
    <w:lvl w:ilvl="7" w:tplc="E772A92A" w:tentative="1">
      <w:start w:val="1"/>
      <w:numFmt w:val="bullet"/>
      <w:lvlText w:val="o"/>
      <w:lvlJc w:val="left"/>
      <w:pPr>
        <w:ind w:left="6597" w:hanging="360"/>
      </w:pPr>
      <w:rPr>
        <w:rFonts w:ascii="Courier New" w:hAnsi="Courier New" w:cs="Courier New" w:hint="default"/>
      </w:rPr>
    </w:lvl>
    <w:lvl w:ilvl="8" w:tplc="33BCFDCC" w:tentative="1">
      <w:start w:val="1"/>
      <w:numFmt w:val="bullet"/>
      <w:lvlText w:val=""/>
      <w:lvlJc w:val="left"/>
      <w:pPr>
        <w:ind w:left="7317" w:hanging="360"/>
      </w:pPr>
      <w:rPr>
        <w:rFonts w:ascii="Wingdings" w:hAnsi="Wingdings" w:hint="default"/>
      </w:rPr>
    </w:lvl>
  </w:abstractNum>
  <w:abstractNum w:abstractNumId="119" w15:restartNumberingAfterBreak="0">
    <w:nsid w:val="7A060AD4"/>
    <w:multiLevelType w:val="hybridMultilevel"/>
    <w:tmpl w:val="2DDA670A"/>
    <w:lvl w:ilvl="0" w:tplc="443C3058">
      <w:start w:val="1"/>
      <w:numFmt w:val="bullet"/>
      <w:lvlText w:val=""/>
      <w:lvlJc w:val="left"/>
      <w:pPr>
        <w:ind w:left="720" w:hanging="360"/>
      </w:pPr>
      <w:rPr>
        <w:rFonts w:ascii="Symbol" w:hAnsi="Symbol" w:hint="default"/>
      </w:rPr>
    </w:lvl>
    <w:lvl w:ilvl="1" w:tplc="F2B4A4A8" w:tentative="1">
      <w:start w:val="1"/>
      <w:numFmt w:val="bullet"/>
      <w:lvlText w:val="o"/>
      <w:lvlJc w:val="left"/>
      <w:pPr>
        <w:ind w:left="1440" w:hanging="360"/>
      </w:pPr>
      <w:rPr>
        <w:rFonts w:ascii="Courier New" w:hAnsi="Courier New" w:cs="Courier New" w:hint="default"/>
      </w:rPr>
    </w:lvl>
    <w:lvl w:ilvl="2" w:tplc="5D807316" w:tentative="1">
      <w:start w:val="1"/>
      <w:numFmt w:val="bullet"/>
      <w:lvlText w:val=""/>
      <w:lvlJc w:val="left"/>
      <w:pPr>
        <w:ind w:left="2160" w:hanging="360"/>
      </w:pPr>
      <w:rPr>
        <w:rFonts w:ascii="Wingdings" w:hAnsi="Wingdings" w:hint="default"/>
      </w:rPr>
    </w:lvl>
    <w:lvl w:ilvl="3" w:tplc="75D4A0E0" w:tentative="1">
      <w:start w:val="1"/>
      <w:numFmt w:val="bullet"/>
      <w:lvlText w:val=""/>
      <w:lvlJc w:val="left"/>
      <w:pPr>
        <w:ind w:left="2880" w:hanging="360"/>
      </w:pPr>
      <w:rPr>
        <w:rFonts w:ascii="Symbol" w:hAnsi="Symbol" w:hint="default"/>
      </w:rPr>
    </w:lvl>
    <w:lvl w:ilvl="4" w:tplc="2000E23E" w:tentative="1">
      <w:start w:val="1"/>
      <w:numFmt w:val="bullet"/>
      <w:lvlText w:val="o"/>
      <w:lvlJc w:val="left"/>
      <w:pPr>
        <w:ind w:left="3600" w:hanging="360"/>
      </w:pPr>
      <w:rPr>
        <w:rFonts w:ascii="Courier New" w:hAnsi="Courier New" w:cs="Courier New" w:hint="default"/>
      </w:rPr>
    </w:lvl>
    <w:lvl w:ilvl="5" w:tplc="0EBED2DA" w:tentative="1">
      <w:start w:val="1"/>
      <w:numFmt w:val="bullet"/>
      <w:lvlText w:val=""/>
      <w:lvlJc w:val="left"/>
      <w:pPr>
        <w:ind w:left="4320" w:hanging="360"/>
      </w:pPr>
      <w:rPr>
        <w:rFonts w:ascii="Wingdings" w:hAnsi="Wingdings" w:hint="default"/>
      </w:rPr>
    </w:lvl>
    <w:lvl w:ilvl="6" w:tplc="91C8140A" w:tentative="1">
      <w:start w:val="1"/>
      <w:numFmt w:val="bullet"/>
      <w:lvlText w:val=""/>
      <w:lvlJc w:val="left"/>
      <w:pPr>
        <w:ind w:left="5040" w:hanging="360"/>
      </w:pPr>
      <w:rPr>
        <w:rFonts w:ascii="Symbol" w:hAnsi="Symbol" w:hint="default"/>
      </w:rPr>
    </w:lvl>
    <w:lvl w:ilvl="7" w:tplc="15C0CFA8" w:tentative="1">
      <w:start w:val="1"/>
      <w:numFmt w:val="bullet"/>
      <w:lvlText w:val="o"/>
      <w:lvlJc w:val="left"/>
      <w:pPr>
        <w:ind w:left="5760" w:hanging="360"/>
      </w:pPr>
      <w:rPr>
        <w:rFonts w:ascii="Courier New" w:hAnsi="Courier New" w:cs="Courier New" w:hint="default"/>
      </w:rPr>
    </w:lvl>
    <w:lvl w:ilvl="8" w:tplc="0382EF0C" w:tentative="1">
      <w:start w:val="1"/>
      <w:numFmt w:val="bullet"/>
      <w:lvlText w:val=""/>
      <w:lvlJc w:val="left"/>
      <w:pPr>
        <w:ind w:left="6480" w:hanging="360"/>
      </w:pPr>
      <w:rPr>
        <w:rFonts w:ascii="Wingdings" w:hAnsi="Wingdings" w:hint="default"/>
      </w:rPr>
    </w:lvl>
  </w:abstractNum>
  <w:abstractNum w:abstractNumId="120" w15:restartNumberingAfterBreak="0">
    <w:nsid w:val="7A3D51C4"/>
    <w:multiLevelType w:val="hybridMultilevel"/>
    <w:tmpl w:val="75DCDDD2"/>
    <w:lvl w:ilvl="0" w:tplc="B846DB9A">
      <w:numFmt w:val="bullet"/>
      <w:lvlText w:val="-"/>
      <w:lvlJc w:val="left"/>
      <w:pPr>
        <w:ind w:left="720" w:hanging="360"/>
      </w:pPr>
      <w:rPr>
        <w:rFonts w:ascii="Arial" w:eastAsiaTheme="minorHAnsi" w:hAnsi="Arial" w:cs="Arial" w:hint="default"/>
      </w:rPr>
    </w:lvl>
    <w:lvl w:ilvl="1" w:tplc="49189646" w:tentative="1">
      <w:start w:val="1"/>
      <w:numFmt w:val="bullet"/>
      <w:lvlText w:val="o"/>
      <w:lvlJc w:val="left"/>
      <w:pPr>
        <w:ind w:left="1440" w:hanging="360"/>
      </w:pPr>
      <w:rPr>
        <w:rFonts w:ascii="Courier New" w:hAnsi="Courier New" w:cs="Courier New" w:hint="default"/>
      </w:rPr>
    </w:lvl>
    <w:lvl w:ilvl="2" w:tplc="7FAE95A2" w:tentative="1">
      <w:start w:val="1"/>
      <w:numFmt w:val="bullet"/>
      <w:lvlText w:val=""/>
      <w:lvlJc w:val="left"/>
      <w:pPr>
        <w:ind w:left="2160" w:hanging="360"/>
      </w:pPr>
      <w:rPr>
        <w:rFonts w:ascii="Wingdings" w:hAnsi="Wingdings" w:hint="default"/>
      </w:rPr>
    </w:lvl>
    <w:lvl w:ilvl="3" w:tplc="F8405BAA" w:tentative="1">
      <w:start w:val="1"/>
      <w:numFmt w:val="bullet"/>
      <w:lvlText w:val=""/>
      <w:lvlJc w:val="left"/>
      <w:pPr>
        <w:ind w:left="2880" w:hanging="360"/>
      </w:pPr>
      <w:rPr>
        <w:rFonts w:ascii="Symbol" w:hAnsi="Symbol" w:hint="default"/>
      </w:rPr>
    </w:lvl>
    <w:lvl w:ilvl="4" w:tplc="207A407E" w:tentative="1">
      <w:start w:val="1"/>
      <w:numFmt w:val="bullet"/>
      <w:lvlText w:val="o"/>
      <w:lvlJc w:val="left"/>
      <w:pPr>
        <w:ind w:left="3600" w:hanging="360"/>
      </w:pPr>
      <w:rPr>
        <w:rFonts w:ascii="Courier New" w:hAnsi="Courier New" w:cs="Courier New" w:hint="default"/>
      </w:rPr>
    </w:lvl>
    <w:lvl w:ilvl="5" w:tplc="80E8DA36" w:tentative="1">
      <w:start w:val="1"/>
      <w:numFmt w:val="bullet"/>
      <w:lvlText w:val=""/>
      <w:lvlJc w:val="left"/>
      <w:pPr>
        <w:ind w:left="4320" w:hanging="360"/>
      </w:pPr>
      <w:rPr>
        <w:rFonts w:ascii="Wingdings" w:hAnsi="Wingdings" w:hint="default"/>
      </w:rPr>
    </w:lvl>
    <w:lvl w:ilvl="6" w:tplc="E1E2553A" w:tentative="1">
      <w:start w:val="1"/>
      <w:numFmt w:val="bullet"/>
      <w:lvlText w:val=""/>
      <w:lvlJc w:val="left"/>
      <w:pPr>
        <w:ind w:left="5040" w:hanging="360"/>
      </w:pPr>
      <w:rPr>
        <w:rFonts w:ascii="Symbol" w:hAnsi="Symbol" w:hint="default"/>
      </w:rPr>
    </w:lvl>
    <w:lvl w:ilvl="7" w:tplc="15D01782" w:tentative="1">
      <w:start w:val="1"/>
      <w:numFmt w:val="bullet"/>
      <w:lvlText w:val="o"/>
      <w:lvlJc w:val="left"/>
      <w:pPr>
        <w:ind w:left="5760" w:hanging="360"/>
      </w:pPr>
      <w:rPr>
        <w:rFonts w:ascii="Courier New" w:hAnsi="Courier New" w:cs="Courier New" w:hint="default"/>
      </w:rPr>
    </w:lvl>
    <w:lvl w:ilvl="8" w:tplc="4238C02C" w:tentative="1">
      <w:start w:val="1"/>
      <w:numFmt w:val="bullet"/>
      <w:lvlText w:val=""/>
      <w:lvlJc w:val="left"/>
      <w:pPr>
        <w:ind w:left="6480" w:hanging="360"/>
      </w:pPr>
      <w:rPr>
        <w:rFonts w:ascii="Wingdings" w:hAnsi="Wingdings" w:hint="default"/>
      </w:rPr>
    </w:lvl>
  </w:abstractNum>
  <w:abstractNum w:abstractNumId="121" w15:restartNumberingAfterBreak="0">
    <w:nsid w:val="7AF1428B"/>
    <w:multiLevelType w:val="hybridMultilevel"/>
    <w:tmpl w:val="3410990A"/>
    <w:lvl w:ilvl="0" w:tplc="B778EE74">
      <w:start w:val="1"/>
      <w:numFmt w:val="bullet"/>
      <w:lvlText w:val=""/>
      <w:lvlJc w:val="left"/>
      <w:pPr>
        <w:ind w:left="1429" w:hanging="360"/>
      </w:pPr>
      <w:rPr>
        <w:rFonts w:ascii="Symbol" w:hAnsi="Symbol" w:hint="default"/>
      </w:rPr>
    </w:lvl>
    <w:lvl w:ilvl="1" w:tplc="7BEEBB1E" w:tentative="1">
      <w:start w:val="1"/>
      <w:numFmt w:val="bullet"/>
      <w:lvlText w:val="o"/>
      <w:lvlJc w:val="left"/>
      <w:pPr>
        <w:ind w:left="2149" w:hanging="360"/>
      </w:pPr>
      <w:rPr>
        <w:rFonts w:ascii="Courier New" w:hAnsi="Courier New" w:cs="Courier New" w:hint="default"/>
      </w:rPr>
    </w:lvl>
    <w:lvl w:ilvl="2" w:tplc="E9BC7082" w:tentative="1">
      <w:start w:val="1"/>
      <w:numFmt w:val="bullet"/>
      <w:lvlText w:val=""/>
      <w:lvlJc w:val="left"/>
      <w:pPr>
        <w:ind w:left="2869" w:hanging="360"/>
      </w:pPr>
      <w:rPr>
        <w:rFonts w:ascii="Wingdings" w:hAnsi="Wingdings" w:hint="default"/>
      </w:rPr>
    </w:lvl>
    <w:lvl w:ilvl="3" w:tplc="CBE47A10" w:tentative="1">
      <w:start w:val="1"/>
      <w:numFmt w:val="bullet"/>
      <w:lvlText w:val=""/>
      <w:lvlJc w:val="left"/>
      <w:pPr>
        <w:ind w:left="3589" w:hanging="360"/>
      </w:pPr>
      <w:rPr>
        <w:rFonts w:ascii="Symbol" w:hAnsi="Symbol" w:hint="default"/>
      </w:rPr>
    </w:lvl>
    <w:lvl w:ilvl="4" w:tplc="3B54706C" w:tentative="1">
      <w:start w:val="1"/>
      <w:numFmt w:val="bullet"/>
      <w:lvlText w:val="o"/>
      <w:lvlJc w:val="left"/>
      <w:pPr>
        <w:ind w:left="4309" w:hanging="360"/>
      </w:pPr>
      <w:rPr>
        <w:rFonts w:ascii="Courier New" w:hAnsi="Courier New" w:cs="Courier New" w:hint="default"/>
      </w:rPr>
    </w:lvl>
    <w:lvl w:ilvl="5" w:tplc="7818A16A" w:tentative="1">
      <w:start w:val="1"/>
      <w:numFmt w:val="bullet"/>
      <w:lvlText w:val=""/>
      <w:lvlJc w:val="left"/>
      <w:pPr>
        <w:ind w:left="5029" w:hanging="360"/>
      </w:pPr>
      <w:rPr>
        <w:rFonts w:ascii="Wingdings" w:hAnsi="Wingdings" w:hint="default"/>
      </w:rPr>
    </w:lvl>
    <w:lvl w:ilvl="6" w:tplc="07C2E350" w:tentative="1">
      <w:start w:val="1"/>
      <w:numFmt w:val="bullet"/>
      <w:lvlText w:val=""/>
      <w:lvlJc w:val="left"/>
      <w:pPr>
        <w:ind w:left="5749" w:hanging="360"/>
      </w:pPr>
      <w:rPr>
        <w:rFonts w:ascii="Symbol" w:hAnsi="Symbol" w:hint="default"/>
      </w:rPr>
    </w:lvl>
    <w:lvl w:ilvl="7" w:tplc="F634DB78" w:tentative="1">
      <w:start w:val="1"/>
      <w:numFmt w:val="bullet"/>
      <w:lvlText w:val="o"/>
      <w:lvlJc w:val="left"/>
      <w:pPr>
        <w:ind w:left="6469" w:hanging="360"/>
      </w:pPr>
      <w:rPr>
        <w:rFonts w:ascii="Courier New" w:hAnsi="Courier New" w:cs="Courier New" w:hint="default"/>
      </w:rPr>
    </w:lvl>
    <w:lvl w:ilvl="8" w:tplc="43268392" w:tentative="1">
      <w:start w:val="1"/>
      <w:numFmt w:val="bullet"/>
      <w:lvlText w:val=""/>
      <w:lvlJc w:val="left"/>
      <w:pPr>
        <w:ind w:left="7189" w:hanging="360"/>
      </w:pPr>
      <w:rPr>
        <w:rFonts w:ascii="Wingdings" w:hAnsi="Wingdings" w:hint="default"/>
      </w:rPr>
    </w:lvl>
  </w:abstractNum>
  <w:abstractNum w:abstractNumId="122" w15:restartNumberingAfterBreak="0">
    <w:nsid w:val="7B177428"/>
    <w:multiLevelType w:val="hybridMultilevel"/>
    <w:tmpl w:val="9C3422E8"/>
    <w:lvl w:ilvl="0" w:tplc="AC48E298">
      <w:start w:val="1"/>
      <w:numFmt w:val="bullet"/>
      <w:lvlText w:val=""/>
      <w:lvlJc w:val="left"/>
      <w:pPr>
        <w:ind w:left="720" w:hanging="360"/>
      </w:pPr>
      <w:rPr>
        <w:rFonts w:ascii="Symbol" w:hAnsi="Symbol" w:hint="default"/>
      </w:rPr>
    </w:lvl>
    <w:lvl w:ilvl="1" w:tplc="68D4F080" w:tentative="1">
      <w:start w:val="1"/>
      <w:numFmt w:val="bullet"/>
      <w:lvlText w:val="o"/>
      <w:lvlJc w:val="left"/>
      <w:pPr>
        <w:ind w:left="1440" w:hanging="360"/>
      </w:pPr>
      <w:rPr>
        <w:rFonts w:ascii="Courier New" w:hAnsi="Courier New" w:cs="Courier New" w:hint="default"/>
      </w:rPr>
    </w:lvl>
    <w:lvl w:ilvl="2" w:tplc="E3D8939E" w:tentative="1">
      <w:start w:val="1"/>
      <w:numFmt w:val="bullet"/>
      <w:lvlText w:val=""/>
      <w:lvlJc w:val="left"/>
      <w:pPr>
        <w:ind w:left="2160" w:hanging="360"/>
      </w:pPr>
      <w:rPr>
        <w:rFonts w:ascii="Wingdings" w:hAnsi="Wingdings" w:hint="default"/>
      </w:rPr>
    </w:lvl>
    <w:lvl w:ilvl="3" w:tplc="7CE4B96A" w:tentative="1">
      <w:start w:val="1"/>
      <w:numFmt w:val="bullet"/>
      <w:lvlText w:val=""/>
      <w:lvlJc w:val="left"/>
      <w:pPr>
        <w:ind w:left="2880" w:hanging="360"/>
      </w:pPr>
      <w:rPr>
        <w:rFonts w:ascii="Symbol" w:hAnsi="Symbol" w:hint="default"/>
      </w:rPr>
    </w:lvl>
    <w:lvl w:ilvl="4" w:tplc="D1BEFDA4" w:tentative="1">
      <w:start w:val="1"/>
      <w:numFmt w:val="bullet"/>
      <w:lvlText w:val="o"/>
      <w:lvlJc w:val="left"/>
      <w:pPr>
        <w:ind w:left="3600" w:hanging="360"/>
      </w:pPr>
      <w:rPr>
        <w:rFonts w:ascii="Courier New" w:hAnsi="Courier New" w:cs="Courier New" w:hint="default"/>
      </w:rPr>
    </w:lvl>
    <w:lvl w:ilvl="5" w:tplc="453C5D40" w:tentative="1">
      <w:start w:val="1"/>
      <w:numFmt w:val="bullet"/>
      <w:lvlText w:val=""/>
      <w:lvlJc w:val="left"/>
      <w:pPr>
        <w:ind w:left="4320" w:hanging="360"/>
      </w:pPr>
      <w:rPr>
        <w:rFonts w:ascii="Wingdings" w:hAnsi="Wingdings" w:hint="default"/>
      </w:rPr>
    </w:lvl>
    <w:lvl w:ilvl="6" w:tplc="EC341D34" w:tentative="1">
      <w:start w:val="1"/>
      <w:numFmt w:val="bullet"/>
      <w:lvlText w:val=""/>
      <w:lvlJc w:val="left"/>
      <w:pPr>
        <w:ind w:left="5040" w:hanging="360"/>
      </w:pPr>
      <w:rPr>
        <w:rFonts w:ascii="Symbol" w:hAnsi="Symbol" w:hint="default"/>
      </w:rPr>
    </w:lvl>
    <w:lvl w:ilvl="7" w:tplc="B8DC6046" w:tentative="1">
      <w:start w:val="1"/>
      <w:numFmt w:val="bullet"/>
      <w:lvlText w:val="o"/>
      <w:lvlJc w:val="left"/>
      <w:pPr>
        <w:ind w:left="5760" w:hanging="360"/>
      </w:pPr>
      <w:rPr>
        <w:rFonts w:ascii="Courier New" w:hAnsi="Courier New" w:cs="Courier New" w:hint="default"/>
      </w:rPr>
    </w:lvl>
    <w:lvl w:ilvl="8" w:tplc="E6E45B74" w:tentative="1">
      <w:start w:val="1"/>
      <w:numFmt w:val="bullet"/>
      <w:lvlText w:val=""/>
      <w:lvlJc w:val="left"/>
      <w:pPr>
        <w:ind w:left="6480" w:hanging="360"/>
      </w:pPr>
      <w:rPr>
        <w:rFonts w:ascii="Wingdings" w:hAnsi="Wingdings" w:hint="default"/>
      </w:rPr>
    </w:lvl>
  </w:abstractNum>
  <w:abstractNum w:abstractNumId="123" w15:restartNumberingAfterBreak="0">
    <w:nsid w:val="7BA833C2"/>
    <w:multiLevelType w:val="hybridMultilevel"/>
    <w:tmpl w:val="AC56FC1C"/>
    <w:lvl w:ilvl="0" w:tplc="AFE80BD4">
      <w:start w:val="1"/>
      <w:numFmt w:val="bullet"/>
      <w:lvlText w:val=""/>
      <w:lvlJc w:val="left"/>
      <w:pPr>
        <w:ind w:left="720" w:hanging="360"/>
      </w:pPr>
      <w:rPr>
        <w:rFonts w:ascii="Symbol" w:hAnsi="Symbol" w:hint="default"/>
      </w:rPr>
    </w:lvl>
    <w:lvl w:ilvl="1" w:tplc="38FED52A" w:tentative="1">
      <w:start w:val="1"/>
      <w:numFmt w:val="bullet"/>
      <w:lvlText w:val="o"/>
      <w:lvlJc w:val="left"/>
      <w:pPr>
        <w:ind w:left="1440" w:hanging="360"/>
      </w:pPr>
      <w:rPr>
        <w:rFonts w:ascii="Courier New" w:hAnsi="Courier New" w:cs="Courier New" w:hint="default"/>
      </w:rPr>
    </w:lvl>
    <w:lvl w:ilvl="2" w:tplc="2ADA75E8" w:tentative="1">
      <w:start w:val="1"/>
      <w:numFmt w:val="bullet"/>
      <w:lvlText w:val=""/>
      <w:lvlJc w:val="left"/>
      <w:pPr>
        <w:ind w:left="2160" w:hanging="360"/>
      </w:pPr>
      <w:rPr>
        <w:rFonts w:ascii="Wingdings" w:hAnsi="Wingdings" w:hint="default"/>
      </w:rPr>
    </w:lvl>
    <w:lvl w:ilvl="3" w:tplc="E4649284" w:tentative="1">
      <w:start w:val="1"/>
      <w:numFmt w:val="bullet"/>
      <w:lvlText w:val=""/>
      <w:lvlJc w:val="left"/>
      <w:pPr>
        <w:ind w:left="2880" w:hanging="360"/>
      </w:pPr>
      <w:rPr>
        <w:rFonts w:ascii="Symbol" w:hAnsi="Symbol" w:hint="default"/>
      </w:rPr>
    </w:lvl>
    <w:lvl w:ilvl="4" w:tplc="66AE8A22" w:tentative="1">
      <w:start w:val="1"/>
      <w:numFmt w:val="bullet"/>
      <w:lvlText w:val="o"/>
      <w:lvlJc w:val="left"/>
      <w:pPr>
        <w:ind w:left="3600" w:hanging="360"/>
      </w:pPr>
      <w:rPr>
        <w:rFonts w:ascii="Courier New" w:hAnsi="Courier New" w:cs="Courier New" w:hint="default"/>
      </w:rPr>
    </w:lvl>
    <w:lvl w:ilvl="5" w:tplc="A740BDD2" w:tentative="1">
      <w:start w:val="1"/>
      <w:numFmt w:val="bullet"/>
      <w:lvlText w:val=""/>
      <w:lvlJc w:val="left"/>
      <w:pPr>
        <w:ind w:left="4320" w:hanging="360"/>
      </w:pPr>
      <w:rPr>
        <w:rFonts w:ascii="Wingdings" w:hAnsi="Wingdings" w:hint="default"/>
      </w:rPr>
    </w:lvl>
    <w:lvl w:ilvl="6" w:tplc="B1102F82" w:tentative="1">
      <w:start w:val="1"/>
      <w:numFmt w:val="bullet"/>
      <w:lvlText w:val=""/>
      <w:lvlJc w:val="left"/>
      <w:pPr>
        <w:ind w:left="5040" w:hanging="360"/>
      </w:pPr>
      <w:rPr>
        <w:rFonts w:ascii="Symbol" w:hAnsi="Symbol" w:hint="default"/>
      </w:rPr>
    </w:lvl>
    <w:lvl w:ilvl="7" w:tplc="14ECF13C" w:tentative="1">
      <w:start w:val="1"/>
      <w:numFmt w:val="bullet"/>
      <w:lvlText w:val="o"/>
      <w:lvlJc w:val="left"/>
      <w:pPr>
        <w:ind w:left="5760" w:hanging="360"/>
      </w:pPr>
      <w:rPr>
        <w:rFonts w:ascii="Courier New" w:hAnsi="Courier New" w:cs="Courier New" w:hint="default"/>
      </w:rPr>
    </w:lvl>
    <w:lvl w:ilvl="8" w:tplc="2E20D044" w:tentative="1">
      <w:start w:val="1"/>
      <w:numFmt w:val="bullet"/>
      <w:lvlText w:val=""/>
      <w:lvlJc w:val="left"/>
      <w:pPr>
        <w:ind w:left="6480" w:hanging="360"/>
      </w:pPr>
      <w:rPr>
        <w:rFonts w:ascii="Wingdings" w:hAnsi="Wingdings" w:hint="default"/>
      </w:rPr>
    </w:lvl>
  </w:abstractNum>
  <w:abstractNum w:abstractNumId="124" w15:restartNumberingAfterBreak="0">
    <w:nsid w:val="7CED6DF9"/>
    <w:multiLevelType w:val="hybridMultilevel"/>
    <w:tmpl w:val="8B782008"/>
    <w:lvl w:ilvl="0" w:tplc="65141798">
      <w:start w:val="1"/>
      <w:numFmt w:val="bullet"/>
      <w:lvlText w:val=""/>
      <w:lvlJc w:val="left"/>
      <w:pPr>
        <w:ind w:left="720" w:hanging="360"/>
      </w:pPr>
      <w:rPr>
        <w:rFonts w:ascii="Symbol" w:hAnsi="Symbol" w:hint="default"/>
      </w:rPr>
    </w:lvl>
    <w:lvl w:ilvl="1" w:tplc="A1CA4268" w:tentative="1">
      <w:start w:val="1"/>
      <w:numFmt w:val="bullet"/>
      <w:lvlText w:val="o"/>
      <w:lvlJc w:val="left"/>
      <w:pPr>
        <w:ind w:left="1440" w:hanging="360"/>
      </w:pPr>
      <w:rPr>
        <w:rFonts w:ascii="Courier New" w:hAnsi="Courier New" w:cs="Courier New" w:hint="default"/>
      </w:rPr>
    </w:lvl>
    <w:lvl w:ilvl="2" w:tplc="046846AE" w:tentative="1">
      <w:start w:val="1"/>
      <w:numFmt w:val="bullet"/>
      <w:lvlText w:val=""/>
      <w:lvlJc w:val="left"/>
      <w:pPr>
        <w:ind w:left="2160" w:hanging="360"/>
      </w:pPr>
      <w:rPr>
        <w:rFonts w:ascii="Wingdings" w:hAnsi="Wingdings" w:hint="default"/>
      </w:rPr>
    </w:lvl>
    <w:lvl w:ilvl="3" w:tplc="12F0FF12" w:tentative="1">
      <w:start w:val="1"/>
      <w:numFmt w:val="bullet"/>
      <w:lvlText w:val=""/>
      <w:lvlJc w:val="left"/>
      <w:pPr>
        <w:ind w:left="2880" w:hanging="360"/>
      </w:pPr>
      <w:rPr>
        <w:rFonts w:ascii="Symbol" w:hAnsi="Symbol" w:hint="default"/>
      </w:rPr>
    </w:lvl>
    <w:lvl w:ilvl="4" w:tplc="EAC06982" w:tentative="1">
      <w:start w:val="1"/>
      <w:numFmt w:val="bullet"/>
      <w:lvlText w:val="o"/>
      <w:lvlJc w:val="left"/>
      <w:pPr>
        <w:ind w:left="3600" w:hanging="360"/>
      </w:pPr>
      <w:rPr>
        <w:rFonts w:ascii="Courier New" w:hAnsi="Courier New" w:cs="Courier New" w:hint="default"/>
      </w:rPr>
    </w:lvl>
    <w:lvl w:ilvl="5" w:tplc="F6E0A53E" w:tentative="1">
      <w:start w:val="1"/>
      <w:numFmt w:val="bullet"/>
      <w:lvlText w:val=""/>
      <w:lvlJc w:val="left"/>
      <w:pPr>
        <w:ind w:left="4320" w:hanging="360"/>
      </w:pPr>
      <w:rPr>
        <w:rFonts w:ascii="Wingdings" w:hAnsi="Wingdings" w:hint="default"/>
      </w:rPr>
    </w:lvl>
    <w:lvl w:ilvl="6" w:tplc="AA8EB514" w:tentative="1">
      <w:start w:val="1"/>
      <w:numFmt w:val="bullet"/>
      <w:lvlText w:val=""/>
      <w:lvlJc w:val="left"/>
      <w:pPr>
        <w:ind w:left="5040" w:hanging="360"/>
      </w:pPr>
      <w:rPr>
        <w:rFonts w:ascii="Symbol" w:hAnsi="Symbol" w:hint="default"/>
      </w:rPr>
    </w:lvl>
    <w:lvl w:ilvl="7" w:tplc="7480B63A" w:tentative="1">
      <w:start w:val="1"/>
      <w:numFmt w:val="bullet"/>
      <w:lvlText w:val="o"/>
      <w:lvlJc w:val="left"/>
      <w:pPr>
        <w:ind w:left="5760" w:hanging="360"/>
      </w:pPr>
      <w:rPr>
        <w:rFonts w:ascii="Courier New" w:hAnsi="Courier New" w:cs="Courier New" w:hint="default"/>
      </w:rPr>
    </w:lvl>
    <w:lvl w:ilvl="8" w:tplc="5CC8F724" w:tentative="1">
      <w:start w:val="1"/>
      <w:numFmt w:val="bullet"/>
      <w:lvlText w:val=""/>
      <w:lvlJc w:val="left"/>
      <w:pPr>
        <w:ind w:left="6480" w:hanging="360"/>
      </w:pPr>
      <w:rPr>
        <w:rFonts w:ascii="Wingdings" w:hAnsi="Wingdings" w:hint="default"/>
      </w:rPr>
    </w:lvl>
  </w:abstractNum>
  <w:abstractNum w:abstractNumId="125" w15:restartNumberingAfterBreak="0">
    <w:nsid w:val="7EAF48E6"/>
    <w:multiLevelType w:val="hybridMultilevel"/>
    <w:tmpl w:val="FC3063DA"/>
    <w:lvl w:ilvl="0" w:tplc="F4B2D672">
      <w:start w:val="1"/>
      <w:numFmt w:val="lowerRoman"/>
      <w:lvlText w:val="%1)"/>
      <w:lvlJc w:val="left"/>
      <w:pPr>
        <w:ind w:left="1080" w:hanging="720"/>
      </w:pPr>
      <w:rPr>
        <w:rFonts w:hint="default"/>
      </w:rPr>
    </w:lvl>
    <w:lvl w:ilvl="1" w:tplc="6D48C4D2" w:tentative="1">
      <w:start w:val="1"/>
      <w:numFmt w:val="lowerLetter"/>
      <w:lvlText w:val="%2."/>
      <w:lvlJc w:val="left"/>
      <w:pPr>
        <w:ind w:left="1440" w:hanging="360"/>
      </w:pPr>
    </w:lvl>
    <w:lvl w:ilvl="2" w:tplc="3C6086A0" w:tentative="1">
      <w:start w:val="1"/>
      <w:numFmt w:val="lowerRoman"/>
      <w:lvlText w:val="%3."/>
      <w:lvlJc w:val="right"/>
      <w:pPr>
        <w:ind w:left="2160" w:hanging="180"/>
      </w:pPr>
    </w:lvl>
    <w:lvl w:ilvl="3" w:tplc="4EC09C3E" w:tentative="1">
      <w:start w:val="1"/>
      <w:numFmt w:val="decimal"/>
      <w:lvlText w:val="%4."/>
      <w:lvlJc w:val="left"/>
      <w:pPr>
        <w:ind w:left="2880" w:hanging="360"/>
      </w:pPr>
    </w:lvl>
    <w:lvl w:ilvl="4" w:tplc="6A4A0C3A" w:tentative="1">
      <w:start w:val="1"/>
      <w:numFmt w:val="lowerLetter"/>
      <w:lvlText w:val="%5."/>
      <w:lvlJc w:val="left"/>
      <w:pPr>
        <w:ind w:left="3600" w:hanging="360"/>
      </w:pPr>
    </w:lvl>
    <w:lvl w:ilvl="5" w:tplc="493E376A" w:tentative="1">
      <w:start w:val="1"/>
      <w:numFmt w:val="lowerRoman"/>
      <w:lvlText w:val="%6."/>
      <w:lvlJc w:val="right"/>
      <w:pPr>
        <w:ind w:left="4320" w:hanging="180"/>
      </w:pPr>
    </w:lvl>
    <w:lvl w:ilvl="6" w:tplc="2848A560" w:tentative="1">
      <w:start w:val="1"/>
      <w:numFmt w:val="decimal"/>
      <w:lvlText w:val="%7."/>
      <w:lvlJc w:val="left"/>
      <w:pPr>
        <w:ind w:left="5040" w:hanging="360"/>
      </w:pPr>
    </w:lvl>
    <w:lvl w:ilvl="7" w:tplc="04A815EE" w:tentative="1">
      <w:start w:val="1"/>
      <w:numFmt w:val="lowerLetter"/>
      <w:lvlText w:val="%8."/>
      <w:lvlJc w:val="left"/>
      <w:pPr>
        <w:ind w:left="5760" w:hanging="360"/>
      </w:pPr>
    </w:lvl>
    <w:lvl w:ilvl="8" w:tplc="96549EA4" w:tentative="1">
      <w:start w:val="1"/>
      <w:numFmt w:val="lowerRoman"/>
      <w:lvlText w:val="%9."/>
      <w:lvlJc w:val="right"/>
      <w:pPr>
        <w:ind w:left="6480" w:hanging="180"/>
      </w:pPr>
    </w:lvl>
  </w:abstractNum>
  <w:num w:numId="1" w16cid:durableId="367804123">
    <w:abstractNumId w:val="84"/>
  </w:num>
  <w:num w:numId="2" w16cid:durableId="714351005">
    <w:abstractNumId w:val="16"/>
  </w:num>
  <w:num w:numId="3" w16cid:durableId="1553080042">
    <w:abstractNumId w:val="64"/>
  </w:num>
  <w:num w:numId="4" w16cid:durableId="520095110">
    <w:abstractNumId w:val="18"/>
  </w:num>
  <w:num w:numId="5" w16cid:durableId="1001159179">
    <w:abstractNumId w:val="51"/>
  </w:num>
  <w:num w:numId="6" w16cid:durableId="1414473647">
    <w:abstractNumId w:val="2"/>
  </w:num>
  <w:num w:numId="7" w16cid:durableId="1499733052">
    <w:abstractNumId w:val="27"/>
  </w:num>
  <w:num w:numId="8" w16cid:durableId="642153793">
    <w:abstractNumId w:val="99"/>
  </w:num>
  <w:num w:numId="9" w16cid:durableId="1541818724">
    <w:abstractNumId w:val="34"/>
  </w:num>
  <w:num w:numId="10" w16cid:durableId="908928812">
    <w:abstractNumId w:val="117"/>
  </w:num>
  <w:num w:numId="11" w16cid:durableId="2114860181">
    <w:abstractNumId w:val="52"/>
  </w:num>
  <w:num w:numId="12" w16cid:durableId="1507406807">
    <w:abstractNumId w:val="29"/>
  </w:num>
  <w:num w:numId="13" w16cid:durableId="1204564586">
    <w:abstractNumId w:val="62"/>
  </w:num>
  <w:num w:numId="14" w16cid:durableId="1133333567">
    <w:abstractNumId w:val="9"/>
  </w:num>
  <w:num w:numId="15" w16cid:durableId="2010329966">
    <w:abstractNumId w:val="10"/>
  </w:num>
  <w:num w:numId="16" w16cid:durableId="1389455196">
    <w:abstractNumId w:val="105"/>
  </w:num>
  <w:num w:numId="17" w16cid:durableId="1006712381">
    <w:abstractNumId w:val="45"/>
  </w:num>
  <w:num w:numId="18" w16cid:durableId="863712430">
    <w:abstractNumId w:val="90"/>
  </w:num>
  <w:num w:numId="19" w16cid:durableId="29188685">
    <w:abstractNumId w:val="96"/>
  </w:num>
  <w:num w:numId="20" w16cid:durableId="1559051593">
    <w:abstractNumId w:val="69"/>
  </w:num>
  <w:num w:numId="21" w16cid:durableId="1287926717">
    <w:abstractNumId w:val="44"/>
  </w:num>
  <w:num w:numId="22" w16cid:durableId="1698579001">
    <w:abstractNumId w:val="49"/>
  </w:num>
  <w:num w:numId="23" w16cid:durableId="1388576780">
    <w:abstractNumId w:val="23"/>
  </w:num>
  <w:num w:numId="24" w16cid:durableId="1263415583">
    <w:abstractNumId w:val="68"/>
  </w:num>
  <w:num w:numId="25" w16cid:durableId="899561765">
    <w:abstractNumId w:val="7"/>
  </w:num>
  <w:num w:numId="26" w16cid:durableId="1185285211">
    <w:abstractNumId w:val="113"/>
  </w:num>
  <w:num w:numId="27" w16cid:durableId="1450080848">
    <w:abstractNumId w:val="101"/>
  </w:num>
  <w:num w:numId="28" w16cid:durableId="1381444449">
    <w:abstractNumId w:val="109"/>
  </w:num>
  <w:num w:numId="29" w16cid:durableId="884410881">
    <w:abstractNumId w:val="102"/>
  </w:num>
  <w:num w:numId="30" w16cid:durableId="527254865">
    <w:abstractNumId w:val="46"/>
  </w:num>
  <w:num w:numId="31" w16cid:durableId="296381476">
    <w:abstractNumId w:val="88"/>
  </w:num>
  <w:num w:numId="32" w16cid:durableId="188296092">
    <w:abstractNumId w:val="47"/>
  </w:num>
  <w:num w:numId="33" w16cid:durableId="299893367">
    <w:abstractNumId w:val="72"/>
  </w:num>
  <w:num w:numId="34" w16cid:durableId="828055277">
    <w:abstractNumId w:val="119"/>
  </w:num>
  <w:num w:numId="35" w16cid:durableId="156070880">
    <w:abstractNumId w:val="41"/>
  </w:num>
  <w:num w:numId="36" w16cid:durableId="1210844130">
    <w:abstractNumId w:val="59"/>
  </w:num>
  <w:num w:numId="37" w16cid:durableId="877010018">
    <w:abstractNumId w:val="98"/>
  </w:num>
  <w:num w:numId="38" w16cid:durableId="713391549">
    <w:abstractNumId w:val="77"/>
  </w:num>
  <w:num w:numId="39" w16cid:durableId="316306553">
    <w:abstractNumId w:val="56"/>
  </w:num>
  <w:num w:numId="40" w16cid:durableId="777454505">
    <w:abstractNumId w:val="87"/>
  </w:num>
  <w:num w:numId="41" w16cid:durableId="611787733">
    <w:abstractNumId w:val="39"/>
  </w:num>
  <w:num w:numId="42" w16cid:durableId="810830376">
    <w:abstractNumId w:val="85"/>
  </w:num>
  <w:num w:numId="43" w16cid:durableId="1487623449">
    <w:abstractNumId w:val="30"/>
  </w:num>
  <w:num w:numId="44" w16cid:durableId="1760060705">
    <w:abstractNumId w:val="22"/>
  </w:num>
  <w:num w:numId="45" w16cid:durableId="616449141">
    <w:abstractNumId w:val="12"/>
  </w:num>
  <w:num w:numId="46" w16cid:durableId="295183539">
    <w:abstractNumId w:val="19"/>
  </w:num>
  <w:num w:numId="47" w16cid:durableId="707534348">
    <w:abstractNumId w:val="24"/>
  </w:num>
  <w:num w:numId="48" w16cid:durableId="689766407">
    <w:abstractNumId w:val="75"/>
  </w:num>
  <w:num w:numId="49" w16cid:durableId="263348235">
    <w:abstractNumId w:val="4"/>
  </w:num>
  <w:num w:numId="50" w16cid:durableId="1153106406">
    <w:abstractNumId w:val="32"/>
  </w:num>
  <w:num w:numId="51" w16cid:durableId="1470811">
    <w:abstractNumId w:val="1"/>
  </w:num>
  <w:num w:numId="52" w16cid:durableId="1592545682">
    <w:abstractNumId w:val="17"/>
  </w:num>
  <w:num w:numId="53" w16cid:durableId="605500578">
    <w:abstractNumId w:val="36"/>
  </w:num>
  <w:num w:numId="54" w16cid:durableId="1220484252">
    <w:abstractNumId w:val="14"/>
  </w:num>
  <w:num w:numId="55" w16cid:durableId="651983564">
    <w:abstractNumId w:val="54"/>
  </w:num>
  <w:num w:numId="56" w16cid:durableId="487016316">
    <w:abstractNumId w:val="93"/>
  </w:num>
  <w:num w:numId="57" w16cid:durableId="1549992060">
    <w:abstractNumId w:val="108"/>
  </w:num>
  <w:num w:numId="58" w16cid:durableId="1636718208">
    <w:abstractNumId w:val="100"/>
  </w:num>
  <w:num w:numId="59" w16cid:durableId="1843736580">
    <w:abstractNumId w:val="6"/>
  </w:num>
  <w:num w:numId="60" w16cid:durableId="738988460">
    <w:abstractNumId w:val="43"/>
  </w:num>
  <w:num w:numId="61" w16cid:durableId="735200514">
    <w:abstractNumId w:val="28"/>
  </w:num>
  <w:num w:numId="62" w16cid:durableId="892229462">
    <w:abstractNumId w:val="118"/>
  </w:num>
  <w:num w:numId="63" w16cid:durableId="1604261381">
    <w:abstractNumId w:val="67"/>
  </w:num>
  <w:num w:numId="64" w16cid:durableId="998654316">
    <w:abstractNumId w:val="82"/>
  </w:num>
  <w:num w:numId="65" w16cid:durableId="543175608">
    <w:abstractNumId w:val="94"/>
  </w:num>
  <w:num w:numId="66" w16cid:durableId="1648975019">
    <w:abstractNumId w:val="11"/>
  </w:num>
  <w:num w:numId="67" w16cid:durableId="357128104">
    <w:abstractNumId w:val="65"/>
  </w:num>
  <w:num w:numId="68" w16cid:durableId="789280678">
    <w:abstractNumId w:val="53"/>
  </w:num>
  <w:num w:numId="69" w16cid:durableId="782500304">
    <w:abstractNumId w:val="106"/>
  </w:num>
  <w:num w:numId="70" w16cid:durableId="874729103">
    <w:abstractNumId w:val="80"/>
  </w:num>
  <w:num w:numId="71" w16cid:durableId="244999018">
    <w:abstractNumId w:val="5"/>
  </w:num>
  <w:num w:numId="72" w16cid:durableId="50273486">
    <w:abstractNumId w:val="92"/>
  </w:num>
  <w:num w:numId="73" w16cid:durableId="2012636203">
    <w:abstractNumId w:val="71"/>
  </w:num>
  <w:num w:numId="74" w16cid:durableId="1306013724">
    <w:abstractNumId w:val="125"/>
  </w:num>
  <w:num w:numId="75" w16cid:durableId="1165168818">
    <w:abstractNumId w:val="115"/>
  </w:num>
  <w:num w:numId="76" w16cid:durableId="960571101">
    <w:abstractNumId w:val="103"/>
  </w:num>
  <w:num w:numId="77" w16cid:durableId="1051078289">
    <w:abstractNumId w:val="20"/>
  </w:num>
  <w:num w:numId="78" w16cid:durableId="644088599">
    <w:abstractNumId w:val="55"/>
  </w:num>
  <w:num w:numId="79" w16cid:durableId="1937052513">
    <w:abstractNumId w:val="114"/>
  </w:num>
  <w:num w:numId="80" w16cid:durableId="57630715">
    <w:abstractNumId w:val="66"/>
  </w:num>
  <w:num w:numId="81" w16cid:durableId="2145930839">
    <w:abstractNumId w:val="124"/>
  </w:num>
  <w:num w:numId="82" w16cid:durableId="874273723">
    <w:abstractNumId w:val="86"/>
  </w:num>
  <w:num w:numId="83" w16cid:durableId="337772686">
    <w:abstractNumId w:val="0"/>
    <w:lvlOverride w:ilvl="0">
      <w:startOverride w:val="1"/>
    </w:lvlOverride>
  </w:num>
  <w:num w:numId="84" w16cid:durableId="940722302">
    <w:abstractNumId w:val="121"/>
  </w:num>
  <w:num w:numId="85" w16cid:durableId="962733169">
    <w:abstractNumId w:val="60"/>
  </w:num>
  <w:num w:numId="86" w16cid:durableId="1608384741">
    <w:abstractNumId w:val="58"/>
  </w:num>
  <w:num w:numId="87" w16cid:durableId="1336297727">
    <w:abstractNumId w:val="31"/>
  </w:num>
  <w:num w:numId="88" w16cid:durableId="232082152">
    <w:abstractNumId w:val="63"/>
  </w:num>
  <w:num w:numId="89" w16cid:durableId="622660010">
    <w:abstractNumId w:val="38"/>
  </w:num>
  <w:num w:numId="90" w16cid:durableId="584149011">
    <w:abstractNumId w:val="42"/>
  </w:num>
  <w:num w:numId="91" w16cid:durableId="1026521493">
    <w:abstractNumId w:val="95"/>
  </w:num>
  <w:num w:numId="92" w16cid:durableId="1033847214">
    <w:abstractNumId w:val="104"/>
  </w:num>
  <w:num w:numId="93" w16cid:durableId="1800369570">
    <w:abstractNumId w:val="123"/>
  </w:num>
  <w:num w:numId="94" w16cid:durableId="1470900084">
    <w:abstractNumId w:val="89"/>
  </w:num>
  <w:num w:numId="95" w16cid:durableId="6953611">
    <w:abstractNumId w:val="74"/>
  </w:num>
  <w:num w:numId="96" w16cid:durableId="440533668">
    <w:abstractNumId w:val="21"/>
  </w:num>
  <w:num w:numId="97" w16cid:durableId="1731609492">
    <w:abstractNumId w:val="37"/>
  </w:num>
  <w:num w:numId="98" w16cid:durableId="27066793">
    <w:abstractNumId w:val="79"/>
  </w:num>
  <w:num w:numId="99" w16cid:durableId="401485846">
    <w:abstractNumId w:val="8"/>
  </w:num>
  <w:num w:numId="100" w16cid:durableId="2114469820">
    <w:abstractNumId w:val="15"/>
  </w:num>
  <w:num w:numId="101" w16cid:durableId="1275601010">
    <w:abstractNumId w:val="83"/>
  </w:num>
  <w:num w:numId="102" w16cid:durableId="468548380">
    <w:abstractNumId w:val="97"/>
  </w:num>
  <w:num w:numId="103" w16cid:durableId="1267035038">
    <w:abstractNumId w:val="70"/>
  </w:num>
  <w:num w:numId="104" w16cid:durableId="641302335">
    <w:abstractNumId w:val="61"/>
  </w:num>
  <w:num w:numId="105" w16cid:durableId="316539354">
    <w:abstractNumId w:val="112"/>
  </w:num>
  <w:num w:numId="106" w16cid:durableId="792944332">
    <w:abstractNumId w:val="78"/>
  </w:num>
  <w:num w:numId="107" w16cid:durableId="1988241295">
    <w:abstractNumId w:val="57"/>
  </w:num>
  <w:num w:numId="108" w16cid:durableId="735200587">
    <w:abstractNumId w:val="91"/>
  </w:num>
  <w:num w:numId="109" w16cid:durableId="787815081">
    <w:abstractNumId w:val="111"/>
  </w:num>
  <w:num w:numId="110" w16cid:durableId="1542205998">
    <w:abstractNumId w:val="76"/>
  </w:num>
  <w:num w:numId="111" w16cid:durableId="508444016">
    <w:abstractNumId w:val="33"/>
  </w:num>
  <w:num w:numId="112" w16cid:durableId="2026859201">
    <w:abstractNumId w:val="110"/>
  </w:num>
  <w:num w:numId="113" w16cid:durableId="714550577">
    <w:abstractNumId w:val="116"/>
  </w:num>
  <w:num w:numId="114" w16cid:durableId="687682018">
    <w:abstractNumId w:val="50"/>
  </w:num>
  <w:num w:numId="115" w16cid:durableId="288634453">
    <w:abstractNumId w:val="122"/>
  </w:num>
  <w:num w:numId="116" w16cid:durableId="2069720776">
    <w:abstractNumId w:val="40"/>
  </w:num>
  <w:num w:numId="117" w16cid:durableId="185363551">
    <w:abstractNumId w:val="73"/>
  </w:num>
  <w:num w:numId="118" w16cid:durableId="1448701457">
    <w:abstractNumId w:val="81"/>
  </w:num>
  <w:num w:numId="119" w16cid:durableId="1495489641">
    <w:abstractNumId w:val="120"/>
  </w:num>
  <w:num w:numId="120" w16cid:durableId="475611891">
    <w:abstractNumId w:val="3"/>
  </w:num>
  <w:num w:numId="121" w16cid:durableId="691347440">
    <w:abstractNumId w:val="26"/>
  </w:num>
  <w:num w:numId="122" w16cid:durableId="974599311">
    <w:abstractNumId w:val="25"/>
  </w:num>
  <w:num w:numId="123" w16cid:durableId="924152335">
    <w:abstractNumId w:val="35"/>
  </w:num>
  <w:num w:numId="124" w16cid:durableId="1321621152">
    <w:abstractNumId w:val="107"/>
  </w:num>
  <w:num w:numId="125" w16cid:durableId="732780186">
    <w:abstractNumId w:val="13"/>
  </w:num>
  <w:num w:numId="126" w16cid:durableId="962462325">
    <w:abstractNumId w:val="48"/>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FD6"/>
    <w:rsid w:val="0000377C"/>
    <w:rsid w:val="00013061"/>
    <w:rsid w:val="00014809"/>
    <w:rsid w:val="00021979"/>
    <w:rsid w:val="00021CAE"/>
    <w:rsid w:val="00024664"/>
    <w:rsid w:val="0004161A"/>
    <w:rsid w:val="00060D61"/>
    <w:rsid w:val="00071D26"/>
    <w:rsid w:val="000729CF"/>
    <w:rsid w:val="000830AF"/>
    <w:rsid w:val="0009712C"/>
    <w:rsid w:val="000B56F1"/>
    <w:rsid w:val="000B5B51"/>
    <w:rsid w:val="000B7BE0"/>
    <w:rsid w:val="000C06C3"/>
    <w:rsid w:val="000C1621"/>
    <w:rsid w:val="000C1BA0"/>
    <w:rsid w:val="000D604C"/>
    <w:rsid w:val="000E1AC6"/>
    <w:rsid w:val="00103BF5"/>
    <w:rsid w:val="00104749"/>
    <w:rsid w:val="00104AD6"/>
    <w:rsid w:val="00104BE3"/>
    <w:rsid w:val="00123363"/>
    <w:rsid w:val="00126B51"/>
    <w:rsid w:val="00127921"/>
    <w:rsid w:val="001325E5"/>
    <w:rsid w:val="00140662"/>
    <w:rsid w:val="00151784"/>
    <w:rsid w:val="00155B46"/>
    <w:rsid w:val="00180A89"/>
    <w:rsid w:val="001862B8"/>
    <w:rsid w:val="00187441"/>
    <w:rsid w:val="001A4596"/>
    <w:rsid w:val="001B2326"/>
    <w:rsid w:val="001B5B5F"/>
    <w:rsid w:val="001C0AFD"/>
    <w:rsid w:val="001C4DE4"/>
    <w:rsid w:val="001C7D72"/>
    <w:rsid w:val="001E266E"/>
    <w:rsid w:val="002069E7"/>
    <w:rsid w:val="00215017"/>
    <w:rsid w:val="002161F8"/>
    <w:rsid w:val="0022151D"/>
    <w:rsid w:val="00250D51"/>
    <w:rsid w:val="00265CCF"/>
    <w:rsid w:val="00271A02"/>
    <w:rsid w:val="00277970"/>
    <w:rsid w:val="00283035"/>
    <w:rsid w:val="00284320"/>
    <w:rsid w:val="00292B5C"/>
    <w:rsid w:val="00297596"/>
    <w:rsid w:val="002A2F50"/>
    <w:rsid w:val="002B5117"/>
    <w:rsid w:val="002B5AFF"/>
    <w:rsid w:val="002D0329"/>
    <w:rsid w:val="002F2A48"/>
    <w:rsid w:val="0030185E"/>
    <w:rsid w:val="00307E38"/>
    <w:rsid w:val="00320146"/>
    <w:rsid w:val="003205D2"/>
    <w:rsid w:val="003215E7"/>
    <w:rsid w:val="0032239B"/>
    <w:rsid w:val="003232FA"/>
    <w:rsid w:val="003338DC"/>
    <w:rsid w:val="0035386B"/>
    <w:rsid w:val="003568CF"/>
    <w:rsid w:val="00362F9B"/>
    <w:rsid w:val="00363C38"/>
    <w:rsid w:val="00371EC2"/>
    <w:rsid w:val="00374CB7"/>
    <w:rsid w:val="003803F9"/>
    <w:rsid w:val="003819E2"/>
    <w:rsid w:val="00382AB4"/>
    <w:rsid w:val="00391F99"/>
    <w:rsid w:val="003A2837"/>
    <w:rsid w:val="003A46C8"/>
    <w:rsid w:val="003C40E7"/>
    <w:rsid w:val="003D77A2"/>
    <w:rsid w:val="003E0453"/>
    <w:rsid w:val="003E1951"/>
    <w:rsid w:val="003F2DAF"/>
    <w:rsid w:val="003F33B8"/>
    <w:rsid w:val="0040445E"/>
    <w:rsid w:val="00410ED0"/>
    <w:rsid w:val="00420EFD"/>
    <w:rsid w:val="00427291"/>
    <w:rsid w:val="004326FA"/>
    <w:rsid w:val="004346FB"/>
    <w:rsid w:val="004413E9"/>
    <w:rsid w:val="004454F5"/>
    <w:rsid w:val="004539F8"/>
    <w:rsid w:val="004668AE"/>
    <w:rsid w:val="0047304F"/>
    <w:rsid w:val="00476205"/>
    <w:rsid w:val="00482278"/>
    <w:rsid w:val="0049726C"/>
    <w:rsid w:val="004B2D58"/>
    <w:rsid w:val="004D4787"/>
    <w:rsid w:val="004D5954"/>
    <w:rsid w:val="00500A50"/>
    <w:rsid w:val="00505CFB"/>
    <w:rsid w:val="00511574"/>
    <w:rsid w:val="0051273A"/>
    <w:rsid w:val="00516221"/>
    <w:rsid w:val="00530619"/>
    <w:rsid w:val="00532B40"/>
    <w:rsid w:val="005358A7"/>
    <w:rsid w:val="00552B18"/>
    <w:rsid w:val="00567291"/>
    <w:rsid w:val="0057041E"/>
    <w:rsid w:val="00573FF6"/>
    <w:rsid w:val="00581E81"/>
    <w:rsid w:val="005E7D31"/>
    <w:rsid w:val="0061178E"/>
    <w:rsid w:val="006127B2"/>
    <w:rsid w:val="00621640"/>
    <w:rsid w:val="006269B8"/>
    <w:rsid w:val="00630439"/>
    <w:rsid w:val="00641012"/>
    <w:rsid w:val="00661C73"/>
    <w:rsid w:val="00665437"/>
    <w:rsid w:val="00691C99"/>
    <w:rsid w:val="006957B3"/>
    <w:rsid w:val="006A08CE"/>
    <w:rsid w:val="006B0A47"/>
    <w:rsid w:val="006C3BD2"/>
    <w:rsid w:val="006C5870"/>
    <w:rsid w:val="006C776D"/>
    <w:rsid w:val="006D562D"/>
    <w:rsid w:val="007004BD"/>
    <w:rsid w:val="00700EC8"/>
    <w:rsid w:val="0070180B"/>
    <w:rsid w:val="00710300"/>
    <w:rsid w:val="00711600"/>
    <w:rsid w:val="00716EC8"/>
    <w:rsid w:val="00722F31"/>
    <w:rsid w:val="00727B72"/>
    <w:rsid w:val="00737E9C"/>
    <w:rsid w:val="00744F1C"/>
    <w:rsid w:val="00753A3E"/>
    <w:rsid w:val="007776B9"/>
    <w:rsid w:val="00796583"/>
    <w:rsid w:val="007A1CDF"/>
    <w:rsid w:val="007A2926"/>
    <w:rsid w:val="007A4595"/>
    <w:rsid w:val="007A5A02"/>
    <w:rsid w:val="007C46FC"/>
    <w:rsid w:val="007D1324"/>
    <w:rsid w:val="007E4CE5"/>
    <w:rsid w:val="007F0998"/>
    <w:rsid w:val="0081333C"/>
    <w:rsid w:val="00823237"/>
    <w:rsid w:val="00823357"/>
    <w:rsid w:val="0082603B"/>
    <w:rsid w:val="00827126"/>
    <w:rsid w:val="00842C0E"/>
    <w:rsid w:val="00856FDA"/>
    <w:rsid w:val="00870C62"/>
    <w:rsid w:val="0087414B"/>
    <w:rsid w:val="00874C7B"/>
    <w:rsid w:val="00877E1D"/>
    <w:rsid w:val="00890A2D"/>
    <w:rsid w:val="008A49D1"/>
    <w:rsid w:val="008A4D5F"/>
    <w:rsid w:val="008B3D71"/>
    <w:rsid w:val="008B45A7"/>
    <w:rsid w:val="008E1A97"/>
    <w:rsid w:val="008F2272"/>
    <w:rsid w:val="0090087F"/>
    <w:rsid w:val="00912487"/>
    <w:rsid w:val="00932ECA"/>
    <w:rsid w:val="009524A1"/>
    <w:rsid w:val="00952BCF"/>
    <w:rsid w:val="00954A8F"/>
    <w:rsid w:val="00961F76"/>
    <w:rsid w:val="00984A3C"/>
    <w:rsid w:val="0099398E"/>
    <w:rsid w:val="0099659B"/>
    <w:rsid w:val="009A7731"/>
    <w:rsid w:val="009B058F"/>
    <w:rsid w:val="009B779B"/>
    <w:rsid w:val="009B7F78"/>
    <w:rsid w:val="009C357D"/>
    <w:rsid w:val="009D1114"/>
    <w:rsid w:val="009D7C68"/>
    <w:rsid w:val="009E4BA3"/>
    <w:rsid w:val="009E63E8"/>
    <w:rsid w:val="00A019BD"/>
    <w:rsid w:val="00A04157"/>
    <w:rsid w:val="00A045A7"/>
    <w:rsid w:val="00A14453"/>
    <w:rsid w:val="00A17C5E"/>
    <w:rsid w:val="00A35550"/>
    <w:rsid w:val="00A35BFB"/>
    <w:rsid w:val="00A41AE0"/>
    <w:rsid w:val="00A53B77"/>
    <w:rsid w:val="00A56534"/>
    <w:rsid w:val="00A567DA"/>
    <w:rsid w:val="00A72C8C"/>
    <w:rsid w:val="00A76A6B"/>
    <w:rsid w:val="00A835AC"/>
    <w:rsid w:val="00A876C1"/>
    <w:rsid w:val="00A90AC8"/>
    <w:rsid w:val="00B005EB"/>
    <w:rsid w:val="00B00952"/>
    <w:rsid w:val="00B11E69"/>
    <w:rsid w:val="00B21A7D"/>
    <w:rsid w:val="00B62A04"/>
    <w:rsid w:val="00B639B1"/>
    <w:rsid w:val="00B65F3A"/>
    <w:rsid w:val="00B933E3"/>
    <w:rsid w:val="00B964C5"/>
    <w:rsid w:val="00BC6ACC"/>
    <w:rsid w:val="00BD70A2"/>
    <w:rsid w:val="00BF5B70"/>
    <w:rsid w:val="00C10B1A"/>
    <w:rsid w:val="00C16577"/>
    <w:rsid w:val="00C441E3"/>
    <w:rsid w:val="00C44FD6"/>
    <w:rsid w:val="00C606ED"/>
    <w:rsid w:val="00C6277D"/>
    <w:rsid w:val="00C6640E"/>
    <w:rsid w:val="00C96E33"/>
    <w:rsid w:val="00CA2165"/>
    <w:rsid w:val="00CA2AAC"/>
    <w:rsid w:val="00CB1D88"/>
    <w:rsid w:val="00CB3CD5"/>
    <w:rsid w:val="00CB7E5E"/>
    <w:rsid w:val="00CC37EC"/>
    <w:rsid w:val="00CD2EDD"/>
    <w:rsid w:val="00CD4D9E"/>
    <w:rsid w:val="00CD7591"/>
    <w:rsid w:val="00CD7A00"/>
    <w:rsid w:val="00CE70A3"/>
    <w:rsid w:val="00D0262F"/>
    <w:rsid w:val="00D04CFD"/>
    <w:rsid w:val="00D22772"/>
    <w:rsid w:val="00D26C62"/>
    <w:rsid w:val="00D26D4D"/>
    <w:rsid w:val="00D32F4B"/>
    <w:rsid w:val="00D33C18"/>
    <w:rsid w:val="00D37476"/>
    <w:rsid w:val="00D4655E"/>
    <w:rsid w:val="00D47626"/>
    <w:rsid w:val="00D47BA9"/>
    <w:rsid w:val="00D72746"/>
    <w:rsid w:val="00D7695B"/>
    <w:rsid w:val="00D76B8F"/>
    <w:rsid w:val="00D80BB9"/>
    <w:rsid w:val="00D80CAE"/>
    <w:rsid w:val="00D81DDB"/>
    <w:rsid w:val="00D87F66"/>
    <w:rsid w:val="00DA6D29"/>
    <w:rsid w:val="00DB77B8"/>
    <w:rsid w:val="00DB7BA5"/>
    <w:rsid w:val="00DC62BB"/>
    <w:rsid w:val="00DE5C2E"/>
    <w:rsid w:val="00DF40EB"/>
    <w:rsid w:val="00E05745"/>
    <w:rsid w:val="00E07B85"/>
    <w:rsid w:val="00E1052F"/>
    <w:rsid w:val="00E11B8C"/>
    <w:rsid w:val="00E128E5"/>
    <w:rsid w:val="00E1393C"/>
    <w:rsid w:val="00E16F80"/>
    <w:rsid w:val="00E30997"/>
    <w:rsid w:val="00E367B3"/>
    <w:rsid w:val="00E444FE"/>
    <w:rsid w:val="00E47524"/>
    <w:rsid w:val="00E620DE"/>
    <w:rsid w:val="00E70147"/>
    <w:rsid w:val="00E702EB"/>
    <w:rsid w:val="00E769C0"/>
    <w:rsid w:val="00E83105"/>
    <w:rsid w:val="00E85764"/>
    <w:rsid w:val="00E91E1D"/>
    <w:rsid w:val="00E945CB"/>
    <w:rsid w:val="00E9469E"/>
    <w:rsid w:val="00EA5CA5"/>
    <w:rsid w:val="00EB0033"/>
    <w:rsid w:val="00EB614A"/>
    <w:rsid w:val="00EB6D0B"/>
    <w:rsid w:val="00EC365B"/>
    <w:rsid w:val="00ED5440"/>
    <w:rsid w:val="00F14133"/>
    <w:rsid w:val="00F1784C"/>
    <w:rsid w:val="00F265DC"/>
    <w:rsid w:val="00F275B0"/>
    <w:rsid w:val="00F375AA"/>
    <w:rsid w:val="00F37C3B"/>
    <w:rsid w:val="00F43BA5"/>
    <w:rsid w:val="00F450B7"/>
    <w:rsid w:val="00F63E6D"/>
    <w:rsid w:val="00F65CC5"/>
    <w:rsid w:val="00F7036E"/>
    <w:rsid w:val="00F70A7A"/>
    <w:rsid w:val="00F776D5"/>
    <w:rsid w:val="00F85891"/>
    <w:rsid w:val="00F87A9A"/>
    <w:rsid w:val="00F975EE"/>
    <w:rsid w:val="00FA220D"/>
    <w:rsid w:val="00FA30D9"/>
    <w:rsid w:val="00FB0761"/>
    <w:rsid w:val="00FB104D"/>
    <w:rsid w:val="00FD618B"/>
    <w:rsid w:val="00FE36AC"/>
    <w:rsid w:val="00FE6912"/>
    <w:rsid w:val="00FF3A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A928F"/>
  <w15:docId w15:val="{438C9C29-4386-4171-BDEB-FCCAB0CF3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Heading1">
    <w:name w:val="heading 1"/>
    <w:basedOn w:val="Normal"/>
    <w:next w:val="Normal"/>
    <w:link w:val="Heading1Char"/>
    <w:uiPriority w:val="9"/>
    <w:qFormat/>
    <w:rsid w:val="0057041E"/>
    <w:pPr>
      <w:keepNext/>
      <w:numPr>
        <w:numId w:val="1"/>
      </w:numPr>
      <w:spacing w:before="240" w:after="120"/>
      <w:ind w:left="709" w:hanging="709"/>
      <w:outlineLvl w:val="0"/>
    </w:pPr>
    <w:rPr>
      <w:rFonts w:ascii="Arial" w:eastAsiaTheme="majorEastAsia" w:hAnsi="Arial" w:cs="Arial"/>
      <w:b/>
      <w:bCs/>
      <w:kern w:val="32"/>
      <w:sz w:val="24"/>
      <w:szCs w:val="24"/>
    </w:rPr>
  </w:style>
  <w:style w:type="paragraph" w:styleId="Heading2">
    <w:name w:val="heading 2"/>
    <w:basedOn w:val="Normal"/>
    <w:next w:val="Normal"/>
    <w:link w:val="Heading2Char"/>
    <w:uiPriority w:val="9"/>
    <w:unhideWhenUsed/>
    <w:qFormat/>
    <w:rsid w:val="00E945CB"/>
    <w:pPr>
      <w:numPr>
        <w:ilvl w:val="1"/>
        <w:numId w:val="1"/>
      </w:numPr>
      <w:spacing w:before="120" w:after="120"/>
      <w:ind w:left="709" w:hanging="709"/>
      <w:outlineLvl w:val="1"/>
    </w:pPr>
    <w:rPr>
      <w:rFonts w:ascii="Arial" w:eastAsiaTheme="majorEastAsia" w:hAnsi="Arial" w:cs="Arial"/>
      <w:sz w:val="24"/>
      <w:szCs w:val="24"/>
      <w:lang w:val="en-GB"/>
    </w:rPr>
  </w:style>
  <w:style w:type="paragraph" w:styleId="Heading3">
    <w:name w:val="heading 3"/>
    <w:basedOn w:val="Normal"/>
    <w:next w:val="Normal"/>
    <w:link w:val="Heading3Char"/>
    <w:uiPriority w:val="9"/>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uiPriority w:val="9"/>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041E"/>
    <w:rPr>
      <w:rFonts w:ascii="Arial" w:eastAsiaTheme="majorEastAsia" w:hAnsi="Arial" w:cs="Arial"/>
      <w:b/>
      <w:bCs/>
      <w:kern w:val="32"/>
      <w:sz w:val="24"/>
      <w:szCs w:val="24"/>
    </w:rPr>
  </w:style>
  <w:style w:type="character" w:customStyle="1" w:styleId="Heading2Char">
    <w:name w:val="Heading 2 Char"/>
    <w:basedOn w:val="DefaultParagraphFont"/>
    <w:link w:val="Heading2"/>
    <w:uiPriority w:val="9"/>
    <w:rsid w:val="00E945CB"/>
    <w:rPr>
      <w:rFonts w:ascii="Arial" w:eastAsiaTheme="majorEastAsia" w:hAnsi="Arial" w:cs="Arial"/>
      <w:sz w:val="24"/>
      <w:szCs w:val="24"/>
      <w:lang w:val="en-GB"/>
    </w:rPr>
  </w:style>
  <w:style w:type="character" w:customStyle="1" w:styleId="Heading3Char">
    <w:name w:val="Heading 3 Char"/>
    <w:basedOn w:val="DefaultParagraphFont"/>
    <w:link w:val="Heading3"/>
    <w:uiPriority w:val="9"/>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character" w:styleId="CommentReference">
    <w:name w:val="annotation reference"/>
    <w:basedOn w:val="DefaultParagraphFont"/>
    <w:uiPriority w:val="99"/>
    <w:semiHidden/>
    <w:unhideWhenUsed/>
    <w:rsid w:val="00482278"/>
    <w:rPr>
      <w:sz w:val="16"/>
      <w:szCs w:val="16"/>
    </w:rPr>
  </w:style>
  <w:style w:type="paragraph" w:styleId="CommentText">
    <w:name w:val="annotation text"/>
    <w:basedOn w:val="Normal"/>
    <w:link w:val="CommentTextChar"/>
    <w:uiPriority w:val="99"/>
    <w:unhideWhenUsed/>
    <w:rsid w:val="00482278"/>
  </w:style>
  <w:style w:type="character" w:customStyle="1" w:styleId="CommentTextChar">
    <w:name w:val="Comment Text Char"/>
    <w:basedOn w:val="DefaultParagraphFont"/>
    <w:link w:val="CommentText"/>
    <w:uiPriority w:val="99"/>
    <w:rsid w:val="00482278"/>
  </w:style>
  <w:style w:type="paragraph" w:styleId="CommentSubject">
    <w:name w:val="annotation subject"/>
    <w:basedOn w:val="CommentText"/>
    <w:next w:val="CommentText"/>
    <w:link w:val="CommentSubjectChar"/>
    <w:uiPriority w:val="99"/>
    <w:semiHidden/>
    <w:unhideWhenUsed/>
    <w:rsid w:val="00482278"/>
    <w:rPr>
      <w:b/>
      <w:bCs/>
    </w:rPr>
  </w:style>
  <w:style w:type="character" w:customStyle="1" w:styleId="CommentSubjectChar">
    <w:name w:val="Comment Subject Char"/>
    <w:basedOn w:val="CommentTextChar"/>
    <w:link w:val="CommentSubject"/>
    <w:uiPriority w:val="99"/>
    <w:semiHidden/>
    <w:rsid w:val="00482278"/>
    <w:rPr>
      <w:b/>
      <w:bCs/>
    </w:rPr>
  </w:style>
  <w:style w:type="paragraph" w:styleId="ListParagraph">
    <w:name w:val="List Paragraph"/>
    <w:basedOn w:val="Normal"/>
    <w:link w:val="ListParagraphChar"/>
    <w:uiPriority w:val="34"/>
    <w:qFormat/>
    <w:rsid w:val="00E444FE"/>
    <w:pPr>
      <w:ind w:left="720"/>
      <w:contextualSpacing/>
    </w:pPr>
  </w:style>
  <w:style w:type="paragraph" w:styleId="Header">
    <w:name w:val="header"/>
    <w:basedOn w:val="Normal"/>
    <w:link w:val="HeaderChar"/>
    <w:uiPriority w:val="99"/>
    <w:unhideWhenUsed/>
    <w:rsid w:val="00F43BA5"/>
    <w:pPr>
      <w:tabs>
        <w:tab w:val="center" w:pos="4513"/>
        <w:tab w:val="right" w:pos="9026"/>
      </w:tabs>
    </w:pPr>
  </w:style>
  <w:style w:type="character" w:customStyle="1" w:styleId="HeaderChar">
    <w:name w:val="Header Char"/>
    <w:basedOn w:val="DefaultParagraphFont"/>
    <w:link w:val="Header"/>
    <w:uiPriority w:val="99"/>
    <w:rsid w:val="00F43BA5"/>
  </w:style>
  <w:style w:type="paragraph" w:styleId="Footer">
    <w:name w:val="footer"/>
    <w:basedOn w:val="Normal"/>
    <w:link w:val="FooterChar"/>
    <w:uiPriority w:val="99"/>
    <w:unhideWhenUsed/>
    <w:rsid w:val="00F43BA5"/>
    <w:pPr>
      <w:tabs>
        <w:tab w:val="center" w:pos="4513"/>
        <w:tab w:val="right" w:pos="9026"/>
      </w:tabs>
    </w:pPr>
  </w:style>
  <w:style w:type="character" w:customStyle="1" w:styleId="FooterChar">
    <w:name w:val="Footer Char"/>
    <w:basedOn w:val="DefaultParagraphFont"/>
    <w:link w:val="Footer"/>
    <w:uiPriority w:val="99"/>
    <w:rsid w:val="00F43BA5"/>
  </w:style>
  <w:style w:type="paragraph" w:customStyle="1" w:styleId="Default">
    <w:name w:val="Default"/>
    <w:link w:val="DefaultChar"/>
    <w:rsid w:val="00363C38"/>
    <w:pPr>
      <w:autoSpaceDE w:val="0"/>
      <w:autoSpaceDN w:val="0"/>
      <w:adjustRightInd w:val="0"/>
    </w:pPr>
    <w:rPr>
      <w:rFonts w:ascii="Arial" w:eastAsiaTheme="minorHAnsi" w:hAnsi="Arial" w:cs="Arial"/>
      <w:color w:val="000000"/>
      <w:sz w:val="24"/>
      <w:szCs w:val="24"/>
      <w:lang w:val="en-GB"/>
    </w:rPr>
  </w:style>
  <w:style w:type="paragraph" w:customStyle="1" w:styleId="Table1">
    <w:name w:val="Table1"/>
    <w:basedOn w:val="Normal"/>
    <w:rsid w:val="00363C38"/>
    <w:pPr>
      <w:tabs>
        <w:tab w:val="left" w:pos="-449"/>
        <w:tab w:val="left" w:pos="247"/>
        <w:tab w:val="left" w:pos="943"/>
        <w:tab w:val="left" w:pos="1639"/>
        <w:tab w:val="left" w:pos="2335"/>
        <w:tab w:val="left" w:pos="3031"/>
      </w:tabs>
      <w:suppressAutoHyphens/>
      <w:jc w:val="both"/>
    </w:pPr>
    <w:rPr>
      <w:rFonts w:ascii="Tms Rmn 12pt" w:hAnsi="Tms Rmn 12pt"/>
      <w:sz w:val="22"/>
      <w:lang w:val="en-GB"/>
    </w:rPr>
  </w:style>
  <w:style w:type="table" w:styleId="TableGrid">
    <w:name w:val="Table Grid"/>
    <w:basedOn w:val="TableNormal"/>
    <w:uiPriority w:val="39"/>
    <w:rsid w:val="00363C38"/>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63C38"/>
    <w:rPr>
      <w:color w:val="0000FF" w:themeColor="hyperlink"/>
      <w:u w:val="single"/>
    </w:rPr>
  </w:style>
  <w:style w:type="paragraph" w:customStyle="1" w:styleId="Minutetext">
    <w:name w:val="Minute text"/>
    <w:basedOn w:val="Normal"/>
    <w:rsid w:val="00363C38"/>
    <w:pPr>
      <w:spacing w:after="240"/>
      <w:jc w:val="both"/>
    </w:pPr>
    <w:rPr>
      <w:rFonts w:ascii="Arial" w:hAnsi="Arial"/>
      <w:sz w:val="24"/>
      <w:lang w:eastAsia="en-GB"/>
    </w:rPr>
  </w:style>
  <w:style w:type="character" w:styleId="FollowedHyperlink">
    <w:name w:val="FollowedHyperlink"/>
    <w:basedOn w:val="DefaultParagraphFont"/>
    <w:uiPriority w:val="99"/>
    <w:unhideWhenUsed/>
    <w:rsid w:val="00D32F4B"/>
    <w:rPr>
      <w:color w:val="800080" w:themeColor="followedHyperlink"/>
      <w:u w:val="single"/>
    </w:rPr>
  </w:style>
  <w:style w:type="character" w:customStyle="1" w:styleId="UnresolvedMention1">
    <w:name w:val="Unresolved Mention1"/>
    <w:basedOn w:val="DefaultParagraphFont"/>
    <w:uiPriority w:val="99"/>
    <w:rsid w:val="0099659B"/>
    <w:rPr>
      <w:color w:val="605E5C"/>
      <w:shd w:val="clear" w:color="auto" w:fill="E1DFDD"/>
    </w:rPr>
  </w:style>
  <w:style w:type="paragraph" w:styleId="BalloonText">
    <w:name w:val="Balloon Text"/>
    <w:basedOn w:val="Normal"/>
    <w:link w:val="BalloonTextChar"/>
    <w:uiPriority w:val="99"/>
    <w:semiHidden/>
    <w:rsid w:val="009B058F"/>
    <w:rPr>
      <w:rFonts w:ascii="Tahoma" w:hAnsi="Tahoma" w:cs="Tahoma"/>
      <w:sz w:val="16"/>
      <w:szCs w:val="16"/>
      <w:lang w:val="en-GB" w:eastAsia="en-GB"/>
    </w:rPr>
  </w:style>
  <w:style w:type="character" w:customStyle="1" w:styleId="BalloonTextChar">
    <w:name w:val="Balloon Text Char"/>
    <w:basedOn w:val="DefaultParagraphFont"/>
    <w:link w:val="BalloonText"/>
    <w:uiPriority w:val="99"/>
    <w:semiHidden/>
    <w:rsid w:val="009B058F"/>
    <w:rPr>
      <w:rFonts w:ascii="Tahoma" w:hAnsi="Tahoma" w:cs="Tahoma"/>
      <w:sz w:val="16"/>
      <w:szCs w:val="16"/>
      <w:lang w:val="en-GB" w:eastAsia="en-GB"/>
    </w:rPr>
  </w:style>
  <w:style w:type="character" w:customStyle="1" w:styleId="UnresolvedMention10">
    <w:name w:val="Unresolved Mention1"/>
    <w:basedOn w:val="DefaultParagraphFont"/>
    <w:uiPriority w:val="99"/>
    <w:semiHidden/>
    <w:unhideWhenUsed/>
    <w:rsid w:val="009B058F"/>
    <w:rPr>
      <w:color w:val="605E5C"/>
      <w:shd w:val="clear" w:color="auto" w:fill="E1DFDD"/>
    </w:rPr>
  </w:style>
  <w:style w:type="paragraph" w:customStyle="1" w:styleId="StyleHeading2Arial12ptNotBoldNotItalic">
    <w:name w:val="Style Heading 2 + Arial 12 pt Not Bold Not Italic"/>
    <w:basedOn w:val="Heading2"/>
    <w:link w:val="StyleHeading2Arial12ptNotBoldNotItalicChar"/>
    <w:rsid w:val="009B058F"/>
    <w:pPr>
      <w:tabs>
        <w:tab w:val="num" w:pos="0"/>
        <w:tab w:val="num" w:pos="720"/>
      </w:tabs>
      <w:ind w:left="794" w:hanging="794"/>
    </w:pPr>
    <w:rPr>
      <w:rFonts w:eastAsia="Times New Roman" w:cs="Times New Roman"/>
      <w:i/>
      <w:iCs/>
      <w:kern w:val="32"/>
      <w:lang w:eastAsia="en-GB"/>
    </w:rPr>
  </w:style>
  <w:style w:type="character" w:customStyle="1" w:styleId="StyleHeading2Arial12ptNotBoldNotItalicChar">
    <w:name w:val="Style Heading 2 + Arial 12 pt Not Bold Not Italic Char"/>
    <w:link w:val="StyleHeading2Arial12ptNotBoldNotItalic"/>
    <w:rsid w:val="009B058F"/>
    <w:rPr>
      <w:rFonts w:ascii="Arial" w:hAnsi="Arial"/>
      <w:i/>
      <w:iCs/>
      <w:kern w:val="32"/>
      <w:sz w:val="24"/>
      <w:szCs w:val="24"/>
      <w:lang w:val="en-GB" w:eastAsia="en-GB"/>
    </w:rPr>
  </w:style>
  <w:style w:type="paragraph" w:styleId="FootnoteText">
    <w:name w:val="footnote text"/>
    <w:basedOn w:val="Normal"/>
    <w:link w:val="FootnoteTextChar"/>
    <w:rsid w:val="009B058F"/>
    <w:rPr>
      <w:rFonts w:ascii="Arial" w:hAnsi="Arial"/>
      <w:lang w:val="en-GB" w:eastAsia="en-GB"/>
    </w:rPr>
  </w:style>
  <w:style w:type="character" w:customStyle="1" w:styleId="FootnoteTextChar">
    <w:name w:val="Footnote Text Char"/>
    <w:basedOn w:val="DefaultParagraphFont"/>
    <w:link w:val="FootnoteText"/>
    <w:rsid w:val="009B058F"/>
    <w:rPr>
      <w:rFonts w:ascii="Arial" w:hAnsi="Arial"/>
      <w:lang w:val="en-GB" w:eastAsia="en-GB"/>
    </w:rPr>
  </w:style>
  <w:style w:type="character" w:styleId="FootnoteReference">
    <w:name w:val="footnote reference"/>
    <w:basedOn w:val="DefaultParagraphFont"/>
    <w:rsid w:val="009B058F"/>
    <w:rPr>
      <w:vertAlign w:val="superscript"/>
    </w:rPr>
  </w:style>
  <w:style w:type="paragraph" w:styleId="NoSpacing">
    <w:name w:val="No Spacing"/>
    <w:uiPriority w:val="1"/>
    <w:qFormat/>
    <w:rsid w:val="009B058F"/>
    <w:pPr>
      <w:spacing w:after="120"/>
    </w:pPr>
    <w:rPr>
      <w:rFonts w:ascii="Arial" w:eastAsiaTheme="minorHAnsi" w:hAnsi="Arial" w:cstheme="minorBidi"/>
      <w:sz w:val="24"/>
      <w:szCs w:val="22"/>
      <w:lang w:val="en-GB"/>
    </w:rPr>
  </w:style>
  <w:style w:type="paragraph" w:customStyle="1" w:styleId="Style1">
    <w:name w:val="Style1"/>
    <w:rsid w:val="009B058F"/>
    <w:rPr>
      <w:rFonts w:ascii="Gill Sans" w:hAnsi="Gill Sans"/>
      <w:snapToGrid w:val="0"/>
      <w:color w:val="000000"/>
      <w:sz w:val="18"/>
      <w:szCs w:val="18"/>
      <w:lang w:val="en-GB" w:eastAsia="en-GB"/>
    </w:rPr>
  </w:style>
  <w:style w:type="paragraph" w:customStyle="1" w:styleId="DefaultText">
    <w:name w:val="Default Text"/>
    <w:basedOn w:val="Normal"/>
    <w:rsid w:val="009B058F"/>
    <w:pPr>
      <w:jc w:val="both"/>
    </w:pPr>
    <w:rPr>
      <w:rFonts w:ascii="BtnHove-Light" w:eastAsiaTheme="minorHAnsi" w:hAnsi="BtnHove-Light" w:cs="Calibri"/>
      <w:color w:val="000000"/>
      <w:sz w:val="24"/>
      <w:szCs w:val="24"/>
      <w:lang w:val="en-GB" w:eastAsia="en-GB"/>
    </w:rPr>
  </w:style>
  <w:style w:type="character" w:customStyle="1" w:styleId="DefaultChar">
    <w:name w:val="Default Char"/>
    <w:basedOn w:val="DefaultParagraphFont"/>
    <w:link w:val="Default"/>
    <w:locked/>
    <w:rsid w:val="009B058F"/>
    <w:rPr>
      <w:rFonts w:ascii="Arial" w:eastAsiaTheme="minorHAnsi" w:hAnsi="Arial" w:cs="Arial"/>
      <w:color w:val="000000"/>
      <w:sz w:val="24"/>
      <w:szCs w:val="24"/>
      <w:lang w:val="en-GB"/>
    </w:rPr>
  </w:style>
  <w:style w:type="paragraph" w:customStyle="1" w:styleId="DfESOutNumbered1">
    <w:name w:val="DfESOutNumbered1"/>
    <w:basedOn w:val="Normal"/>
    <w:rsid w:val="009B058F"/>
    <w:pPr>
      <w:numPr>
        <w:numId w:val="11"/>
      </w:numPr>
      <w:autoSpaceDN w:val="0"/>
    </w:pPr>
    <w:rPr>
      <w:rFonts w:ascii="Arial" w:eastAsiaTheme="minorHAnsi" w:hAnsi="Arial" w:cs="Arial"/>
      <w:color w:val="0D0D0D"/>
      <w:sz w:val="24"/>
      <w:szCs w:val="24"/>
      <w:lang w:val="en-GB" w:eastAsia="en-GB"/>
    </w:rPr>
  </w:style>
  <w:style w:type="numbering" w:customStyle="1" w:styleId="LFO35">
    <w:name w:val="LFO35"/>
    <w:rsid w:val="009B058F"/>
    <w:pPr>
      <w:numPr>
        <w:numId w:val="11"/>
      </w:numPr>
    </w:pPr>
  </w:style>
  <w:style w:type="character" w:customStyle="1" w:styleId="UnresolvedMention2">
    <w:name w:val="Unresolved Mention2"/>
    <w:basedOn w:val="DefaultParagraphFont"/>
    <w:rsid w:val="009B058F"/>
    <w:rPr>
      <w:color w:val="605E5C"/>
      <w:shd w:val="clear" w:color="auto" w:fill="E1DFDD"/>
    </w:rPr>
  </w:style>
  <w:style w:type="paragraph" w:customStyle="1" w:styleId="msonormal0">
    <w:name w:val="msonormal"/>
    <w:basedOn w:val="Normal"/>
    <w:rsid w:val="009B058F"/>
    <w:pPr>
      <w:spacing w:before="100" w:beforeAutospacing="1" w:after="100" w:afterAutospacing="1"/>
    </w:pPr>
    <w:rPr>
      <w:sz w:val="24"/>
      <w:szCs w:val="24"/>
      <w:lang w:val="en-GB" w:eastAsia="en-GB"/>
    </w:rPr>
  </w:style>
  <w:style w:type="paragraph" w:customStyle="1" w:styleId="font5">
    <w:name w:val="font5"/>
    <w:basedOn w:val="Normal"/>
    <w:rsid w:val="009B058F"/>
    <w:pPr>
      <w:spacing w:before="100" w:beforeAutospacing="1" w:after="100" w:afterAutospacing="1"/>
    </w:pPr>
    <w:rPr>
      <w:rFonts w:ascii="Arial" w:hAnsi="Arial" w:cs="Arial"/>
      <w:color w:val="000000"/>
      <w:sz w:val="24"/>
      <w:szCs w:val="24"/>
      <w:lang w:val="en-GB" w:eastAsia="en-GB"/>
    </w:rPr>
  </w:style>
  <w:style w:type="paragraph" w:customStyle="1" w:styleId="font6">
    <w:name w:val="font6"/>
    <w:basedOn w:val="Normal"/>
    <w:rsid w:val="009B058F"/>
    <w:pPr>
      <w:spacing w:before="100" w:beforeAutospacing="1" w:after="100" w:afterAutospacing="1"/>
    </w:pPr>
    <w:rPr>
      <w:rFonts w:ascii="Arial" w:hAnsi="Arial" w:cs="Arial"/>
      <w:b/>
      <w:bCs/>
      <w:color w:val="FF0000"/>
      <w:sz w:val="24"/>
      <w:szCs w:val="24"/>
      <w:lang w:val="en-GB" w:eastAsia="en-GB"/>
    </w:rPr>
  </w:style>
  <w:style w:type="paragraph" w:customStyle="1" w:styleId="xl63">
    <w:name w:val="xl63"/>
    <w:basedOn w:val="Normal"/>
    <w:rsid w:val="009B058F"/>
    <w:pPr>
      <w:pBdr>
        <w:bottom w:val="single" w:sz="8" w:space="0" w:color="auto"/>
        <w:right w:val="single" w:sz="8" w:space="0" w:color="auto"/>
      </w:pBdr>
      <w:spacing w:before="100" w:beforeAutospacing="1" w:after="100" w:afterAutospacing="1"/>
      <w:textAlignment w:val="center"/>
    </w:pPr>
    <w:rPr>
      <w:rFonts w:ascii="Arial" w:hAnsi="Arial" w:cs="Arial"/>
      <w:sz w:val="24"/>
      <w:szCs w:val="24"/>
      <w:lang w:val="en-GB" w:eastAsia="en-GB"/>
    </w:rPr>
  </w:style>
  <w:style w:type="paragraph" w:customStyle="1" w:styleId="xl64">
    <w:name w:val="xl64"/>
    <w:basedOn w:val="Normal"/>
    <w:rsid w:val="009B058F"/>
    <w:pPr>
      <w:pBdr>
        <w:bottom w:val="single" w:sz="8" w:space="0" w:color="auto"/>
        <w:right w:val="single" w:sz="8" w:space="0" w:color="auto"/>
      </w:pBdr>
      <w:shd w:val="clear" w:color="000000" w:fill="8064A2"/>
      <w:spacing w:before="100" w:beforeAutospacing="1" w:after="100" w:afterAutospacing="1"/>
      <w:textAlignment w:val="center"/>
    </w:pPr>
    <w:rPr>
      <w:rFonts w:ascii="Arial" w:hAnsi="Arial" w:cs="Arial"/>
      <w:b/>
      <w:bCs/>
      <w:color w:val="FFFFFF"/>
      <w:sz w:val="24"/>
      <w:szCs w:val="24"/>
      <w:lang w:val="en-GB" w:eastAsia="en-GB"/>
    </w:rPr>
  </w:style>
  <w:style w:type="paragraph" w:customStyle="1" w:styleId="xl65">
    <w:name w:val="xl65"/>
    <w:basedOn w:val="Normal"/>
    <w:rsid w:val="009B058F"/>
    <w:pPr>
      <w:pBdr>
        <w:bottom w:val="single" w:sz="8" w:space="0" w:color="auto"/>
        <w:right w:val="single" w:sz="8" w:space="0" w:color="auto"/>
      </w:pBdr>
      <w:shd w:val="clear" w:color="000000" w:fill="8064A2"/>
      <w:spacing w:before="100" w:beforeAutospacing="1" w:after="100" w:afterAutospacing="1"/>
      <w:jc w:val="right"/>
      <w:textAlignment w:val="center"/>
    </w:pPr>
    <w:rPr>
      <w:rFonts w:ascii="Arial" w:hAnsi="Arial" w:cs="Arial"/>
      <w:b/>
      <w:bCs/>
      <w:color w:val="FFFFFF"/>
      <w:sz w:val="24"/>
      <w:szCs w:val="24"/>
      <w:lang w:val="en-GB" w:eastAsia="en-GB"/>
    </w:rPr>
  </w:style>
  <w:style w:type="paragraph" w:customStyle="1" w:styleId="xl66">
    <w:name w:val="xl66"/>
    <w:basedOn w:val="Normal"/>
    <w:rsid w:val="009B058F"/>
    <w:pPr>
      <w:pBdr>
        <w:bottom w:val="single" w:sz="8" w:space="0" w:color="auto"/>
        <w:right w:val="single" w:sz="8" w:space="0" w:color="auto"/>
      </w:pBdr>
      <w:shd w:val="clear" w:color="000000" w:fill="C65911"/>
      <w:spacing w:before="100" w:beforeAutospacing="1" w:after="100" w:afterAutospacing="1"/>
      <w:textAlignment w:val="center"/>
    </w:pPr>
    <w:rPr>
      <w:rFonts w:ascii="Arial" w:hAnsi="Arial" w:cs="Arial"/>
      <w:b/>
      <w:bCs/>
      <w:color w:val="FFFFFF"/>
      <w:sz w:val="24"/>
      <w:szCs w:val="24"/>
      <w:lang w:val="en-GB" w:eastAsia="en-GB"/>
    </w:rPr>
  </w:style>
  <w:style w:type="paragraph" w:customStyle="1" w:styleId="xl67">
    <w:name w:val="xl67"/>
    <w:basedOn w:val="Normal"/>
    <w:rsid w:val="009B058F"/>
    <w:pPr>
      <w:pBdr>
        <w:bottom w:val="single" w:sz="8" w:space="0" w:color="auto"/>
        <w:right w:val="single" w:sz="8" w:space="0" w:color="auto"/>
      </w:pBdr>
      <w:shd w:val="clear" w:color="000000" w:fill="C65911"/>
      <w:spacing w:before="100" w:beforeAutospacing="1" w:after="100" w:afterAutospacing="1"/>
      <w:textAlignment w:val="center"/>
    </w:pPr>
    <w:rPr>
      <w:rFonts w:ascii="Arial" w:hAnsi="Arial" w:cs="Arial"/>
      <w:b/>
      <w:bCs/>
      <w:color w:val="FFFFFF"/>
      <w:sz w:val="24"/>
      <w:szCs w:val="24"/>
      <w:lang w:val="en-GB" w:eastAsia="en-GB"/>
    </w:rPr>
  </w:style>
  <w:style w:type="paragraph" w:customStyle="1" w:styleId="xl68">
    <w:name w:val="xl68"/>
    <w:basedOn w:val="Normal"/>
    <w:rsid w:val="009B058F"/>
    <w:pPr>
      <w:pBdr>
        <w:bottom w:val="single" w:sz="8" w:space="0" w:color="auto"/>
        <w:right w:val="single" w:sz="8" w:space="0" w:color="auto"/>
      </w:pBdr>
      <w:shd w:val="clear" w:color="000000" w:fill="76923C"/>
      <w:spacing w:before="100" w:beforeAutospacing="1" w:after="100" w:afterAutospacing="1"/>
      <w:textAlignment w:val="center"/>
    </w:pPr>
    <w:rPr>
      <w:rFonts w:ascii="Arial" w:hAnsi="Arial" w:cs="Arial"/>
      <w:b/>
      <w:bCs/>
      <w:color w:val="FFFFFF"/>
      <w:sz w:val="24"/>
      <w:szCs w:val="24"/>
      <w:lang w:val="en-GB" w:eastAsia="en-GB"/>
    </w:rPr>
  </w:style>
  <w:style w:type="paragraph" w:customStyle="1" w:styleId="xl69">
    <w:name w:val="xl69"/>
    <w:basedOn w:val="Normal"/>
    <w:rsid w:val="009B058F"/>
    <w:pPr>
      <w:pBdr>
        <w:bottom w:val="single" w:sz="8" w:space="0" w:color="auto"/>
        <w:right w:val="single" w:sz="8" w:space="0" w:color="auto"/>
      </w:pBdr>
      <w:shd w:val="clear" w:color="000000" w:fill="76923C"/>
      <w:spacing w:before="100" w:beforeAutospacing="1" w:after="100" w:afterAutospacing="1"/>
      <w:textAlignment w:val="center"/>
    </w:pPr>
    <w:rPr>
      <w:rFonts w:ascii="Arial" w:hAnsi="Arial" w:cs="Arial"/>
      <w:b/>
      <w:bCs/>
      <w:color w:val="FFFFFF"/>
      <w:sz w:val="24"/>
      <w:szCs w:val="24"/>
      <w:lang w:val="en-GB" w:eastAsia="en-GB"/>
    </w:rPr>
  </w:style>
  <w:style w:type="paragraph" w:customStyle="1" w:styleId="xl70">
    <w:name w:val="xl70"/>
    <w:basedOn w:val="Normal"/>
    <w:rsid w:val="009B058F"/>
    <w:pPr>
      <w:pBdr>
        <w:bottom w:val="single" w:sz="8" w:space="0" w:color="auto"/>
        <w:right w:val="single" w:sz="8" w:space="0" w:color="auto"/>
      </w:pBdr>
      <w:shd w:val="clear" w:color="000000" w:fill="365F91"/>
      <w:spacing w:before="100" w:beforeAutospacing="1" w:after="100" w:afterAutospacing="1"/>
      <w:textAlignment w:val="center"/>
    </w:pPr>
    <w:rPr>
      <w:rFonts w:ascii="Arial" w:hAnsi="Arial" w:cs="Arial"/>
      <w:b/>
      <w:bCs/>
      <w:color w:val="FFFFFF"/>
      <w:sz w:val="24"/>
      <w:szCs w:val="24"/>
      <w:lang w:val="en-GB" w:eastAsia="en-GB"/>
    </w:rPr>
  </w:style>
  <w:style w:type="paragraph" w:customStyle="1" w:styleId="xl71">
    <w:name w:val="xl71"/>
    <w:basedOn w:val="Normal"/>
    <w:rsid w:val="009B058F"/>
    <w:pPr>
      <w:pBdr>
        <w:bottom w:val="single" w:sz="8" w:space="0" w:color="auto"/>
        <w:right w:val="single" w:sz="8" w:space="0" w:color="auto"/>
      </w:pBdr>
      <w:shd w:val="clear" w:color="000000" w:fill="365F91"/>
      <w:spacing w:before="100" w:beforeAutospacing="1" w:after="100" w:afterAutospacing="1"/>
      <w:textAlignment w:val="center"/>
    </w:pPr>
    <w:rPr>
      <w:rFonts w:ascii="Arial" w:hAnsi="Arial" w:cs="Arial"/>
      <w:b/>
      <w:bCs/>
      <w:color w:val="FFFFFF"/>
      <w:sz w:val="24"/>
      <w:szCs w:val="24"/>
      <w:lang w:val="en-GB" w:eastAsia="en-GB"/>
    </w:rPr>
  </w:style>
  <w:style w:type="paragraph" w:customStyle="1" w:styleId="xl72">
    <w:name w:val="xl72"/>
    <w:basedOn w:val="Normal"/>
    <w:rsid w:val="009B058F"/>
    <w:pPr>
      <w:pBdr>
        <w:bottom w:val="single" w:sz="8" w:space="0" w:color="auto"/>
        <w:right w:val="single" w:sz="8" w:space="0" w:color="auto"/>
      </w:pBdr>
      <w:shd w:val="clear" w:color="000000" w:fill="BF0953"/>
      <w:spacing w:before="100" w:beforeAutospacing="1" w:after="100" w:afterAutospacing="1"/>
      <w:textAlignment w:val="center"/>
    </w:pPr>
    <w:rPr>
      <w:rFonts w:ascii="Arial" w:hAnsi="Arial" w:cs="Arial"/>
      <w:b/>
      <w:bCs/>
      <w:color w:val="FFFFFF"/>
      <w:sz w:val="24"/>
      <w:szCs w:val="24"/>
      <w:lang w:val="en-GB" w:eastAsia="en-GB"/>
    </w:rPr>
  </w:style>
  <w:style w:type="paragraph" w:customStyle="1" w:styleId="xl73">
    <w:name w:val="xl73"/>
    <w:basedOn w:val="Normal"/>
    <w:rsid w:val="009B058F"/>
    <w:pPr>
      <w:pBdr>
        <w:bottom w:val="single" w:sz="8" w:space="0" w:color="auto"/>
        <w:right w:val="single" w:sz="8" w:space="0" w:color="auto"/>
      </w:pBdr>
      <w:shd w:val="clear" w:color="000000" w:fill="BF0953"/>
      <w:spacing w:before="100" w:beforeAutospacing="1" w:after="100" w:afterAutospacing="1"/>
      <w:jc w:val="right"/>
      <w:textAlignment w:val="center"/>
    </w:pPr>
    <w:rPr>
      <w:rFonts w:ascii="Arial" w:hAnsi="Arial" w:cs="Arial"/>
      <w:b/>
      <w:bCs/>
      <w:color w:val="FFFFFF"/>
      <w:sz w:val="24"/>
      <w:szCs w:val="24"/>
      <w:lang w:val="en-GB" w:eastAsia="en-GB"/>
    </w:rPr>
  </w:style>
  <w:style w:type="paragraph" w:customStyle="1" w:styleId="xl74">
    <w:name w:val="xl74"/>
    <w:basedOn w:val="Normal"/>
    <w:rsid w:val="009B058F"/>
    <w:pPr>
      <w:pBdr>
        <w:left w:val="single" w:sz="8" w:space="0" w:color="auto"/>
        <w:bottom w:val="single" w:sz="8" w:space="0" w:color="auto"/>
        <w:right w:val="single" w:sz="8" w:space="0" w:color="auto"/>
      </w:pBdr>
      <w:shd w:val="clear" w:color="000000" w:fill="BF0953"/>
      <w:spacing w:before="100" w:beforeAutospacing="1" w:after="100" w:afterAutospacing="1"/>
      <w:jc w:val="center"/>
      <w:textAlignment w:val="center"/>
    </w:pPr>
    <w:rPr>
      <w:rFonts w:ascii="Arial" w:hAnsi="Arial" w:cs="Arial"/>
      <w:b/>
      <w:bCs/>
      <w:color w:val="FFFFFF"/>
      <w:sz w:val="24"/>
      <w:szCs w:val="24"/>
      <w:lang w:val="en-GB" w:eastAsia="en-GB"/>
    </w:rPr>
  </w:style>
  <w:style w:type="paragraph" w:customStyle="1" w:styleId="xl75">
    <w:name w:val="xl75"/>
    <w:basedOn w:val="Normal"/>
    <w:rsid w:val="009B058F"/>
    <w:pPr>
      <w:pBdr>
        <w:bottom w:val="single" w:sz="8" w:space="0" w:color="auto"/>
        <w:right w:val="single" w:sz="8" w:space="0" w:color="auto"/>
      </w:pBdr>
      <w:shd w:val="clear" w:color="000000" w:fill="FFFFFF"/>
      <w:spacing w:before="100" w:beforeAutospacing="1" w:after="100" w:afterAutospacing="1"/>
      <w:jc w:val="right"/>
      <w:textAlignment w:val="center"/>
    </w:pPr>
    <w:rPr>
      <w:rFonts w:ascii="Arial" w:hAnsi="Arial" w:cs="Arial"/>
      <w:sz w:val="24"/>
      <w:szCs w:val="24"/>
      <w:lang w:val="en-GB" w:eastAsia="en-GB"/>
    </w:rPr>
  </w:style>
  <w:style w:type="paragraph" w:customStyle="1" w:styleId="xl76">
    <w:name w:val="xl76"/>
    <w:basedOn w:val="Normal"/>
    <w:rsid w:val="009B058F"/>
    <w:pPr>
      <w:pBdr>
        <w:bottom w:val="single" w:sz="8" w:space="0" w:color="auto"/>
        <w:right w:val="single" w:sz="8" w:space="0" w:color="auto"/>
      </w:pBdr>
      <w:shd w:val="clear" w:color="000000" w:fill="FFFFFF"/>
      <w:spacing w:before="100" w:beforeAutospacing="1" w:after="100" w:afterAutospacing="1"/>
      <w:jc w:val="right"/>
      <w:textAlignment w:val="center"/>
    </w:pPr>
    <w:rPr>
      <w:rFonts w:ascii="Arial" w:hAnsi="Arial" w:cs="Arial"/>
      <w:color w:val="FFFFFF"/>
      <w:sz w:val="24"/>
      <w:szCs w:val="24"/>
      <w:lang w:val="en-GB" w:eastAsia="en-GB"/>
    </w:rPr>
  </w:style>
  <w:style w:type="paragraph" w:customStyle="1" w:styleId="xl77">
    <w:name w:val="xl77"/>
    <w:basedOn w:val="Normal"/>
    <w:rsid w:val="009B058F"/>
    <w:pPr>
      <w:pBdr>
        <w:bottom w:val="single" w:sz="8" w:space="0" w:color="auto"/>
        <w:right w:val="single" w:sz="8" w:space="0" w:color="auto"/>
      </w:pBdr>
      <w:spacing w:before="100" w:beforeAutospacing="1" w:after="100" w:afterAutospacing="1"/>
      <w:textAlignment w:val="center"/>
    </w:pPr>
    <w:rPr>
      <w:rFonts w:ascii="Arial" w:hAnsi="Arial" w:cs="Arial"/>
      <w:sz w:val="24"/>
      <w:szCs w:val="24"/>
      <w:lang w:val="en-GB" w:eastAsia="en-GB"/>
    </w:rPr>
  </w:style>
  <w:style w:type="paragraph" w:customStyle="1" w:styleId="xl78">
    <w:name w:val="xl78"/>
    <w:basedOn w:val="Normal"/>
    <w:rsid w:val="009B058F"/>
    <w:pPr>
      <w:pBdr>
        <w:bottom w:val="single" w:sz="8" w:space="0" w:color="auto"/>
        <w:right w:val="single" w:sz="8" w:space="0" w:color="auto"/>
      </w:pBdr>
      <w:spacing w:before="100" w:beforeAutospacing="1" w:after="100" w:afterAutospacing="1"/>
      <w:jc w:val="right"/>
      <w:textAlignment w:val="center"/>
    </w:pPr>
    <w:rPr>
      <w:rFonts w:ascii="Arial" w:hAnsi="Arial" w:cs="Arial"/>
      <w:sz w:val="24"/>
      <w:szCs w:val="24"/>
      <w:lang w:val="en-GB" w:eastAsia="en-GB"/>
    </w:rPr>
  </w:style>
  <w:style w:type="paragraph" w:customStyle="1" w:styleId="xl79">
    <w:name w:val="xl79"/>
    <w:basedOn w:val="Normal"/>
    <w:rsid w:val="009B058F"/>
    <w:pPr>
      <w:pBdr>
        <w:bottom w:val="single" w:sz="8" w:space="0" w:color="auto"/>
        <w:right w:val="single" w:sz="8" w:space="0" w:color="auto"/>
      </w:pBdr>
      <w:spacing w:before="100" w:beforeAutospacing="1" w:after="100" w:afterAutospacing="1"/>
      <w:textAlignment w:val="center"/>
    </w:pPr>
    <w:rPr>
      <w:rFonts w:ascii="Arial" w:hAnsi="Arial" w:cs="Arial"/>
      <w:b/>
      <w:bCs/>
      <w:color w:val="FF0000"/>
      <w:sz w:val="24"/>
      <w:szCs w:val="24"/>
      <w:lang w:val="en-GB" w:eastAsia="en-GB"/>
    </w:rPr>
  </w:style>
  <w:style w:type="paragraph" w:customStyle="1" w:styleId="xl80">
    <w:name w:val="xl80"/>
    <w:basedOn w:val="Normal"/>
    <w:rsid w:val="009B058F"/>
    <w:pPr>
      <w:pBdr>
        <w:bottom w:val="single" w:sz="8" w:space="0" w:color="auto"/>
        <w:right w:val="single" w:sz="8" w:space="0" w:color="auto"/>
      </w:pBdr>
      <w:shd w:val="clear" w:color="000000" w:fill="FFC000"/>
      <w:spacing w:before="100" w:beforeAutospacing="1" w:after="100" w:afterAutospacing="1"/>
      <w:textAlignment w:val="center"/>
    </w:pPr>
    <w:rPr>
      <w:rFonts w:ascii="Arial" w:hAnsi="Arial" w:cs="Arial"/>
      <w:sz w:val="24"/>
      <w:szCs w:val="24"/>
      <w:lang w:val="en-GB" w:eastAsia="en-GB"/>
    </w:rPr>
  </w:style>
  <w:style w:type="paragraph" w:customStyle="1" w:styleId="xl81">
    <w:name w:val="xl81"/>
    <w:basedOn w:val="Normal"/>
    <w:rsid w:val="009B058F"/>
    <w:pPr>
      <w:pBdr>
        <w:bottom w:val="single" w:sz="8" w:space="0" w:color="auto"/>
        <w:right w:val="single" w:sz="8" w:space="0" w:color="auto"/>
      </w:pBdr>
      <w:shd w:val="clear" w:color="000000" w:fill="FFC000"/>
      <w:spacing w:before="100" w:beforeAutospacing="1" w:after="100" w:afterAutospacing="1"/>
      <w:jc w:val="right"/>
      <w:textAlignment w:val="center"/>
    </w:pPr>
    <w:rPr>
      <w:rFonts w:ascii="Arial" w:hAnsi="Arial" w:cs="Arial"/>
      <w:sz w:val="24"/>
      <w:szCs w:val="24"/>
      <w:lang w:val="en-GB" w:eastAsia="en-GB"/>
    </w:rPr>
  </w:style>
  <w:style w:type="paragraph" w:customStyle="1" w:styleId="xl82">
    <w:name w:val="xl82"/>
    <w:basedOn w:val="Normal"/>
    <w:rsid w:val="009B058F"/>
    <w:pPr>
      <w:pBdr>
        <w:bottom w:val="single" w:sz="8" w:space="0" w:color="auto"/>
        <w:right w:val="single" w:sz="8" w:space="0" w:color="auto"/>
      </w:pBdr>
      <w:spacing w:before="100" w:beforeAutospacing="1" w:after="100" w:afterAutospacing="1"/>
      <w:textAlignment w:val="center"/>
    </w:pPr>
    <w:rPr>
      <w:rFonts w:ascii="Arial" w:hAnsi="Arial" w:cs="Arial"/>
      <w:color w:val="FF0000"/>
      <w:sz w:val="24"/>
      <w:szCs w:val="24"/>
      <w:lang w:val="en-GB" w:eastAsia="en-GB"/>
    </w:rPr>
  </w:style>
  <w:style w:type="paragraph" w:customStyle="1" w:styleId="xl83">
    <w:name w:val="xl83"/>
    <w:basedOn w:val="Normal"/>
    <w:rsid w:val="009B058F"/>
    <w:pPr>
      <w:pBdr>
        <w:bottom w:val="single" w:sz="8" w:space="0" w:color="auto"/>
        <w:right w:val="single" w:sz="8" w:space="0" w:color="auto"/>
      </w:pBdr>
      <w:spacing w:before="100" w:beforeAutospacing="1" w:after="100" w:afterAutospacing="1"/>
      <w:jc w:val="right"/>
      <w:textAlignment w:val="center"/>
    </w:pPr>
    <w:rPr>
      <w:rFonts w:ascii="Arial" w:hAnsi="Arial" w:cs="Arial"/>
      <w:color w:val="FF0000"/>
      <w:sz w:val="24"/>
      <w:szCs w:val="24"/>
      <w:lang w:val="en-GB" w:eastAsia="en-GB"/>
    </w:rPr>
  </w:style>
  <w:style w:type="paragraph" w:customStyle="1" w:styleId="xl84">
    <w:name w:val="xl84"/>
    <w:basedOn w:val="Normal"/>
    <w:rsid w:val="009B058F"/>
    <w:pPr>
      <w:pBdr>
        <w:top w:val="single" w:sz="8" w:space="0" w:color="auto"/>
        <w:left w:val="single" w:sz="8" w:space="0" w:color="auto"/>
        <w:right w:val="single" w:sz="8" w:space="0" w:color="auto"/>
      </w:pBdr>
      <w:shd w:val="clear" w:color="000000" w:fill="BF0953"/>
      <w:spacing w:before="100" w:beforeAutospacing="1" w:after="100" w:afterAutospacing="1"/>
      <w:jc w:val="center"/>
      <w:textAlignment w:val="center"/>
    </w:pPr>
    <w:rPr>
      <w:rFonts w:ascii="Arial" w:hAnsi="Arial" w:cs="Arial"/>
      <w:b/>
      <w:bCs/>
      <w:color w:val="FFFFFF"/>
      <w:sz w:val="24"/>
      <w:szCs w:val="24"/>
      <w:lang w:val="en-GB" w:eastAsia="en-GB"/>
    </w:rPr>
  </w:style>
  <w:style w:type="paragraph" w:customStyle="1" w:styleId="xl85">
    <w:name w:val="xl85"/>
    <w:basedOn w:val="Normal"/>
    <w:rsid w:val="009B058F"/>
    <w:pPr>
      <w:pBdr>
        <w:left w:val="single" w:sz="8" w:space="0" w:color="auto"/>
        <w:right w:val="single" w:sz="8" w:space="0" w:color="auto"/>
      </w:pBdr>
      <w:spacing w:before="100" w:beforeAutospacing="1" w:after="100" w:afterAutospacing="1"/>
      <w:jc w:val="center"/>
      <w:textAlignment w:val="center"/>
    </w:pPr>
    <w:rPr>
      <w:sz w:val="24"/>
      <w:szCs w:val="24"/>
      <w:lang w:val="en-GB" w:eastAsia="en-GB"/>
    </w:rPr>
  </w:style>
  <w:style w:type="paragraph" w:customStyle="1" w:styleId="xl86">
    <w:name w:val="xl86"/>
    <w:basedOn w:val="Normal"/>
    <w:rsid w:val="009B058F"/>
    <w:pPr>
      <w:pBdr>
        <w:left w:val="single" w:sz="8" w:space="0" w:color="auto"/>
        <w:bottom w:val="single" w:sz="8" w:space="0" w:color="auto"/>
        <w:right w:val="single" w:sz="8" w:space="0" w:color="auto"/>
      </w:pBdr>
      <w:spacing w:before="100" w:beforeAutospacing="1" w:after="100" w:afterAutospacing="1"/>
      <w:jc w:val="center"/>
      <w:textAlignment w:val="center"/>
    </w:pPr>
    <w:rPr>
      <w:sz w:val="24"/>
      <w:szCs w:val="24"/>
      <w:lang w:val="en-GB" w:eastAsia="en-GB"/>
    </w:rPr>
  </w:style>
  <w:style w:type="paragraph" w:customStyle="1" w:styleId="xl87">
    <w:name w:val="xl87"/>
    <w:basedOn w:val="Normal"/>
    <w:rsid w:val="009B058F"/>
    <w:pPr>
      <w:pBdr>
        <w:top w:val="single" w:sz="4" w:space="0" w:color="auto"/>
        <w:left w:val="single" w:sz="4" w:space="0" w:color="auto"/>
        <w:bottom w:val="single" w:sz="4" w:space="0" w:color="auto"/>
        <w:right w:val="single" w:sz="4" w:space="0" w:color="auto"/>
      </w:pBdr>
      <w:shd w:val="clear" w:color="000000" w:fill="BF0953"/>
      <w:spacing w:before="100" w:beforeAutospacing="1" w:after="100" w:afterAutospacing="1"/>
      <w:jc w:val="center"/>
      <w:textAlignment w:val="center"/>
    </w:pPr>
    <w:rPr>
      <w:rFonts w:ascii="Arial" w:hAnsi="Arial" w:cs="Arial"/>
      <w:b/>
      <w:bCs/>
      <w:color w:val="FFFFFF"/>
      <w:sz w:val="24"/>
      <w:szCs w:val="24"/>
      <w:lang w:val="en-GB" w:eastAsia="en-GB"/>
    </w:rPr>
  </w:style>
  <w:style w:type="paragraph" w:customStyle="1" w:styleId="xl88">
    <w:name w:val="xl88"/>
    <w:basedOn w:val="Normal"/>
    <w:rsid w:val="009B05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lang w:val="en-GB" w:eastAsia="en-GB"/>
    </w:rPr>
  </w:style>
  <w:style w:type="paragraph" w:customStyle="1" w:styleId="xl89">
    <w:name w:val="xl89"/>
    <w:basedOn w:val="Normal"/>
    <w:rsid w:val="009B058F"/>
    <w:pPr>
      <w:pBdr>
        <w:top w:val="single" w:sz="4" w:space="0" w:color="auto"/>
        <w:left w:val="single" w:sz="4" w:space="0" w:color="auto"/>
        <w:right w:val="single" w:sz="4" w:space="0" w:color="auto"/>
      </w:pBdr>
      <w:shd w:val="clear" w:color="000000" w:fill="BF0953"/>
      <w:spacing w:before="100" w:beforeAutospacing="1" w:after="100" w:afterAutospacing="1"/>
      <w:jc w:val="center"/>
      <w:textAlignment w:val="center"/>
    </w:pPr>
    <w:rPr>
      <w:rFonts w:ascii="Arial" w:hAnsi="Arial" w:cs="Arial"/>
      <w:b/>
      <w:bCs/>
      <w:color w:val="FFFFFF"/>
      <w:sz w:val="24"/>
      <w:szCs w:val="24"/>
      <w:lang w:val="en-GB" w:eastAsia="en-GB"/>
    </w:rPr>
  </w:style>
  <w:style w:type="paragraph" w:customStyle="1" w:styleId="xl90">
    <w:name w:val="xl90"/>
    <w:basedOn w:val="Normal"/>
    <w:rsid w:val="009B058F"/>
    <w:pPr>
      <w:pBdr>
        <w:left w:val="single" w:sz="4" w:space="0" w:color="auto"/>
        <w:right w:val="single" w:sz="4" w:space="0" w:color="auto"/>
      </w:pBdr>
      <w:shd w:val="clear" w:color="000000" w:fill="BF0953"/>
      <w:spacing w:before="100" w:beforeAutospacing="1" w:after="100" w:afterAutospacing="1"/>
      <w:jc w:val="center"/>
      <w:textAlignment w:val="center"/>
    </w:pPr>
    <w:rPr>
      <w:rFonts w:ascii="Arial" w:hAnsi="Arial" w:cs="Arial"/>
      <w:b/>
      <w:bCs/>
      <w:color w:val="FFFFFF"/>
      <w:sz w:val="24"/>
      <w:szCs w:val="24"/>
      <w:lang w:val="en-GB" w:eastAsia="en-GB"/>
    </w:rPr>
  </w:style>
  <w:style w:type="paragraph" w:customStyle="1" w:styleId="xl91">
    <w:name w:val="xl91"/>
    <w:basedOn w:val="Normal"/>
    <w:rsid w:val="009B058F"/>
    <w:pPr>
      <w:pBdr>
        <w:left w:val="single" w:sz="4" w:space="0" w:color="auto"/>
        <w:bottom w:val="single" w:sz="4" w:space="0" w:color="auto"/>
        <w:right w:val="single" w:sz="4" w:space="0" w:color="auto"/>
      </w:pBdr>
      <w:shd w:val="clear" w:color="000000" w:fill="BF0953"/>
      <w:spacing w:before="100" w:beforeAutospacing="1" w:after="100" w:afterAutospacing="1"/>
      <w:jc w:val="center"/>
      <w:textAlignment w:val="center"/>
    </w:pPr>
    <w:rPr>
      <w:rFonts w:ascii="Arial" w:hAnsi="Arial" w:cs="Arial"/>
      <w:b/>
      <w:bCs/>
      <w:color w:val="FFFFFF"/>
      <w:sz w:val="24"/>
      <w:szCs w:val="24"/>
      <w:lang w:val="en-GB" w:eastAsia="en-GB"/>
    </w:rPr>
  </w:style>
  <w:style w:type="paragraph" w:customStyle="1" w:styleId="xl92">
    <w:name w:val="xl92"/>
    <w:basedOn w:val="Normal"/>
    <w:rsid w:val="009B058F"/>
    <w:pPr>
      <w:pBdr>
        <w:top w:val="single" w:sz="8" w:space="0" w:color="auto"/>
        <w:left w:val="single" w:sz="8" w:space="0" w:color="auto"/>
        <w:right w:val="single" w:sz="8" w:space="0" w:color="auto"/>
      </w:pBdr>
      <w:shd w:val="clear" w:color="000000" w:fill="76923C"/>
      <w:spacing w:before="100" w:beforeAutospacing="1" w:after="100" w:afterAutospacing="1"/>
      <w:jc w:val="center"/>
      <w:textAlignment w:val="center"/>
    </w:pPr>
    <w:rPr>
      <w:rFonts w:ascii="Arial" w:hAnsi="Arial" w:cs="Arial"/>
      <w:b/>
      <w:bCs/>
      <w:color w:val="FFFFFF"/>
      <w:sz w:val="24"/>
      <w:szCs w:val="24"/>
      <w:lang w:val="en-GB" w:eastAsia="en-GB"/>
    </w:rPr>
  </w:style>
  <w:style w:type="paragraph" w:customStyle="1" w:styleId="xl93">
    <w:name w:val="xl93"/>
    <w:basedOn w:val="Normal"/>
    <w:rsid w:val="009B058F"/>
    <w:pPr>
      <w:pBdr>
        <w:top w:val="single" w:sz="8" w:space="0" w:color="auto"/>
        <w:left w:val="single" w:sz="8" w:space="0" w:color="auto"/>
        <w:right w:val="single" w:sz="8" w:space="0" w:color="auto"/>
      </w:pBdr>
      <w:shd w:val="clear" w:color="000000" w:fill="365F91"/>
      <w:spacing w:before="100" w:beforeAutospacing="1" w:after="100" w:afterAutospacing="1"/>
      <w:jc w:val="center"/>
      <w:textAlignment w:val="center"/>
    </w:pPr>
    <w:rPr>
      <w:rFonts w:ascii="Arial" w:hAnsi="Arial" w:cs="Arial"/>
      <w:b/>
      <w:bCs/>
      <w:color w:val="FFFFFF"/>
      <w:sz w:val="24"/>
      <w:szCs w:val="24"/>
      <w:lang w:val="en-GB" w:eastAsia="en-GB"/>
    </w:rPr>
  </w:style>
  <w:style w:type="paragraph" w:customStyle="1" w:styleId="xl94">
    <w:name w:val="xl94"/>
    <w:basedOn w:val="Normal"/>
    <w:rsid w:val="009B058F"/>
    <w:pPr>
      <w:pBdr>
        <w:top w:val="single" w:sz="8" w:space="0" w:color="auto"/>
        <w:left w:val="single" w:sz="8" w:space="0" w:color="auto"/>
        <w:right w:val="single" w:sz="8" w:space="0" w:color="auto"/>
      </w:pBdr>
      <w:shd w:val="clear" w:color="000000" w:fill="BF0953"/>
      <w:spacing w:before="100" w:beforeAutospacing="1" w:after="100" w:afterAutospacing="1"/>
      <w:jc w:val="center"/>
      <w:textAlignment w:val="center"/>
    </w:pPr>
    <w:rPr>
      <w:rFonts w:ascii="Arial" w:hAnsi="Arial" w:cs="Arial"/>
      <w:b/>
      <w:bCs/>
      <w:color w:val="FFFFFF"/>
      <w:sz w:val="24"/>
      <w:szCs w:val="24"/>
      <w:lang w:val="en-GB" w:eastAsia="en-GB"/>
    </w:rPr>
  </w:style>
  <w:style w:type="paragraph" w:customStyle="1" w:styleId="xl95">
    <w:name w:val="xl95"/>
    <w:basedOn w:val="Normal"/>
    <w:rsid w:val="009B058F"/>
    <w:pPr>
      <w:pBdr>
        <w:left w:val="single" w:sz="8" w:space="0" w:color="auto"/>
        <w:right w:val="single" w:sz="8" w:space="0" w:color="auto"/>
      </w:pBdr>
      <w:spacing w:before="100" w:beforeAutospacing="1" w:after="100" w:afterAutospacing="1"/>
      <w:jc w:val="center"/>
      <w:textAlignment w:val="center"/>
    </w:pPr>
    <w:rPr>
      <w:sz w:val="24"/>
      <w:szCs w:val="24"/>
      <w:lang w:val="en-GB" w:eastAsia="en-GB"/>
    </w:rPr>
  </w:style>
  <w:style w:type="paragraph" w:customStyle="1" w:styleId="xl96">
    <w:name w:val="xl96"/>
    <w:basedOn w:val="Normal"/>
    <w:rsid w:val="009B058F"/>
    <w:pPr>
      <w:pBdr>
        <w:left w:val="single" w:sz="8" w:space="0" w:color="auto"/>
        <w:bottom w:val="single" w:sz="8" w:space="0" w:color="auto"/>
        <w:right w:val="single" w:sz="8" w:space="0" w:color="auto"/>
      </w:pBdr>
      <w:spacing w:before="100" w:beforeAutospacing="1" w:after="100" w:afterAutospacing="1"/>
      <w:jc w:val="center"/>
      <w:textAlignment w:val="center"/>
    </w:pPr>
    <w:rPr>
      <w:sz w:val="24"/>
      <w:szCs w:val="24"/>
      <w:lang w:val="en-GB" w:eastAsia="en-GB"/>
    </w:rPr>
  </w:style>
  <w:style w:type="paragraph" w:customStyle="1" w:styleId="xl97">
    <w:name w:val="xl97"/>
    <w:basedOn w:val="Normal"/>
    <w:rsid w:val="009B058F"/>
    <w:pPr>
      <w:pBdr>
        <w:top w:val="single" w:sz="8" w:space="0" w:color="auto"/>
        <w:left w:val="single" w:sz="8" w:space="0" w:color="auto"/>
        <w:right w:val="single" w:sz="8" w:space="0" w:color="auto"/>
      </w:pBdr>
      <w:shd w:val="clear" w:color="000000" w:fill="BF0953"/>
      <w:spacing w:before="100" w:beforeAutospacing="1" w:after="100" w:afterAutospacing="1"/>
      <w:jc w:val="center"/>
      <w:textAlignment w:val="top"/>
    </w:pPr>
    <w:rPr>
      <w:rFonts w:ascii="Arial" w:hAnsi="Arial" w:cs="Arial"/>
      <w:b/>
      <w:bCs/>
      <w:color w:val="FFFFFF"/>
      <w:sz w:val="24"/>
      <w:szCs w:val="24"/>
      <w:lang w:val="en-GB" w:eastAsia="en-GB"/>
    </w:rPr>
  </w:style>
  <w:style w:type="paragraph" w:customStyle="1" w:styleId="xl98">
    <w:name w:val="xl98"/>
    <w:basedOn w:val="Normal"/>
    <w:rsid w:val="009B058F"/>
    <w:pPr>
      <w:pBdr>
        <w:left w:val="single" w:sz="8" w:space="0" w:color="auto"/>
        <w:right w:val="single" w:sz="8" w:space="0" w:color="auto"/>
      </w:pBdr>
      <w:shd w:val="clear" w:color="000000" w:fill="BF0953"/>
      <w:spacing w:before="100" w:beforeAutospacing="1" w:after="100" w:afterAutospacing="1"/>
      <w:jc w:val="center"/>
      <w:textAlignment w:val="top"/>
    </w:pPr>
    <w:rPr>
      <w:rFonts w:ascii="Arial" w:hAnsi="Arial" w:cs="Arial"/>
      <w:b/>
      <w:bCs/>
      <w:color w:val="FFFFFF"/>
      <w:sz w:val="24"/>
      <w:szCs w:val="24"/>
      <w:lang w:val="en-GB" w:eastAsia="en-GB"/>
    </w:rPr>
  </w:style>
  <w:style w:type="paragraph" w:customStyle="1" w:styleId="xl99">
    <w:name w:val="xl99"/>
    <w:basedOn w:val="Normal"/>
    <w:rsid w:val="009B058F"/>
    <w:pPr>
      <w:pBdr>
        <w:left w:val="single" w:sz="8" w:space="0" w:color="auto"/>
        <w:bottom w:val="single" w:sz="8" w:space="0" w:color="auto"/>
        <w:right w:val="single" w:sz="8" w:space="0" w:color="auto"/>
      </w:pBdr>
      <w:shd w:val="clear" w:color="000000" w:fill="BF0953"/>
      <w:spacing w:before="100" w:beforeAutospacing="1" w:after="100" w:afterAutospacing="1"/>
      <w:jc w:val="center"/>
      <w:textAlignment w:val="top"/>
    </w:pPr>
    <w:rPr>
      <w:rFonts w:ascii="Arial" w:hAnsi="Arial" w:cs="Arial"/>
      <w:b/>
      <w:bCs/>
      <w:color w:val="FFFFFF"/>
      <w:sz w:val="24"/>
      <w:szCs w:val="24"/>
      <w:lang w:val="en-GB" w:eastAsia="en-GB"/>
    </w:rPr>
  </w:style>
  <w:style w:type="paragraph" w:customStyle="1" w:styleId="xl100">
    <w:name w:val="xl100"/>
    <w:basedOn w:val="Normal"/>
    <w:rsid w:val="009B058F"/>
    <w:pPr>
      <w:pBdr>
        <w:top w:val="single" w:sz="8" w:space="0" w:color="auto"/>
        <w:left w:val="single" w:sz="8" w:space="0" w:color="auto"/>
        <w:right w:val="single" w:sz="8" w:space="0" w:color="auto"/>
      </w:pBdr>
      <w:shd w:val="clear" w:color="000000" w:fill="BF0953"/>
      <w:spacing w:before="100" w:beforeAutospacing="1" w:after="100" w:afterAutospacing="1"/>
      <w:textAlignment w:val="top"/>
    </w:pPr>
    <w:rPr>
      <w:rFonts w:ascii="Arial" w:hAnsi="Arial" w:cs="Arial"/>
      <w:b/>
      <w:bCs/>
      <w:color w:val="FFFFFF"/>
      <w:sz w:val="24"/>
      <w:szCs w:val="24"/>
      <w:lang w:val="en-GB" w:eastAsia="en-GB"/>
    </w:rPr>
  </w:style>
  <w:style w:type="paragraph" w:customStyle="1" w:styleId="xl101">
    <w:name w:val="xl101"/>
    <w:basedOn w:val="Normal"/>
    <w:rsid w:val="009B058F"/>
    <w:pPr>
      <w:pBdr>
        <w:left w:val="single" w:sz="8" w:space="0" w:color="auto"/>
        <w:right w:val="single" w:sz="8" w:space="0" w:color="auto"/>
      </w:pBdr>
      <w:shd w:val="clear" w:color="000000" w:fill="BF0953"/>
      <w:spacing w:before="100" w:beforeAutospacing="1" w:after="100" w:afterAutospacing="1"/>
      <w:textAlignment w:val="top"/>
    </w:pPr>
    <w:rPr>
      <w:rFonts w:ascii="Arial" w:hAnsi="Arial" w:cs="Arial"/>
      <w:b/>
      <w:bCs/>
      <w:color w:val="FFFFFF"/>
      <w:sz w:val="24"/>
      <w:szCs w:val="24"/>
      <w:lang w:val="en-GB" w:eastAsia="en-GB"/>
    </w:rPr>
  </w:style>
  <w:style w:type="paragraph" w:customStyle="1" w:styleId="xl102">
    <w:name w:val="xl102"/>
    <w:basedOn w:val="Normal"/>
    <w:rsid w:val="009B058F"/>
    <w:pPr>
      <w:pBdr>
        <w:left w:val="single" w:sz="8" w:space="0" w:color="auto"/>
        <w:bottom w:val="single" w:sz="8" w:space="0" w:color="auto"/>
        <w:right w:val="single" w:sz="8" w:space="0" w:color="auto"/>
      </w:pBdr>
      <w:shd w:val="clear" w:color="000000" w:fill="BF0953"/>
      <w:spacing w:before="100" w:beforeAutospacing="1" w:after="100" w:afterAutospacing="1"/>
      <w:textAlignment w:val="top"/>
    </w:pPr>
    <w:rPr>
      <w:rFonts w:ascii="Arial" w:hAnsi="Arial" w:cs="Arial"/>
      <w:b/>
      <w:bCs/>
      <w:color w:val="FFFFFF"/>
      <w:sz w:val="24"/>
      <w:szCs w:val="24"/>
      <w:lang w:val="en-GB" w:eastAsia="en-GB"/>
    </w:rPr>
  </w:style>
  <w:style w:type="paragraph" w:customStyle="1" w:styleId="xl103">
    <w:name w:val="xl103"/>
    <w:basedOn w:val="Normal"/>
    <w:rsid w:val="009B058F"/>
    <w:pPr>
      <w:pBdr>
        <w:top w:val="single" w:sz="8" w:space="0" w:color="auto"/>
        <w:left w:val="single" w:sz="8" w:space="0" w:color="auto"/>
        <w:right w:val="single" w:sz="8" w:space="0" w:color="auto"/>
      </w:pBdr>
      <w:shd w:val="clear" w:color="000000" w:fill="8064A2"/>
      <w:spacing w:before="100" w:beforeAutospacing="1" w:after="100" w:afterAutospacing="1"/>
      <w:jc w:val="center"/>
      <w:textAlignment w:val="center"/>
    </w:pPr>
    <w:rPr>
      <w:rFonts w:ascii="Arial" w:hAnsi="Arial" w:cs="Arial"/>
      <w:b/>
      <w:bCs/>
      <w:color w:val="FFFFFF"/>
      <w:sz w:val="24"/>
      <w:szCs w:val="24"/>
      <w:lang w:val="en-GB" w:eastAsia="en-GB"/>
    </w:rPr>
  </w:style>
  <w:style w:type="paragraph" w:customStyle="1" w:styleId="xl104">
    <w:name w:val="xl104"/>
    <w:basedOn w:val="Normal"/>
    <w:rsid w:val="009B058F"/>
    <w:pPr>
      <w:pBdr>
        <w:left w:val="single" w:sz="8" w:space="0" w:color="auto"/>
        <w:right w:val="single" w:sz="8" w:space="0" w:color="auto"/>
      </w:pBdr>
      <w:shd w:val="clear" w:color="000000" w:fill="8064A2"/>
      <w:spacing w:before="100" w:beforeAutospacing="1" w:after="100" w:afterAutospacing="1"/>
      <w:jc w:val="center"/>
      <w:textAlignment w:val="center"/>
    </w:pPr>
    <w:rPr>
      <w:rFonts w:ascii="Arial" w:hAnsi="Arial" w:cs="Arial"/>
      <w:b/>
      <w:bCs/>
      <w:color w:val="FFFFFF"/>
      <w:sz w:val="24"/>
      <w:szCs w:val="24"/>
      <w:lang w:val="en-GB" w:eastAsia="en-GB"/>
    </w:rPr>
  </w:style>
  <w:style w:type="paragraph" w:customStyle="1" w:styleId="xl105">
    <w:name w:val="xl105"/>
    <w:basedOn w:val="Normal"/>
    <w:rsid w:val="009B058F"/>
    <w:pPr>
      <w:pBdr>
        <w:top w:val="single" w:sz="8" w:space="0" w:color="auto"/>
        <w:right w:val="single" w:sz="8" w:space="0" w:color="auto"/>
      </w:pBdr>
      <w:shd w:val="clear" w:color="000000" w:fill="C65911"/>
      <w:spacing w:before="100" w:beforeAutospacing="1" w:after="100" w:afterAutospacing="1"/>
      <w:jc w:val="center"/>
      <w:textAlignment w:val="center"/>
    </w:pPr>
    <w:rPr>
      <w:rFonts w:ascii="Arial" w:hAnsi="Arial" w:cs="Arial"/>
      <w:b/>
      <w:bCs/>
      <w:color w:val="FFFFFF"/>
      <w:sz w:val="24"/>
      <w:szCs w:val="24"/>
      <w:lang w:val="en-GB" w:eastAsia="en-GB"/>
    </w:rPr>
  </w:style>
  <w:style w:type="paragraph" w:customStyle="1" w:styleId="xl106">
    <w:name w:val="xl106"/>
    <w:basedOn w:val="Normal"/>
    <w:rsid w:val="009B058F"/>
    <w:pPr>
      <w:pBdr>
        <w:right w:val="single" w:sz="8" w:space="0" w:color="auto"/>
      </w:pBdr>
      <w:shd w:val="clear" w:color="000000" w:fill="C65911"/>
      <w:spacing w:before="100" w:beforeAutospacing="1" w:after="100" w:afterAutospacing="1"/>
      <w:jc w:val="center"/>
      <w:textAlignment w:val="center"/>
    </w:pPr>
    <w:rPr>
      <w:rFonts w:ascii="Arial" w:hAnsi="Arial" w:cs="Arial"/>
      <w:b/>
      <w:bCs/>
      <w:color w:val="FFFFFF"/>
      <w:sz w:val="24"/>
      <w:szCs w:val="24"/>
      <w:lang w:val="en-GB" w:eastAsia="en-GB"/>
    </w:rPr>
  </w:style>
  <w:style w:type="paragraph" w:customStyle="1" w:styleId="xl107">
    <w:name w:val="xl107"/>
    <w:basedOn w:val="Normal"/>
    <w:rsid w:val="009B058F"/>
    <w:pPr>
      <w:pBdr>
        <w:right w:val="single" w:sz="8" w:space="0" w:color="auto"/>
      </w:pBdr>
      <w:spacing w:before="100" w:beforeAutospacing="1" w:after="100" w:afterAutospacing="1"/>
      <w:jc w:val="center"/>
      <w:textAlignment w:val="center"/>
    </w:pPr>
    <w:rPr>
      <w:sz w:val="24"/>
      <w:szCs w:val="24"/>
      <w:lang w:val="en-GB" w:eastAsia="en-GB"/>
    </w:rPr>
  </w:style>
  <w:style w:type="paragraph" w:customStyle="1" w:styleId="xl108">
    <w:name w:val="xl108"/>
    <w:basedOn w:val="Normal"/>
    <w:rsid w:val="009B058F"/>
    <w:pPr>
      <w:pBdr>
        <w:bottom w:val="single" w:sz="8" w:space="0" w:color="auto"/>
        <w:right w:val="single" w:sz="8" w:space="0" w:color="auto"/>
      </w:pBdr>
      <w:spacing w:before="100" w:beforeAutospacing="1" w:after="100" w:afterAutospacing="1"/>
      <w:jc w:val="center"/>
      <w:textAlignment w:val="center"/>
    </w:pPr>
    <w:rPr>
      <w:sz w:val="24"/>
      <w:szCs w:val="24"/>
      <w:lang w:val="en-GB" w:eastAsia="en-GB"/>
    </w:rPr>
  </w:style>
  <w:style w:type="paragraph" w:styleId="Revision">
    <w:name w:val="Revision"/>
    <w:hidden/>
    <w:uiPriority w:val="99"/>
    <w:semiHidden/>
    <w:rsid w:val="009B058F"/>
    <w:rPr>
      <w:rFonts w:ascii="Arial" w:hAnsi="Arial"/>
      <w:sz w:val="24"/>
      <w:szCs w:val="24"/>
      <w:lang w:val="en-GB" w:eastAsia="en-GB"/>
    </w:rPr>
  </w:style>
  <w:style w:type="paragraph" w:customStyle="1" w:styleId="pf0">
    <w:name w:val="pf0"/>
    <w:basedOn w:val="Normal"/>
    <w:rsid w:val="009B058F"/>
    <w:pPr>
      <w:spacing w:before="100" w:beforeAutospacing="1" w:after="100" w:afterAutospacing="1"/>
    </w:pPr>
    <w:rPr>
      <w:sz w:val="24"/>
      <w:szCs w:val="24"/>
      <w:lang w:val="en-GB" w:eastAsia="en-GB"/>
    </w:rPr>
  </w:style>
  <w:style w:type="character" w:customStyle="1" w:styleId="cf01">
    <w:name w:val="cf01"/>
    <w:basedOn w:val="DefaultParagraphFont"/>
    <w:rsid w:val="009B058F"/>
    <w:rPr>
      <w:rFonts w:ascii="Segoe UI" w:hAnsi="Segoe UI" w:cs="Segoe UI" w:hint="default"/>
      <w:sz w:val="18"/>
      <w:szCs w:val="18"/>
    </w:rPr>
  </w:style>
  <w:style w:type="numbering" w:customStyle="1" w:styleId="NoList1">
    <w:name w:val="No List1"/>
    <w:next w:val="NoList"/>
    <w:uiPriority w:val="99"/>
    <w:semiHidden/>
    <w:unhideWhenUsed/>
    <w:rsid w:val="000729CF"/>
  </w:style>
  <w:style w:type="character" w:customStyle="1" w:styleId="normaltextrun">
    <w:name w:val="normaltextrun"/>
    <w:basedOn w:val="DefaultParagraphFont"/>
    <w:rsid w:val="000729CF"/>
  </w:style>
  <w:style w:type="character" w:customStyle="1" w:styleId="eop">
    <w:name w:val="eop"/>
    <w:basedOn w:val="DefaultParagraphFont"/>
    <w:rsid w:val="000729CF"/>
  </w:style>
  <w:style w:type="paragraph" w:customStyle="1" w:styleId="BodyText1">
    <w:name w:val="Body Text1"/>
    <w:basedOn w:val="Normal"/>
    <w:next w:val="BodyText"/>
    <w:link w:val="BodyTextChar"/>
    <w:uiPriority w:val="1"/>
    <w:semiHidden/>
    <w:unhideWhenUsed/>
    <w:rsid w:val="000729CF"/>
    <w:pPr>
      <w:autoSpaceDE w:val="0"/>
      <w:autoSpaceDN w:val="0"/>
    </w:pPr>
    <w:rPr>
      <w:rFonts w:ascii="Arial" w:hAnsi="Arial" w:cs="Arial"/>
      <w:sz w:val="23"/>
      <w:szCs w:val="23"/>
    </w:rPr>
  </w:style>
  <w:style w:type="character" w:customStyle="1" w:styleId="BodyTextChar">
    <w:name w:val="Body Text Char"/>
    <w:basedOn w:val="DefaultParagraphFont"/>
    <w:link w:val="BodyText1"/>
    <w:uiPriority w:val="99"/>
    <w:rsid w:val="000729CF"/>
    <w:rPr>
      <w:rFonts w:ascii="Arial" w:hAnsi="Arial" w:cs="Arial"/>
      <w:sz w:val="23"/>
      <w:szCs w:val="23"/>
    </w:rPr>
  </w:style>
  <w:style w:type="character" w:customStyle="1" w:styleId="findhit">
    <w:name w:val="findhit"/>
    <w:basedOn w:val="DefaultParagraphFont"/>
    <w:rsid w:val="000729CF"/>
  </w:style>
  <w:style w:type="character" w:customStyle="1" w:styleId="ListParagraphChar">
    <w:name w:val="List Paragraph Char"/>
    <w:basedOn w:val="DefaultParagraphFont"/>
    <w:link w:val="ListParagraph"/>
    <w:uiPriority w:val="34"/>
    <w:locked/>
    <w:rsid w:val="000729CF"/>
  </w:style>
  <w:style w:type="character" w:customStyle="1" w:styleId="ui-provider">
    <w:name w:val="ui-provider"/>
    <w:basedOn w:val="DefaultParagraphFont"/>
    <w:rsid w:val="000729CF"/>
  </w:style>
  <w:style w:type="paragraph" w:customStyle="1" w:styleId="paragraph">
    <w:name w:val="paragraph"/>
    <w:basedOn w:val="Normal"/>
    <w:rsid w:val="000729CF"/>
    <w:pPr>
      <w:spacing w:before="100" w:beforeAutospacing="1" w:after="100" w:afterAutospacing="1"/>
    </w:pPr>
    <w:rPr>
      <w:sz w:val="24"/>
      <w:szCs w:val="24"/>
      <w:lang w:val="en-GB" w:eastAsia="en-GB"/>
    </w:rPr>
  </w:style>
  <w:style w:type="paragraph" w:styleId="BodyText">
    <w:name w:val="Body Text"/>
    <w:basedOn w:val="Normal"/>
    <w:link w:val="BodyTextChar1"/>
    <w:uiPriority w:val="99"/>
    <w:unhideWhenUsed/>
    <w:rsid w:val="000729CF"/>
    <w:pPr>
      <w:spacing w:after="120"/>
    </w:pPr>
  </w:style>
  <w:style w:type="character" w:customStyle="1" w:styleId="BodyTextChar1">
    <w:name w:val="Body Text Char1"/>
    <w:basedOn w:val="DefaultParagraphFont"/>
    <w:link w:val="BodyText"/>
    <w:uiPriority w:val="99"/>
    <w:semiHidden/>
    <w:rsid w:val="000729CF"/>
  </w:style>
  <w:style w:type="numbering" w:customStyle="1" w:styleId="NoList2">
    <w:name w:val="No List2"/>
    <w:next w:val="NoList"/>
    <w:uiPriority w:val="99"/>
    <w:semiHidden/>
    <w:unhideWhenUsed/>
    <w:rsid w:val="000729CF"/>
  </w:style>
  <w:style w:type="numbering" w:customStyle="1" w:styleId="NoList3">
    <w:name w:val="No List3"/>
    <w:next w:val="NoList"/>
    <w:uiPriority w:val="99"/>
    <w:semiHidden/>
    <w:unhideWhenUsed/>
    <w:rsid w:val="000729CF"/>
  </w:style>
  <w:style w:type="paragraph" w:customStyle="1" w:styleId="bodyGlossaryofTerms">
    <w:name w:val="body (Glossary of Terms)"/>
    <w:basedOn w:val="Normal"/>
    <w:rsid w:val="000729CF"/>
    <w:pPr>
      <w:suppressAutoHyphens/>
      <w:autoSpaceDE w:val="0"/>
      <w:autoSpaceDN w:val="0"/>
      <w:adjustRightInd w:val="0"/>
      <w:spacing w:after="113" w:line="180" w:lineRule="atLeast"/>
      <w:textAlignment w:val="center"/>
    </w:pPr>
    <w:rPr>
      <w:rFonts w:ascii="Bliss 2 Light" w:eastAsia="MS Mincho" w:hAnsi="Bliss 2 Light" w:cs="Bliss 2 Light"/>
      <w:color w:val="5D6067"/>
      <w:sz w:val="14"/>
      <w:szCs w:val="14"/>
      <w:lang w:val="en-GB" w:eastAsia="ja-JP"/>
    </w:rPr>
  </w:style>
  <w:style w:type="paragraph" w:customStyle="1" w:styleId="subheadingGlossaryofTerms">
    <w:name w:val="subheading (Glossary of Terms)"/>
    <w:basedOn w:val="bodyGlossaryofTerms"/>
    <w:rsid w:val="000729CF"/>
    <w:pPr>
      <w:spacing w:before="57" w:after="57"/>
    </w:pPr>
    <w:rPr>
      <w:rFonts w:ascii="Bliss 2 Bold" w:hAnsi="Bliss 2 Bold" w:cs="Bliss 2 Bold"/>
      <w:b/>
      <w:bCs/>
      <w:color w:val="00597B"/>
      <w:sz w:val="16"/>
      <w:szCs w:val="16"/>
    </w:rPr>
  </w:style>
  <w:style w:type="paragraph" w:styleId="PlainText">
    <w:name w:val="Plain Text"/>
    <w:basedOn w:val="Normal"/>
    <w:link w:val="PlainTextChar"/>
    <w:uiPriority w:val="99"/>
    <w:unhideWhenUsed/>
    <w:rsid w:val="000729CF"/>
    <w:rPr>
      <w:rFonts w:ascii="Consolas" w:hAnsi="Consolas"/>
      <w:sz w:val="21"/>
      <w:szCs w:val="21"/>
      <w:lang w:val="en-GB" w:eastAsia="en-GB"/>
    </w:rPr>
  </w:style>
  <w:style w:type="character" w:customStyle="1" w:styleId="PlainTextChar">
    <w:name w:val="Plain Text Char"/>
    <w:basedOn w:val="DefaultParagraphFont"/>
    <w:link w:val="PlainText"/>
    <w:uiPriority w:val="99"/>
    <w:rsid w:val="000729CF"/>
    <w:rPr>
      <w:rFonts w:ascii="Consolas" w:hAnsi="Consolas"/>
      <w:sz w:val="21"/>
      <w:szCs w:val="21"/>
      <w:lang w:val="en-GB" w:eastAsia="en-GB"/>
    </w:rPr>
  </w:style>
  <w:style w:type="table" w:customStyle="1" w:styleId="TableGrid1">
    <w:name w:val="Table Grid1"/>
    <w:basedOn w:val="TableNormal"/>
    <w:next w:val="TableGrid"/>
    <w:uiPriority w:val="99"/>
    <w:rsid w:val="000729CF"/>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729CF"/>
    <w:pPr>
      <w:spacing w:before="100" w:beforeAutospacing="1" w:after="100" w:afterAutospacing="1"/>
    </w:pPr>
    <w:rPr>
      <w:sz w:val="24"/>
      <w:szCs w:val="24"/>
      <w:lang w:val="en-GB" w:eastAsia="en-GB"/>
    </w:rPr>
  </w:style>
  <w:style w:type="paragraph" w:customStyle="1" w:styleId="ChapterHeading">
    <w:name w:val="Chapter Heading"/>
    <w:basedOn w:val="Normal"/>
    <w:uiPriority w:val="99"/>
    <w:semiHidden/>
    <w:rsid w:val="000729CF"/>
    <w:pPr>
      <w:pageBreakBefore/>
      <w:numPr>
        <w:numId w:val="73"/>
      </w:numPr>
      <w:spacing w:before="120" w:after="120"/>
      <w:jc w:val="both"/>
    </w:pPr>
    <w:rPr>
      <w:rFonts w:ascii="Calibri" w:hAnsi="Calibri" w:cs="Arial"/>
      <w:b/>
      <w:noProof/>
      <w:spacing w:val="-5"/>
      <w:sz w:val="36"/>
      <w:szCs w:val="36"/>
      <w:lang w:val="en-GB"/>
    </w:rPr>
  </w:style>
  <w:style w:type="paragraph" w:customStyle="1" w:styleId="Subheading">
    <w:name w:val="Subheading"/>
    <w:basedOn w:val="BodyText"/>
    <w:uiPriority w:val="99"/>
    <w:semiHidden/>
    <w:rsid w:val="000729CF"/>
    <w:pPr>
      <w:numPr>
        <w:ilvl w:val="1"/>
        <w:numId w:val="73"/>
      </w:numPr>
      <w:spacing w:before="270" w:after="180"/>
      <w:jc w:val="both"/>
    </w:pPr>
    <w:rPr>
      <w:rFonts w:ascii="Arial" w:hAnsi="Arial" w:cs="Arial"/>
      <w:b/>
      <w:noProof/>
      <w:sz w:val="22"/>
      <w:szCs w:val="22"/>
      <w:lang w:val="en-GB"/>
    </w:rPr>
  </w:style>
  <w:style w:type="paragraph" w:customStyle="1" w:styleId="Heading">
    <w:name w:val="Heading"/>
    <w:basedOn w:val="ChapterHeading"/>
    <w:link w:val="HeadingChar"/>
    <w:uiPriority w:val="99"/>
    <w:rsid w:val="000729CF"/>
    <w:pPr>
      <w:pageBreakBefore w:val="0"/>
    </w:pPr>
  </w:style>
  <w:style w:type="character" w:customStyle="1" w:styleId="HeadingChar">
    <w:name w:val="Heading Char"/>
    <w:link w:val="Heading"/>
    <w:uiPriority w:val="99"/>
    <w:locked/>
    <w:rsid w:val="000729CF"/>
    <w:rPr>
      <w:rFonts w:ascii="Calibri" w:hAnsi="Calibri" w:cs="Arial"/>
      <w:b/>
      <w:noProof/>
      <w:spacing w:val="-5"/>
      <w:sz w:val="36"/>
      <w:szCs w:val="36"/>
      <w:lang w:val="en-GB"/>
    </w:rPr>
  </w:style>
  <w:style w:type="paragraph" w:styleId="ListNumber">
    <w:name w:val="List Number"/>
    <w:basedOn w:val="Normal"/>
    <w:uiPriority w:val="99"/>
    <w:semiHidden/>
    <w:unhideWhenUsed/>
    <w:rsid w:val="000729CF"/>
    <w:pPr>
      <w:numPr>
        <w:numId w:val="83"/>
      </w:numPr>
      <w:contextualSpacing/>
    </w:pPr>
    <w:rPr>
      <w:rFonts w:ascii="Arial" w:hAnsi="Arial"/>
      <w:spacing w:val="-5"/>
      <w:lang w:val="en-GB"/>
    </w:rPr>
  </w:style>
  <w:style w:type="table" w:customStyle="1" w:styleId="DefaultTable4">
    <w:name w:val="Default Table4"/>
    <w:basedOn w:val="TableNormal"/>
    <w:uiPriority w:val="99"/>
    <w:rsid w:val="000729CF"/>
    <w:rPr>
      <w:rFonts w:ascii="Arial" w:eastAsia="Arial" w:hAnsi="Arial"/>
      <w:lang w:val="en-AU"/>
    </w:rPr>
    <w:tblPr>
      <w:tblInd w:w="113"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3" w:type="dxa"/>
        <w:right w:w="113" w:type="dxa"/>
      </w:tblCellMar>
    </w:tblPr>
    <w:tblStylePr w:type="firstRow">
      <w:rPr>
        <w:b/>
        <w:color w:val="FFFFFF"/>
      </w:rPr>
      <w:tblPr/>
      <w:tcPr>
        <w:shd w:val="clear" w:color="auto" w:fill="252D59"/>
      </w:tcPr>
    </w:tblStylePr>
    <w:tblStylePr w:type="firstCol">
      <w:rPr>
        <w:color w:val="F2F2F2"/>
      </w:rPr>
      <w:tblPr/>
      <w:tcPr>
        <w:shd w:val="clear" w:color="auto" w:fill="C9CEE8"/>
      </w:tcPr>
    </w:tblStylePr>
  </w:style>
  <w:style w:type="paragraph" w:styleId="ListBullet">
    <w:name w:val="List Bullet"/>
    <w:basedOn w:val="Normal"/>
    <w:uiPriority w:val="2"/>
    <w:qFormat/>
    <w:rsid w:val="000729CF"/>
    <w:pPr>
      <w:numPr>
        <w:numId w:val="87"/>
      </w:numPr>
      <w:spacing w:before="120" w:after="120"/>
    </w:pPr>
    <w:rPr>
      <w:rFonts w:ascii="Arial" w:eastAsia="Arial" w:hAnsi="Arial"/>
      <w:color w:val="4E4E50"/>
      <w:sz w:val="22"/>
      <w:szCs w:val="22"/>
      <w:lang w:val="en-AU"/>
    </w:rPr>
  </w:style>
  <w:style w:type="paragraph" w:customStyle="1" w:styleId="BulletTypeA">
    <w:name w:val="Bullet Type A"/>
    <w:basedOn w:val="ListBullet"/>
    <w:rsid w:val="000729CF"/>
    <w:pPr>
      <w:tabs>
        <w:tab w:val="clear" w:pos="360"/>
      </w:tabs>
      <w:spacing w:before="0"/>
      <w:ind w:left="2724"/>
      <w:jc w:val="both"/>
    </w:pPr>
    <w:rPr>
      <w:rFonts w:ascii="Optima LT Std" w:eastAsia="Calibri" w:hAnsi="Optima LT Std"/>
      <w:color w:val="auto"/>
      <w:sz w:val="20"/>
      <w:szCs w:val="20"/>
      <w:lang w:val="en-GB"/>
    </w:rPr>
  </w:style>
  <w:style w:type="table" w:customStyle="1" w:styleId="DefaultTable">
    <w:name w:val="Default Table"/>
    <w:basedOn w:val="TableNormal"/>
    <w:uiPriority w:val="99"/>
    <w:rsid w:val="000729CF"/>
    <w:rPr>
      <w:rFonts w:ascii="Arial" w:eastAsia="Arial" w:hAnsi="Arial"/>
      <w:lang w:val="en-AU"/>
    </w:rPr>
    <w:tblPr>
      <w:tblInd w:w="113"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3" w:type="dxa"/>
        <w:right w:w="113" w:type="dxa"/>
      </w:tblCellMar>
    </w:tblPr>
    <w:tblStylePr w:type="firstRow">
      <w:rPr>
        <w:b/>
        <w:color w:val="FFFFFF"/>
      </w:rPr>
      <w:tblPr/>
      <w:tcPr>
        <w:shd w:val="clear" w:color="auto" w:fill="252D59"/>
      </w:tcPr>
    </w:tblStylePr>
    <w:tblStylePr w:type="firstCol">
      <w:rPr>
        <w:color w:val="F2F2F2"/>
      </w:rPr>
      <w:tblPr/>
      <w:tcPr>
        <w:shd w:val="clear" w:color="auto" w:fill="C9CEE8"/>
      </w:tcPr>
    </w:tblStylePr>
  </w:style>
  <w:style w:type="table" w:customStyle="1" w:styleId="TableGrid2">
    <w:name w:val="Table Grid2"/>
    <w:basedOn w:val="TableNormal"/>
    <w:next w:val="TableGrid"/>
    <w:rsid w:val="000729CF"/>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0729CF"/>
  </w:style>
  <w:style w:type="paragraph" w:customStyle="1" w:styleId="TableParagraph">
    <w:name w:val="Table Paragraph"/>
    <w:basedOn w:val="Normal"/>
    <w:uiPriority w:val="1"/>
    <w:qFormat/>
    <w:rsid w:val="000729CF"/>
    <w:pPr>
      <w:spacing w:after="120"/>
    </w:pPr>
    <w:rPr>
      <w:rFonts w:ascii="Arial" w:eastAsia="Calibri" w:hAnsi="Arial" w:cs="Arial"/>
      <w:sz w:val="24"/>
      <w:szCs w:val="24"/>
      <w:lang w:val="en-GB"/>
    </w:rPr>
  </w:style>
  <w:style w:type="table" w:customStyle="1" w:styleId="PlainTable11">
    <w:name w:val="Plain Table 11"/>
    <w:basedOn w:val="TableNormal"/>
    <w:next w:val="PlainTable1"/>
    <w:uiPriority w:val="41"/>
    <w:rsid w:val="000729CF"/>
    <w:rPr>
      <w:rFonts w:ascii="Calibri" w:eastAsia="Calibri" w:hAnsi="Calibri"/>
      <w:sz w:val="22"/>
      <w:szCs w:val="22"/>
      <w:lang w:val="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Mention1">
    <w:name w:val="Mention1"/>
    <w:basedOn w:val="DefaultParagraphFont"/>
    <w:uiPriority w:val="99"/>
    <w:unhideWhenUsed/>
    <w:rsid w:val="000729CF"/>
    <w:rPr>
      <w:color w:val="2B579A"/>
      <w:shd w:val="clear" w:color="auto" w:fill="E6E6E6"/>
    </w:rPr>
  </w:style>
  <w:style w:type="character" w:styleId="Strong">
    <w:name w:val="Strong"/>
    <w:basedOn w:val="DefaultParagraphFont"/>
    <w:uiPriority w:val="22"/>
    <w:qFormat/>
    <w:rsid w:val="000729CF"/>
    <w:rPr>
      <w:b/>
      <w:bCs/>
    </w:rPr>
  </w:style>
  <w:style w:type="character" w:styleId="Emphasis">
    <w:name w:val="Emphasis"/>
    <w:qFormat/>
    <w:rsid w:val="000729CF"/>
    <w:rPr>
      <w:i/>
      <w:iCs/>
    </w:rPr>
  </w:style>
  <w:style w:type="table" w:styleId="PlainTable1">
    <w:name w:val="Plain Table 1"/>
    <w:basedOn w:val="TableNormal"/>
    <w:uiPriority w:val="41"/>
    <w:rsid w:val="000729C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brighton-hove.gov.uk/brighton-hove-city-council-plan-2023-2027/re-imagine-brighton-hove" TargetMode="External"/><Relationship Id="rId26" Type="http://schemas.openxmlformats.org/officeDocument/2006/relationships/image" Target="media/image3.png"/><Relationship Id="rId39" Type="http://schemas.openxmlformats.org/officeDocument/2006/relationships/hyperlink" Target="https://www.carersuk.org/news-and-campaigns/press-releases/research-financial-pressure-of-caring-unpaid-for-a-loved-one-intensifies-over-time" TargetMode="External"/><Relationship Id="rId21" Type="http://schemas.openxmlformats.org/officeDocument/2006/relationships/footer" Target="footer3.xml"/><Relationship Id="rId34" Type="http://schemas.openxmlformats.org/officeDocument/2006/relationships/hyperlink" Target="https://www.ourcityourworld.co.uk/" TargetMode="External"/><Relationship Id="rId42" Type="http://schemas.openxmlformats.org/officeDocument/2006/relationships/hyperlink" Target="http://www.bhconnected.org.uk/content/local-intelligence"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header" Target="header9.xml"/><Relationship Id="rId37" Type="http://schemas.openxmlformats.org/officeDocument/2006/relationships/hyperlink" Target="https://www.ageuk.org.uk/globalassets/age-uk/documents/reports-and-publications/reports-and-briefings/money-matters/lr-6064-age-uk-financial-hardship-final_v1.pdf" TargetMode="External"/><Relationship Id="rId40" Type="http://schemas.openxmlformats.org/officeDocument/2006/relationships/hyperlink" Target="https://democracy.brighton-hove.gov.uk/documents/s185615/Public%20toilets%20APX.%20n%203.pdf" TargetMode="External"/><Relationship Id="rId45"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6.xml"/><Relationship Id="rId28" Type="http://schemas.openxmlformats.org/officeDocument/2006/relationships/footer" Target="footer6.xml"/><Relationship Id="rId36" Type="http://schemas.openxmlformats.org/officeDocument/2006/relationships/hyperlink" Target="https://research.hud.ac.uk/institutes-centres/cacs/projects/child_welfare_inequalities" TargetMode="Externa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eader" Target="header8.xml"/><Relationship Id="rId44" Type="http://schemas.openxmlformats.org/officeDocument/2006/relationships/hyperlink" Target="https://www.ons.gov.uk/peoplepopulationandcommunity/healthandsocialcare/healthinequalities" TargetMode="External"/><Relationship Id="rId4" Type="http://schemas.openxmlformats.org/officeDocument/2006/relationships/settings" Target="settings.xml"/><Relationship Id="rId9" Type="http://schemas.openxmlformats.org/officeDocument/2006/relationships/hyperlink" Target="mailto:james.hengeveld@brighton-hove.gov.uk" TargetMode="External"/><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image" Target="media/image5.emf"/><Relationship Id="rId35" Type="http://schemas.openxmlformats.org/officeDocument/2006/relationships/image" Target="media/image6.png"/><Relationship Id="rId43" Type="http://schemas.openxmlformats.org/officeDocument/2006/relationships/hyperlink" Target="https://www.brighton-hove.gov.uk/BHconnected-needs-assessments" TargetMode="External"/><Relationship Id="rId48" Type="http://schemas.openxmlformats.org/officeDocument/2006/relationships/theme" Target="theme/theme1.xml"/><Relationship Id="rId8" Type="http://schemas.openxmlformats.org/officeDocument/2006/relationships/hyperlink" Target="mailto:nigel.manvell@brighton-hove.gov.uk" TargetMode="External"/><Relationship Id="rId3" Type="http://schemas.openxmlformats.org/officeDocument/2006/relationships/styles" Target="styles.xml"/><Relationship Id="rId12" Type="http://schemas.openxmlformats.org/officeDocument/2006/relationships/hyperlink" Target="https://www.brighton-hove.gov.uk/council-and-democracy-draft/council-finance/council-budget/behind-budget" TargetMode="External"/><Relationship Id="rId17" Type="http://schemas.openxmlformats.org/officeDocument/2006/relationships/footer" Target="footer2.xml"/><Relationship Id="rId25" Type="http://schemas.openxmlformats.org/officeDocument/2006/relationships/image" Target="media/image2.png"/><Relationship Id="rId33" Type="http://schemas.openxmlformats.org/officeDocument/2006/relationships/footer" Target="footer7.xml"/><Relationship Id="rId38" Type="http://schemas.openxmlformats.org/officeDocument/2006/relationships/hyperlink" Target="https://www.scope.org.uk/campaigns/extra-costs/disability-price-tag/" TargetMode="External"/><Relationship Id="rId46" Type="http://schemas.openxmlformats.org/officeDocument/2006/relationships/footer" Target="footer8.xml"/><Relationship Id="rId20" Type="http://schemas.openxmlformats.org/officeDocument/2006/relationships/header" Target="header5.xml"/><Relationship Id="rId41" Type="http://schemas.openxmlformats.org/officeDocument/2006/relationships/hyperlink" Target="https://www.ons.gov.uk/census/maps/choropleth?lad=E06000043"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Service</a:t>
            </a:r>
            <a:r>
              <a:rPr lang="en-GB" baseline="0"/>
              <a:t> Data - All Adults Data</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Sheet1!$H$5:$H$6</c:f>
              <c:strCache>
                <c:ptCount val="2"/>
                <c:pt idx="0">
                  <c:v>2020/21</c:v>
                </c:pt>
              </c:strCache>
            </c:strRef>
          </c:tx>
          <c:spPr>
            <a:solidFill>
              <a:schemeClr val="accent1"/>
            </a:solidFill>
            <a:ln>
              <a:noFill/>
            </a:ln>
            <a:effectLst/>
          </c:spPr>
          <c:invertIfNegative val="0"/>
          <c:cat>
            <c:strRef>
              <c:f>Sheet1!$G$7:$G$11</c:f>
              <c:strCache>
                <c:ptCount val="5"/>
                <c:pt idx="0">
                  <c:v>Adults receiving domiciliary care</c:v>
                </c:pt>
                <c:pt idx="1">
                  <c:v>Adults receiving residential care</c:v>
                </c:pt>
                <c:pt idx="2">
                  <c:v>Adults receiving nursing care</c:v>
                </c:pt>
                <c:pt idx="3">
                  <c:v>Adults receiving a direct payment</c:v>
                </c:pt>
                <c:pt idx="4">
                  <c:v>Total number of adults provided with long term funded care during the period</c:v>
                </c:pt>
              </c:strCache>
            </c:strRef>
          </c:cat>
          <c:val>
            <c:numRef>
              <c:f>Sheet1!$H$7:$H$11</c:f>
              <c:numCache>
                <c:formatCode>General</c:formatCode>
                <c:ptCount val="5"/>
                <c:pt idx="0" formatCode="#,##0">
                  <c:v>2369</c:v>
                </c:pt>
                <c:pt idx="1">
                  <c:v>801</c:v>
                </c:pt>
                <c:pt idx="2">
                  <c:v>599</c:v>
                </c:pt>
                <c:pt idx="3">
                  <c:v>600</c:v>
                </c:pt>
                <c:pt idx="4" formatCode="#,##0">
                  <c:v>4369</c:v>
                </c:pt>
              </c:numCache>
            </c:numRef>
          </c:val>
          <c:extLst>
            <c:ext xmlns:c16="http://schemas.microsoft.com/office/drawing/2014/chart" uri="{C3380CC4-5D6E-409C-BE32-E72D297353CC}">
              <c16:uniqueId val="{00000000-D616-4BBA-9788-33D496612F6B}"/>
            </c:ext>
          </c:extLst>
        </c:ser>
        <c:ser>
          <c:idx val="1"/>
          <c:order val="1"/>
          <c:tx>
            <c:strRef>
              <c:f>Sheet1!$I$5:$I$6</c:f>
              <c:strCache>
                <c:ptCount val="2"/>
                <c:pt idx="0">
                  <c:v>2021/22</c:v>
                </c:pt>
              </c:strCache>
            </c:strRef>
          </c:tx>
          <c:spPr>
            <a:solidFill>
              <a:schemeClr val="accent2"/>
            </a:solidFill>
            <a:ln>
              <a:noFill/>
            </a:ln>
            <a:effectLst/>
          </c:spPr>
          <c:invertIfNegative val="0"/>
          <c:cat>
            <c:strRef>
              <c:f>Sheet1!$G$7:$G$11</c:f>
              <c:strCache>
                <c:ptCount val="5"/>
                <c:pt idx="0">
                  <c:v>Adults receiving domiciliary care</c:v>
                </c:pt>
                <c:pt idx="1">
                  <c:v>Adults receiving residential care</c:v>
                </c:pt>
                <c:pt idx="2">
                  <c:v>Adults receiving nursing care</c:v>
                </c:pt>
                <c:pt idx="3">
                  <c:v>Adults receiving a direct payment</c:v>
                </c:pt>
                <c:pt idx="4">
                  <c:v>Total number of adults provided with long term funded care during the period</c:v>
                </c:pt>
              </c:strCache>
            </c:strRef>
          </c:cat>
          <c:val>
            <c:numRef>
              <c:f>Sheet1!$I$7:$I$11</c:f>
              <c:numCache>
                <c:formatCode>General</c:formatCode>
                <c:ptCount val="5"/>
                <c:pt idx="0" formatCode="#,##0">
                  <c:v>2162</c:v>
                </c:pt>
                <c:pt idx="1">
                  <c:v>722</c:v>
                </c:pt>
                <c:pt idx="2">
                  <c:v>494</c:v>
                </c:pt>
                <c:pt idx="3">
                  <c:v>610</c:v>
                </c:pt>
                <c:pt idx="4" formatCode="#,##0">
                  <c:v>3988</c:v>
                </c:pt>
              </c:numCache>
            </c:numRef>
          </c:val>
          <c:extLst>
            <c:ext xmlns:c16="http://schemas.microsoft.com/office/drawing/2014/chart" uri="{C3380CC4-5D6E-409C-BE32-E72D297353CC}">
              <c16:uniqueId val="{00000001-D616-4BBA-9788-33D496612F6B}"/>
            </c:ext>
          </c:extLst>
        </c:ser>
        <c:ser>
          <c:idx val="2"/>
          <c:order val="2"/>
          <c:tx>
            <c:strRef>
              <c:f>Sheet1!$J$5:$J$6</c:f>
              <c:strCache>
                <c:ptCount val="2"/>
                <c:pt idx="0">
                  <c:v>2022/23</c:v>
                </c:pt>
              </c:strCache>
            </c:strRef>
          </c:tx>
          <c:spPr>
            <a:solidFill>
              <a:schemeClr val="accent3"/>
            </a:solidFill>
            <a:ln>
              <a:noFill/>
            </a:ln>
            <a:effectLst/>
          </c:spPr>
          <c:invertIfNegative val="0"/>
          <c:cat>
            <c:strRef>
              <c:f>Sheet1!$G$7:$G$11</c:f>
              <c:strCache>
                <c:ptCount val="5"/>
                <c:pt idx="0">
                  <c:v>Adults receiving domiciliary care</c:v>
                </c:pt>
                <c:pt idx="1">
                  <c:v>Adults receiving residential care</c:v>
                </c:pt>
                <c:pt idx="2">
                  <c:v>Adults receiving nursing care</c:v>
                </c:pt>
                <c:pt idx="3">
                  <c:v>Adults receiving a direct payment</c:v>
                </c:pt>
                <c:pt idx="4">
                  <c:v>Total number of adults provided with long term funded care during the period</c:v>
                </c:pt>
              </c:strCache>
            </c:strRef>
          </c:cat>
          <c:val>
            <c:numRef>
              <c:f>Sheet1!$J$7:$J$11</c:f>
              <c:numCache>
                <c:formatCode>General</c:formatCode>
                <c:ptCount val="5"/>
                <c:pt idx="0" formatCode="#,##0">
                  <c:v>2060</c:v>
                </c:pt>
                <c:pt idx="1">
                  <c:v>736</c:v>
                </c:pt>
                <c:pt idx="2">
                  <c:v>511</c:v>
                </c:pt>
                <c:pt idx="3">
                  <c:v>627</c:v>
                </c:pt>
                <c:pt idx="4" formatCode="#,##0">
                  <c:v>3934</c:v>
                </c:pt>
              </c:numCache>
            </c:numRef>
          </c:val>
          <c:extLst>
            <c:ext xmlns:c16="http://schemas.microsoft.com/office/drawing/2014/chart" uri="{C3380CC4-5D6E-409C-BE32-E72D297353CC}">
              <c16:uniqueId val="{00000002-D616-4BBA-9788-33D496612F6B}"/>
            </c:ext>
          </c:extLst>
        </c:ser>
        <c:ser>
          <c:idx val="3"/>
          <c:order val="3"/>
          <c:tx>
            <c:strRef>
              <c:f>Sheet1!$K$5:$K$6</c:f>
              <c:strCache>
                <c:ptCount val="2"/>
                <c:pt idx="0">
                  <c:v>2023/24</c:v>
                </c:pt>
                <c:pt idx="1">
                  <c:v>(Apr – Sept)</c:v>
                </c:pt>
              </c:strCache>
            </c:strRef>
          </c:tx>
          <c:spPr>
            <a:solidFill>
              <a:schemeClr val="accent4"/>
            </a:solidFill>
            <a:ln>
              <a:noFill/>
            </a:ln>
            <a:effectLst/>
          </c:spPr>
          <c:invertIfNegative val="0"/>
          <c:cat>
            <c:strRef>
              <c:f>Sheet1!$G$7:$G$11</c:f>
              <c:strCache>
                <c:ptCount val="5"/>
                <c:pt idx="0">
                  <c:v>Adults receiving domiciliary care</c:v>
                </c:pt>
                <c:pt idx="1">
                  <c:v>Adults receiving residential care</c:v>
                </c:pt>
                <c:pt idx="2">
                  <c:v>Adults receiving nursing care</c:v>
                </c:pt>
                <c:pt idx="3">
                  <c:v>Adults receiving a direct payment</c:v>
                </c:pt>
                <c:pt idx="4">
                  <c:v>Total number of adults provided with long term funded care during the period</c:v>
                </c:pt>
              </c:strCache>
            </c:strRef>
          </c:cat>
          <c:val>
            <c:numRef>
              <c:f>Sheet1!$K$7:$K$11</c:f>
              <c:numCache>
                <c:formatCode>General</c:formatCode>
                <c:ptCount val="5"/>
                <c:pt idx="0" formatCode="#,##0">
                  <c:v>1929</c:v>
                </c:pt>
                <c:pt idx="1">
                  <c:v>678</c:v>
                </c:pt>
                <c:pt idx="2">
                  <c:v>457</c:v>
                </c:pt>
                <c:pt idx="3">
                  <c:v>609</c:v>
                </c:pt>
                <c:pt idx="4" formatCode="#,##0">
                  <c:v>3673</c:v>
                </c:pt>
              </c:numCache>
            </c:numRef>
          </c:val>
          <c:extLst>
            <c:ext xmlns:c16="http://schemas.microsoft.com/office/drawing/2014/chart" uri="{C3380CC4-5D6E-409C-BE32-E72D297353CC}">
              <c16:uniqueId val="{00000003-D616-4BBA-9788-33D496612F6B}"/>
            </c:ext>
          </c:extLst>
        </c:ser>
        <c:dLbls>
          <c:showLegendKey val="0"/>
          <c:showVal val="0"/>
          <c:showCatName val="0"/>
          <c:showSerName val="0"/>
          <c:showPercent val="0"/>
          <c:showBubbleSize val="0"/>
        </c:dLbls>
        <c:gapWidth val="219"/>
        <c:overlap val="-27"/>
        <c:axId val="285627024"/>
        <c:axId val="303717504"/>
      </c:barChart>
      <c:catAx>
        <c:axId val="28562702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717504"/>
        <c:crosses val="autoZero"/>
        <c:auto val="1"/>
        <c:lblAlgn val="ctr"/>
        <c:lblOffset val="100"/>
        <c:noMultiLvlLbl val="0"/>
      </c:catAx>
      <c:valAx>
        <c:axId val="303717504"/>
        <c:scaling>
          <c:orientation val="minMax"/>
        </c:scaling>
        <c:delete val="0"/>
        <c:axPos val="l"/>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5627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A45F54-8948-4162-8C60-2F5EEE0D8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412</Pages>
  <Words>124016</Words>
  <Characters>706895</Characters>
  <Application>Microsoft Office Word</Application>
  <DocSecurity>0</DocSecurity>
  <Lines>5890</Lines>
  <Paragraphs>1658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Cllr Hannah Clare</dc:creator>
  <cp:lastModifiedBy>James Hengeveld</cp:lastModifiedBy>
  <cp:revision>5</cp:revision>
  <dcterms:created xsi:type="dcterms:W3CDTF">2024-01-31T11:22:00Z</dcterms:created>
  <dcterms:modified xsi:type="dcterms:W3CDTF">2024-01-31T12:17:00Z</dcterms:modified>
</cp:coreProperties>
</file>